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adjustRightInd w:val="0"/>
        <w:snapToGrid w:val="0"/>
        <w:spacing w:line="360" w:lineRule="auto"/>
        <w:jc w:val="center"/>
        <w:rPr>
          <w:rFonts w:hint="eastAsia" w:ascii="黑体" w:hAnsi="黑体" w:eastAsia="黑体"/>
          <w:color w:val="auto"/>
          <w:sz w:val="32"/>
          <w:szCs w:val="32"/>
          <w:lang w:val="en-US" w:eastAsia="zh-CN"/>
        </w:rPr>
      </w:pPr>
      <w:r>
        <w:rPr>
          <w:rFonts w:hint="eastAsia" w:ascii="黑体" w:hAnsi="黑体" w:eastAsia="黑体"/>
          <w:color w:val="FF0000"/>
          <w:sz w:val="32"/>
          <w:szCs w:val="32"/>
          <w:lang w:val="en-US" w:eastAsia="zh-CN"/>
        </w:rPr>
        <w:t xml:space="preserve"> </w:t>
      </w:r>
      <w:r>
        <w:rPr>
          <w:rFonts w:hint="eastAsia" w:ascii="黑体" w:hAnsi="黑体" w:eastAsia="黑体"/>
          <w:color w:val="auto"/>
          <w:sz w:val="32"/>
          <w:szCs w:val="32"/>
          <w:lang w:val="en-US" w:eastAsia="zh-CN"/>
        </w:rPr>
        <w:t>中国人保财险大厦总部办公楼消防设备设施维修改造项目</w:t>
      </w:r>
    </w:p>
    <w:p>
      <w:pPr>
        <w:pStyle w:val="55"/>
        <w:adjustRightInd w:val="0"/>
        <w:snapToGrid w:val="0"/>
        <w:spacing w:line="360" w:lineRule="auto"/>
        <w:jc w:val="center"/>
        <w:rPr>
          <w:color w:val="auto"/>
          <w:sz w:val="28"/>
          <w:szCs w:val="28"/>
        </w:rPr>
      </w:pPr>
      <w:r>
        <w:rPr>
          <w:rFonts w:hint="eastAsia" w:ascii="黑体" w:hAnsi="黑体" w:eastAsia="黑体"/>
          <w:color w:val="auto"/>
          <w:sz w:val="32"/>
          <w:szCs w:val="32"/>
          <w:lang w:val="en-US" w:eastAsia="zh-CN"/>
        </w:rPr>
        <w:t>竞争性磋商邀请文件</w:t>
      </w:r>
    </w:p>
    <w:p>
      <w:pPr>
        <w:pStyle w:val="55"/>
        <w:adjustRightInd w:val="0"/>
        <w:snapToGrid w:val="0"/>
        <w:spacing w:line="360" w:lineRule="auto"/>
        <w:rPr>
          <w:rFonts w:hint="eastAsia"/>
          <w:b/>
          <w:bCs/>
          <w:sz w:val="28"/>
          <w:szCs w:val="28"/>
        </w:rPr>
      </w:pPr>
    </w:p>
    <w:p>
      <w:pPr>
        <w:pStyle w:val="55"/>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5"/>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sz w:val="28"/>
          <w:szCs w:val="28"/>
          <w:lang w:val="en-US" w:eastAsia="zh-CN"/>
        </w:rPr>
        <w:t>中国人保财险大厦总部办公楼消防设备设施维修改造项目</w:t>
      </w:r>
      <w:r>
        <w:rPr>
          <w:rFonts w:hint="eastAsia"/>
          <w:sz w:val="28"/>
          <w:szCs w:val="28"/>
        </w:rPr>
        <w:t>供应商，特邀请贵公司参加本次磋商。</w:t>
      </w:r>
    </w:p>
    <w:p>
      <w:pPr>
        <w:pStyle w:val="55"/>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5"/>
        <w:adjustRightInd w:val="0"/>
        <w:snapToGrid w:val="0"/>
        <w:spacing w:line="360" w:lineRule="auto"/>
        <w:ind w:firstLine="560"/>
        <w:rPr>
          <w:sz w:val="28"/>
          <w:szCs w:val="28"/>
        </w:rPr>
      </w:pPr>
      <w:r>
        <w:rPr>
          <w:rFonts w:hint="eastAsia"/>
          <w:sz w:val="28"/>
          <w:szCs w:val="28"/>
        </w:rPr>
        <w:t xml:space="preserve"> </w:t>
      </w:r>
    </w:p>
    <w:p>
      <w:pPr>
        <w:pStyle w:val="55"/>
        <w:adjustRightInd w:val="0"/>
        <w:snapToGrid w:val="0"/>
        <w:spacing w:line="360" w:lineRule="auto"/>
        <w:ind w:firstLine="420"/>
        <w:rPr>
          <w:sz w:val="28"/>
          <w:szCs w:val="28"/>
        </w:rPr>
      </w:pPr>
      <w:r>
        <w:rPr>
          <w:rFonts w:hint="eastAsia"/>
          <w:sz w:val="28"/>
          <w:szCs w:val="28"/>
        </w:rPr>
        <w:t>采购机构名称：中国人民财产保险股份有限公司</w:t>
      </w:r>
    </w:p>
    <w:p>
      <w:pPr>
        <w:pStyle w:val="55"/>
        <w:adjustRightInd w:val="0"/>
        <w:snapToGrid w:val="0"/>
        <w:spacing w:line="360" w:lineRule="auto"/>
        <w:ind w:firstLine="420"/>
        <w:rPr>
          <w:sz w:val="28"/>
          <w:szCs w:val="28"/>
        </w:rPr>
      </w:pPr>
      <w:r>
        <w:rPr>
          <w:rFonts w:hint="eastAsia"/>
          <w:sz w:val="28"/>
          <w:szCs w:val="28"/>
        </w:rPr>
        <w:t>地址：北京市朝阳区建国门外大街2号院2号楼</w:t>
      </w:r>
    </w:p>
    <w:p>
      <w:pPr>
        <w:pStyle w:val="55"/>
        <w:adjustRightInd w:val="0"/>
        <w:snapToGrid w:val="0"/>
        <w:spacing w:line="360" w:lineRule="auto"/>
        <w:ind w:firstLine="420"/>
        <w:rPr>
          <w:rFonts w:hint="default" w:eastAsia="宋体"/>
          <w:sz w:val="28"/>
          <w:szCs w:val="28"/>
          <w:lang w:val="en-US" w:eastAsia="zh-CN"/>
        </w:rPr>
      </w:pPr>
      <w:r>
        <w:rPr>
          <w:rFonts w:hint="eastAsia"/>
          <w:color w:val="auto"/>
          <w:sz w:val="28"/>
          <w:szCs w:val="28"/>
        </w:rPr>
        <w:t>电话：010-851</w:t>
      </w:r>
      <w:r>
        <w:rPr>
          <w:rFonts w:hint="eastAsia"/>
          <w:color w:val="auto"/>
          <w:sz w:val="28"/>
          <w:szCs w:val="28"/>
          <w:lang w:val="en-US" w:eastAsia="zh-CN"/>
        </w:rPr>
        <w:t>7 7812</w:t>
      </w:r>
      <w:r>
        <w:rPr>
          <w:rFonts w:hint="eastAsia"/>
          <w:color w:val="auto"/>
          <w:sz w:val="28"/>
          <w:szCs w:val="28"/>
        </w:rPr>
        <w:t xml:space="preserve"> </w:t>
      </w:r>
      <w:r>
        <w:rPr>
          <w:color w:val="auto"/>
          <w:sz w:val="28"/>
          <w:szCs w:val="28"/>
        </w:rPr>
        <w:t>18</w:t>
      </w:r>
      <w:r>
        <w:rPr>
          <w:rFonts w:hint="eastAsia"/>
          <w:color w:val="auto"/>
          <w:sz w:val="28"/>
          <w:szCs w:val="28"/>
          <w:lang w:val="en-US" w:eastAsia="zh-CN"/>
        </w:rPr>
        <w:t xml:space="preserve">601187276   </w:t>
      </w:r>
      <w:r>
        <w:rPr>
          <w:rFonts w:hint="eastAsia"/>
          <w:sz w:val="28"/>
          <w:szCs w:val="28"/>
        </w:rPr>
        <w:t>联系人：</w:t>
      </w:r>
      <w:r>
        <w:rPr>
          <w:rFonts w:hint="eastAsia"/>
          <w:sz w:val="28"/>
          <w:szCs w:val="28"/>
          <w:lang w:val="en-US" w:eastAsia="zh-CN"/>
        </w:rPr>
        <w:t>尚小兵</w:t>
      </w:r>
    </w:p>
    <w:p>
      <w:pPr>
        <w:pStyle w:val="55"/>
        <w:adjustRightInd w:val="0"/>
        <w:snapToGrid w:val="0"/>
        <w:spacing w:line="360" w:lineRule="auto"/>
        <w:rPr>
          <w:sz w:val="28"/>
          <w:szCs w:val="28"/>
        </w:rPr>
      </w:pPr>
      <w:r>
        <w:rPr>
          <w:rFonts w:hint="eastAsia"/>
          <w:sz w:val="28"/>
          <w:szCs w:val="28"/>
        </w:rPr>
        <w:t xml:space="preserve">   附件：一、磋商事项说明</w:t>
      </w:r>
    </w:p>
    <w:p>
      <w:pPr>
        <w:pStyle w:val="55"/>
        <w:adjustRightInd w:val="0"/>
        <w:snapToGrid w:val="0"/>
        <w:spacing w:line="360" w:lineRule="auto"/>
        <w:ind w:firstLine="840"/>
        <w:rPr>
          <w:sz w:val="28"/>
          <w:szCs w:val="28"/>
        </w:rPr>
      </w:pPr>
      <w:r>
        <w:rPr>
          <w:rFonts w:hint="eastAsia"/>
          <w:sz w:val="28"/>
          <w:szCs w:val="28"/>
        </w:rPr>
        <w:t xml:space="preserve">   二、响应文件格式和表格</w:t>
      </w:r>
    </w:p>
    <w:p>
      <w:pPr>
        <w:pStyle w:val="55"/>
        <w:adjustRightInd w:val="0"/>
        <w:snapToGrid w:val="0"/>
        <w:spacing w:line="360" w:lineRule="auto"/>
        <w:ind w:firstLine="840"/>
        <w:rPr>
          <w:sz w:val="28"/>
          <w:szCs w:val="28"/>
        </w:rPr>
      </w:pPr>
      <w:r>
        <w:rPr>
          <w:rFonts w:hint="eastAsia"/>
          <w:sz w:val="28"/>
          <w:szCs w:val="28"/>
        </w:rPr>
        <w:t xml:space="preserve">   三、资格证明文件</w:t>
      </w:r>
    </w:p>
    <w:p>
      <w:pPr>
        <w:pStyle w:val="55"/>
        <w:adjustRightInd w:val="0"/>
        <w:snapToGrid w:val="0"/>
        <w:spacing w:line="360" w:lineRule="auto"/>
        <w:ind w:firstLine="840"/>
        <w:rPr>
          <w:sz w:val="28"/>
          <w:szCs w:val="28"/>
        </w:rPr>
      </w:pPr>
      <w:r>
        <w:rPr>
          <w:rFonts w:hint="eastAsia"/>
          <w:sz w:val="28"/>
          <w:szCs w:val="28"/>
        </w:rPr>
        <w:t xml:space="preserve">   四、项目采购需求及服务要求</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ind w:firstLine="570"/>
        <w:jc w:val="right"/>
        <w:rPr>
          <w:sz w:val="28"/>
          <w:szCs w:val="28"/>
        </w:rPr>
      </w:pPr>
      <w:r>
        <w:rPr>
          <w:rFonts w:hint="eastAsia"/>
          <w:sz w:val="28"/>
          <w:szCs w:val="28"/>
        </w:rPr>
        <w:t>中国人民财产保险股份有限公司</w:t>
      </w:r>
    </w:p>
    <w:p>
      <w:pPr>
        <w:pStyle w:val="55"/>
        <w:adjustRightInd w:val="0"/>
        <w:snapToGrid w:val="0"/>
        <w:spacing w:line="360" w:lineRule="auto"/>
        <w:ind w:left="3780" w:right="620" w:hanging="3780"/>
        <w:jc w:val="center"/>
        <w:rPr>
          <w:color w:val="auto"/>
          <w:sz w:val="28"/>
          <w:szCs w:val="28"/>
        </w:rPr>
      </w:pPr>
      <w:r>
        <w:rPr>
          <w:rFonts w:hint="eastAsia"/>
          <w:color w:val="auto"/>
          <w:sz w:val="28"/>
          <w:szCs w:val="28"/>
          <w:lang w:val="en-US" w:eastAsia="zh-CN"/>
        </w:rPr>
        <w:t xml:space="preserve">                                        </w:t>
      </w:r>
      <w:r>
        <w:rPr>
          <w:rFonts w:hint="eastAsia"/>
          <w:color w:val="auto"/>
          <w:sz w:val="28"/>
          <w:szCs w:val="28"/>
        </w:rPr>
        <w:t>20</w:t>
      </w:r>
      <w:r>
        <w:rPr>
          <w:color w:val="auto"/>
          <w:sz w:val="28"/>
          <w:szCs w:val="28"/>
        </w:rPr>
        <w:t>2</w:t>
      </w:r>
      <w:r>
        <w:rPr>
          <w:rFonts w:hint="eastAsia"/>
          <w:color w:val="auto"/>
          <w:sz w:val="28"/>
          <w:szCs w:val="28"/>
          <w:lang w:val="en-US" w:eastAsia="zh-CN"/>
        </w:rPr>
        <w:t>3</w:t>
      </w:r>
      <w:r>
        <w:rPr>
          <w:rFonts w:hint="eastAsia"/>
          <w:color w:val="auto"/>
          <w:sz w:val="28"/>
          <w:szCs w:val="28"/>
        </w:rPr>
        <w:t>年</w:t>
      </w:r>
      <w:r>
        <w:rPr>
          <w:rFonts w:hint="eastAsia"/>
          <w:color w:val="auto"/>
          <w:sz w:val="28"/>
          <w:szCs w:val="28"/>
          <w:lang w:val="en-US" w:eastAsia="zh-CN"/>
        </w:rPr>
        <w:t>9</w:t>
      </w:r>
      <w:r>
        <w:rPr>
          <w:rFonts w:hint="eastAsia"/>
          <w:color w:val="auto"/>
          <w:sz w:val="28"/>
          <w:szCs w:val="28"/>
        </w:rPr>
        <w:t>月</w:t>
      </w:r>
    </w:p>
    <w:p>
      <w:pPr>
        <w:pStyle w:val="55"/>
        <w:adjustRightInd w:val="0"/>
        <w:snapToGrid w:val="0"/>
        <w:spacing w:line="360" w:lineRule="auto"/>
        <w:ind w:left="3780" w:right="620" w:hanging="3780"/>
        <w:jc w:val="right"/>
        <w:rPr>
          <w:sz w:val="28"/>
          <w:szCs w:val="28"/>
        </w:rPr>
      </w:pPr>
    </w:p>
    <w:p>
      <w:pPr>
        <w:pStyle w:val="55"/>
        <w:adjustRightInd w:val="0"/>
        <w:snapToGrid w:val="0"/>
        <w:spacing w:line="360" w:lineRule="auto"/>
        <w:ind w:left="3780" w:right="620" w:hanging="3780"/>
        <w:jc w:val="right"/>
        <w:rPr>
          <w:sz w:val="28"/>
          <w:szCs w:val="28"/>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r>
        <w:rPr>
          <w:rFonts w:hint="eastAsia"/>
          <w:b/>
          <w:bCs/>
          <w:sz w:val="36"/>
          <w:szCs w:val="36"/>
        </w:rPr>
        <w:t>目 录</w:t>
      </w:r>
    </w:p>
    <w:p>
      <w:pPr>
        <w:pStyle w:val="55"/>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7"/>
          <w:rFonts w:hint="eastAsia"/>
          <w:b/>
          <w:bCs/>
          <w:color w:val="000000"/>
          <w:u w:val="none"/>
        </w:rPr>
        <w:t>附件一 磋商事项说明……………………………………………………………………</w:t>
      </w:r>
      <w:r>
        <w:rPr>
          <w:rStyle w:val="37"/>
          <w:rFonts w:hint="eastAsia"/>
          <w:color w:val="000000"/>
          <w:u w:val="none"/>
        </w:rPr>
        <w:t>3</w:t>
      </w:r>
      <w:r>
        <w:rPr>
          <w:rStyle w:val="37"/>
          <w:rFonts w:hint="eastAsia"/>
          <w:color w:val="000000"/>
          <w:u w:val="none"/>
        </w:rPr>
        <w:fldChar w:fldCharType="end"/>
      </w:r>
    </w:p>
    <w:p>
      <w:pPr>
        <w:pStyle w:val="55"/>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7"/>
          <w:rFonts w:hint="eastAsia"/>
          <w:color w:val="000000"/>
          <w:u w:val="none"/>
        </w:rPr>
        <w:t>一、供应商</w:t>
      </w:r>
      <w:r>
        <w:rPr>
          <w:rStyle w:val="37"/>
          <w:color w:val="000000"/>
          <w:u w:val="none"/>
        </w:rPr>
        <w:t>资格</w:t>
      </w:r>
      <w:r>
        <w:rPr>
          <w:rStyle w:val="37"/>
          <w:rFonts w:hint="eastAsia"/>
          <w:color w:val="000000"/>
          <w:u w:val="none"/>
        </w:rPr>
        <w:t>要求………………………………………………………………………3</w:t>
      </w:r>
      <w:r>
        <w:rPr>
          <w:rStyle w:val="37"/>
          <w:rFonts w:hint="eastAsia"/>
          <w:color w:val="000000"/>
          <w:u w:val="none"/>
        </w:rPr>
        <w:fldChar w:fldCharType="end"/>
      </w:r>
    </w:p>
    <w:p>
      <w:pPr>
        <w:pStyle w:val="55"/>
        <w:adjustRightInd w:val="0"/>
        <w:snapToGrid w:val="0"/>
        <w:spacing w:line="360" w:lineRule="auto"/>
        <w:ind w:left="420"/>
        <w:jc w:val="distribute"/>
        <w:rPr>
          <w:color w:val="000000"/>
        </w:rPr>
      </w:pPr>
      <w:r>
        <w:rPr>
          <w:rFonts w:hint="eastAsia"/>
        </w:rPr>
        <w:t>二、评审标准………………………………………………………………………3</w:t>
      </w:r>
    </w:p>
    <w:p>
      <w:pPr>
        <w:pStyle w:val="55"/>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7"/>
          <w:rFonts w:hint="eastAsia"/>
          <w:color w:val="000000"/>
          <w:u w:val="none"/>
        </w:rPr>
        <w:t>三、响应文件要求……………………………………………………………………</w:t>
      </w:r>
      <w:r>
        <w:rPr>
          <w:rStyle w:val="37"/>
          <w:rFonts w:hint="eastAsia"/>
          <w:color w:val="000000"/>
          <w:u w:val="none"/>
        </w:rPr>
        <w:fldChar w:fldCharType="end"/>
      </w:r>
      <w:r>
        <w:rPr>
          <w:rStyle w:val="37"/>
          <w:color w:val="000000"/>
          <w:u w:val="none"/>
        </w:rPr>
        <w:t>4</w:t>
      </w:r>
    </w:p>
    <w:p>
      <w:pPr>
        <w:pStyle w:val="55"/>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7"/>
          <w:rFonts w:hint="eastAsia"/>
          <w:color w:val="000000"/>
          <w:u w:val="none"/>
        </w:rPr>
        <w:t>四、磋商时间和地点……………………………………………………………………</w:t>
      </w:r>
      <w:r>
        <w:rPr>
          <w:rStyle w:val="37"/>
          <w:rFonts w:hint="eastAsia"/>
          <w:color w:val="000000"/>
          <w:u w:val="none"/>
        </w:rPr>
        <w:fldChar w:fldCharType="end"/>
      </w:r>
      <w:r>
        <w:rPr>
          <w:rStyle w:val="37"/>
          <w:color w:val="000000"/>
          <w:u w:val="none"/>
        </w:rPr>
        <w:t>6</w:t>
      </w:r>
    </w:p>
    <w:p>
      <w:pPr>
        <w:pStyle w:val="55"/>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7"/>
          <w:rFonts w:hint="eastAsia"/>
          <w:color w:val="000000"/>
          <w:u w:val="none"/>
        </w:rPr>
        <w:t>五、竞争性磋商流程…………………………………………………………………………</w:t>
      </w:r>
      <w:r>
        <w:rPr>
          <w:rStyle w:val="37"/>
          <w:rFonts w:hint="eastAsia"/>
          <w:color w:val="000000"/>
          <w:u w:val="none"/>
        </w:rPr>
        <w:fldChar w:fldCharType="end"/>
      </w:r>
      <w:r>
        <w:rPr>
          <w:rStyle w:val="37"/>
          <w:color w:val="000000"/>
          <w:u w:val="none"/>
        </w:rPr>
        <w:t>6</w:t>
      </w:r>
    </w:p>
    <w:p>
      <w:pPr>
        <w:pStyle w:val="55"/>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5"/>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7"/>
          <w:rFonts w:hint="eastAsia"/>
          <w:color w:val="000000"/>
          <w:u w:val="none"/>
        </w:rPr>
        <w:t>七、特别声明…………………………………………………………………………………</w:t>
      </w:r>
      <w:r>
        <w:rPr>
          <w:rStyle w:val="37"/>
          <w:rFonts w:hint="eastAsia"/>
          <w:color w:val="000000"/>
          <w:u w:val="none"/>
        </w:rPr>
        <w:fldChar w:fldCharType="end"/>
      </w:r>
      <w:r>
        <w:rPr>
          <w:rStyle w:val="37"/>
          <w:color w:val="000000"/>
          <w:u w:val="none"/>
        </w:rPr>
        <w:t>7</w:t>
      </w:r>
    </w:p>
    <w:p>
      <w:pPr>
        <w:pStyle w:val="55"/>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7"/>
          <w:rFonts w:hint="eastAsia"/>
          <w:b/>
          <w:bCs/>
          <w:color w:val="000000"/>
          <w:u w:val="none"/>
        </w:rPr>
        <w:t>附件二 响应文件格式和表格…………………………………………………………………</w:t>
      </w:r>
      <w:r>
        <w:rPr>
          <w:rStyle w:val="37"/>
          <w:rFonts w:hint="eastAsia"/>
          <w:b/>
          <w:bCs/>
          <w:color w:val="000000"/>
          <w:u w:val="none"/>
        </w:rPr>
        <w:fldChar w:fldCharType="end"/>
      </w:r>
      <w:r>
        <w:t>9</w:t>
      </w:r>
    </w:p>
    <w:p>
      <w:pPr>
        <w:pStyle w:val="55"/>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7"/>
          <w:rFonts w:hint="eastAsia"/>
          <w:b/>
          <w:bCs/>
          <w:color w:val="000000"/>
          <w:u w:val="none"/>
        </w:rPr>
        <w:t>附件三 资格证明文件</w:t>
      </w:r>
      <w:r>
        <w:rPr>
          <w:rStyle w:val="37"/>
          <w:rFonts w:hint="eastAsia"/>
          <w:color w:val="000000"/>
          <w:u w:val="none"/>
        </w:rPr>
        <w:t>…………………………………………………………………………</w:t>
      </w:r>
      <w:r>
        <w:rPr>
          <w:rStyle w:val="37"/>
          <w:rFonts w:hint="eastAsia"/>
          <w:color w:val="000000"/>
          <w:u w:val="none"/>
        </w:rPr>
        <w:fldChar w:fldCharType="end"/>
      </w:r>
      <w:r>
        <w:rPr>
          <w:rStyle w:val="37"/>
          <w:color w:val="000000"/>
          <w:u w:val="none"/>
        </w:rPr>
        <w:t>2</w:t>
      </w:r>
      <w:r>
        <w:t>0</w:t>
      </w:r>
    </w:p>
    <w:p>
      <w:pPr>
        <w:pStyle w:val="55"/>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7"/>
          <w:rFonts w:hint="eastAsia"/>
          <w:color w:val="000000"/>
          <w:u w:val="none"/>
        </w:rPr>
        <w:t>3.1供应商基本情况表………</w:t>
      </w:r>
      <w:r>
        <w:rPr>
          <w:rStyle w:val="37"/>
          <w:color w:val="000000"/>
          <w:u w:val="none"/>
        </w:rPr>
        <w:t>……………</w:t>
      </w:r>
      <w:r>
        <w:rPr>
          <w:rStyle w:val="37"/>
          <w:rFonts w:hint="eastAsia"/>
          <w:color w:val="000000"/>
          <w:u w:val="none"/>
        </w:rPr>
        <w:t>………………………………………………………21</w:t>
      </w:r>
      <w:r>
        <w:rPr>
          <w:rStyle w:val="37"/>
          <w:rFonts w:hint="eastAsia"/>
          <w:color w:val="000000"/>
          <w:u w:val="none"/>
        </w:rPr>
        <w:fldChar w:fldCharType="end"/>
      </w:r>
    </w:p>
    <w:p>
      <w:pPr>
        <w:pStyle w:val="55"/>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5"/>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5"/>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5"/>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5"/>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5"/>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5"/>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5"/>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7"/>
          <w:rFonts w:hint="eastAsia"/>
          <w:b/>
          <w:bCs/>
          <w:color w:val="000000"/>
          <w:u w:val="none"/>
        </w:rPr>
        <w:t>附件四 项目采购需求及服务要求</w:t>
      </w:r>
      <w:r>
        <w:rPr>
          <w:rStyle w:val="37"/>
          <w:rFonts w:hint="eastAsia"/>
          <w:color w:val="000000"/>
          <w:u w:val="none"/>
        </w:rPr>
        <w:t>…………………………………………………………</w:t>
      </w:r>
      <w:r>
        <w:rPr>
          <w:rStyle w:val="37"/>
          <w:rFonts w:hint="eastAsia"/>
          <w:color w:val="000000"/>
          <w:u w:val="none"/>
        </w:rPr>
        <w:fldChar w:fldCharType="end"/>
      </w:r>
      <w:r>
        <w:rPr>
          <w:rStyle w:val="37"/>
          <w:color w:val="000000"/>
          <w:u w:val="none"/>
        </w:rPr>
        <w:t>26</w:t>
      </w:r>
    </w:p>
    <w:p>
      <w:pPr>
        <w:pStyle w:val="55"/>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7"/>
          <w:rFonts w:hint="eastAsia"/>
          <w:color w:val="000000"/>
          <w:u w:val="none"/>
        </w:rPr>
        <w:t>.1合同模板………………………………………………………………………………</w:t>
      </w:r>
      <w:r>
        <w:rPr>
          <w:rStyle w:val="37"/>
          <w:rFonts w:hint="eastAsia"/>
          <w:color w:val="000000"/>
          <w:u w:val="none"/>
        </w:rPr>
        <w:fldChar w:fldCharType="end"/>
      </w:r>
      <w:r>
        <w:rPr>
          <w:rStyle w:val="37"/>
          <w:color w:val="000000"/>
          <w:u w:val="none"/>
        </w:rPr>
        <w:t>26</w:t>
      </w:r>
    </w:p>
    <w:p>
      <w:pPr>
        <w:pStyle w:val="55"/>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5"/>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5"/>
        <w:adjustRightInd w:val="0"/>
        <w:snapToGrid w:val="0"/>
        <w:spacing w:line="360" w:lineRule="auto"/>
        <w:ind w:left="3240" w:right="620" w:hanging="3240"/>
        <w:jc w:val="right"/>
        <w:rPr>
          <w:color w:val="000000"/>
        </w:rPr>
      </w:pPr>
    </w:p>
    <w:p>
      <w:pPr>
        <w:pStyle w:val="55"/>
        <w:adjustRightInd w:val="0"/>
        <w:snapToGrid w:val="0"/>
        <w:spacing w:line="360" w:lineRule="auto"/>
        <w:ind w:left="3240" w:right="620" w:hanging="3240"/>
        <w:jc w:val="right"/>
        <w:rPr>
          <w:color w:val="000000"/>
        </w:rPr>
      </w:pPr>
    </w:p>
    <w:p>
      <w:pPr>
        <w:pStyle w:val="55"/>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1、在中国境内注册，具有独立法人资格。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2、具有良好的资信情况。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3、最近三年没有出现违法违规或失信行为，没有骗取中标和严重违约的行为。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rPr>
        <w:t>4</w:t>
      </w: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sz w:val="24"/>
          <w:szCs w:val="24"/>
          <w:highlight w:val="none"/>
          <w:lang w:val="en-US" w:eastAsia="zh-CN"/>
        </w:rPr>
        <w:t>消防设施工程</w:t>
      </w:r>
      <w:r>
        <w:rPr>
          <w:rFonts w:hint="eastAsia" w:asciiTheme="minorEastAsia" w:hAnsiTheme="minorEastAsia" w:eastAsiaTheme="minorEastAsia" w:cstheme="minorEastAsia"/>
          <w:sz w:val="24"/>
          <w:szCs w:val="24"/>
          <w:highlight w:val="none"/>
        </w:rPr>
        <w:t>专业承包二级</w:t>
      </w:r>
      <w:r>
        <w:rPr>
          <w:rFonts w:hint="eastAsia" w:asciiTheme="minorEastAsia" w:hAnsiTheme="minorEastAsia" w:eastAsiaTheme="minorEastAsia" w:cstheme="minorEastAsia"/>
          <w:sz w:val="24"/>
          <w:szCs w:val="24"/>
          <w:highlight w:val="none"/>
          <w:lang w:val="en-US" w:eastAsia="zh-CN"/>
        </w:rPr>
        <w:t>资质</w:t>
      </w:r>
      <w:r>
        <w:rPr>
          <w:rFonts w:hint="eastAsia" w:asciiTheme="minorEastAsia" w:hAnsiTheme="minorEastAsia" w:eastAsiaTheme="minorEastAsia" w:cstheme="minorEastAsia"/>
          <w:sz w:val="24"/>
          <w:szCs w:val="24"/>
          <w:highlight w:val="none"/>
        </w:rPr>
        <w:t>（或以上）</w:t>
      </w:r>
      <w:r>
        <w:rPr>
          <w:rFonts w:hint="eastAsia" w:asciiTheme="minorEastAsia" w:hAnsiTheme="minorEastAsia" w:eastAsiaTheme="minorEastAsia" w:cstheme="minorEastAsia"/>
          <w:kern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eastAsia" w:asciiTheme="minorEastAsia" w:hAnsiTheme="minorEastAsia" w:eastAsiaTheme="minorEastAsia" w:cstheme="minorEastAsia"/>
          <w:kern w:val="0"/>
          <w:sz w:val="24"/>
          <w:szCs w:val="24"/>
          <w:lang w:val="en-US" w:eastAsia="zh-CN"/>
        </w:rPr>
        <w:t>5、本项目不接受联合体投标。</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auto"/>
          <w:kern w:val="0"/>
          <w:sz w:val="24"/>
          <w:szCs w:val="24"/>
        </w:rPr>
        <w:t>采购评审标准由</w:t>
      </w:r>
      <w:r>
        <w:rPr>
          <w:rFonts w:hint="eastAsia" w:ascii="宋体" w:hAnsi="宋体" w:cs="宋体"/>
          <w:color w:val="auto"/>
          <w:kern w:val="0"/>
          <w:sz w:val="24"/>
          <w:szCs w:val="24"/>
          <w:lang w:val="en-US" w:eastAsia="zh-CN"/>
        </w:rPr>
        <w:t>施工</w:t>
      </w:r>
      <w:r>
        <w:rPr>
          <w:rFonts w:hint="eastAsia" w:asciiTheme="minorEastAsia" w:hAnsiTheme="minorEastAsia" w:eastAsiaTheme="minorEastAsia" w:cstheme="minorEastAsia"/>
          <w:sz w:val="24"/>
          <w:szCs w:val="24"/>
        </w:rPr>
        <w:t>方案与技术措施</w:t>
      </w:r>
      <w:r>
        <w:rPr>
          <w:rFonts w:hint="eastAsia" w:asciiTheme="minorEastAsia" w:hAnsiTheme="minorEastAsia" w:eastAsiaTheme="minorEastAsia" w:cstheme="minorEastAsia"/>
          <w:color w:val="auto"/>
          <w:kern w:val="0"/>
          <w:sz w:val="24"/>
          <w:szCs w:val="24"/>
        </w:rPr>
        <w:t>、</w:t>
      </w:r>
      <w:r>
        <w:rPr>
          <w:rFonts w:hint="eastAsia" w:asciiTheme="minorEastAsia" w:hAnsiTheme="minorEastAsia" w:eastAsiaTheme="minorEastAsia" w:cstheme="minorEastAsia"/>
          <w:sz w:val="24"/>
          <w:szCs w:val="24"/>
        </w:rPr>
        <w:t>质量管理体系与保证措施</w:t>
      </w:r>
      <w:r>
        <w:rPr>
          <w:rFonts w:hint="eastAsia" w:asciiTheme="minorEastAsia" w:hAnsiTheme="minorEastAsia" w:eastAsiaTheme="minorEastAsia" w:cstheme="minorEastAsia"/>
          <w:color w:val="auto"/>
          <w:kern w:val="0"/>
          <w:sz w:val="24"/>
          <w:szCs w:val="24"/>
          <w:lang w:val="en-US" w:eastAsia="zh-CN"/>
        </w:rPr>
        <w:t>、</w:t>
      </w:r>
      <w:r>
        <w:rPr>
          <w:rFonts w:hint="eastAsia" w:asciiTheme="minorEastAsia" w:hAnsiTheme="minorEastAsia" w:eastAsiaTheme="minorEastAsia" w:cstheme="minorEastAsia"/>
          <w:sz w:val="24"/>
          <w:szCs w:val="24"/>
          <w:lang w:val="en-US" w:eastAsia="zh-CN"/>
        </w:rPr>
        <w:t>施工</w:t>
      </w:r>
      <w:r>
        <w:rPr>
          <w:rFonts w:hint="eastAsia" w:asciiTheme="minorEastAsia" w:hAnsiTheme="minorEastAsia" w:eastAsiaTheme="minorEastAsia" w:cstheme="minorEastAsia"/>
          <w:sz w:val="24"/>
          <w:szCs w:val="24"/>
        </w:rPr>
        <w:t>进度计划与保证措施</w:t>
      </w:r>
      <w:r>
        <w:rPr>
          <w:rFonts w:hint="eastAsia" w:asciiTheme="minorEastAsia" w:hAnsiTheme="minorEastAsia" w:eastAsiaTheme="minorEastAsia" w:cstheme="minorEastAsia"/>
          <w:color w:val="auto"/>
          <w:kern w:val="0"/>
          <w:sz w:val="24"/>
          <w:szCs w:val="24"/>
          <w:lang w:val="en-US" w:eastAsia="zh-CN"/>
        </w:rPr>
        <w:t>、施工</w:t>
      </w:r>
      <w:r>
        <w:rPr>
          <w:rFonts w:hint="eastAsia" w:asciiTheme="minorEastAsia" w:hAnsiTheme="minorEastAsia" w:eastAsiaTheme="minorEastAsia" w:cstheme="minorEastAsia"/>
          <w:sz w:val="24"/>
          <w:szCs w:val="24"/>
          <w:vertAlign w:val="baseline"/>
        </w:rPr>
        <w:t>人员情况</w:t>
      </w:r>
      <w:r>
        <w:rPr>
          <w:rFonts w:hint="eastAsia" w:asciiTheme="minorEastAsia" w:hAnsiTheme="minorEastAsia" w:eastAsiaTheme="minorEastAsia" w:cstheme="minorEastAsia"/>
          <w:color w:val="auto"/>
          <w:kern w:val="0"/>
          <w:sz w:val="24"/>
          <w:szCs w:val="24"/>
          <w:lang w:val="en-US" w:eastAsia="zh-CN"/>
        </w:rPr>
        <w:t>、施工</w:t>
      </w:r>
      <w:r>
        <w:rPr>
          <w:rFonts w:hint="eastAsia" w:asciiTheme="minorEastAsia" w:hAnsiTheme="minorEastAsia" w:eastAsiaTheme="minorEastAsia" w:cstheme="minorEastAsia"/>
          <w:sz w:val="24"/>
          <w:szCs w:val="24"/>
          <w:vertAlign w:val="baseline"/>
          <w:lang w:val="en-US" w:eastAsia="zh-CN"/>
        </w:rPr>
        <w:t>拟投入机器设备及特殊需求满足度六</w:t>
      </w:r>
      <w:r>
        <w:rPr>
          <w:rFonts w:hint="eastAsia" w:ascii="宋体" w:hAnsi="宋体" w:cs="宋体"/>
          <w:color w:val="auto"/>
          <w:kern w:val="0"/>
          <w:sz w:val="24"/>
          <w:szCs w:val="24"/>
        </w:rPr>
        <w:t>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文件要求，结合项目最终报价、技术方案、服务方案等情况进行评分。各有效供应商的</w:t>
      </w:r>
      <w:r>
        <w:rPr>
          <w:rFonts w:hint="eastAsia" w:ascii="宋体" w:hAnsi="宋体" w:cs="宋体"/>
          <w:color w:val="000000" w:themeColor="text1"/>
          <w:kern w:val="0"/>
          <w:sz w:val="24"/>
          <w:szCs w:val="24"/>
          <w14:textFill>
            <w14:solidFill>
              <w14:schemeClr w14:val="tx1"/>
            </w14:solidFill>
          </w14:textFill>
        </w:rPr>
        <w:t>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2"/>
        <w:tblW w:w="81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1100"/>
        <w:gridCol w:w="5100"/>
        <w:gridCol w:w="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center"/>
              <w:textAlignment w:val="bottom"/>
              <w:rPr>
                <w:rFonts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内容</w:t>
            </w:r>
          </w:p>
        </w:tc>
        <w:tc>
          <w:tcPr>
            <w:tcW w:w="110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评审因素</w:t>
            </w:r>
          </w:p>
        </w:tc>
        <w:tc>
          <w:tcPr>
            <w:tcW w:w="510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评分说明</w:t>
            </w:r>
          </w:p>
        </w:tc>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价格部分（40分）</w:t>
            </w:r>
          </w:p>
        </w:tc>
        <w:tc>
          <w:tcPr>
            <w:tcW w:w="110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投标报价</w:t>
            </w:r>
          </w:p>
        </w:tc>
        <w:tc>
          <w:tcPr>
            <w:tcW w:w="510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themeColor="text1"/>
                <w:sz w:val="21"/>
                <w:szCs w:val="21"/>
                <w:u w:val="none"/>
                <w14:textFill>
                  <w14:solidFill>
                    <w14:schemeClr w14:val="tx1"/>
                  </w14:solidFill>
                </w14:textFill>
              </w:rPr>
            </w:pPr>
            <w:r>
              <w:rPr>
                <w:rFonts w:hint="eastAsia" w:ascii="仿宋" w:hAnsi="仿宋" w:eastAsia="仿宋" w:cs="仿宋"/>
                <w:i w:val="0"/>
                <w:iCs w:val="0"/>
                <w:color w:val="000000" w:themeColor="text1"/>
                <w:sz w:val="21"/>
                <w:szCs w:val="21"/>
                <w:u w:val="none"/>
                <w14:textFill>
                  <w14:solidFill>
                    <w14:schemeClr w14:val="tx1"/>
                  </w14:solidFill>
                </w14:textFill>
              </w:rPr>
              <w:t>评标价：各有效投标人的含税投标价,剔除可抵扣的增值税进项税额。</w:t>
            </w:r>
          </w:p>
          <w:p>
            <w:pPr>
              <w:keepNext w:val="0"/>
              <w:keepLines w:val="0"/>
              <w:widowControl/>
              <w:suppressLineNumbers w:val="0"/>
              <w:jc w:val="left"/>
              <w:textAlignment w:val="bottom"/>
              <w:rPr>
                <w:rFonts w:hint="eastAsia" w:ascii="仿宋" w:hAnsi="仿宋" w:eastAsia="仿宋" w:cs="仿宋"/>
                <w:i w:val="0"/>
                <w:iCs w:val="0"/>
                <w:color w:val="000000" w:themeColor="text1"/>
                <w:sz w:val="21"/>
                <w:szCs w:val="21"/>
                <w:u w:val="none"/>
                <w:shd w:val="clear"/>
                <w14:textFill>
                  <w14:solidFill>
                    <w14:schemeClr w14:val="tx1"/>
                  </w14:solidFill>
                </w14:textFill>
              </w:rPr>
            </w:pPr>
            <w:r>
              <w:rPr>
                <w:rFonts w:hint="eastAsia" w:ascii="仿宋" w:hAnsi="仿宋" w:eastAsia="仿宋" w:cs="仿宋"/>
                <w:i w:val="0"/>
                <w:iCs w:val="0"/>
                <w:color w:val="000000" w:themeColor="text1"/>
                <w:sz w:val="21"/>
                <w:szCs w:val="21"/>
                <w:u w:val="none"/>
                <w14:textFill>
                  <w14:solidFill>
                    <w14:schemeClr w14:val="tx1"/>
                  </w14:solidFill>
                </w14:textFill>
              </w:rPr>
              <w:t>评标基准价：满足招标文件要求且</w:t>
            </w:r>
            <w:r>
              <w:rPr>
                <w:rFonts w:hint="eastAsia" w:ascii="仿宋" w:hAnsi="仿宋" w:eastAsia="仿宋" w:cs="仿宋"/>
                <w:i w:val="0"/>
                <w:iCs w:val="0"/>
                <w:color w:val="000000" w:themeColor="text1"/>
                <w:sz w:val="21"/>
                <w:szCs w:val="21"/>
                <w:u w:val="none"/>
                <w:shd w:val="clear"/>
                <w14:textFill>
                  <w14:solidFill>
                    <w14:schemeClr w14:val="tx1"/>
                  </w14:solidFill>
                </w14:textFill>
              </w:rPr>
              <w:t>最低的有效评标价。</w:t>
            </w:r>
          </w:p>
          <w:p>
            <w:pPr>
              <w:keepNext w:val="0"/>
              <w:keepLines w:val="0"/>
              <w:widowControl/>
              <w:suppressLineNumbers w:val="0"/>
              <w:jc w:val="left"/>
              <w:textAlignment w:val="bottom"/>
              <w:rPr>
                <w:rFonts w:hint="eastAsia" w:ascii="仿宋" w:hAnsi="仿宋" w:eastAsia="仿宋" w:cs="仿宋"/>
                <w:i w:val="0"/>
                <w:iCs w:val="0"/>
                <w:color w:val="000000" w:themeColor="text1"/>
                <w:sz w:val="21"/>
                <w:szCs w:val="21"/>
                <w:u w:val="none"/>
                <w:lang w:eastAsia="zh-CN"/>
                <w14:textFill>
                  <w14:solidFill>
                    <w14:schemeClr w14:val="tx1"/>
                  </w14:solidFill>
                </w14:textFill>
              </w:rPr>
            </w:pPr>
            <w:r>
              <w:rPr>
                <w:rFonts w:hint="eastAsia" w:ascii="仿宋" w:hAnsi="仿宋" w:eastAsia="仿宋" w:cs="仿宋"/>
                <w:i w:val="0"/>
                <w:iCs w:val="0"/>
                <w:color w:val="000000" w:themeColor="text1"/>
                <w:sz w:val="21"/>
                <w:szCs w:val="21"/>
                <w:u w:val="none"/>
                <w14:textFill>
                  <w14:solidFill>
                    <w14:schemeClr w14:val="tx1"/>
                  </w14:solidFill>
                </w14:textFill>
              </w:rPr>
              <w:t>价格分计算：评标价=评标基准价的投标人，得价格分的满分；其他投标人的价格分按照以下公式计算，并精确到小数点后两位</w:t>
            </w:r>
            <w:r>
              <w:rPr>
                <w:rFonts w:hint="eastAsia" w:ascii="仿宋" w:hAnsi="仿宋" w:eastAsia="仿宋" w:cs="仿宋"/>
                <w:i w:val="0"/>
                <w:iCs w:val="0"/>
                <w:color w:val="000000" w:themeColor="text1"/>
                <w:sz w:val="21"/>
                <w:szCs w:val="21"/>
                <w:u w:val="none"/>
                <w:lang w:eastAsia="zh-CN"/>
                <w14:textFill>
                  <w14:solidFill>
                    <w14:schemeClr w14:val="tx1"/>
                  </w14:solidFill>
                </w14:textFill>
              </w:rPr>
              <w:t>：</w:t>
            </w:r>
          </w:p>
          <w:p>
            <w:pPr>
              <w:keepNext w:val="0"/>
              <w:keepLines w:val="0"/>
              <w:widowControl/>
              <w:suppressLineNumbers w:val="0"/>
              <w:jc w:val="left"/>
              <w:textAlignment w:val="bottom"/>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00" w:themeColor="text1"/>
                <w:sz w:val="21"/>
                <w:szCs w:val="21"/>
                <w:u w:val="none"/>
                <w14:textFill>
                  <w14:solidFill>
                    <w14:schemeClr w14:val="tx1"/>
                  </w14:solidFill>
                </w14:textFill>
              </w:rPr>
              <w:t>价格得分=（评标基准价/该投标人的评标价）*40</w:t>
            </w:r>
          </w:p>
        </w:tc>
        <w:tc>
          <w:tcPr>
            <w:tcW w:w="96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960" w:type="dxa"/>
            <w:vMerge w:val="restart"/>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商务部分（10分）</w:t>
            </w:r>
          </w:p>
        </w:tc>
        <w:tc>
          <w:tcPr>
            <w:tcW w:w="1100" w:type="dxa"/>
            <w:vMerge w:val="restart"/>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企业综合实力</w:t>
            </w:r>
          </w:p>
        </w:tc>
        <w:tc>
          <w:tcPr>
            <w:tcW w:w="510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根据投标人财务状况、信誉状况、管理体系等情况进行横向比较评分，较强得5分；一般得3-4分；较差得0-2分。</w:t>
            </w:r>
          </w:p>
        </w:tc>
        <w:tc>
          <w:tcPr>
            <w:tcW w:w="9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960" w:type="dxa"/>
            <w:vMerge w:val="continue"/>
            <w:tcBorders>
              <w:left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vMerge w:val="continue"/>
            <w:tcBorders>
              <w:left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0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注：需提供相应证明材料。</w:t>
            </w: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960" w:type="dxa"/>
            <w:vMerge w:val="continue"/>
            <w:tcBorders>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p>
        </w:tc>
        <w:tc>
          <w:tcPr>
            <w:tcW w:w="1100" w:type="dxa"/>
            <w:vMerge w:val="continue"/>
            <w:tcBorders>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10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供应商近三年（2020年1月1日至开标日）应具有3个以上同类项目实施案例</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单项合同金额不低</w:t>
            </w:r>
            <w:r>
              <w:rPr>
                <w:rFonts w:hint="eastAsia" w:ascii="仿宋_GB2312" w:hAnsi="仿宋_GB2312" w:eastAsia="仿宋_GB2312" w:cs="仿宋_GB2312"/>
                <w:color w:val="000000" w:themeColor="text1"/>
                <w:szCs w:val="21"/>
                <w:shd w:val="clear"/>
                <w:lang w:val="en-US" w:eastAsia="zh-CN"/>
                <w14:textFill>
                  <w14:solidFill>
                    <w14:schemeClr w14:val="tx1"/>
                  </w14:solidFill>
                </w14:textFill>
              </w:rPr>
              <w:t>于10万元</w:t>
            </w:r>
            <w:r>
              <w:rPr>
                <w:rFonts w:hint="eastAsia" w:ascii="仿宋_GB2312" w:hAnsi="仿宋_GB2312" w:eastAsia="仿宋_GB2312" w:cs="仿宋_GB2312"/>
                <w:color w:val="000000" w:themeColor="text1"/>
                <w:szCs w:val="21"/>
                <w:shd w:val="clear"/>
                <w:lang w:eastAsia="zh-CN"/>
                <w14:textFill>
                  <w14:solidFill>
                    <w14:schemeClr w14:val="tx1"/>
                  </w14:solidFill>
                </w14:textFill>
              </w:rPr>
              <w:t>）</w:t>
            </w:r>
            <w:r>
              <w:rPr>
                <w:rFonts w:hint="eastAsia" w:ascii="仿宋_GB2312" w:hAnsi="仿宋_GB2312" w:eastAsia="仿宋_GB2312" w:cs="仿宋_GB2312"/>
                <w:i w:val="0"/>
                <w:iCs w:val="0"/>
                <w:color w:val="000000" w:themeColor="text1"/>
                <w:kern w:val="0"/>
                <w:sz w:val="21"/>
                <w:szCs w:val="21"/>
                <w:u w:val="none"/>
                <w:shd w:val="clear"/>
                <w:lang w:val="en-US" w:eastAsia="zh-CN" w:bidi="ar"/>
                <w14:textFill>
                  <w14:solidFill>
                    <w14:schemeClr w14:val="tx1"/>
                  </w14:solidFill>
                </w14:textFill>
              </w:rPr>
              <w:t>，</w:t>
            </w:r>
            <w:r>
              <w:rPr>
                <w:rFonts w:hint="eastAsia" w:ascii="仿宋" w:hAnsi="仿宋" w:eastAsia="仿宋" w:cs="仿宋"/>
                <w:i w:val="0"/>
                <w:iCs w:val="0"/>
                <w:color w:val="000000"/>
                <w:kern w:val="0"/>
                <w:sz w:val="21"/>
                <w:szCs w:val="21"/>
                <w:u w:val="none"/>
                <w:lang w:val="en-US" w:eastAsia="zh-CN" w:bidi="ar"/>
              </w:rPr>
              <w:t>并提供符合上述要求的合同关键页作为有效的业绩证明材料。合同关键页包含但不限于合同首页、合同标的页、签署日期页及盖章页等。在符合资格要求的基础上，每多提供1个有效案例得1分，最多得5分。</w:t>
            </w:r>
          </w:p>
        </w:tc>
        <w:tc>
          <w:tcPr>
            <w:tcW w:w="96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9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技术部分（50分）</w:t>
            </w:r>
          </w:p>
        </w:tc>
        <w:tc>
          <w:tcPr>
            <w:tcW w:w="110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服务方案</w:t>
            </w:r>
          </w:p>
        </w:tc>
        <w:tc>
          <w:tcPr>
            <w:tcW w:w="510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根据投标人针对本项目制定的服务方案完整性、全面性、对需求响应的契合度等方面的理解程度及解决办法、服务计划、应急方案等方面进行综合评审。优良8-10分，较好5-7分，一般0-4分。</w:t>
            </w:r>
          </w:p>
        </w:tc>
        <w:tc>
          <w:tcPr>
            <w:tcW w:w="96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团队配备</w:t>
            </w:r>
          </w:p>
        </w:tc>
        <w:tc>
          <w:tcPr>
            <w:tcW w:w="510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投标人需对本项目配置一名项目负责人，</w:t>
            </w:r>
            <w:r>
              <w:rPr>
                <w:rFonts w:hint="eastAsia" w:ascii="仿宋" w:hAnsi="仿宋" w:eastAsia="仿宋" w:cs="仿宋"/>
                <w:i w:val="0"/>
                <w:iCs w:val="0"/>
                <w:color w:val="000000"/>
                <w:kern w:val="0"/>
                <w:sz w:val="21"/>
                <w:szCs w:val="21"/>
                <w:u w:val="none"/>
                <w:shd w:val="clear"/>
                <w:lang w:val="en-US" w:eastAsia="zh-CN" w:bidi="ar"/>
              </w:rPr>
              <w:t>提供项目负责人相关消防专业资格证书，</w:t>
            </w:r>
            <w:r>
              <w:rPr>
                <w:rFonts w:hint="eastAsia" w:ascii="仿宋" w:hAnsi="仿宋" w:eastAsia="仿宋" w:cs="仿宋"/>
                <w:i w:val="0"/>
                <w:iCs w:val="0"/>
                <w:color w:val="000000"/>
                <w:kern w:val="0"/>
                <w:sz w:val="21"/>
                <w:szCs w:val="21"/>
                <w:u w:val="none"/>
                <w:lang w:val="en-US" w:eastAsia="zh-CN" w:bidi="ar"/>
              </w:rPr>
              <w:t>工作履历等有关资料，对项目负责人资质条件评审赋分：</w:t>
            </w:r>
          </w:p>
        </w:tc>
        <w:tc>
          <w:tcPr>
            <w:tcW w:w="9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lang w:val="en-US" w:eastAsia="zh-CN"/>
              </w:rPr>
            </w:pPr>
          </w:p>
          <w:p>
            <w:pPr>
              <w:keepNext w:val="0"/>
              <w:keepLines w:val="0"/>
              <w:widowControl/>
              <w:suppressLineNumbers w:val="0"/>
              <w:jc w:val="center"/>
              <w:textAlignment w:val="center"/>
              <w:rPr>
                <w:rFonts w:hint="eastAsia"/>
                <w:lang w:val="en-US" w:eastAsia="zh-CN"/>
              </w:rPr>
            </w:pPr>
          </w:p>
          <w:p>
            <w:pPr>
              <w:keepNext w:val="0"/>
              <w:keepLines w:val="0"/>
              <w:widowControl/>
              <w:suppressLineNumbers w:val="0"/>
              <w:jc w:val="center"/>
              <w:textAlignment w:val="center"/>
              <w:rPr>
                <w:rFonts w:hint="eastAsia"/>
                <w:lang w:val="en-US" w:eastAsia="zh-CN"/>
              </w:rPr>
            </w:pPr>
          </w:p>
          <w:p>
            <w:pPr>
              <w:keepNext w:val="0"/>
              <w:keepLines w:val="0"/>
              <w:widowControl/>
              <w:suppressLineNumbers w:val="0"/>
              <w:jc w:val="center"/>
              <w:textAlignment w:val="center"/>
              <w:rPr>
                <w:rFonts w:hint="eastAsia"/>
                <w:lang w:val="en-US" w:eastAsia="zh-CN"/>
              </w:rPr>
            </w:pPr>
            <w:r>
              <w:rPr>
                <w:rFonts w:hint="eastAsia"/>
                <w:lang w:val="en-US" w:eastAsia="zh-CN"/>
              </w:rPr>
              <w:t>5</w:t>
            </w:r>
          </w:p>
          <w:p>
            <w:pPr>
              <w:pStyle w:val="31"/>
              <w:rPr>
                <w:rFonts w:hint="eastAsia"/>
                <w:lang w:val="en-US" w:eastAsia="zh-CN"/>
              </w:rPr>
            </w:pPr>
          </w:p>
          <w:p>
            <w:pPr>
              <w:rPr>
                <w:rFonts w:hint="eastAsia"/>
                <w:lang w:val="en-US" w:eastAsia="zh-CN"/>
              </w:rPr>
            </w:pPr>
          </w:p>
          <w:p>
            <w:pPr>
              <w:pStyle w:val="31"/>
              <w:rPr>
                <w:rFonts w:hint="eastAsia"/>
                <w:lang w:val="en-US" w:eastAsia="zh-CN"/>
              </w:rPr>
            </w:pPr>
          </w:p>
          <w:p>
            <w:pPr>
              <w:rPr>
                <w:rFonts w:hint="eastAsia"/>
                <w:lang w:val="en-US" w:eastAsia="zh-CN"/>
              </w:rPr>
            </w:pPr>
          </w:p>
          <w:p>
            <w:pPr>
              <w:pStyle w:val="31"/>
              <w:ind w:left="0" w:leftChars="0" w:firstLine="210" w:firstLineChars="100"/>
              <w:rPr>
                <w:rFonts w:hint="default"/>
                <w:lang w:val="en-US"/>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0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项目负责人获得消防专业资格5年得1分，项目负责人获得消防专业资格10年得3分，项目负责人获得消防专业资格15年得5分。</w:t>
            </w: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0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0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0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sz w:val="21"/>
              </w:rPr>
              <mc:AlternateContent>
                <mc:Choice Requires="wps">
                  <w:drawing>
                    <wp:anchor distT="0" distB="0" distL="114300" distR="114300" simplePos="0" relativeHeight="251659264" behindDoc="0" locked="0" layoutInCell="1" allowOverlap="1">
                      <wp:simplePos x="0" y="0"/>
                      <wp:positionH relativeFrom="column">
                        <wp:posOffset>3166110</wp:posOffset>
                      </wp:positionH>
                      <wp:positionV relativeFrom="paragraph">
                        <wp:posOffset>-14605</wp:posOffset>
                      </wp:positionV>
                      <wp:extent cx="614045" cy="0"/>
                      <wp:effectExtent l="0" t="0" r="0" b="0"/>
                      <wp:wrapNone/>
                      <wp:docPr id="1" name="直接连接符 1"/>
                      <wp:cNvGraphicFramePr/>
                      <a:graphic xmlns:a="http://schemas.openxmlformats.org/drawingml/2006/main">
                        <a:graphicData uri="http://schemas.microsoft.com/office/word/2010/wordprocessingShape">
                          <wps:wsp>
                            <wps:cNvCnPr/>
                            <wps:spPr>
                              <a:xfrm>
                                <a:off x="5677535" y="3070860"/>
                                <a:ext cx="614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49.3pt;margin-top:-1.15pt;height:0pt;width:48.35pt;z-index:251659264;mso-width-relative:page;mso-height-relative:page;" filled="f" stroked="t" coordsize="21600,21600" o:gfxdata="UEsDBAoAAAAAAIdO4kAAAAAAAAAAAAAAAAAEAAAAZHJzL1BLAwQUAAAACACHTuJAjCoyY9cAAAAJ&#10;AQAADwAAAGRycy9kb3ducmV2LnhtbE2PPU/DMBCGdyT+g3VIbK3TQts0xOmAxICEVAgMjG58jQPx&#10;OcRuEv59DzHAdh+P3nsu302uFQP2ofGkYDFPQCBV3jRUK3h7fZilIELUZHTrCRV8Y4BdcXmR68z4&#10;kV5wKGMtOIRCphXYGLtMylBZdDrMfYfEu6PvnY7c9rU0vR453LVymSRr6XRDfMHqDu8tVp/lyXEK&#10;bb6OU9u/P++fbFqOH/g4bFCp66tFcgci4hT/YPjRZ3Uo2OngT2SCaBXcbtM1owpmyxsQDKy2Ky4O&#10;vwNZ5PL/B8UZUEsDBBQAAAAIAIdO4kD6TAbZ8AEAALwDAAAOAAAAZHJzL2Uyb0RvYy54bWytU0tu&#10;2zAQ3RfoHQjua8lx/IFgOYsY6aZoDbQ9AE2REgH+wGEs+xK9QIHu2lWX3fc2TY7RIaUmabLJIlpQ&#10;Q87wDd/j4/riaDQ5iADK2ZpOJyUlwnLXKNvW9POnqzcrSiAy2zDtrKjpSQC92Lx+te59Jc5c53Qj&#10;AkEQC1Xva9rF6KuiAN4Jw2DivLCYlC4YFnEa2qIJrEd0o4uzslwUvQuND44LAFzdDkk6IobnADop&#10;FRdbx6+NsHFADUKziJSgUx7oJp9WSsHjBylBRKJrikxjHrEJxvs0Fps1q9rAfKf4eAT2nCM84mSY&#10;stj0DmrLIiPXQT2BMooHB07GCXemGIhkRZDFtHykzceOeZG5oNTg70SHl4Pl7w+7QFSDTqDEMoMX&#10;fvP1158v329/f8Px5ucPMk0i9R4qrL20uzDOwO9CYnyUwaQ/ciHHms4Xy+V8NqfkVNNZuSxXi1Fk&#10;cYyEY8Fiel6eY55jQU4V9xg+QHwrnCEpqKlWNtFnFTu8g4h9sfRfSVq27kppna9QW9Ij9myOF8sZ&#10;2lKiHTA0HqmBbSlhukW/8xgyIjitmrQ74UBo95c6kANLLslf4ozd/itLrbcMuqEupwb/GBXxSWhl&#10;arp6uFtbBEnKDVqlaO+aU5Ywr+Ol5jajAZNrHs7z7vtHt/k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jCoyY9cAAAAJAQAADwAAAAAAAAABACAAAAAiAAAAZHJzL2Rvd25yZXYueG1sUEsBAhQAFAAA&#10;AAgAh07iQPpMBtnwAQAAvAMAAA4AAAAAAAAAAQAgAAAAJgEAAGRycy9lMm9Eb2MueG1sUEsFBgAA&#10;AAAGAAYAWQEAAIgFAAAAAA==&#10;">
                      <v:fill on="f" focussize="0,0"/>
                      <v:stroke weight="0.5pt" color="#000000 [3200]" miterlimit="8" joinstyle="miter"/>
                      <v:imagedata o:title=""/>
                      <o:lock v:ext="edit" aspectratio="f"/>
                    </v:line>
                  </w:pict>
                </mc:Fallback>
              </mc:AlternateContent>
            </w:r>
            <w:r>
              <w:rPr>
                <w:rFonts w:hint="eastAsia" w:ascii="仿宋" w:hAnsi="仿宋" w:eastAsia="仿宋" w:cs="仿宋"/>
                <w:i w:val="0"/>
                <w:iCs w:val="0"/>
                <w:color w:val="000000"/>
                <w:kern w:val="0"/>
                <w:sz w:val="21"/>
                <w:szCs w:val="21"/>
                <w:u w:val="none"/>
                <w:lang w:val="en-US" w:eastAsia="zh-CN" w:bidi="ar"/>
              </w:rPr>
              <w:t>根据投标人所提供项目团队人员配备，职责分工，教育背景、工作经验、技术能力与技术需求书中人员级别、岗位相匹配，横向对比，评价为优得8-10分，较好4-7分，一般0-3分。</w:t>
            </w: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增值服务</w:t>
            </w:r>
          </w:p>
        </w:tc>
        <w:tc>
          <w:tcPr>
            <w:tcW w:w="5100" w:type="dxa"/>
            <w:vMerge w:val="restart"/>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投标人根据对项目需求的理解，提供增值服务方案，对增值服务与本项目需求契合度，方案完整性等方面进行评价，优良8-10分，较好5-7分，一般0-4分。</w:t>
            </w:r>
          </w:p>
        </w:tc>
        <w:tc>
          <w:tcPr>
            <w:tcW w:w="9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00" w:type="dxa"/>
            <w:vMerge w:val="continue"/>
            <w:tcBorders>
              <w:top w:val="nil"/>
              <w:left w:val="single" w:color="000000" w:sz="8" w:space="0"/>
              <w:bottom w:val="single" w:color="000000" w:sz="8" w:space="0"/>
              <w:right w:val="single" w:color="000000" w:sz="8" w:space="0"/>
            </w:tcBorders>
            <w:shd w:val="clear" w:color="auto" w:fill="auto"/>
            <w:vAlign w:val="bottom"/>
          </w:tcPr>
          <w:p>
            <w:pPr>
              <w:jc w:val="left"/>
              <w:rPr>
                <w:rFonts w:hint="eastAsia" w:ascii="仿宋" w:hAnsi="仿宋" w:eastAsia="仿宋" w:cs="仿宋"/>
                <w:i w:val="0"/>
                <w:iCs w:val="0"/>
                <w:color w:val="000000"/>
                <w:sz w:val="21"/>
                <w:szCs w:val="21"/>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0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项目关键指标</w:t>
            </w:r>
          </w:p>
        </w:tc>
        <w:tc>
          <w:tcPr>
            <w:tcW w:w="5100" w:type="dxa"/>
            <w:tcBorders>
              <w:top w:val="nil"/>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default" w:ascii="仿宋" w:hAnsi="仿宋" w:eastAsia="仿宋" w:cs="仿宋"/>
                <w:i w:val="0"/>
                <w:iCs w:val="0"/>
                <w:color w:val="0000FF"/>
                <w:sz w:val="21"/>
                <w:szCs w:val="21"/>
                <w:u w:val="none"/>
                <w:lang w:val="en-US" w:eastAsia="zh-CN"/>
              </w:rPr>
            </w:pPr>
            <w:r>
              <w:rPr>
                <w:rFonts w:hint="eastAsia" w:ascii="仿宋" w:hAnsi="仿宋" w:eastAsia="仿宋" w:cs="仿宋"/>
                <w:i w:val="0"/>
                <w:iCs w:val="0"/>
                <w:color w:val="auto"/>
                <w:sz w:val="21"/>
                <w:szCs w:val="21"/>
                <w:u w:val="none"/>
                <w:shd w:val="clear"/>
                <w:lang w:val="en-US" w:eastAsia="zh-CN"/>
              </w:rPr>
              <w:t>投标人需根据本项目需求合理规划工程安排，工期控制在30个自然日得10分、工期控制在20-25个自然日得15分。</w:t>
            </w:r>
          </w:p>
        </w:tc>
        <w:tc>
          <w:tcPr>
            <w:tcW w:w="96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r>
    </w:tbl>
    <w:p>
      <w:pPr>
        <w:rPr>
          <w:rFonts w:hint="eastAsia"/>
        </w:rPr>
      </w:pPr>
    </w:p>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w:t>
      </w:r>
      <w:r>
        <w:rPr>
          <w:rFonts w:hint="eastAsia" w:ascii="宋体" w:hAnsi="宋体" w:cs="宋体"/>
          <w:color w:val="auto"/>
          <w:kern w:val="0"/>
          <w:sz w:val="24"/>
          <w:szCs w:val="24"/>
        </w:rPr>
        <w:t>参加磋商的供应商应按一式</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份）准</w:t>
      </w:r>
      <w:r>
        <w:rPr>
          <w:rFonts w:hint="eastAsia" w:ascii="宋体" w:hAnsi="宋体" w:cs="宋体"/>
          <w:kern w:val="0"/>
          <w:sz w:val="24"/>
          <w:szCs w:val="24"/>
        </w:rPr>
        <w:t>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bookmarkStart w:id="0" w:name="OLE_LINK3"/>
      <w:bookmarkEnd w:id="0"/>
      <w:bookmarkStart w:id="1" w:name="OLE_LINK4"/>
      <w:bookmarkEnd w:id="1"/>
      <w:r>
        <w:rPr>
          <w:rFonts w:hint="eastAsia" w:ascii="宋体" w:hAnsi="宋体" w:cs="宋体"/>
          <w:color w:val="000000" w:themeColor="text1"/>
          <w:kern w:val="0"/>
          <w:sz w:val="24"/>
          <w:szCs w:val="24"/>
          <w14:textFill>
            <w14:solidFill>
              <w14:schemeClr w14:val="tx1"/>
            </w14:solidFill>
          </w14:textFill>
        </w:rPr>
        <w:t>20</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9</w:t>
      </w:r>
      <w:r>
        <w:rPr>
          <w:rFonts w:hint="eastAsia" w:ascii="宋体" w:hAnsi="宋体" w:cs="宋体"/>
          <w:color w:val="000000" w:themeColor="text1"/>
          <w:kern w:val="0"/>
          <w:sz w:val="24"/>
          <w:szCs w:val="24"/>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25</w:t>
      </w:r>
      <w:r>
        <w:rPr>
          <w:rFonts w:hint="eastAsia" w:ascii="宋体" w:hAnsi="宋体" w:cs="宋体"/>
          <w:color w:val="000000" w:themeColor="text1"/>
          <w:kern w:val="0"/>
          <w:sz w:val="24"/>
          <w:szCs w:val="24"/>
          <w14:textFill>
            <w14:solidFill>
              <w14:schemeClr w14:val="tx1"/>
            </w14:solidFill>
          </w14:textFill>
        </w:rPr>
        <w:t>日</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周一</w:t>
      </w:r>
      <w:bookmarkStart w:id="17" w:name="_GoBack"/>
      <w:bookmarkEnd w:id="17"/>
      <w:r>
        <w:rPr>
          <w:rFonts w:hint="eastAsia" w:ascii="宋体" w:hAnsi="宋体" w:cs="宋体"/>
          <w:color w:val="000000" w:themeColor="text1"/>
          <w:kern w:val="0"/>
          <w:sz w:val="24"/>
          <w:szCs w:val="24"/>
          <w:lang w:val="en-US" w:eastAsia="zh-CN"/>
          <w14:textFill>
            <w14:solidFill>
              <w14:schemeClr w14:val="tx1"/>
            </w14:solidFill>
          </w14:textFill>
        </w:rPr>
        <w:t>）下</w:t>
      </w:r>
      <w:r>
        <w:rPr>
          <w:rFonts w:hint="eastAsia" w:ascii="宋体" w:hAnsi="宋体" w:cs="宋体"/>
          <w:color w:val="000000" w:themeColor="text1"/>
          <w:kern w:val="0"/>
          <w:sz w:val="24"/>
          <w:szCs w:val="24"/>
          <w14:textFill>
            <w14:solidFill>
              <w14:schemeClr w14:val="tx1"/>
            </w14:solidFill>
          </w14:textFill>
        </w:rPr>
        <w:t>午</w:t>
      </w:r>
      <w:r>
        <w:rPr>
          <w:rFonts w:hint="eastAsia" w:ascii="宋体" w:hAnsi="宋体" w:cs="宋体"/>
          <w:color w:val="000000" w:themeColor="text1"/>
          <w:kern w:val="0"/>
          <w:sz w:val="24"/>
          <w:szCs w:val="24"/>
          <w:lang w:val="en-US" w:eastAsia="zh-CN"/>
          <w14:textFill>
            <w14:solidFill>
              <w14:schemeClr w14:val="tx1"/>
            </w14:solidFill>
          </w14:textFill>
        </w:rPr>
        <w:t>14:00</w:t>
      </w:r>
      <w:r>
        <w:rPr>
          <w:rFonts w:hint="eastAsia" w:ascii="宋体" w:hAnsi="宋体" w:cs="宋体"/>
          <w:color w:val="000000" w:themeColor="text1"/>
          <w:kern w:val="0"/>
          <w:sz w:val="24"/>
          <w:szCs w:val="24"/>
          <w14:textFill>
            <w14:solidFill>
              <w14:schemeClr w14:val="tx1"/>
            </w14:solidFill>
          </w14:textFill>
        </w:rPr>
        <w:t>，北京市朝阳区建国门外大街2号院2号楼中国人民财产保险股份有限公司总部</w:t>
      </w:r>
      <w:r>
        <w:rPr>
          <w:rFonts w:hint="eastAsia" w:ascii="宋体" w:hAnsi="宋体" w:cs="宋体"/>
          <w:color w:val="000000" w:themeColor="text1"/>
          <w:kern w:val="0"/>
          <w:sz w:val="24"/>
          <w:szCs w:val="24"/>
          <w:highlight w:val="none"/>
          <w:lang w:val="en-US" w:eastAsia="zh-CN"/>
          <w14:textFill>
            <w14:solidFill>
              <w14:schemeClr w14:val="tx1"/>
            </w14:solidFill>
          </w14:textFill>
        </w:rPr>
        <w:t>38</w:t>
      </w:r>
      <w:r>
        <w:rPr>
          <w:rFonts w:hint="eastAsia" w:ascii="宋体" w:hAnsi="宋体" w:cs="宋体"/>
          <w:color w:val="000000" w:themeColor="text1"/>
          <w:kern w:val="0"/>
          <w:sz w:val="24"/>
          <w:szCs w:val="24"/>
          <w:highlight w:val="none"/>
          <w14:textFill>
            <w14:solidFill>
              <w14:schemeClr w14:val="tx1"/>
            </w14:solidFill>
          </w14:textFill>
        </w:rPr>
        <w:t>层会议室</w:t>
      </w:r>
      <w:r>
        <w:rPr>
          <w:rFonts w:hint="eastAsia" w:ascii="宋体" w:hAnsi="宋体" w:cs="宋体"/>
          <w:color w:val="000000" w:themeColor="text1"/>
          <w:kern w:val="0"/>
          <w:sz w:val="24"/>
          <w:szCs w:val="24"/>
          <w14:textFill>
            <w14:solidFill>
              <w14:schemeClr w14:val="tx1"/>
            </w14:solidFill>
          </w14:textFill>
        </w:rPr>
        <w:t>（时间、地点如有变化，将另行提前通知）。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w:t>
      </w:r>
      <w:r>
        <w:rPr>
          <w:rFonts w:hint="eastAsia" w:ascii="宋体" w:hAnsi="宋体" w:cs="宋体"/>
          <w:color w:val="auto"/>
          <w:kern w:val="0"/>
          <w:sz w:val="24"/>
          <w:szCs w:val="24"/>
        </w:rPr>
        <w:t>，讲标时间10分钟左右。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b/>
          <w:bCs/>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jc w:val="center"/>
        <w:rPr>
          <w:rFonts w:ascii="宋体" w:hAnsi="宋体" w:cs="宋体"/>
          <w:kern w:val="0"/>
          <w:sz w:val="24"/>
          <w:szCs w:val="24"/>
          <w:u w:val="single"/>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电话：_________________公章：_________________</w:t>
      </w:r>
    </w:p>
    <w:p>
      <w:pPr>
        <w:pStyle w:val="4"/>
        <w:numPr>
          <w:ilvl w:val="0"/>
          <w:numId w:val="0"/>
        </w:numPr>
        <w:rPr>
          <w:rFonts w:ascii="宋体" w:hAnsi="宋体" w:cs="宋体"/>
          <w:kern w:val="0"/>
          <w:sz w:val="24"/>
          <w:szCs w:val="24"/>
        </w:rPr>
      </w:pPr>
      <w:r>
        <w:rPr>
          <w:rFonts w:hint="eastAsia"/>
          <w:sz w:val="24"/>
          <w:szCs w:val="24"/>
        </w:rPr>
        <w:t>附件2.4 报价一览表格式</w:t>
      </w:r>
    </w:p>
    <w:p>
      <w:pPr>
        <w:widowControl/>
        <w:adjustRightInd w:val="0"/>
        <w:snapToGrid w:val="0"/>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报价一览表</w:t>
      </w:r>
    </w:p>
    <w:p>
      <w:pPr>
        <w:widowControl/>
        <w:adjustRightInd w:val="0"/>
        <w:snapToGrid w:val="0"/>
        <w:spacing w:line="360" w:lineRule="auto"/>
        <w:jc w:val="center"/>
        <w:rPr>
          <w:rFonts w:ascii="宋体" w:hAnsi="宋体" w:cs="宋体"/>
          <w:color w:val="auto"/>
          <w:kern w:val="0"/>
          <w:sz w:val="24"/>
          <w:szCs w:val="24"/>
          <w:highlight w:val="yellow"/>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黑体" w:hAnsi="黑体" w:eastAsia="黑体" w:cs="宋体"/>
          <w:color w:val="auto"/>
          <w:kern w:val="0"/>
          <w:sz w:val="32"/>
          <w:szCs w:val="32"/>
        </w:rPr>
      </w:pPr>
      <w:r>
        <w:rPr>
          <w:rFonts w:hint="eastAsia" w:ascii="宋体" w:hAnsi="宋体" w:cs="宋体"/>
          <w:color w:val="auto"/>
          <w:kern w:val="0"/>
          <w:sz w:val="24"/>
          <w:szCs w:val="24"/>
        </w:rPr>
        <w:t>项目名称：</w:t>
      </w:r>
    </w:p>
    <w:tbl>
      <w:tblPr>
        <w:tblStyle w:val="32"/>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hint="default" w:ascii="宋体" w:hAnsi="宋体" w:eastAsia="宋体" w:cs="宋体"/>
          <w:color w:val="auto"/>
          <w:kern w:val="0"/>
          <w:sz w:val="24"/>
          <w:szCs w:val="24"/>
          <w:u w:val="single"/>
          <w:lang w:val="en-US" w:eastAsia="zh-CN"/>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r>
        <w:rPr>
          <w:rFonts w:hint="eastAsia" w:ascii="宋体" w:hAnsi="宋体" w:cs="宋体"/>
          <w:color w:val="auto"/>
          <w:kern w:val="0"/>
          <w:sz w:val="24"/>
          <w:szCs w:val="24"/>
          <w:u w:val="single"/>
          <w:lang w:val="en-US" w:eastAsia="zh-CN"/>
        </w:rPr>
        <w:t xml:space="preserve">                        </w:t>
      </w:r>
    </w:p>
    <w:p>
      <w:pPr>
        <w:widowControl/>
        <w:adjustRightInd w:val="0"/>
        <w:snapToGrid w:val="0"/>
        <w:spacing w:line="360" w:lineRule="auto"/>
        <w:rPr>
          <w:rFonts w:hint="default" w:ascii="宋体" w:hAnsi="宋体" w:eastAsia="宋体" w:cs="宋体"/>
          <w:color w:val="auto"/>
          <w:kern w:val="0"/>
          <w:sz w:val="24"/>
          <w:szCs w:val="24"/>
          <w:u w:val="single"/>
          <w:lang w:val="en-US" w:eastAsia="zh-CN"/>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r>
        <w:rPr>
          <w:rFonts w:hint="eastAsia" w:ascii="宋体" w:hAnsi="宋体" w:cs="宋体"/>
          <w:color w:val="auto"/>
          <w:kern w:val="0"/>
          <w:sz w:val="24"/>
          <w:szCs w:val="24"/>
          <w:u w:val="single"/>
          <w:lang w:val="en-US" w:eastAsia="zh-CN"/>
        </w:rPr>
        <w:t xml:space="preserve">                       </w:t>
      </w:r>
    </w:p>
    <w:p>
      <w:pPr>
        <w:widowControl/>
        <w:adjustRightInd w:val="0"/>
        <w:snapToGrid w:val="0"/>
        <w:spacing w:line="360" w:lineRule="auto"/>
        <w:rPr>
          <w:rFonts w:ascii="宋体" w:hAnsi="宋体" w:cs="宋体"/>
          <w:color w:val="auto"/>
          <w:kern w:val="0"/>
          <w:sz w:val="24"/>
          <w:szCs w:val="24"/>
        </w:rPr>
      </w:pPr>
    </w:p>
    <w:p>
      <w:pPr>
        <w:adjustRightInd w:val="0"/>
        <w:snapToGrid w:val="0"/>
        <w:spacing w:line="360" w:lineRule="auto"/>
        <w:rPr>
          <w:rFonts w:ascii="宋体" w:hAnsi="宋体" w:cs="宋体"/>
          <w:color w:val="auto"/>
          <w:kern w:val="0"/>
          <w:sz w:val="24"/>
          <w:szCs w:val="24"/>
        </w:rPr>
      </w:pP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u w:val="single"/>
        </w:rPr>
        <w:br w:type="page"/>
      </w:r>
      <w:r>
        <w:rPr>
          <w:rFonts w:hint="eastAsia"/>
          <w:color w:val="auto"/>
          <w:sz w:val="24"/>
          <w:szCs w:val="24"/>
        </w:rPr>
        <w:t>附件2.5</w:t>
      </w:r>
      <w:r>
        <w:rPr>
          <w:color w:val="auto"/>
          <w:sz w:val="24"/>
          <w:szCs w:val="24"/>
        </w:rPr>
        <w:t xml:space="preserve"> </w:t>
      </w:r>
      <w:r>
        <w:rPr>
          <w:rFonts w:hint="eastAsia"/>
          <w:color w:val="auto"/>
          <w:sz w:val="24"/>
          <w:szCs w:val="24"/>
        </w:rPr>
        <w:t>分项报价表格式</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32"/>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hint="default" w:ascii="宋体" w:hAnsi="宋体" w:eastAsia="宋体" w:cs="宋体"/>
          <w:color w:val="000000" w:themeColor="text1"/>
          <w:kern w:val="0"/>
          <w:sz w:val="24"/>
          <w:szCs w:val="24"/>
          <w:u w:val="single"/>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r>
        <w:rPr>
          <w:rFonts w:hint="eastAsia" w:ascii="宋体" w:hAnsi="宋体" w:cs="宋体"/>
          <w:color w:val="000000" w:themeColor="text1"/>
          <w:kern w:val="0"/>
          <w:sz w:val="24"/>
          <w:szCs w:val="24"/>
          <w:u w:val="single"/>
          <w:lang w:val="en-US" w:eastAsia="zh-CN"/>
          <w14:textFill>
            <w14:solidFill>
              <w14:schemeClr w14:val="tx1"/>
            </w14:solidFill>
          </w14:textFill>
        </w:rPr>
        <w:t xml:space="preserve">                    </w:t>
      </w:r>
    </w:p>
    <w:p>
      <w:pPr>
        <w:widowControl/>
        <w:adjustRightInd w:val="0"/>
        <w:snapToGrid w:val="0"/>
        <w:spacing w:line="360" w:lineRule="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7761806"/>
      <w:bookmarkEnd w:id="8"/>
      <w:bookmarkStart w:id="9" w:name="_Toc125183170"/>
      <w:bookmarkEnd w:id="9"/>
      <w:bookmarkStart w:id="10" w:name="_Toc104714659"/>
      <w:bookmarkEnd w:id="10"/>
      <w:r>
        <w:rPr>
          <w:rFonts w:hint="eastAsia" w:ascii="宋体" w:hAnsi="宋体" w:cs="宋体"/>
          <w:color w:val="000000" w:themeColor="text1"/>
          <w:kern w:val="0"/>
          <w:sz w:val="24"/>
          <w:szCs w:val="24"/>
          <w:u w:val="single"/>
          <w:lang w:val="en-US" w:eastAsia="zh-CN"/>
          <w14:textFill>
            <w14:solidFill>
              <w14:schemeClr w14:val="tx1"/>
            </w14:solidFill>
          </w14:textFill>
        </w:rPr>
        <w:t xml:space="preserve">                                    </w:t>
      </w: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hint="default" w:ascii="宋体" w:hAnsi="宋体" w:eastAsia="宋体" w:cs="宋体"/>
          <w:kern w:val="0"/>
          <w:sz w:val="24"/>
          <w:szCs w:val="24"/>
          <w:u w:val="single"/>
          <w:lang w:val="en-US" w:eastAsia="zh-CN"/>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p>
      <w:pPr>
        <w:widowControl/>
        <w:adjustRightInd w:val="0"/>
        <w:snapToGrid w:val="0"/>
        <w:spacing w:line="360" w:lineRule="auto"/>
        <w:ind w:hanging="119"/>
        <w:rPr>
          <w:rFonts w:hint="default" w:ascii="宋体" w:hAnsi="宋体" w:eastAsia="宋体" w:cs="宋体"/>
          <w:kern w:val="0"/>
          <w:sz w:val="24"/>
          <w:szCs w:val="24"/>
          <w:u w:val="single"/>
          <w:lang w:val="en-US" w:eastAsia="zh-CN"/>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tbl>
      <w:tblPr>
        <w:tblStyle w:val="32"/>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hint="default" w:ascii="宋体" w:hAnsi="宋体" w:eastAsia="宋体" w:cs="宋体"/>
          <w:kern w:val="0"/>
          <w:sz w:val="24"/>
          <w:szCs w:val="24"/>
          <w:u w:val="single"/>
          <w:lang w:val="en-US" w:eastAsia="zh-CN"/>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p>
      <w:pPr>
        <w:widowControl/>
        <w:adjustRightInd w:val="0"/>
        <w:snapToGrid w:val="0"/>
        <w:spacing w:line="360" w:lineRule="auto"/>
        <w:rPr>
          <w:rFonts w:hint="default" w:ascii="宋体" w:hAnsi="宋体" w:eastAsia="宋体" w:cs="宋体"/>
          <w:kern w:val="0"/>
          <w:sz w:val="24"/>
          <w:szCs w:val="24"/>
          <w:u w:val="single"/>
          <w:lang w:val="en-US" w:eastAsia="zh-CN"/>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hint="default" w:ascii="宋体" w:hAnsi="宋体" w:eastAsia="宋体" w:cs="宋体"/>
          <w:kern w:val="0"/>
          <w:sz w:val="24"/>
          <w:szCs w:val="24"/>
          <w:u w:val="single"/>
          <w:lang w:val="en-US" w:eastAsia="zh-CN"/>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p>
      <w:pPr>
        <w:widowControl/>
        <w:adjustRightInd w:val="0"/>
        <w:snapToGrid w:val="0"/>
        <w:spacing w:line="360" w:lineRule="auto"/>
        <w:ind w:hanging="119"/>
        <w:rPr>
          <w:rFonts w:hint="default" w:ascii="宋体" w:hAnsi="宋体" w:eastAsia="宋体" w:cs="宋体"/>
          <w:kern w:val="0"/>
          <w:sz w:val="24"/>
          <w:szCs w:val="24"/>
          <w:u w:val="single"/>
          <w:lang w:val="en-US" w:eastAsia="zh-CN"/>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tbl>
      <w:tblPr>
        <w:tblStyle w:val="32"/>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hint="default" w:ascii="宋体" w:hAnsi="宋体" w:eastAsia="宋体" w:cs="宋体"/>
          <w:kern w:val="0"/>
          <w:sz w:val="24"/>
          <w:szCs w:val="24"/>
          <w:u w:val="single"/>
          <w:lang w:val="en-US" w:eastAsia="zh-CN"/>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p>
      <w:pPr>
        <w:widowControl/>
        <w:adjustRightInd w:val="0"/>
        <w:snapToGrid w:val="0"/>
        <w:spacing w:line="360" w:lineRule="auto"/>
        <w:rPr>
          <w:rFonts w:hint="default" w:ascii="宋体" w:hAnsi="宋体" w:eastAsia="宋体" w:cs="宋体"/>
          <w:kern w:val="0"/>
          <w:sz w:val="24"/>
          <w:szCs w:val="24"/>
          <w:u w:val="single"/>
          <w:lang w:val="en-US" w:eastAsia="zh-CN"/>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附件3.1 供应商基本情况表</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highlight w:val="none"/>
        </w:rPr>
      </w:pPr>
      <w:r>
        <w:rPr>
          <w:rFonts w:hint="eastAsia" w:ascii="宋体" w:hAnsi="宋体" w:cs="宋体"/>
          <w:kern w:val="0"/>
          <w:sz w:val="24"/>
          <w:szCs w:val="24"/>
          <w:highlight w:val="none"/>
        </w:rPr>
        <w:t>附件3.3 银行资信证明（非存款证明，要求正本或自开标日起</w:t>
      </w:r>
      <w:r>
        <w:rPr>
          <w:rFonts w:ascii="Calibri" w:hAnsi="Calibri" w:cs="宋体"/>
          <w:kern w:val="0"/>
          <w:sz w:val="24"/>
          <w:szCs w:val="24"/>
          <w:highlight w:val="none"/>
        </w:rPr>
        <w:t>3</w:t>
      </w:r>
      <w:r>
        <w:rPr>
          <w:rFonts w:hint="eastAsia" w:ascii="宋体" w:hAnsi="宋体" w:cs="宋体"/>
          <w:kern w:val="0"/>
          <w:sz w:val="24"/>
          <w:szCs w:val="24"/>
          <w:highlight w:val="none"/>
        </w:rPr>
        <w:t>个月内的复印件）</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附件3.4 法人营业执照（复印件）</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附件3.5</w:t>
      </w:r>
      <w:r>
        <w:rPr>
          <w:rFonts w:ascii="宋体" w:hAnsi="宋体" w:cs="宋体"/>
          <w:kern w:val="0"/>
          <w:sz w:val="24"/>
          <w:szCs w:val="24"/>
          <w:highlight w:val="none"/>
        </w:rPr>
        <w:t xml:space="preserve"> </w:t>
      </w:r>
      <w:r>
        <w:rPr>
          <w:rFonts w:hint="eastAsia"/>
          <w:sz w:val="24"/>
          <w:szCs w:val="24"/>
          <w:highlight w:val="none"/>
        </w:rPr>
        <w:t>依法缴纳税收的相关材料</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w:t>
      </w:r>
      <w:r>
        <w:rPr>
          <w:rFonts w:ascii="宋体" w:hAnsi="宋体" w:cs="宋体"/>
          <w:kern w:val="0"/>
          <w:sz w:val="24"/>
          <w:szCs w:val="24"/>
          <w:highlight w:val="none"/>
        </w:rPr>
        <w:t xml:space="preserve">.6 </w:t>
      </w:r>
      <w:r>
        <w:rPr>
          <w:rFonts w:hint="eastAsia"/>
          <w:sz w:val="24"/>
          <w:szCs w:val="24"/>
          <w:highlight w:val="none"/>
        </w:rPr>
        <w:t>依法缴纳社会保障资金的相关材料</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w:t>
      </w:r>
      <w:r>
        <w:rPr>
          <w:rFonts w:ascii="宋体" w:hAnsi="宋体" w:cs="宋体"/>
          <w:kern w:val="0"/>
          <w:sz w:val="24"/>
          <w:szCs w:val="24"/>
          <w:highlight w:val="none"/>
        </w:rPr>
        <w:t xml:space="preserve">.7 </w:t>
      </w:r>
      <w:r>
        <w:rPr>
          <w:rFonts w:hint="eastAsia"/>
          <w:sz w:val="24"/>
          <w:szCs w:val="24"/>
          <w:highlight w:val="none"/>
        </w:rPr>
        <w:t>已完成类似项目一览表</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w:t>
      </w:r>
      <w:r>
        <w:rPr>
          <w:rFonts w:ascii="宋体" w:hAnsi="宋体" w:cs="宋体"/>
          <w:kern w:val="0"/>
          <w:sz w:val="24"/>
          <w:szCs w:val="24"/>
          <w:highlight w:val="none"/>
        </w:rPr>
        <w:t xml:space="preserve">8 </w:t>
      </w:r>
      <w:r>
        <w:rPr>
          <w:rFonts w:hint="eastAsia" w:ascii="Calibri Light" w:hAnsi="Calibri Light"/>
          <w:sz w:val="24"/>
          <w:szCs w:val="24"/>
          <w:highlight w:val="none"/>
        </w:rPr>
        <w:t>提供书面声明函</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w:t>
      </w:r>
      <w:r>
        <w:rPr>
          <w:rFonts w:ascii="宋体" w:hAnsi="宋体" w:cs="宋体"/>
          <w:kern w:val="0"/>
          <w:sz w:val="24"/>
          <w:szCs w:val="24"/>
          <w:highlight w:val="none"/>
        </w:rPr>
        <w:t xml:space="preserve">.9 </w:t>
      </w:r>
      <w:r>
        <w:rPr>
          <w:rFonts w:hint="eastAsia" w:ascii="宋体" w:hAnsi="宋体" w:cs="宋体"/>
          <w:kern w:val="0"/>
          <w:sz w:val="24"/>
          <w:szCs w:val="24"/>
          <w:highlight w:val="none"/>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ascii="宋体" w:hAnsi="宋体" w:cs="宋体"/>
          <w:kern w:val="0"/>
          <w:sz w:val="24"/>
          <w:szCs w:val="24"/>
        </w:rPr>
        <w:t>年度财务审计报告或当年的验资报告</w:t>
      </w:r>
      <w:r>
        <w:rPr>
          <w:rFonts w:hint="eastAsia"/>
          <w:sz w:val="24"/>
          <w:szCs w:val="24"/>
        </w:rPr>
        <w:t>。</w:t>
      </w:r>
    </w:p>
    <w:p>
      <w:pPr>
        <w:adjustRightInd w:val="0"/>
        <w:snapToGrid w:val="0"/>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需提供经会计师事务所审计的20</w:t>
      </w:r>
      <w:r>
        <w:rPr>
          <w:rFonts w:hint="eastAsia" w:asciiTheme="minorEastAsia" w:hAnsiTheme="minorEastAsia" w:eastAsiaTheme="minorEastAsia"/>
          <w:sz w:val="24"/>
          <w:szCs w:val="24"/>
          <w:lang w:val="en-US" w:eastAsia="zh-CN"/>
        </w:rPr>
        <w:t>21</w:t>
      </w:r>
      <w:r>
        <w:rPr>
          <w:rFonts w:hint="eastAsia" w:asciiTheme="minorEastAsia" w:hAnsiTheme="minorEastAsia" w:eastAsiaTheme="minorEastAsia"/>
          <w:sz w:val="24"/>
          <w:szCs w:val="24"/>
        </w:rPr>
        <w:t>年度或202</w:t>
      </w:r>
      <w:r>
        <w:rPr>
          <w:rFonts w:hint="eastAsia" w:asciiTheme="minorEastAsia" w:hAnsiTheme="minorEastAsia" w:eastAsiaTheme="minorEastAsia"/>
          <w:sz w:val="24"/>
          <w:szCs w:val="24"/>
          <w:lang w:val="en-US" w:eastAsia="zh-CN"/>
        </w:rPr>
        <w:t>2</w:t>
      </w:r>
      <w:r>
        <w:rPr>
          <w:rFonts w:hint="eastAsia" w:asciiTheme="minorEastAsia" w:hAnsiTheme="minorEastAsia" w:eastAsiaTheme="minorEastAsia"/>
          <w:sz w:val="24"/>
          <w:szCs w:val="24"/>
        </w:rPr>
        <w:t>年度财务审计报告复印件</w:t>
      </w:r>
      <w:r>
        <w:rPr>
          <w:rFonts w:hint="eastAsia" w:asciiTheme="minorEastAsia" w:hAnsiTheme="minorEastAsia" w:eastAsiaTheme="minorEastAsia"/>
          <w:sz w:val="24"/>
          <w:szCs w:val="24"/>
          <w:lang w:eastAsia="zh-CN"/>
        </w:rPr>
        <w:t>。</w:t>
      </w:r>
    </w:p>
    <w:p>
      <w:pPr>
        <w:adjustRightInd w:val="0"/>
        <w:snapToGrid w:val="0"/>
        <w:spacing w:line="360" w:lineRule="auto"/>
        <w:rPr>
          <w:rFonts w:hint="eastAsia" w:ascii="宋体" w:hAnsi="宋体" w:cs="宋体"/>
          <w:b/>
          <w:bCs/>
          <w:kern w:val="0"/>
          <w:sz w:val="24"/>
          <w:szCs w:val="24"/>
        </w:rPr>
      </w:pPr>
      <w:r>
        <w:rPr>
          <w:rFonts w:hint="eastAsia" w:ascii="宋体" w:hAnsi="宋体" w:cs="宋体"/>
          <w:b/>
          <w:bCs/>
          <w:kern w:val="0"/>
          <w:sz w:val="24"/>
          <w:szCs w:val="24"/>
        </w:rPr>
        <w:t>附件</w:t>
      </w:r>
      <w:r>
        <w:rPr>
          <w:rFonts w:hint="default" w:cs="宋体" w:asciiTheme="minorAscii" w:hAnsiTheme="minorAscii"/>
          <w:b/>
          <w:bCs/>
          <w:kern w:val="0"/>
          <w:sz w:val="24"/>
          <w:szCs w:val="24"/>
        </w:rPr>
        <w:t>3.3</w:t>
      </w:r>
      <w:r>
        <w:rPr>
          <w:rFonts w:hint="eastAsia" w:ascii="宋体" w:hAnsi="宋体" w:cs="宋体"/>
          <w:b/>
          <w:bCs/>
          <w:kern w:val="0"/>
          <w:sz w:val="24"/>
          <w:szCs w:val="24"/>
        </w:rPr>
        <w:t xml:space="preserve"> 银行资信证明</w:t>
      </w:r>
    </w:p>
    <w:p>
      <w:pPr>
        <w:adjustRightInd w:val="0"/>
        <w:snapToGrid w:val="0"/>
        <w:spacing w:line="360" w:lineRule="auto"/>
        <w:rPr>
          <w:rFonts w:hint="eastAsia" w:eastAsiaTheme="minorEastAsia"/>
          <w:lang w:eastAsia="zh-CN"/>
        </w:rPr>
      </w:pPr>
      <w:r>
        <w:rPr>
          <w:rFonts w:hint="eastAsia" w:asciiTheme="minorEastAsia" w:hAnsiTheme="minorEastAsia" w:eastAsiaTheme="minorEastAsia"/>
          <w:sz w:val="24"/>
          <w:szCs w:val="24"/>
        </w:rPr>
        <w:t>磋商日前3个月内供应商银行出具的资信证明（除开具银行明确表示复印无效的，银行资信证明可以是复印件加盖本单位公章）</w:t>
      </w:r>
      <w:r>
        <w:rPr>
          <w:rFonts w:hint="eastAsia" w:asciiTheme="minorEastAsia" w:hAnsiTheme="minorEastAsia" w:eastAsiaTheme="minorEastAsia"/>
          <w:sz w:val="24"/>
          <w:szCs w:val="24"/>
          <w:lang w:eastAsia="zh-CN"/>
        </w:rPr>
        <w:t>。</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4</w:t>
      </w:r>
      <w:r>
        <w:rPr>
          <w:sz w:val="24"/>
          <w:szCs w:val="24"/>
        </w:rPr>
        <w:t xml:space="preserve"> </w:t>
      </w:r>
      <w:r>
        <w:rPr>
          <w:rFonts w:hint="eastAsia"/>
          <w:sz w:val="24"/>
          <w:szCs w:val="24"/>
        </w:rPr>
        <w:t>法人营业执照（复印件）</w:t>
      </w:r>
    </w:p>
    <w:p>
      <w:pPr>
        <w:pStyle w:val="4"/>
        <w:numPr>
          <w:ilvl w:val="0"/>
          <w:numId w:val="0"/>
        </w:numPr>
        <w:adjustRightInd w:val="0"/>
        <w:snapToGrid w:val="0"/>
        <w:spacing w:before="0" w:after="0" w:line="360" w:lineRule="auto"/>
        <w:rPr>
          <w:rFonts w:hint="eastAsia" w:eastAsia="宋体"/>
          <w:b w:val="0"/>
          <w:sz w:val="24"/>
          <w:szCs w:val="24"/>
          <w:lang w:eastAsia="zh-CN"/>
        </w:rPr>
      </w:pPr>
      <w:r>
        <w:rPr>
          <w:rFonts w:hint="eastAsia"/>
          <w:sz w:val="24"/>
          <w:szCs w:val="24"/>
        </w:rPr>
        <w:t>附件3</w:t>
      </w:r>
      <w:r>
        <w:rPr>
          <w:sz w:val="24"/>
          <w:szCs w:val="24"/>
        </w:rPr>
        <w:t>.</w:t>
      </w:r>
      <w:r>
        <w:rPr>
          <w:rFonts w:hint="eastAsia"/>
          <w:sz w:val="24"/>
          <w:szCs w:val="24"/>
          <w:lang w:val="en-US" w:eastAsia="zh-CN"/>
        </w:rPr>
        <w:t>5</w:t>
      </w:r>
      <w:r>
        <w:rPr>
          <w:sz w:val="24"/>
          <w:szCs w:val="24"/>
        </w:rPr>
        <w:t xml:space="preserve">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r>
        <w:rPr>
          <w:rFonts w:hint="eastAsia"/>
          <w:b w:val="0"/>
          <w:sz w:val="24"/>
          <w:szCs w:val="24"/>
          <w:lang w:eastAsia="zh-CN"/>
        </w:rPr>
        <w:t>。</w:t>
      </w:r>
    </w:p>
    <w:p>
      <w:pPr>
        <w:pStyle w:val="4"/>
        <w:numPr>
          <w:ilvl w:val="0"/>
          <w:numId w:val="0"/>
        </w:numPr>
        <w:adjustRightInd w:val="0"/>
        <w:snapToGrid w:val="0"/>
        <w:spacing w:before="0" w:after="0" w:line="360" w:lineRule="auto"/>
        <w:rPr>
          <w:rFonts w:hint="eastAsia" w:eastAsia="宋体"/>
          <w:b w:val="0"/>
          <w:sz w:val="24"/>
          <w:szCs w:val="24"/>
          <w:lang w:eastAsia="zh-CN"/>
        </w:rPr>
      </w:pPr>
      <w:r>
        <w:rPr>
          <w:rFonts w:hint="eastAsia"/>
          <w:sz w:val="24"/>
          <w:szCs w:val="24"/>
        </w:rPr>
        <w:t>附件3</w:t>
      </w:r>
      <w:r>
        <w:rPr>
          <w:sz w:val="24"/>
          <w:szCs w:val="24"/>
        </w:rPr>
        <w:t>.</w:t>
      </w:r>
      <w:r>
        <w:rPr>
          <w:rFonts w:hint="eastAsia"/>
          <w:sz w:val="24"/>
          <w:szCs w:val="24"/>
          <w:lang w:val="en-US" w:eastAsia="zh-CN"/>
        </w:rPr>
        <w:t>6</w:t>
      </w:r>
      <w:r>
        <w:rPr>
          <w:sz w:val="24"/>
          <w:szCs w:val="24"/>
        </w:rPr>
        <w:t xml:space="preserve">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r>
        <w:rPr>
          <w:rFonts w:hint="eastAsia"/>
          <w:b w:val="0"/>
          <w:sz w:val="24"/>
          <w:szCs w:val="24"/>
          <w:lang w:eastAsia="zh-CN"/>
        </w:rPr>
        <w:t>。</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7</w:t>
      </w:r>
      <w:r>
        <w:rPr>
          <w:sz w:val="24"/>
          <w:szCs w:val="24"/>
        </w:rPr>
        <w:t xml:space="preserve"> </w:t>
      </w:r>
      <w:r>
        <w:rPr>
          <w:rFonts w:hint="eastAsia"/>
          <w:sz w:val="24"/>
          <w:szCs w:val="24"/>
        </w:rPr>
        <w:t>已完成类似项目一览表（格式）</w:t>
      </w:r>
    </w:p>
    <w:tbl>
      <w:tblPr>
        <w:tblStyle w:val="32"/>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8</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21</w:t>
      </w:r>
      <w:r>
        <w:rPr>
          <w:rFonts w:hint="eastAsia" w:ascii="Arial" w:hAnsi="Arial" w:cs="Arial"/>
          <w:sz w:val="24"/>
        </w:rPr>
        <w:t>年</w:t>
      </w:r>
      <w:r>
        <w:rPr>
          <w:rFonts w:hint="eastAsia" w:ascii="Arial" w:hAnsi="Arial" w:cs="Arial"/>
          <w:sz w:val="24"/>
          <w:lang w:val="en-US" w:eastAsia="zh-CN"/>
        </w:rPr>
        <w:t>9</w:t>
      </w:r>
      <w:r>
        <w:rPr>
          <w:rFonts w:hint="eastAsia" w:ascii="Arial" w:hAnsi="Arial" w:cs="Arial"/>
          <w:sz w:val="24"/>
        </w:rPr>
        <w:t>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5"/>
        <w:adjustRightInd/>
        <w:snapToGrid/>
        <w:spacing w:after="0"/>
        <w:rPr>
          <w:rFonts w:hint="default" w:ascii="Arial" w:hAnsi="Arial" w:eastAsia="宋体" w:cs="Arial"/>
          <w:u w:val="single"/>
          <w:lang w:val="en-US" w:eastAsia="zh-CN"/>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rFonts w:hint="eastAsia"/>
          <w:sz w:val="24"/>
          <w:szCs w:val="24"/>
        </w:rPr>
      </w:pPr>
      <w:r>
        <w:rPr>
          <w:rFonts w:hint="eastAsia"/>
          <w:sz w:val="24"/>
          <w:szCs w:val="24"/>
        </w:rPr>
        <w:t>附件3</w:t>
      </w:r>
      <w:r>
        <w:rPr>
          <w:sz w:val="24"/>
          <w:szCs w:val="24"/>
        </w:rPr>
        <w:t>.</w:t>
      </w:r>
      <w:r>
        <w:rPr>
          <w:rFonts w:hint="eastAsia"/>
          <w:sz w:val="24"/>
          <w:szCs w:val="24"/>
          <w:lang w:val="en-US" w:eastAsia="zh-CN"/>
        </w:rPr>
        <w:t>9</w:t>
      </w:r>
      <w:r>
        <w:rPr>
          <w:sz w:val="24"/>
          <w:szCs w:val="24"/>
        </w:rPr>
        <w:t xml:space="preserve"> </w:t>
      </w:r>
      <w:r>
        <w:rPr>
          <w:rFonts w:hint="eastAsia"/>
          <w:sz w:val="24"/>
          <w:szCs w:val="24"/>
        </w:rPr>
        <w:t>与本次采购有关的其他资质证明文件</w:t>
      </w:r>
    </w:p>
    <w:p>
      <w:pPr>
        <w:pStyle w:val="4"/>
        <w:numPr>
          <w:ilvl w:val="0"/>
          <w:numId w:val="0"/>
        </w:numPr>
        <w:spacing w:line="240" w:lineRule="auto"/>
        <w:ind w:firstLine="482" w:firstLineChars="200"/>
        <w:rPr>
          <w:kern w:val="0"/>
          <w:sz w:val="24"/>
          <w:szCs w:val="24"/>
        </w:rPr>
      </w:pP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37965307"/>
      <w:bookmarkEnd w:id="11"/>
      <w:bookmarkStart w:id="12" w:name="_Toc190852156"/>
      <w:bookmarkEnd w:id="12"/>
      <w:bookmarkStart w:id="13" w:name="_Toc125183171"/>
      <w:bookmarkEnd w:id="13"/>
      <w:r>
        <w:rPr>
          <w:rFonts w:hint="eastAsia"/>
          <w:sz w:val="30"/>
          <w:szCs w:val="30"/>
        </w:rPr>
        <w:t>及服务要求</w:t>
      </w:r>
    </w:p>
    <w:p>
      <w:pPr>
        <w:pStyle w:val="4"/>
        <w:numPr>
          <w:ilvl w:val="0"/>
          <w:numId w:val="0"/>
        </w:numPr>
        <w:adjustRightInd w:val="0"/>
        <w:snapToGrid w:val="0"/>
        <w:spacing w:before="0" w:after="0" w:line="360" w:lineRule="auto"/>
        <w:rPr>
          <w:rFonts w:hint="eastAsia"/>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spacing w:before="0" w:beforeAutospacing="1" w:after="0" w:afterAutospacing="1" w:line="600" w:lineRule="exact"/>
        <w:ind w:left="0" w:right="0"/>
        <w:jc w:val="center"/>
      </w:pPr>
      <w:r>
        <w:rPr>
          <w:rFonts w:ascii="仿宋_GB2312" w:eastAsia="仿宋_GB2312" w:cs="仿宋_GB2312"/>
          <w:b/>
          <w:bCs/>
          <w:sz w:val="32"/>
          <w:szCs w:val="32"/>
        </w:rPr>
        <w:t>合同正文</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第一条</w:t>
      </w:r>
      <w:r>
        <w:rPr>
          <w:rFonts w:hint="eastAsia" w:ascii="仿宋_GB2312" w:eastAsia="仿宋_GB2312" w:cs="仿宋_GB2312"/>
          <w:sz w:val="32"/>
          <w:szCs w:val="32"/>
        </w:rPr>
        <w:t xml:space="preserve"> 工程概况</w:t>
      </w:r>
      <w:r>
        <w:rPr>
          <w:rFonts w:hint="eastAsia" w:ascii="仿宋_GB2312" w:eastAsia="仿宋_GB2312" w:cs="仿宋_GB2312"/>
          <w:sz w:val="32"/>
          <w:szCs w:val="32"/>
        </w:rPr>
        <w:br w:type="textWrapping"/>
      </w:r>
      <w:r>
        <w:rPr>
          <w:rFonts w:hint="eastAsia" w:ascii="仿宋_GB2312" w:eastAsia="仿宋_GB2312" w:cs="仿宋_GB2312"/>
          <w:b/>
          <w:bCs/>
          <w:sz w:val="32"/>
          <w:szCs w:val="32"/>
        </w:rPr>
        <w:t>工程概况</w:t>
      </w:r>
      <w:r>
        <w:rPr>
          <w:rFonts w:hint="eastAsia" w:ascii="仿宋_GB2312" w:eastAsia="仿宋_GB2312" w:cs="仿宋_GB2312"/>
          <w:sz w:val="32"/>
          <w:szCs w:val="32"/>
        </w:rPr>
        <w:t xml:space="preserve"> </w:t>
      </w:r>
      <w:r>
        <w:rPr>
          <w:rFonts w:hint="eastAsia" w:ascii="仿宋_GB2312" w:eastAsia="仿宋_GB2312" w:cs="仿宋_GB2312"/>
          <w:sz w:val="32"/>
          <w:szCs w:val="32"/>
        </w:rPr>
        <w:br w:type="textWrapping"/>
      </w:r>
      <w:r>
        <w:rPr>
          <w:rFonts w:hint="eastAsia" w:ascii="仿宋_GB2312" w:eastAsia="仿宋_GB2312" w:cs="仿宋_GB2312"/>
          <w:sz w:val="32"/>
          <w:szCs w:val="32"/>
        </w:rPr>
        <w:t>本合同项下甲乙双方约定的工程项目的概况见本合同【附件】。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第二条</w:t>
      </w:r>
      <w:r>
        <w:rPr>
          <w:rFonts w:hint="eastAsia" w:ascii="仿宋_GB2312" w:eastAsia="仿宋_GB2312" w:cs="仿宋_GB2312"/>
          <w:sz w:val="32"/>
          <w:szCs w:val="32"/>
        </w:rPr>
        <w:t xml:space="preserve"> 合同工期及质量标准</w:t>
      </w:r>
      <w:r>
        <w:rPr>
          <w:rFonts w:hint="eastAsia" w:ascii="仿宋_GB2312" w:eastAsia="仿宋_GB2312" w:cs="仿宋_GB2312"/>
          <w:sz w:val="32"/>
          <w:szCs w:val="32"/>
        </w:rPr>
        <w:br w:type="textWrapping"/>
      </w:r>
      <w:r>
        <w:rPr>
          <w:rFonts w:hint="eastAsia" w:ascii="仿宋_GB2312" w:eastAsia="仿宋_GB2312" w:cs="仿宋_GB2312"/>
          <w:b/>
          <w:bCs/>
          <w:sz w:val="32"/>
          <w:szCs w:val="32"/>
        </w:rPr>
        <w:t>合同工期及质量标准</w:t>
      </w:r>
      <w:r>
        <w:rPr>
          <w:rFonts w:hint="eastAsia" w:ascii="仿宋_GB2312" w:eastAsia="仿宋_GB2312" w:cs="仿宋_GB2312"/>
          <w:sz w:val="32"/>
          <w:szCs w:val="32"/>
        </w:rPr>
        <w:t xml:space="preserve"> </w:t>
      </w:r>
      <w:r>
        <w:rPr>
          <w:rFonts w:hint="eastAsia" w:ascii="仿宋_GB2312" w:eastAsia="仿宋_GB2312" w:cs="仿宋_GB2312"/>
          <w:sz w:val="32"/>
          <w:szCs w:val="32"/>
        </w:rPr>
        <w:br w:type="textWrapping"/>
      </w:r>
      <w:r>
        <w:rPr>
          <w:rFonts w:hint="eastAsia" w:ascii="仿宋_GB2312" w:eastAsia="仿宋_GB2312" w:cs="仿宋_GB2312"/>
          <w:sz w:val="32"/>
          <w:szCs w:val="32"/>
        </w:rPr>
        <w:t>本合同项下甲乙双方约定的工程期限及质量标准见本合同【附件】。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第三条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合同价格</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合同价格（含税）总计为RMB_______元（大写：_______）。</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上述合同价格为承包范围所确定的固定包干价，包括本工程的设计（如有）、供货、施工、安装、竣工验收及保修的所有费用，包括但不限于人工、材料及材料市场差价、机械费、其他直接及间接费用、临时设施费、现场经费、企业管理费、计划利润、税金（营业税、城市建设维护税和教育费附加）、需交纳的总包服务费（如有）、文明施工增加费、风险费、冬雨季施工费、技术措施费、安全措施费、扬尘费、工期奖、保险费、检验试验费、民扰及扰民费，及治安、消防、安全、环保等政府部门因进行本工程规定应由施工单位交纳的所有费用。除双方另有明确约定外，发包人不再向承包人另行支付其它任何费用。</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（五） ......</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第四条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双方的权利和义务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发包人的权利和义务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（1）发包人为承包人的施工提供协助和配合；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（2）施工场地具备开工条件后，发包人应按约定及时向承包人交付施工现场；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（3）开工前向承包人提供施工图纸；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（4）协调物业公司及有关部门做好通道、电梯等设施的使用；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（5）指派驻工地代表，负责对工程质量、进度进行监督检查，办理验收、变更洽商手续及其他事宜；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（6）开工时向承包人提供原始水、电、燃气、暖气管道等管道线路图纸，如经发包人认可确实需要拆改原建筑物结构或设备管线，由发包人负责协调到有关部门办理相应审批手续；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（7）知会邻里在施工期限间产生的灰尘和噪音可能对其生活和工作环境造成的影响，协调邻里关系； </w:t>
      </w:r>
      <w:r>
        <w:rPr>
          <w:rFonts w:hint="eastAsia" w:ascii="仿宋_GB2312" w:eastAsia="仿宋_GB2312" w:cs="仿宋_GB2312"/>
          <w:sz w:val="32"/>
          <w:szCs w:val="32"/>
        </w:rPr>
        <w:br w:type="textWrapping"/>
      </w:r>
      <w:r>
        <w:rPr>
          <w:rFonts w:hint="eastAsia" w:ascii="仿宋_GB2312" w:eastAsia="仿宋_GB2312" w:cs="仿宋_GB2312"/>
          <w:sz w:val="32"/>
          <w:szCs w:val="32"/>
        </w:rPr>
        <w:t>（8）发包人享有其他双方约定的权利、承担其他双方约定的义务。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承包人的权利和义务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（1）承包人在开工前应按照政府及相关部门、物业公司的要求办理一切施工所需手续，并缴纳有关的费用和装修押金；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（2）拟定施工方案和进度计划，开工前交发包人审定后执行；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（3）开工前，应将施工主要负责人员名单报发包人确认、备案，如承包人更换施工主要负责人时，必须事先征得发包人书面同意；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（4）指派驻工地代表，并将其姓名、简历及联系方式书面告知发包人，负责履行合同，组织施工，按期限保质保量完成施工任务，解决由承包人负责的各项事宜；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（5）严格执行施工规范、安全操作规程、防火安全和环境保护规定。严格按照图纸或作法说明进行施工，做好各项事宜；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（6）遵守政府有关主管部门及物业公司对施工场地交通及通道、施工噪音以及环境保护、安全生产、施工时间等的管理规定，按规定办理有关手续，并以书面形式通知发包人；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（7）已竣工工程未交付发包人之前，承包人负责成品的保护工作，保护期间发生损坏，承包人自费予以修复；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（8）妥善保管发包人堆放在现场的财产和物品，做好施工所涉设备设施及管线和邻近建筑物、构筑物的保护工作，并承担相关费用，造成损失的由承包人承担责任；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（9）保证施工场地清洁符合环境卫生管理的有关规定，交工前清理现场达到规定要求，承担因自身原因违反有关规定造成的损失和罚款；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（10）遵守国家或地方政府及有关部门对施工现场管理的规定，做好施工现场保卫和垃圾清运等工作，处理好由于施工带来的扰民问题及与周围单位的关系；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11）施工中未经发包人同意或有关部门批准，不得随意拆改原建筑物结构及各种设备管线。未经发包人同意，承包人擅自拆改原建筑物结构或设备管线，由此发生的损失或造成的事故（包括罚款），由承包人负责并承担损失；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（12）承包人有义务事先告知发包人未知的与本工程质量相关的事项，如承包人知道或根据经验应该知道的有关质量问题而未告知发包人，则造成的损失由承包人承担；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（13）承包人负责工程的消防验收通过。验收不通过，承包人承担一切损失和责任。但如在消防验收未通过之前发包人擅自使用而造成的验收不通过，发包人承担相应的损失；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（14）负责编制竣工验收报告及工程结算报告，并提交发包人审核； </w:t>
      </w:r>
      <w:r>
        <w:rPr>
          <w:rFonts w:hint="eastAsia" w:ascii="仿宋_GB2312" w:eastAsia="仿宋_GB2312" w:cs="仿宋_GB2312"/>
          <w:sz w:val="32"/>
          <w:szCs w:val="32"/>
        </w:rPr>
        <w:br w:type="textWrapping"/>
      </w:r>
      <w:r>
        <w:rPr>
          <w:rFonts w:hint="eastAsia" w:ascii="仿宋_GB2312" w:eastAsia="仿宋_GB2312" w:cs="仿宋_GB2312"/>
          <w:sz w:val="32"/>
          <w:szCs w:val="32"/>
        </w:rPr>
        <w:t>（15）承包人享有其他双方约定的权利、承担其他双方约定的义务。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第五条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材料设备供应</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材料设备供应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（1）承包人提供的材料设备清单见本合同【附件】。 </w:t>
      </w:r>
      <w:r>
        <w:rPr>
          <w:rFonts w:hint="eastAsia" w:ascii="仿宋_GB2312" w:eastAsia="仿宋_GB2312" w:cs="仿宋_GB2312"/>
          <w:sz w:val="32"/>
          <w:szCs w:val="32"/>
        </w:rPr>
        <w:br w:type="textWrapping"/>
      </w:r>
      <w:r>
        <w:rPr>
          <w:rFonts w:hint="eastAsia" w:ascii="仿宋_GB2312" w:eastAsia="仿宋_GB2312" w:cs="仿宋_GB2312"/>
          <w:sz w:val="32"/>
          <w:szCs w:val="32"/>
        </w:rPr>
        <w:t>（2）如有发包人供应材料，承包人有义务事先告知发包人准确的材料用量及符合施工条件的材料，否则造成的损失由承包人承担。若发包人不予采纳而造成工程质量问题及材料的浪费，由发包人负责。</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设备材料质量要求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（1）承包人应就其材料设备向发包人提供产品合格证明、使用说明书等文件；若材料设备不符合质量要求，由承包人承担由此发生的责任和费用。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（2）凡由承包人采购的材料、设备，如不符合质量要求或规格有差异，应禁止使用。若已使用，对工程造成质量问题及由此发生的损失由承包人承担。 </w:t>
      </w:r>
      <w:r>
        <w:rPr>
          <w:rFonts w:hint="eastAsia" w:ascii="仿宋_GB2312" w:eastAsia="仿宋_GB2312" w:cs="仿宋_GB2312"/>
          <w:sz w:val="32"/>
          <w:szCs w:val="32"/>
        </w:rPr>
        <w:br w:type="textWrapping"/>
      </w:r>
      <w:r>
        <w:rPr>
          <w:rFonts w:hint="eastAsia" w:ascii="仿宋_GB2312" w:eastAsia="仿宋_GB2312" w:cs="仿宋_GB2312"/>
          <w:sz w:val="32"/>
          <w:szCs w:val="32"/>
        </w:rPr>
        <w:t>（3）凡由承包人供应的材料致使室内甲醛等有害物质浓度含量超标，造成环境污染的，承包人应承担相应责任并赔偿损失。</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如有发包人供应的材料交由承包人保管的，承包人应妥善保管，如因保管不当造成损失或丢失，由承包人赔偿。</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第六条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工程变更</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施工中如发包人对原设计提出的变更未实质影响工程量的（单项子目在_______以内的变更视为未实质影响工程量），应视为合理变更，承包人应按照发包人的要求进行施工，合同价款不变。如发包人对原设计进行重大变更，应在变更前_______天向承包人发出书面变更通知，承包人按通知进行变更。变更涉及工程量增加的，承包人应于接到变更通知后的7天内提出变更价款报告的完整资料，逾期不报变更签认的视为承包人放弃该变更价款的请求权；变更涉及工程量减少的，经双方审核确认后签署相关变更洽商文件。工程变更在发包人审核确认前，只能作为技术洽商，而不作经济洽商或支付依据；所有变更结算将在工程验收合格后，在工程结算办理时一并办理，因变更所涉及款项将与工程尾款一并支付。承包人不得以存在工程变更或者需要办理变更结算手续为由，拖延交付工程，否则将被视为违反本合同约定而承担约定的逾期违约金。</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承包人根据现场实际情况提出合理建议涉及到变更设计和对原定材料的更换，以及增减工程量，必须经发包人或发包人代表批准，并签字确认。未经发包人批准签字，承包人擅自变更设计或对原定材料更换，发包人有权不认可，发生的全部费用由承包人承担，且工期不顺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施工中如发现设计有错误或者不合理的地方，承包人应及时以书面形式通知发包人（最迟不得超过发现之时起12小时），由发包人及时会同设计等单位作出修改意见或变更设计文件，并及时将修改或变更的设计文件送达承包人，承包人应按修改或变更的设计文件进行施工。</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 承包人报发包人的所有签证均应客观、真实、准确，承包人所报的签认材料有错误或失误的，发包人退回承包人进行修正，承包人故意虚报或瞒报的，发包人有权拒绝签认并不再签认本项签证，其相应损失由承包人自行承担。</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（五） 对以下原因造成竣工日期推迟的，经发包人书面确认，工期相应顺延，除此以外的其他原因导致竣工日期延误的，由承包人承担违约责任：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（1）政府机关或发包人要求承包人暂停施工的；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（2）不可抗力； </w:t>
      </w:r>
      <w:r>
        <w:rPr>
          <w:rFonts w:hint="eastAsia" w:ascii="仿宋_GB2312" w:eastAsia="仿宋_GB2312" w:cs="仿宋_GB2312"/>
          <w:sz w:val="32"/>
          <w:szCs w:val="32"/>
        </w:rPr>
        <w:br w:type="textWrapping"/>
      </w:r>
      <w:r>
        <w:rPr>
          <w:rFonts w:hint="eastAsia" w:ascii="仿宋_GB2312" w:eastAsia="仿宋_GB2312" w:cs="仿宋_GB2312"/>
          <w:sz w:val="32"/>
          <w:szCs w:val="32"/>
        </w:rPr>
        <w:t>（3）发包人设计变更导致关键线路上的工作延误的。</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（六） 承包人负责设计工作的，因施工图设计错误或缺陷造成的所有损失均由承包人承担。</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第七条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检查与返工</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承包人应认真按照标准、规范、设计的要求和合同的约定进行施工和自检。</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发包人有权随时对承包人进行施工检查，检查发现质量不合格的，承包人应按发包人要求进行返工或修复处理，直至达到发包人要求。发包人进行破坏性检查后发现质量不合格的，承包人自行负责修复或返工费用；检验合格的，由发包人承担必要的返工或修复成本费用。</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第八条</w:t>
      </w:r>
      <w:r>
        <w:rPr>
          <w:rFonts w:hint="eastAsia" w:ascii="仿宋_GB2312" w:eastAsia="仿宋_GB2312" w:cs="仿宋_GB2312"/>
          <w:sz w:val="32"/>
          <w:szCs w:val="32"/>
        </w:rPr>
        <w:t xml:space="preserve"> 安全施工</w:t>
      </w:r>
      <w:r>
        <w:rPr>
          <w:rFonts w:hint="eastAsia" w:ascii="仿宋_GB2312" w:eastAsia="仿宋_GB2312" w:cs="仿宋_GB2312"/>
          <w:sz w:val="32"/>
          <w:szCs w:val="32"/>
        </w:rPr>
        <w:br w:type="textWrapping"/>
      </w:r>
      <w:r>
        <w:rPr>
          <w:rFonts w:hint="eastAsia" w:ascii="仿宋_GB2312" w:eastAsia="仿宋_GB2312" w:cs="仿宋_GB2312"/>
          <w:b/>
          <w:bCs/>
          <w:sz w:val="32"/>
          <w:szCs w:val="32"/>
        </w:rPr>
        <w:t>安全施工</w:t>
      </w:r>
      <w:r>
        <w:rPr>
          <w:rFonts w:hint="eastAsia" w:ascii="仿宋_GB2312" w:eastAsia="仿宋_GB2312" w:cs="仿宋_GB2312"/>
          <w:sz w:val="32"/>
          <w:szCs w:val="32"/>
        </w:rPr>
        <w:t xml:space="preserve">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一）承包人应遵守工程建设安全生产有关管理规定，严格按安全标准组织施工，并随时接受行业安全检查人员依法实施的监督检查，采取必要的安全防护措施，消除事故隐患。承包人已充分了解施工现场，并负责自行排除施工现场可能的各类隐患。由于承包人措施不力造成事故的责任和因此发生的费用，由承包人承担。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（二）承包人应对其在施工场地的工作人员进行安全教育，并对他们的安全负责。发包人不得要求承包人违反安全管理的规定进行施工。 </w:t>
      </w:r>
      <w:r>
        <w:rPr>
          <w:rFonts w:hint="eastAsia" w:ascii="仿宋_GB2312" w:eastAsia="仿宋_GB2312" w:cs="仿宋_GB2312"/>
          <w:sz w:val="32"/>
          <w:szCs w:val="32"/>
        </w:rPr>
        <w:br w:type="textWrapping"/>
      </w:r>
      <w:r>
        <w:rPr>
          <w:rFonts w:hint="eastAsia" w:ascii="仿宋_GB2312" w:eastAsia="仿宋_GB2312" w:cs="仿宋_GB2312"/>
          <w:sz w:val="32"/>
          <w:szCs w:val="32"/>
        </w:rPr>
        <w:t>（三）发生重大伤亡事故，承包人应按照有关规定立即上报有关部门并通知发包人，同时按政府有关部门要求处理。发包人为抢救提供必要条件，发生的费用由事故责任方承担。</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第九条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工程验收</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工程验收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（1）工程完工后，承包人应书面通知发包人验收，并向发包人提交竣工验收报告和完整的竣工验收资料，发包人收到竣工资料和竣工验收报告应及时组织验收。验收合格，由发包人书面确认。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2）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 </w:t>
      </w:r>
      <w:r>
        <w:rPr>
          <w:rFonts w:hint="eastAsia" w:ascii="仿宋_GB2312" w:eastAsia="仿宋_GB2312" w:cs="仿宋_GB2312"/>
          <w:sz w:val="32"/>
          <w:szCs w:val="32"/>
        </w:rPr>
        <w:br w:type="textWrapping"/>
      </w:r>
      <w:r>
        <w:rPr>
          <w:rFonts w:hint="eastAsia" w:ascii="仿宋_GB2312" w:eastAsia="仿宋_GB2312" w:cs="仿宋_GB2312"/>
          <w:sz w:val="32"/>
          <w:szCs w:val="32"/>
        </w:rPr>
        <w:t>（3）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验收标准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本工程质量评定验收标准的依据：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（1）施工图纸、作法说明、设计变更、施工技术文件等；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（2）有关工程质量的相关法律法规的规定，以及国家有关施工验收规范、室内环境污染控制规范； </w:t>
      </w:r>
      <w:r>
        <w:rPr>
          <w:rFonts w:hint="eastAsia" w:ascii="仿宋_GB2312" w:eastAsia="仿宋_GB2312" w:cs="仿宋_GB2312"/>
          <w:sz w:val="32"/>
          <w:szCs w:val="32"/>
        </w:rPr>
        <w:br w:type="textWrapping"/>
      </w:r>
      <w:r>
        <w:rPr>
          <w:rFonts w:hint="eastAsia" w:ascii="仿宋_GB2312" w:eastAsia="仿宋_GB2312" w:cs="仿宋_GB2312"/>
          <w:sz w:val="32"/>
          <w:szCs w:val="32"/>
        </w:rPr>
        <w:t>（3）招标文件、本合同对工程的具体要求。</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工程阶段验收项目：_______</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工程结算</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工程验收合格后，承包人应向发包人提交工程结算报告和完整的结算资料，发包人收到工程结算报告和完整的结算资料后应及时进行结算。</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按本合同约定的固定包干价，以及双方书面签署确认的变更价款洽商文件进行结算。</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第十一条</w:t>
      </w:r>
      <w:r>
        <w:rPr>
          <w:rFonts w:hint="eastAsia" w:ascii="仿宋_GB2312" w:eastAsia="仿宋_GB2312" w:cs="仿宋_GB2312"/>
          <w:sz w:val="32"/>
          <w:szCs w:val="32"/>
        </w:rPr>
        <w:t xml:space="preserve"> 保修(适用于建设工程施工合同)</w:t>
      </w:r>
      <w:r>
        <w:rPr>
          <w:rFonts w:hint="eastAsia" w:ascii="仿宋_GB2312" w:eastAsia="仿宋_GB2312" w:cs="仿宋_GB2312"/>
          <w:sz w:val="32"/>
          <w:szCs w:val="32"/>
        </w:rPr>
        <w:br w:type="textWrapping"/>
      </w:r>
      <w:r>
        <w:rPr>
          <w:rFonts w:hint="eastAsia" w:ascii="仿宋_GB2312" w:eastAsia="仿宋_GB2312" w:cs="仿宋_GB2312"/>
          <w:b/>
          <w:bCs/>
          <w:sz w:val="32"/>
          <w:szCs w:val="32"/>
        </w:rPr>
        <w:t>保修</w:t>
      </w:r>
      <w:r>
        <w:rPr>
          <w:rFonts w:hint="eastAsia" w:ascii="仿宋_GB2312" w:eastAsia="仿宋_GB2312" w:cs="仿宋_GB2312"/>
          <w:sz w:val="32"/>
          <w:szCs w:val="32"/>
        </w:rPr>
        <w:t xml:space="preserve"> </w:t>
      </w:r>
      <w:r>
        <w:rPr>
          <w:rFonts w:hint="eastAsia" w:ascii="仿宋_GB2312" w:eastAsia="仿宋_GB2312" w:cs="仿宋_GB2312"/>
          <w:sz w:val="32"/>
          <w:szCs w:val="32"/>
        </w:rPr>
        <w:br w:type="textWrapping"/>
      </w:r>
      <w:r>
        <w:rPr>
          <w:rFonts w:hint="eastAsia" w:ascii="仿宋_GB2312" w:eastAsia="仿宋_GB2312" w:cs="仿宋_GB2312"/>
          <w:sz w:val="32"/>
          <w:szCs w:val="32"/>
        </w:rPr>
        <w:t>保修期内乙方对工程项目提供保修维护服务，具体内容及方式见【附件】，甲方不再就此支付任何费用。</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第十二条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禁止分包与转让</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非经发包人事先书面同意，承包人不得将承包工程的任何部分分包。</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承包人不得将其承包的全部工程转包给他人，也不得将其承包的全部工程肢解以后以分包的名义分别转包给他人。</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承包人将其承包的全部工程转包给他人或者肢解以后以分包的名义分别转包给他人，发包人有权解除合同，本合同自解除通知送达承包人之日或发包人指定日期届至时解除。</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 未经发包人书面同意，承包人不得将其本合同项下之全部义务或其中一部分义务转让给第三方执行。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第十三条</w:t>
      </w:r>
      <w:r>
        <w:rPr>
          <w:rFonts w:hint="eastAsia" w:ascii="仿宋_GB2312" w:eastAsia="仿宋_GB2312" w:cs="仿宋_GB2312"/>
          <w:sz w:val="32"/>
          <w:szCs w:val="32"/>
        </w:rPr>
        <w:t xml:space="preserve"> 权利保证</w:t>
      </w:r>
      <w:r>
        <w:rPr>
          <w:rFonts w:hint="eastAsia" w:ascii="仿宋_GB2312" w:eastAsia="仿宋_GB2312" w:cs="仿宋_GB2312"/>
          <w:sz w:val="32"/>
          <w:szCs w:val="32"/>
        </w:rPr>
        <w:br w:type="textWrapping"/>
      </w:r>
      <w:r>
        <w:rPr>
          <w:rFonts w:hint="eastAsia" w:ascii="仿宋_GB2312" w:eastAsia="仿宋_GB2312" w:cs="仿宋_GB2312"/>
          <w:b/>
          <w:bCs/>
          <w:sz w:val="32"/>
          <w:szCs w:val="32"/>
        </w:rPr>
        <w:t>权利保证</w:t>
      </w:r>
      <w:r>
        <w:rPr>
          <w:rFonts w:hint="eastAsia" w:ascii="仿宋_GB2312" w:eastAsia="仿宋_GB2312" w:cs="仿宋_GB2312"/>
          <w:sz w:val="32"/>
          <w:szCs w:val="32"/>
        </w:rPr>
        <w:t xml:space="preserve"> </w:t>
      </w:r>
      <w:r>
        <w:rPr>
          <w:rFonts w:hint="eastAsia" w:ascii="仿宋_GB2312" w:eastAsia="仿宋_GB2312" w:cs="仿宋_GB2312"/>
          <w:sz w:val="32"/>
          <w:szCs w:val="32"/>
        </w:rPr>
        <w:br w:type="textWrapping"/>
      </w:r>
      <w:r>
        <w:rPr>
          <w:rFonts w:hint="eastAsia" w:ascii="仿宋_GB2312"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第十四条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违约责任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发包人或承包人不能按本合同条款约定内容履行自己的各项义务及发生使合同无法履行的行为，应承担相应的违约责任，包括支付违约金、赔偿因其违约给对方造成的全部经济损失。</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发包人未按本合同的约定支付合同价款，经承包人书面催告后7日内仍未支付的，每逾期一日，按应付款金额_______%向承包人支付违约金。</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除发包人批准的工期顺延外，因承包人原因不能按本合同约定的工期完成本工程的，每逾期一日，向发包人支付本合同约定的合同总价款_______%的逾期违约金。</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 </w:t>
      </w:r>
      <w:r>
        <w:rPr>
          <w:rFonts w:hint="eastAsia" w:ascii="仿宋_GB2312" w:eastAsia="仿宋_GB2312" w:cs="仿宋_GB2312"/>
          <w:b/>
          <w:bCs/>
          <w:sz w:val="32"/>
          <w:szCs w:val="32"/>
        </w:rPr>
        <w:t>承包人瑕疵履行的违约责任</w:t>
      </w:r>
      <w:r>
        <w:rPr>
          <w:rFonts w:hint="eastAsia" w:ascii="仿宋_GB2312" w:eastAsia="仿宋_GB2312" w:cs="仿宋_GB2312"/>
          <w:sz w:val="32"/>
          <w:szCs w:val="32"/>
        </w:rPr>
        <w:t xml:space="preserve">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本合同工程完工后，因工程存在较大质量问题不能通过验收，且经整改后仍无法达到约定质量标准的，发包人有权解除合同，拒绝就工程支付任何费用，承包人应予退还已支付的全部工程款，并向发包人支付本合同约定的总价款_______%的质量违约金。 </w:t>
      </w:r>
      <w:r>
        <w:rPr>
          <w:rFonts w:hint="eastAsia" w:ascii="仿宋_GB2312" w:eastAsia="仿宋_GB2312" w:cs="仿宋_GB2312"/>
          <w:sz w:val="32"/>
          <w:szCs w:val="32"/>
        </w:rPr>
        <w:br w:type="textWrapping"/>
      </w:r>
      <w:r>
        <w:rPr>
          <w:rFonts w:hint="eastAsia" w:ascii="仿宋_GB2312" w:eastAsia="仿宋_GB2312" w:cs="仿宋_GB2312"/>
          <w:sz w:val="32"/>
          <w:szCs w:val="32"/>
        </w:rPr>
        <w:t>（2）因承包人施工质量不合格又拒绝进行修复或返工，或者工期拖延达_______日以上的，发包人有权解除合同。合同解除后的_______日内双方就已完工且合格部分办理结算，发包人有权从结算金额中扣除因承包人违约给发包人造成的损失及违约金。承包人应在发包人通知合同解除后_______日内撤离现场，不得以任何理由占住施工现场。承包人迟延撤离现场的，每逾期一日，按照本合同规定的逾期违约金的_______倍计算迟延撤场违约金。</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（五） 工程竣工验收合格并交付发包人使用后，在承包人承诺的合理使用年限内，承包人不履行修理或维护义务给发包人造成经济损失的，承包人承担赔偿责任。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（六）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（七） 除本合同的约定外，因承包人的违约行为给发包人造成损失的，承包人应向发包人支付相当于本合同总价款_______%的违约金，如发包人受到的损失超过违约金的，超出部分由承包人继续承担赔偿责任。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第十五条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保密义务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第十六条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不可抗力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第十七条</w:t>
      </w:r>
      <w:r>
        <w:rPr>
          <w:rFonts w:hint="eastAsia" w:ascii="仿宋_GB2312" w:eastAsia="仿宋_GB2312" w:cs="仿宋_GB2312"/>
          <w:sz w:val="32"/>
          <w:szCs w:val="32"/>
        </w:rPr>
        <w:t xml:space="preserve"> 合同变更</w:t>
      </w:r>
      <w:r>
        <w:rPr>
          <w:rFonts w:hint="eastAsia" w:ascii="仿宋_GB2312" w:eastAsia="仿宋_GB2312" w:cs="仿宋_GB2312"/>
          <w:sz w:val="32"/>
          <w:szCs w:val="32"/>
        </w:rPr>
        <w:br w:type="textWrapping"/>
      </w:r>
      <w:r>
        <w:rPr>
          <w:rFonts w:hint="eastAsia" w:ascii="仿宋_GB2312" w:eastAsia="仿宋_GB2312" w:cs="仿宋_GB2312"/>
          <w:b/>
          <w:bCs/>
          <w:sz w:val="32"/>
          <w:szCs w:val="32"/>
        </w:rPr>
        <w:t>合同变更</w:t>
      </w:r>
      <w:r>
        <w:rPr>
          <w:rFonts w:hint="eastAsia" w:ascii="仿宋_GB2312" w:eastAsia="仿宋_GB2312" w:cs="仿宋_GB2312"/>
          <w:sz w:val="32"/>
          <w:szCs w:val="32"/>
        </w:rPr>
        <w:t xml:space="preserve"> </w:t>
      </w:r>
      <w:r>
        <w:rPr>
          <w:rFonts w:hint="eastAsia" w:ascii="仿宋_GB2312" w:eastAsia="仿宋_GB2312" w:cs="仿宋_GB2312"/>
          <w:sz w:val="32"/>
          <w:szCs w:val="32"/>
        </w:rPr>
        <w:br w:type="textWrapping"/>
      </w:r>
      <w:r>
        <w:rPr>
          <w:rFonts w:hint="eastAsia" w:ascii="仿宋_GB2312" w:eastAsia="仿宋_GB2312" w:cs="仿宋_GB2312"/>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第十八条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合同特别终止</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（1）乙方破产、解散（包括但不限于乙方股东会决议解散、乙方被吊销营业执照、被责令关闭、被撤销、被司法机关裁决解散等情形）； </w:t>
      </w:r>
      <w:r>
        <w:rPr>
          <w:rFonts w:hint="eastAsia" w:ascii="仿宋_GB2312" w:eastAsia="仿宋_GB2312" w:cs="仿宋_GB2312"/>
          <w:sz w:val="32"/>
          <w:szCs w:val="32"/>
        </w:rPr>
        <w:br w:type="textWrapping"/>
      </w:r>
      <w:r>
        <w:rPr>
          <w:rFonts w:hint="eastAsia"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第十九条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法律适用与争议解决</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w:t>
      </w:r>
      <w:r>
        <w:rPr>
          <w:rFonts w:hint="eastAsia" w:ascii="仿宋_GB2312" w:eastAsia="仿宋_GB2312" w:cs="仿宋_GB2312"/>
          <w:b/>
          <w:bCs/>
          <w:sz w:val="32"/>
          <w:szCs w:val="32"/>
        </w:rPr>
        <w:t>争议解决</w:t>
      </w:r>
      <w:r>
        <w:rPr>
          <w:rFonts w:hint="eastAsia" w:ascii="仿宋_GB2312" w:eastAsia="仿宋_GB2312" w:cs="仿宋_GB2312"/>
          <w:sz w:val="32"/>
          <w:szCs w:val="32"/>
        </w:rPr>
        <w:t xml:space="preserve"> </w:t>
      </w:r>
      <w:r>
        <w:rPr>
          <w:rFonts w:hint="eastAsia" w:ascii="仿宋_GB2312" w:eastAsia="仿宋_GB2312" w:cs="仿宋_GB2312"/>
          <w:sz w:val="32"/>
          <w:szCs w:val="32"/>
        </w:rPr>
        <w:br w:type="textWrapping"/>
      </w:r>
      <w:r>
        <w:rPr>
          <w:rFonts w:hint="eastAsia" w:ascii="仿宋_GB2312" w:eastAsia="仿宋_GB2312" w:cs="仿宋_GB2312"/>
          <w:sz w:val="32"/>
          <w:szCs w:val="32"/>
        </w:rPr>
        <w:t>凡因本合同引起的或与本合同有关的任何争议，双方首先应友好协商解决。协商不成的，任何一方均可向甲方所在地有管辖权的法院提起诉讼。</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第二十条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合同生效及其他</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本合同经甲乙双方法定代表人或授权代表签字并加盖公章后生效，在竣工结算、发包人支付完毕，工程验收合格并交付给发包人后，除有关保修条款、违约责任条款、争议解决条款仍然生效外，其他条款即告终止。</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第二十一条</w:t>
      </w:r>
      <w:r>
        <w:rPr>
          <w:rFonts w:hint="eastAsia" w:ascii="仿宋_GB2312" w:eastAsia="仿宋_GB2312" w:cs="仿宋_GB2312"/>
          <w:sz w:val="32"/>
          <w:szCs w:val="32"/>
        </w:rPr>
        <w:t xml:space="preserve"> </w:t>
      </w:r>
      <w:r>
        <w:rPr>
          <w:rFonts w:hint="eastAsia" w:ascii="仿宋_GB2312" w:eastAsia="仿宋_GB2312" w:cs="仿宋_GB2312"/>
          <w:b/>
          <w:bCs/>
          <w:sz w:val="32"/>
          <w:szCs w:val="32"/>
        </w:rPr>
        <w:t>合同效力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sz w:val="32"/>
          <w:szCs w:val="32"/>
        </w:rPr>
        <w:t xml:space="preserve">   （三）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第二十二条</w:t>
      </w:r>
      <w:r>
        <w:rPr>
          <w:rFonts w:hint="eastAsia" w:ascii="仿宋_GB2312" w:eastAsia="仿宋_GB2312" w:cs="仿宋_GB2312"/>
          <w:sz w:val="32"/>
          <w:szCs w:val="32"/>
        </w:rPr>
        <w:t xml:space="preserve"> 附件的组成（适用于建设工程施工合同）</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附件的组成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附件一、工程概况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附件二、合同工期及质量标准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附件三、付款 </w:t>
      </w:r>
      <w:r>
        <w:rPr>
          <w:rFonts w:hint="eastAsia" w:ascii="仿宋_GB2312" w:eastAsia="仿宋_GB2312" w:cs="仿宋_GB2312"/>
          <w:sz w:val="32"/>
          <w:szCs w:val="32"/>
        </w:rPr>
        <w:br w:type="textWrapping"/>
      </w:r>
      <w:r>
        <w:rPr>
          <w:rFonts w:hint="eastAsia" w:ascii="仿宋_GB2312" w:eastAsia="仿宋_GB2312" w:cs="仿宋_GB2312"/>
          <w:sz w:val="32"/>
          <w:szCs w:val="32"/>
        </w:rPr>
        <w:t xml:space="preserve">附件四、材料设备供应 </w:t>
      </w:r>
      <w:r>
        <w:rPr>
          <w:rFonts w:hint="eastAsia" w:ascii="仿宋_GB2312" w:eastAsia="仿宋_GB2312" w:cs="仿宋_GB2312"/>
          <w:sz w:val="32"/>
          <w:szCs w:val="32"/>
        </w:rPr>
        <w:br w:type="textWrapping"/>
      </w:r>
      <w:r>
        <w:rPr>
          <w:rFonts w:hint="eastAsia" w:ascii="仿宋_GB2312" w:eastAsia="仿宋_GB2312" w:cs="仿宋_GB2312"/>
          <w:sz w:val="32"/>
          <w:szCs w:val="32"/>
        </w:rPr>
        <w:t>附件五、保修</w:t>
      </w:r>
    </w:p>
    <w:p>
      <w:pPr>
        <w:keepNext w:val="0"/>
        <w:keepLines w:val="0"/>
        <w:widowControl/>
        <w:suppressLineNumbers w:val="0"/>
        <w:spacing w:before="0" w:beforeAutospacing="1" w:after="0" w:afterAutospacing="1" w:line="600" w:lineRule="exact"/>
        <w:ind w:left="0" w:right="0"/>
        <w:jc w:val="left"/>
      </w:pPr>
      <w:r>
        <w:rPr>
          <w:rFonts w:hint="eastAsia" w:ascii="仿宋_GB2312" w:eastAsia="仿宋_GB2312" w:cs="仿宋_GB2312"/>
          <w:b/>
          <w:bCs w:val="0"/>
          <w:sz w:val="32"/>
          <w:szCs w:val="32"/>
        </w:rPr>
        <w:t>    第二十三条</w:t>
      </w:r>
      <w:r>
        <w:rPr>
          <w:rFonts w:hint="eastAsia" w:ascii="仿宋_GB2312" w:eastAsia="仿宋_GB2312" w:cs="仿宋_GB2312"/>
          <w:sz w:val="32"/>
          <w:szCs w:val="32"/>
        </w:rPr>
        <w:t xml:space="preserve"> ......</w:t>
      </w:r>
    </w:p>
    <w:p>
      <w:pPr>
        <w:rPr>
          <w:rFonts w:hint="eastAsia"/>
          <w:sz w:val="24"/>
          <w:szCs w:val="24"/>
        </w:rPr>
      </w:pPr>
    </w:p>
    <w:p>
      <w:pPr>
        <w:snapToGrid w:val="0"/>
        <w:spacing w:line="360" w:lineRule="auto"/>
        <w:rPr>
          <w:rFonts w:hint="eastAsia" w:ascii="楷体" w:hAnsi="楷体" w:eastAsia="楷体"/>
          <w:b/>
          <w:sz w:val="24"/>
        </w:rPr>
      </w:pPr>
      <w:bookmarkStart w:id="16" w:name="_Toc68615221"/>
    </w:p>
    <w:p>
      <w:pPr>
        <w:snapToGrid w:val="0"/>
        <w:spacing w:line="360" w:lineRule="auto"/>
        <w:rPr>
          <w:rFonts w:hint="eastAsia" w:ascii="楷体" w:hAnsi="楷体" w:eastAsia="楷体"/>
          <w:b/>
          <w:sz w:val="24"/>
        </w:rPr>
      </w:pPr>
    </w:p>
    <w:p>
      <w:pPr>
        <w:snapToGrid w:val="0"/>
        <w:spacing w:line="360" w:lineRule="auto"/>
        <w:rPr>
          <w:rFonts w:ascii="楷体" w:hAnsi="楷体" w:eastAsia="楷体"/>
          <w:b/>
          <w:sz w:val="24"/>
        </w:rPr>
      </w:pPr>
      <w:r>
        <w:rPr>
          <w:rFonts w:hint="eastAsia" w:ascii="楷体" w:hAnsi="楷体" w:eastAsia="楷体"/>
          <w:b/>
          <w:sz w:val="24"/>
        </w:rPr>
        <w:t>附件一：</w:t>
      </w:r>
    </w:p>
    <w:p>
      <w:pPr>
        <w:adjustRightInd w:val="0"/>
        <w:snapToGrid w:val="0"/>
        <w:spacing w:line="360" w:lineRule="auto"/>
        <w:ind w:left="482" w:firstLine="480"/>
        <w:rPr>
          <w:rFonts w:ascii="楷体" w:hAnsi="楷体" w:eastAsia="楷体" w:cs="宋体"/>
          <w:b/>
          <w:color w:val="000000"/>
          <w:kern w:val="0"/>
          <w:sz w:val="24"/>
        </w:rPr>
      </w:pPr>
    </w:p>
    <w:p>
      <w:pPr>
        <w:adjustRightInd w:val="0"/>
        <w:snapToGrid w:val="0"/>
        <w:spacing w:line="360" w:lineRule="auto"/>
        <w:ind w:left="482" w:firstLine="2771" w:firstLineChars="1150"/>
        <w:rPr>
          <w:rFonts w:ascii="楷体" w:hAnsi="楷体" w:eastAsia="楷体" w:cs="宋体"/>
          <w:b/>
          <w:color w:val="000000"/>
          <w:kern w:val="0"/>
          <w:sz w:val="24"/>
        </w:rPr>
      </w:pPr>
      <w:r>
        <w:rPr>
          <w:rFonts w:hint="eastAsia" w:ascii="楷体" w:hAnsi="楷体" w:eastAsia="楷体" w:cs="宋体"/>
          <w:b/>
          <w:color w:val="000000"/>
          <w:kern w:val="0"/>
          <w:sz w:val="24"/>
        </w:rPr>
        <w:t>工程概况</w:t>
      </w:r>
    </w:p>
    <w:p>
      <w:pPr>
        <w:adjustRightInd w:val="0"/>
        <w:snapToGrid w:val="0"/>
        <w:spacing w:line="360" w:lineRule="auto"/>
        <w:ind w:left="482" w:firstLine="2771" w:firstLineChars="1150"/>
        <w:rPr>
          <w:rFonts w:ascii="楷体" w:hAnsi="楷体" w:eastAsia="楷体" w:cs="宋体"/>
          <w:b/>
          <w:color w:val="000000"/>
          <w:kern w:val="0"/>
          <w:sz w:val="24"/>
        </w:rPr>
      </w:pP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1.</w:t>
      </w:r>
      <w:r>
        <w:rPr>
          <w:rFonts w:ascii="楷体" w:hAnsi="楷体" w:eastAsia="楷体" w:cs="宋体"/>
          <w:color w:val="000000"/>
          <w:kern w:val="0"/>
          <w:sz w:val="24"/>
        </w:rPr>
        <w:t xml:space="preserve"> </w:t>
      </w:r>
      <w:r>
        <w:rPr>
          <w:rFonts w:hint="eastAsia" w:ascii="楷体" w:hAnsi="楷体" w:eastAsia="楷体" w:cs="宋体"/>
          <w:color w:val="000000"/>
          <w:kern w:val="0"/>
          <w:sz w:val="24"/>
        </w:rPr>
        <w:t>工程名称：。</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2．工程地点：。</w:t>
      </w:r>
    </w:p>
    <w:p>
      <w:pPr>
        <w:adjustRightInd w:val="0"/>
        <w:snapToGrid w:val="0"/>
        <w:spacing w:line="360" w:lineRule="auto"/>
        <w:ind w:firstLine="480"/>
        <w:rPr>
          <w:rFonts w:ascii="楷体" w:hAnsi="楷体" w:eastAsia="楷体" w:cs="宋体"/>
          <w:color w:val="000000"/>
          <w:kern w:val="0"/>
          <w:sz w:val="24"/>
        </w:rPr>
      </w:pPr>
      <w:r>
        <w:rPr>
          <w:rFonts w:hint="eastAsia" w:ascii="楷体" w:hAnsi="楷体" w:eastAsia="楷体" w:cs="宋体"/>
          <w:color w:val="000000"/>
          <w:kern w:val="0"/>
          <w:sz w:val="24"/>
        </w:rPr>
        <w:t>3.</w:t>
      </w:r>
      <w:r>
        <w:rPr>
          <w:rFonts w:ascii="楷体" w:hAnsi="楷体" w:eastAsia="楷体" w:cs="宋体"/>
          <w:color w:val="000000"/>
          <w:kern w:val="0"/>
          <w:sz w:val="24"/>
        </w:rPr>
        <w:t xml:space="preserve"> </w:t>
      </w:r>
      <w:r>
        <w:rPr>
          <w:rFonts w:hint="eastAsia" w:ascii="楷体" w:hAnsi="楷体" w:eastAsia="楷体" w:cs="宋体"/>
          <w:color w:val="000000"/>
          <w:kern w:val="0"/>
          <w:sz w:val="24"/>
        </w:rPr>
        <w:t>工程承包范围：</w:t>
      </w:r>
    </w:p>
    <w:p>
      <w:pPr>
        <w:adjustRightInd w:val="0"/>
        <w:snapToGrid w:val="0"/>
        <w:spacing w:line="360" w:lineRule="auto"/>
        <w:rPr>
          <w:rFonts w:ascii="楷体" w:hAnsi="楷体" w:eastAsia="楷体" w:cs="宋体"/>
          <w:color w:val="000000"/>
          <w:kern w:val="0"/>
          <w:sz w:val="24"/>
        </w:rPr>
      </w:pPr>
      <w:r>
        <w:rPr>
          <w:rFonts w:hint="eastAsia" w:ascii="楷体" w:hAnsi="楷体" w:eastAsia="楷体" w:cs="宋体"/>
          <w:color w:val="000000"/>
          <w:kern w:val="0"/>
          <w:sz w:val="24"/>
        </w:rPr>
        <w:t>___________________________________________________________________</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4. 工程承包方式：</w:t>
      </w:r>
    </w:p>
    <w:p>
      <w:pPr>
        <w:adjustRightInd w:val="0"/>
        <w:snapToGrid w:val="0"/>
        <w:spacing w:line="360" w:lineRule="auto"/>
        <w:rPr>
          <w:rFonts w:ascii="楷体" w:hAnsi="楷体" w:eastAsia="楷体" w:cs="宋体"/>
          <w:color w:val="000000"/>
          <w:kern w:val="0"/>
          <w:sz w:val="24"/>
        </w:rPr>
      </w:pPr>
      <w:r>
        <w:rPr>
          <w:rFonts w:hint="eastAsia" w:ascii="楷体" w:hAnsi="楷体" w:eastAsia="楷体" w:cs="宋体"/>
          <w:color w:val="000000"/>
          <w:kern w:val="0"/>
          <w:sz w:val="24"/>
        </w:rPr>
        <w:t>___________________________________________________________________</w:t>
      </w:r>
    </w:p>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ascii="楷体" w:hAnsi="楷体" w:eastAsia="楷体"/>
          <w:b/>
          <w:sz w:val="24"/>
        </w:rPr>
      </w:pPr>
      <w:r>
        <w:rPr>
          <w:rFonts w:hint="eastAsia" w:ascii="楷体" w:hAnsi="楷体" w:eastAsia="楷体"/>
          <w:b/>
          <w:sz w:val="24"/>
        </w:rPr>
        <w:t>附件二：</w:t>
      </w:r>
    </w:p>
    <w:p>
      <w:pPr>
        <w:adjustRightInd w:val="0"/>
        <w:snapToGrid w:val="0"/>
        <w:spacing w:line="360" w:lineRule="auto"/>
        <w:ind w:left="482" w:firstLine="480"/>
        <w:rPr>
          <w:rFonts w:ascii="楷体" w:hAnsi="楷体" w:eastAsia="楷体" w:cs="宋体"/>
          <w:b/>
          <w:color w:val="000000"/>
          <w:kern w:val="0"/>
          <w:sz w:val="24"/>
        </w:rPr>
      </w:pPr>
    </w:p>
    <w:p>
      <w:pPr>
        <w:adjustRightInd w:val="0"/>
        <w:snapToGrid w:val="0"/>
        <w:spacing w:line="360" w:lineRule="auto"/>
        <w:ind w:left="840" w:leftChars="228" w:hanging="361" w:hangingChars="150"/>
        <w:jc w:val="center"/>
        <w:rPr>
          <w:rFonts w:ascii="楷体" w:hAnsi="楷体" w:eastAsia="楷体" w:cs="宋体"/>
          <w:b/>
          <w:color w:val="000000"/>
          <w:kern w:val="0"/>
          <w:sz w:val="24"/>
        </w:rPr>
      </w:pPr>
      <w:r>
        <w:rPr>
          <w:rFonts w:hint="eastAsia" w:ascii="楷体" w:hAnsi="楷体" w:eastAsia="楷体" w:cs="宋体"/>
          <w:b/>
          <w:color w:val="000000"/>
          <w:kern w:val="0"/>
          <w:sz w:val="24"/>
        </w:rPr>
        <w:t>合同工期及质量标准</w:t>
      </w:r>
    </w:p>
    <w:p>
      <w:pPr>
        <w:adjustRightInd w:val="0"/>
        <w:snapToGrid w:val="0"/>
        <w:spacing w:line="360" w:lineRule="auto"/>
        <w:ind w:left="840" w:leftChars="228" w:hanging="361" w:hangingChars="150"/>
        <w:jc w:val="center"/>
        <w:rPr>
          <w:rFonts w:ascii="楷体" w:hAnsi="楷体" w:eastAsia="楷体" w:cs="宋体"/>
          <w:b/>
          <w:color w:val="000000"/>
          <w:kern w:val="0"/>
          <w:sz w:val="24"/>
        </w:rPr>
      </w:pP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1. 合同工期</w:t>
      </w:r>
    </w:p>
    <w:p>
      <w:pPr>
        <w:adjustRightInd w:val="0"/>
        <w:snapToGrid w:val="0"/>
        <w:spacing w:line="360" w:lineRule="auto"/>
        <w:ind w:firstLine="480" w:firstLineChars="200"/>
        <w:rPr>
          <w:rFonts w:ascii="楷体" w:hAnsi="楷体" w:eastAsia="楷体" w:cs="宋体"/>
          <w:color w:val="000000"/>
          <w:kern w:val="0"/>
          <w:sz w:val="24"/>
          <w:u w:val="single"/>
        </w:rPr>
      </w:pPr>
      <w:r>
        <w:rPr>
          <w:rFonts w:hint="eastAsia" w:ascii="楷体" w:hAnsi="楷体" w:eastAsia="楷体" w:cs="宋体"/>
          <w:color w:val="000000"/>
          <w:kern w:val="0"/>
          <w:sz w:val="24"/>
        </w:rPr>
        <w:t>开工日期：</w:t>
      </w:r>
      <w:r>
        <w:rPr>
          <w:rFonts w:hint="eastAsia" w:ascii="楷体" w:hAnsi="楷体" w:eastAsia="楷体" w:cs="宋体"/>
          <w:color w:val="000000"/>
          <w:kern w:val="0"/>
          <w:sz w:val="24"/>
          <w:u w:val="single"/>
        </w:rPr>
        <w:t xml:space="preserve">                       ；</w:t>
      </w:r>
    </w:p>
    <w:p>
      <w:pPr>
        <w:adjustRightInd w:val="0"/>
        <w:snapToGrid w:val="0"/>
        <w:spacing w:line="360" w:lineRule="auto"/>
        <w:ind w:firstLine="480" w:firstLineChars="200"/>
        <w:rPr>
          <w:rFonts w:ascii="楷体" w:hAnsi="楷体" w:eastAsia="楷体" w:cs="宋体"/>
          <w:color w:val="000000"/>
          <w:kern w:val="0"/>
          <w:sz w:val="24"/>
          <w:u w:val="single"/>
        </w:rPr>
      </w:pPr>
      <w:r>
        <w:rPr>
          <w:rFonts w:hint="eastAsia" w:ascii="楷体" w:hAnsi="楷体" w:eastAsia="楷体" w:cs="宋体"/>
          <w:color w:val="000000"/>
          <w:kern w:val="0"/>
          <w:sz w:val="24"/>
        </w:rPr>
        <w:t>竣工日期：</w:t>
      </w:r>
      <w:r>
        <w:rPr>
          <w:rFonts w:hint="eastAsia" w:ascii="楷体" w:hAnsi="楷体" w:eastAsia="楷体" w:cs="宋体"/>
          <w:color w:val="000000"/>
          <w:kern w:val="0"/>
          <w:sz w:val="24"/>
          <w:u w:val="single"/>
        </w:rPr>
        <w:t xml:space="preserve">                       ；</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合同工期总日历天数天。</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2. 质量标准：</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（1）本工程质量应达到国家、地方或专业的质量检验标准、设计标准；</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（2）双方约定标准：</w:t>
      </w:r>
    </w:p>
    <w:p>
      <w:pPr>
        <w:adjustRightInd w:val="0"/>
        <w:snapToGrid w:val="0"/>
        <w:spacing w:line="360" w:lineRule="auto"/>
        <w:rPr>
          <w:rFonts w:ascii="楷体" w:hAnsi="楷体" w:eastAsia="楷体" w:cs="宋体"/>
          <w:color w:val="000000"/>
          <w:kern w:val="0"/>
          <w:sz w:val="24"/>
        </w:rPr>
      </w:pPr>
      <w:r>
        <w:rPr>
          <w:rFonts w:hint="eastAsia" w:ascii="楷体" w:hAnsi="楷体" w:eastAsia="楷体" w:cs="宋体"/>
          <w:color w:val="000000"/>
          <w:kern w:val="0"/>
          <w:sz w:val="24"/>
        </w:rPr>
        <w:t>___________________________________________________________________</w:t>
      </w: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hint="eastAsia" w:ascii="楷体" w:hAnsi="楷体" w:eastAsia="楷体"/>
          <w:b/>
          <w:sz w:val="24"/>
        </w:rPr>
      </w:pPr>
    </w:p>
    <w:p>
      <w:pPr>
        <w:snapToGrid w:val="0"/>
        <w:spacing w:line="360" w:lineRule="auto"/>
        <w:rPr>
          <w:rFonts w:ascii="楷体" w:hAnsi="楷体" w:eastAsia="楷体"/>
          <w:b/>
          <w:sz w:val="24"/>
        </w:rPr>
      </w:pPr>
      <w:r>
        <w:rPr>
          <w:rFonts w:hint="eastAsia" w:ascii="楷体" w:hAnsi="楷体" w:eastAsia="楷体"/>
          <w:b/>
          <w:sz w:val="24"/>
        </w:rPr>
        <w:t>附件三：</w:t>
      </w:r>
    </w:p>
    <w:p>
      <w:pPr>
        <w:adjustRightInd w:val="0"/>
        <w:snapToGrid w:val="0"/>
        <w:spacing w:line="360" w:lineRule="auto"/>
        <w:ind w:left="482" w:firstLine="480"/>
        <w:rPr>
          <w:rFonts w:ascii="楷体" w:hAnsi="楷体" w:eastAsia="楷体" w:cs="宋体"/>
          <w:b/>
          <w:color w:val="000000"/>
          <w:kern w:val="0"/>
          <w:sz w:val="24"/>
        </w:rPr>
      </w:pPr>
    </w:p>
    <w:p>
      <w:pPr>
        <w:adjustRightInd w:val="0"/>
        <w:snapToGrid w:val="0"/>
        <w:spacing w:line="360" w:lineRule="auto"/>
        <w:ind w:left="840" w:leftChars="228" w:hanging="361" w:hangingChars="150"/>
        <w:jc w:val="center"/>
        <w:rPr>
          <w:rFonts w:ascii="楷体" w:hAnsi="楷体" w:eastAsia="楷体" w:cs="宋体"/>
          <w:b/>
          <w:color w:val="000000"/>
          <w:kern w:val="0"/>
          <w:sz w:val="24"/>
        </w:rPr>
      </w:pPr>
      <w:r>
        <w:rPr>
          <w:rFonts w:hint="eastAsia" w:ascii="楷体" w:hAnsi="楷体" w:eastAsia="楷体" w:cs="宋体"/>
          <w:b/>
          <w:color w:val="000000"/>
          <w:kern w:val="0"/>
          <w:sz w:val="24"/>
        </w:rPr>
        <w:t>付款</w:t>
      </w:r>
    </w:p>
    <w:p>
      <w:pPr>
        <w:adjustRightInd w:val="0"/>
        <w:snapToGrid w:val="0"/>
        <w:spacing w:line="360" w:lineRule="auto"/>
        <w:ind w:left="840" w:leftChars="228" w:hanging="361" w:hangingChars="150"/>
        <w:jc w:val="center"/>
        <w:rPr>
          <w:rFonts w:ascii="楷体" w:hAnsi="楷体" w:eastAsia="楷体" w:cs="宋体"/>
          <w:b/>
          <w:color w:val="000000"/>
          <w:kern w:val="0"/>
          <w:sz w:val="24"/>
        </w:rPr>
      </w:pPr>
    </w:p>
    <w:p>
      <w:pPr>
        <w:adjustRightInd w:val="0"/>
        <w:snapToGrid w:val="0"/>
        <w:spacing w:line="360" w:lineRule="auto"/>
        <w:ind w:firstLine="480" w:firstLineChars="200"/>
        <w:rPr>
          <w:rFonts w:ascii="楷体" w:hAnsi="楷体" w:eastAsia="楷体"/>
          <w:sz w:val="24"/>
        </w:rPr>
      </w:pPr>
      <w:r>
        <w:rPr>
          <w:rFonts w:hint="eastAsia" w:ascii="楷体" w:hAnsi="楷体" w:eastAsia="楷体"/>
          <w:sz w:val="24"/>
        </w:rPr>
        <w:t>1.</w:t>
      </w:r>
      <w:r>
        <w:rPr>
          <w:rFonts w:ascii="楷体" w:hAnsi="楷体" w:eastAsia="楷体"/>
          <w:sz w:val="24"/>
        </w:rPr>
        <w:t xml:space="preserve"> </w:t>
      </w:r>
      <w:r>
        <w:rPr>
          <w:rFonts w:hint="eastAsia" w:ascii="楷体" w:hAnsi="楷体" w:eastAsia="楷体"/>
          <w:sz w:val="24"/>
        </w:rPr>
        <w:t>本合同使用货币种类为人民币。</w:t>
      </w:r>
    </w:p>
    <w:p>
      <w:pPr>
        <w:adjustRightInd w:val="0"/>
        <w:snapToGrid w:val="0"/>
        <w:spacing w:line="360" w:lineRule="auto"/>
        <w:ind w:firstLine="480" w:firstLineChars="200"/>
        <w:rPr>
          <w:rFonts w:ascii="楷体" w:hAnsi="楷体" w:eastAsia="楷体"/>
          <w:sz w:val="24"/>
        </w:rPr>
      </w:pPr>
      <w:r>
        <w:rPr>
          <w:rFonts w:hint="eastAsia" w:ascii="楷体" w:hAnsi="楷体" w:eastAsia="楷体"/>
          <w:sz w:val="24"/>
        </w:rPr>
        <w:t>2. 付款方式：转账[现金/支票]。</w:t>
      </w:r>
      <w:r>
        <w:rPr>
          <w:rFonts w:ascii="楷体" w:hAnsi="楷体" w:eastAsia="楷体"/>
          <w:sz w:val="24"/>
        </w:rPr>
        <w:t>双方采用转账方式付款</w:t>
      </w:r>
      <w:r>
        <w:rPr>
          <w:rFonts w:hint="eastAsia" w:ascii="楷体" w:hAnsi="楷体" w:eastAsia="楷体"/>
          <w:sz w:val="24"/>
        </w:rPr>
        <w:t>的，发包人应向承包人</w:t>
      </w:r>
      <w:r>
        <w:rPr>
          <w:rFonts w:ascii="楷体" w:hAnsi="楷体" w:eastAsia="楷体"/>
          <w:sz w:val="24"/>
        </w:rPr>
        <w:t>以下账户进行付费：</w:t>
      </w:r>
    </w:p>
    <w:p>
      <w:pPr>
        <w:adjustRightInd w:val="0"/>
        <w:snapToGrid w:val="0"/>
        <w:spacing w:line="360" w:lineRule="auto"/>
        <w:ind w:firstLine="480" w:firstLineChars="200"/>
        <w:rPr>
          <w:rFonts w:ascii="楷体" w:hAnsi="楷体" w:eastAsia="楷体"/>
          <w:sz w:val="24"/>
          <w:u w:val="single"/>
        </w:rPr>
      </w:pPr>
      <w:r>
        <w:rPr>
          <w:rFonts w:ascii="楷体" w:hAnsi="楷体" w:eastAsia="楷体"/>
          <w:sz w:val="24"/>
        </w:rPr>
        <w:tab/>
      </w:r>
      <w:r>
        <w:rPr>
          <w:rFonts w:hint="eastAsia" w:ascii="楷体" w:hAnsi="楷体" w:eastAsia="楷体"/>
          <w:sz w:val="24"/>
        </w:rPr>
        <w:t>承包人</w:t>
      </w:r>
      <w:r>
        <w:rPr>
          <w:rFonts w:ascii="楷体" w:hAnsi="楷体" w:eastAsia="楷体"/>
          <w:sz w:val="24"/>
        </w:rPr>
        <w:t>：</w:t>
      </w:r>
    </w:p>
    <w:p>
      <w:pPr>
        <w:adjustRightInd w:val="0"/>
        <w:snapToGrid w:val="0"/>
        <w:spacing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开户行：</w:t>
      </w:r>
    </w:p>
    <w:p>
      <w:pPr>
        <w:adjustRightInd w:val="0"/>
        <w:snapToGrid w:val="0"/>
        <w:spacing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账户名称：</w:t>
      </w:r>
    </w:p>
    <w:p>
      <w:pPr>
        <w:adjustRightInd w:val="0"/>
        <w:snapToGrid w:val="0"/>
        <w:spacing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账号：</w:t>
      </w:r>
    </w:p>
    <w:p>
      <w:pPr>
        <w:widowControl/>
        <w:adjustRightInd w:val="0"/>
        <w:snapToGrid w:val="0"/>
        <w:spacing w:line="360" w:lineRule="auto"/>
        <w:ind w:firstLine="480" w:firstLineChars="200"/>
        <w:jc w:val="left"/>
        <w:rPr>
          <w:rFonts w:ascii="楷体" w:hAnsi="楷体" w:eastAsia="楷体"/>
          <w:sz w:val="24"/>
        </w:rPr>
      </w:pPr>
      <w:r>
        <w:rPr>
          <w:rFonts w:hint="eastAsia" w:ascii="楷体" w:hAnsi="楷体" w:eastAsia="楷体"/>
          <w:sz w:val="24"/>
        </w:rPr>
        <w:t>承包人</w:t>
      </w:r>
      <w:r>
        <w:rPr>
          <w:rFonts w:ascii="楷体" w:hAnsi="楷体" w:eastAsia="楷体"/>
          <w:sz w:val="24"/>
        </w:rPr>
        <w:t>如需改变上述账户，应提前</w:t>
      </w:r>
      <w:r>
        <w:rPr>
          <w:rFonts w:hint="eastAsia" w:ascii="楷体" w:hAnsi="楷体" w:eastAsia="楷体"/>
          <w:sz w:val="24"/>
        </w:rPr>
        <w:t>10</w:t>
      </w:r>
      <w:r>
        <w:rPr>
          <w:rFonts w:ascii="楷体" w:hAnsi="楷体" w:eastAsia="楷体"/>
          <w:sz w:val="24"/>
        </w:rPr>
        <w:t>日以书面通知</w:t>
      </w:r>
      <w:r>
        <w:rPr>
          <w:rFonts w:hint="eastAsia" w:ascii="楷体" w:hAnsi="楷体" w:eastAsia="楷体"/>
          <w:sz w:val="24"/>
        </w:rPr>
        <w:t>发包人</w:t>
      </w:r>
      <w:r>
        <w:rPr>
          <w:rFonts w:ascii="楷体" w:hAnsi="楷体" w:eastAsia="楷体"/>
          <w:sz w:val="24"/>
        </w:rPr>
        <w:t>。</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3．付款安排：</w:t>
      </w:r>
    </w:p>
    <w:p>
      <w:pPr>
        <w:adjustRightInd w:val="0"/>
        <w:snapToGrid w:val="0"/>
        <w:spacing w:line="360" w:lineRule="auto"/>
        <w:ind w:left="2" w:firstLine="480" w:firstLineChars="200"/>
        <w:rPr>
          <w:rFonts w:ascii="楷体" w:hAnsi="楷体" w:eastAsia="楷体" w:cs="宋体"/>
          <w:iCs/>
          <w:color w:val="000000"/>
          <w:kern w:val="0"/>
          <w:sz w:val="24"/>
        </w:rPr>
      </w:pPr>
      <w:r>
        <w:rPr>
          <w:rFonts w:hint="eastAsia" w:ascii="楷体" w:hAnsi="楷体" w:eastAsia="楷体" w:cs="宋体"/>
          <w:iCs/>
          <w:color w:val="000000"/>
          <w:kern w:val="0"/>
          <w:sz w:val="24"/>
        </w:rPr>
        <w:t>（1）本合同签订后，发包人在收到承包人相应金额的合法有效</w:t>
      </w:r>
      <w:r>
        <w:rPr>
          <w:rFonts w:ascii="楷体" w:hAnsi="楷体" w:eastAsia="楷体" w:cs="宋体"/>
          <w:iCs/>
          <w:color w:val="000000"/>
          <w:kern w:val="0"/>
          <w:sz w:val="24"/>
        </w:rPr>
        <w:t>的增值税专用</w:t>
      </w:r>
      <w:r>
        <w:rPr>
          <w:rFonts w:hint="eastAsia" w:ascii="楷体" w:hAnsi="楷体" w:eastAsia="楷体" w:cs="宋体"/>
          <w:iCs/>
          <w:color w:val="000000"/>
          <w:kern w:val="0"/>
          <w:sz w:val="24"/>
        </w:rPr>
        <w:t>发票后_____个工作日内向承包人支付上述合同价款的_____%，计人民币_____元；</w:t>
      </w:r>
    </w:p>
    <w:p>
      <w:pPr>
        <w:adjustRightInd w:val="0"/>
        <w:snapToGrid w:val="0"/>
        <w:spacing w:line="360" w:lineRule="auto"/>
        <w:ind w:left="2" w:firstLine="480" w:firstLineChars="200"/>
        <w:rPr>
          <w:rFonts w:ascii="楷体" w:hAnsi="楷体" w:eastAsia="楷体" w:cs="宋体"/>
          <w:iCs/>
          <w:color w:val="000000"/>
          <w:kern w:val="0"/>
          <w:sz w:val="24"/>
        </w:rPr>
      </w:pPr>
      <w:r>
        <w:rPr>
          <w:rFonts w:hint="eastAsia" w:ascii="楷体" w:hAnsi="楷体" w:eastAsia="楷体" w:cs="宋体"/>
          <w:iCs/>
          <w:color w:val="000000"/>
          <w:kern w:val="0"/>
          <w:sz w:val="24"/>
        </w:rPr>
        <w:t>（2）工程竣工验收合格并完成结算后，发包人在收到承包人相应金额的合法有效</w:t>
      </w:r>
      <w:r>
        <w:rPr>
          <w:rFonts w:ascii="楷体" w:hAnsi="楷体" w:eastAsia="楷体" w:cs="宋体"/>
          <w:iCs/>
          <w:color w:val="000000"/>
          <w:kern w:val="0"/>
          <w:sz w:val="24"/>
        </w:rPr>
        <w:t>的增值税专用</w:t>
      </w:r>
      <w:r>
        <w:rPr>
          <w:rFonts w:hint="eastAsia" w:ascii="楷体" w:hAnsi="楷体" w:eastAsia="楷体" w:cs="宋体"/>
          <w:iCs/>
          <w:color w:val="000000"/>
          <w:kern w:val="0"/>
          <w:sz w:val="24"/>
        </w:rPr>
        <w:t>发票后____个工作日内向承包人支付到最终工程结算总价款的_____%；</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iCs/>
          <w:color w:val="000000"/>
          <w:kern w:val="0"/>
          <w:sz w:val="24"/>
        </w:rPr>
        <w:t>（3）保修金支付：双方最终工程结算总价款的_____%作为工程保修金，在工程验收合格且年保修期限届满后，发包人在收到承包人相应金额的增值税</w:t>
      </w:r>
      <w:r>
        <w:rPr>
          <w:rFonts w:ascii="楷体" w:hAnsi="楷体" w:eastAsia="楷体" w:cs="宋体"/>
          <w:iCs/>
          <w:color w:val="000000"/>
          <w:kern w:val="0"/>
          <w:sz w:val="24"/>
        </w:rPr>
        <w:t>专用</w:t>
      </w:r>
      <w:r>
        <w:rPr>
          <w:rFonts w:hint="eastAsia" w:ascii="楷体" w:hAnsi="楷体" w:eastAsia="楷体" w:cs="宋体"/>
          <w:iCs/>
          <w:color w:val="000000"/>
          <w:kern w:val="0"/>
          <w:sz w:val="24"/>
        </w:rPr>
        <w:t>发票后_____个工作日内付清。</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4. 接通施工所需的水、电，水电费由承担。</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5</w:t>
      </w:r>
      <w:r>
        <w:rPr>
          <w:rFonts w:ascii="楷体" w:hAnsi="楷体" w:eastAsia="楷体" w:cs="宋体"/>
          <w:color w:val="000000"/>
          <w:kern w:val="0"/>
          <w:sz w:val="24"/>
        </w:rPr>
        <w:t xml:space="preserve">. </w:t>
      </w:r>
      <w:r>
        <w:rPr>
          <w:rFonts w:hint="eastAsia" w:ascii="楷体" w:hAnsi="楷体" w:eastAsia="楷体" w:cs="宋体"/>
          <w:color w:val="000000"/>
          <w:kern w:val="0"/>
          <w:sz w:val="24"/>
        </w:rPr>
        <w:t>增值税</w:t>
      </w:r>
      <w:r>
        <w:rPr>
          <w:rFonts w:ascii="楷体" w:hAnsi="楷体" w:eastAsia="楷体" w:cs="宋体"/>
          <w:color w:val="000000"/>
          <w:kern w:val="0"/>
          <w:sz w:val="24"/>
        </w:rPr>
        <w:t>专用发票的相关</w:t>
      </w:r>
      <w:r>
        <w:rPr>
          <w:rFonts w:hint="eastAsia" w:ascii="楷体" w:hAnsi="楷体" w:eastAsia="楷体" w:cs="宋体"/>
          <w:color w:val="000000"/>
          <w:kern w:val="0"/>
          <w:sz w:val="24"/>
        </w:rPr>
        <w:t>约定</w:t>
      </w:r>
    </w:p>
    <w:p>
      <w:pPr>
        <w:snapToGrid w:val="0"/>
        <w:spacing w:line="360" w:lineRule="auto"/>
        <w:rPr>
          <w:rFonts w:ascii="楷体_GB2312" w:hAnsi="宋体" w:eastAsia="楷体_GB2312"/>
          <w:sz w:val="24"/>
        </w:rPr>
      </w:pPr>
      <w:r>
        <w:rPr>
          <w:rFonts w:hint="eastAsia" w:ascii="楷体_GB2312" w:hAnsi="宋体" w:eastAsia="楷体_GB2312"/>
          <w:sz w:val="24"/>
        </w:rPr>
        <w:t>（1）乙方应向甲方开具增值税专用发票，甲方开票信息如下：</w:t>
      </w:r>
      <w:r>
        <w:rPr>
          <w:rFonts w:ascii="楷体_GB2312" w:hAnsi="宋体" w:eastAsia="楷体_GB2312"/>
          <w:sz w:val="24"/>
        </w:rPr>
        <w:t xml:space="preserve"> </w:t>
      </w:r>
    </w:p>
    <w:p>
      <w:pPr>
        <w:snapToGrid w:val="0"/>
        <w:spacing w:line="360" w:lineRule="auto"/>
        <w:rPr>
          <w:rFonts w:ascii="楷体_GB2312" w:hAnsi="宋体" w:eastAsia="楷体_GB2312"/>
          <w:sz w:val="24"/>
        </w:rPr>
      </w:pPr>
      <w:r>
        <w:rPr>
          <w:rFonts w:hint="eastAsia" w:ascii="楷体_GB2312" w:hAnsi="宋体" w:eastAsia="楷体_GB2312"/>
          <w:sz w:val="24"/>
        </w:rPr>
        <w:t>公司名称：</w:t>
      </w:r>
      <w:r>
        <w:rPr>
          <w:rFonts w:ascii="楷体_GB2312" w:hAnsi="宋体" w:eastAsia="楷体_GB2312"/>
          <w:sz w:val="24"/>
        </w:rPr>
        <w:t xml:space="preserve"> ______________________________</w:t>
      </w:r>
    </w:p>
    <w:p>
      <w:pPr>
        <w:snapToGrid w:val="0"/>
        <w:spacing w:line="360" w:lineRule="auto"/>
        <w:rPr>
          <w:rFonts w:ascii="楷体_GB2312" w:hAnsi="宋体" w:eastAsia="楷体_GB2312"/>
          <w:sz w:val="24"/>
        </w:rPr>
      </w:pPr>
      <w:r>
        <w:rPr>
          <w:rFonts w:hint="eastAsia" w:ascii="楷体_GB2312" w:hAnsi="宋体" w:eastAsia="楷体_GB2312"/>
          <w:sz w:val="24"/>
        </w:rPr>
        <w:t>纳税识别号：</w:t>
      </w:r>
      <w:r>
        <w:rPr>
          <w:rFonts w:ascii="楷体_GB2312" w:hAnsi="宋体" w:eastAsia="楷体_GB2312"/>
          <w:sz w:val="24"/>
        </w:rPr>
        <w:t xml:space="preserve"> ____________________________</w:t>
      </w:r>
    </w:p>
    <w:p>
      <w:pPr>
        <w:snapToGrid w:val="0"/>
        <w:spacing w:line="360" w:lineRule="auto"/>
        <w:rPr>
          <w:rFonts w:ascii="楷体_GB2312" w:hAnsi="宋体" w:eastAsia="楷体_GB2312"/>
          <w:sz w:val="24"/>
        </w:rPr>
      </w:pPr>
      <w:r>
        <w:rPr>
          <w:rFonts w:hint="eastAsia" w:ascii="楷体_GB2312" w:hAnsi="宋体" w:eastAsia="楷体_GB2312"/>
          <w:sz w:val="24"/>
        </w:rPr>
        <w:t>银行账号：</w:t>
      </w:r>
      <w:r>
        <w:rPr>
          <w:rFonts w:ascii="楷体_GB2312" w:hAnsi="宋体" w:eastAsia="楷体_GB2312"/>
          <w:sz w:val="24"/>
        </w:rPr>
        <w:t xml:space="preserve"> ______________________________</w:t>
      </w:r>
    </w:p>
    <w:p>
      <w:pPr>
        <w:snapToGrid w:val="0"/>
        <w:spacing w:line="360" w:lineRule="auto"/>
        <w:rPr>
          <w:rFonts w:ascii="楷体_GB2312" w:hAnsi="宋体" w:eastAsia="楷体_GB2312"/>
          <w:sz w:val="24"/>
        </w:rPr>
      </w:pPr>
      <w:r>
        <w:rPr>
          <w:rFonts w:hint="eastAsia" w:ascii="楷体_GB2312" w:hAnsi="宋体" w:eastAsia="楷体_GB2312"/>
          <w:sz w:val="24"/>
        </w:rPr>
        <w:t>开户银行：</w:t>
      </w:r>
      <w:r>
        <w:rPr>
          <w:rFonts w:ascii="楷体_GB2312" w:hAnsi="宋体" w:eastAsia="楷体_GB2312"/>
          <w:sz w:val="24"/>
        </w:rPr>
        <w:t xml:space="preserve"> ______________________________</w:t>
      </w:r>
    </w:p>
    <w:p>
      <w:pPr>
        <w:snapToGrid w:val="0"/>
        <w:spacing w:line="360" w:lineRule="auto"/>
        <w:rPr>
          <w:rFonts w:ascii="楷体_GB2312" w:hAnsi="宋体" w:eastAsia="楷体_GB2312"/>
          <w:sz w:val="24"/>
        </w:rPr>
      </w:pPr>
      <w:r>
        <w:rPr>
          <w:rFonts w:hint="eastAsia" w:ascii="楷体_GB2312" w:hAnsi="宋体" w:eastAsia="楷体_GB2312"/>
          <w:sz w:val="24"/>
        </w:rPr>
        <w:t>开票地址：</w:t>
      </w:r>
      <w:r>
        <w:rPr>
          <w:rFonts w:ascii="楷体_GB2312" w:hAnsi="宋体" w:eastAsia="楷体_GB2312"/>
          <w:sz w:val="24"/>
        </w:rPr>
        <w:t xml:space="preserve"> ______________________________</w:t>
      </w:r>
    </w:p>
    <w:p>
      <w:pPr>
        <w:snapToGrid w:val="0"/>
        <w:spacing w:line="360" w:lineRule="auto"/>
        <w:rPr>
          <w:rFonts w:ascii="楷体_GB2312" w:hAnsi="宋体" w:eastAsia="楷体_GB2312"/>
          <w:sz w:val="24"/>
        </w:rPr>
      </w:pPr>
      <w:r>
        <w:rPr>
          <w:rFonts w:hint="eastAsia" w:ascii="楷体_GB2312" w:hAnsi="宋体" w:eastAsia="楷体_GB2312"/>
          <w:sz w:val="24"/>
        </w:rPr>
        <w:t>开票电话：</w:t>
      </w:r>
      <w:r>
        <w:rPr>
          <w:rFonts w:ascii="楷体_GB2312" w:hAnsi="宋体" w:eastAsia="楷体_GB2312"/>
          <w:sz w:val="24"/>
        </w:rPr>
        <w:t xml:space="preserve"> ______________________________</w:t>
      </w:r>
    </w:p>
    <w:p>
      <w:pPr>
        <w:snapToGrid w:val="0"/>
        <w:spacing w:line="360" w:lineRule="auto"/>
        <w:rPr>
          <w:rFonts w:ascii="楷体_GB2312" w:hAnsi="宋体" w:eastAsia="楷体_GB2312"/>
          <w:sz w:val="24"/>
        </w:rPr>
      </w:pPr>
      <w:r>
        <w:rPr>
          <w:rFonts w:hint="eastAsia" w:ascii="楷体_GB2312" w:hAnsi="宋体" w:eastAsia="楷体_GB2312"/>
          <w:sz w:val="24"/>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rPr>
          <w:rFonts w:ascii="楷体_GB2312" w:hAnsi="宋体" w:eastAsia="楷体_GB2312"/>
          <w:sz w:val="24"/>
        </w:rPr>
      </w:pPr>
      <w:r>
        <w:rPr>
          <w:rFonts w:hint="eastAsia" w:ascii="楷体_GB2312" w:hAnsi="宋体" w:eastAsia="楷体_GB2312"/>
          <w:sz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napToGrid w:val="0"/>
        <w:spacing w:line="360" w:lineRule="auto"/>
        <w:rPr>
          <w:rFonts w:ascii="楷体_GB2312" w:hAnsi="宋体" w:eastAsia="楷体_GB2312"/>
          <w:sz w:val="24"/>
        </w:rPr>
      </w:pPr>
      <w:r>
        <w:rPr>
          <w:rFonts w:hint="eastAsia" w:ascii="楷体_GB2312" w:hAnsi="宋体" w:eastAsia="楷体_GB2312"/>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ascii="楷体_GB2312" w:hAnsi="宋体" w:eastAsia="楷体_GB2312"/>
          <w:sz w:val="24"/>
        </w:rPr>
      </w:pPr>
      <w:r>
        <w:rPr>
          <w:rFonts w:hint="eastAsia" w:ascii="楷体_GB2312" w:hAnsi="宋体" w:eastAsia="楷体_GB2312"/>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ascii="楷体_GB2312" w:hAnsi="宋体" w:eastAsia="楷体_GB2312"/>
          <w:sz w:val="24"/>
        </w:rPr>
      </w:pPr>
      <w:r>
        <w:rPr>
          <w:rFonts w:hint="eastAsia" w:ascii="楷体_GB2312" w:hAnsi="宋体" w:eastAsia="楷体_GB2312"/>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hint="eastAsia" w:ascii="楷体_GB2312" w:hAnsi="宋体" w:eastAsia="楷体_GB2312"/>
          <w:sz w:val="24"/>
        </w:rPr>
      </w:pPr>
      <w:r>
        <w:rPr>
          <w:rFonts w:hint="eastAsia" w:ascii="楷体_GB2312" w:hAnsi="宋体" w:eastAsia="楷体_GB2312"/>
          <w:sz w:val="24"/>
        </w:rPr>
        <w:t>（7）本合同项下的业务发生销售折让、销售退回或其它按照国家规定需要开具红字发票或重新开票的情况，乙方有义务按照国家税收规定向甲方开具红字发票或重新开票。如果乙方</w:t>
      </w:r>
      <w:r>
        <w:rPr>
          <w:rFonts w:ascii="楷体_GB2312" w:hAnsi="宋体" w:eastAsia="楷体_GB2312"/>
          <w:sz w:val="24"/>
        </w:rPr>
        <w:t>需要</w:t>
      </w:r>
      <w:r>
        <w:rPr>
          <w:rFonts w:hint="eastAsia" w:ascii="楷体_GB2312" w:hAnsi="宋体" w:eastAsia="楷体_GB2312"/>
          <w:sz w:val="24"/>
        </w:rPr>
        <w:t>甲方提供开具红字发票或重新开票的有关资料，甲方应视具体情况予以</w:t>
      </w:r>
      <w:r>
        <w:rPr>
          <w:rFonts w:ascii="楷体_GB2312" w:hAnsi="宋体" w:eastAsia="楷体_GB2312"/>
          <w:sz w:val="24"/>
        </w:rPr>
        <w:t>提供</w:t>
      </w:r>
      <w:r>
        <w:rPr>
          <w:rFonts w:hint="eastAsia" w:ascii="楷体_GB2312" w:hAnsi="宋体" w:eastAsia="楷体_GB2312"/>
          <w:sz w:val="24"/>
        </w:rPr>
        <w:t>。</w:t>
      </w:r>
    </w:p>
    <w:p>
      <w:pPr>
        <w:pStyle w:val="31"/>
        <w:rPr>
          <w:rFonts w:hint="eastAsia" w:ascii="楷体_GB2312" w:hAnsi="宋体" w:eastAsia="楷体_GB2312"/>
          <w:sz w:val="24"/>
        </w:rPr>
      </w:pPr>
    </w:p>
    <w:p>
      <w:pPr>
        <w:rPr>
          <w:rFonts w:hint="eastAsia" w:ascii="楷体_GB2312" w:hAnsi="宋体" w:eastAsia="楷体_GB2312"/>
          <w:sz w:val="24"/>
        </w:rPr>
      </w:pPr>
    </w:p>
    <w:p>
      <w:pPr>
        <w:pStyle w:val="31"/>
        <w:rPr>
          <w:rFonts w:hint="eastAsia" w:ascii="楷体_GB2312" w:hAnsi="宋体" w:eastAsia="楷体_GB2312"/>
          <w:sz w:val="24"/>
        </w:rPr>
      </w:pPr>
    </w:p>
    <w:p>
      <w:pPr>
        <w:rPr>
          <w:rFonts w:hint="eastAsia" w:ascii="楷体_GB2312" w:hAnsi="宋体" w:eastAsia="楷体_GB2312"/>
          <w:sz w:val="24"/>
        </w:rPr>
      </w:pPr>
    </w:p>
    <w:p>
      <w:pPr>
        <w:pStyle w:val="31"/>
        <w:rPr>
          <w:rFonts w:hint="eastAsia" w:ascii="楷体_GB2312" w:hAnsi="宋体" w:eastAsia="楷体_GB2312"/>
          <w:sz w:val="24"/>
        </w:rPr>
      </w:pPr>
    </w:p>
    <w:p>
      <w:pPr>
        <w:rPr>
          <w:rFonts w:hint="eastAsia" w:ascii="楷体_GB2312" w:hAnsi="宋体" w:eastAsia="楷体_GB2312"/>
          <w:sz w:val="24"/>
        </w:rPr>
      </w:pPr>
    </w:p>
    <w:p>
      <w:pPr>
        <w:pStyle w:val="31"/>
        <w:rPr>
          <w:rFonts w:hint="eastAsia" w:ascii="楷体_GB2312" w:hAnsi="宋体" w:eastAsia="楷体_GB2312"/>
          <w:sz w:val="24"/>
        </w:rPr>
      </w:pPr>
    </w:p>
    <w:p>
      <w:pPr>
        <w:rPr>
          <w:rFonts w:hint="eastAsia" w:ascii="楷体_GB2312" w:hAnsi="宋体" w:eastAsia="楷体_GB2312"/>
          <w:sz w:val="24"/>
        </w:rPr>
      </w:pPr>
    </w:p>
    <w:p>
      <w:pPr>
        <w:pStyle w:val="31"/>
        <w:rPr>
          <w:rFonts w:hint="eastAsia" w:ascii="楷体_GB2312" w:hAnsi="宋体" w:eastAsia="楷体_GB2312"/>
          <w:sz w:val="24"/>
        </w:rPr>
      </w:pPr>
    </w:p>
    <w:p>
      <w:pPr>
        <w:rPr>
          <w:rFonts w:hint="eastAsia" w:ascii="楷体_GB2312" w:hAnsi="宋体" w:eastAsia="楷体_GB2312"/>
          <w:sz w:val="24"/>
        </w:rPr>
      </w:pPr>
    </w:p>
    <w:p>
      <w:pPr>
        <w:spacing w:line="360" w:lineRule="auto"/>
        <w:rPr>
          <w:rFonts w:ascii="楷体" w:hAnsi="楷体" w:eastAsia="楷体"/>
          <w:sz w:val="24"/>
        </w:rPr>
      </w:pPr>
      <w:r>
        <w:rPr>
          <w:rFonts w:hint="eastAsia" w:ascii="楷体" w:hAnsi="楷体" w:eastAsia="楷体"/>
          <w:b/>
          <w:sz w:val="24"/>
        </w:rPr>
        <w:t>附件四：</w:t>
      </w:r>
    </w:p>
    <w:p>
      <w:pPr>
        <w:adjustRightInd w:val="0"/>
        <w:snapToGrid w:val="0"/>
        <w:spacing w:line="360" w:lineRule="auto"/>
        <w:ind w:left="482" w:firstLine="480"/>
        <w:rPr>
          <w:rFonts w:ascii="楷体" w:hAnsi="楷体" w:eastAsia="楷体" w:cs="宋体"/>
          <w:b/>
          <w:color w:val="000000"/>
          <w:kern w:val="0"/>
          <w:sz w:val="24"/>
        </w:rPr>
      </w:pPr>
    </w:p>
    <w:p>
      <w:pPr>
        <w:adjustRightInd w:val="0"/>
        <w:snapToGrid w:val="0"/>
        <w:spacing w:line="360" w:lineRule="auto"/>
        <w:ind w:left="840" w:leftChars="228" w:hanging="361" w:hangingChars="150"/>
        <w:jc w:val="center"/>
        <w:rPr>
          <w:rFonts w:ascii="楷体" w:hAnsi="楷体" w:eastAsia="楷体" w:cs="宋体"/>
          <w:b/>
          <w:color w:val="000000"/>
          <w:kern w:val="0"/>
          <w:sz w:val="24"/>
        </w:rPr>
      </w:pPr>
      <w:r>
        <w:rPr>
          <w:rFonts w:hint="eastAsia" w:ascii="楷体" w:hAnsi="楷体" w:eastAsia="楷体" w:cs="宋体"/>
          <w:b/>
          <w:color w:val="000000"/>
          <w:kern w:val="0"/>
          <w:sz w:val="24"/>
        </w:rPr>
        <w:t>材料设备供应</w:t>
      </w:r>
    </w:p>
    <w:p>
      <w:pPr>
        <w:adjustRightInd w:val="0"/>
        <w:snapToGrid w:val="0"/>
        <w:spacing w:line="360" w:lineRule="auto"/>
        <w:ind w:left="840" w:leftChars="228" w:hanging="361" w:hangingChars="150"/>
        <w:jc w:val="center"/>
        <w:rPr>
          <w:rFonts w:ascii="楷体" w:hAnsi="楷体" w:eastAsia="楷体" w:cs="宋体"/>
          <w:b/>
          <w:color w:val="000000"/>
          <w:kern w:val="0"/>
          <w:sz w:val="24"/>
        </w:rPr>
      </w:pP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承包人提供的材料设备有：</w:t>
      </w:r>
    </w:p>
    <w:p>
      <w:pPr>
        <w:adjustRightInd w:val="0"/>
        <w:snapToGrid w:val="0"/>
        <w:spacing w:line="360" w:lineRule="auto"/>
        <w:rPr>
          <w:rFonts w:ascii="楷体" w:hAnsi="楷体" w:eastAsia="楷体" w:cs="宋体"/>
          <w:color w:val="000000"/>
          <w:kern w:val="0"/>
          <w:sz w:val="24"/>
        </w:rPr>
      </w:pPr>
      <w:r>
        <w:rPr>
          <w:rFonts w:hint="eastAsia" w:ascii="楷体" w:hAnsi="楷体" w:eastAsia="楷体" w:cs="宋体"/>
          <w:color w:val="000000"/>
          <w:kern w:val="0"/>
          <w:sz w:val="24"/>
        </w:rPr>
        <w:t>___________________________________________________________________</w:t>
      </w:r>
    </w:p>
    <w:p>
      <w:pPr>
        <w:pStyle w:val="31"/>
      </w:pPr>
    </w:p>
    <w:p/>
    <w:p>
      <w:pPr>
        <w:pStyle w:val="31"/>
      </w:pPr>
    </w:p>
    <w:p/>
    <w:p>
      <w:pPr>
        <w:pStyle w:val="31"/>
      </w:pPr>
    </w:p>
    <w:p/>
    <w:p>
      <w:pPr>
        <w:pStyle w:val="31"/>
      </w:pPr>
    </w:p>
    <w:p/>
    <w:p>
      <w:pPr>
        <w:pStyle w:val="31"/>
      </w:pPr>
    </w:p>
    <w:p/>
    <w:p>
      <w:pPr>
        <w:pStyle w:val="31"/>
      </w:pPr>
    </w:p>
    <w:p/>
    <w:p>
      <w:pPr>
        <w:pStyle w:val="31"/>
      </w:pPr>
    </w:p>
    <w:p/>
    <w:p>
      <w:pPr>
        <w:pStyle w:val="31"/>
      </w:pPr>
    </w:p>
    <w:p/>
    <w:p>
      <w:pPr>
        <w:pStyle w:val="31"/>
      </w:pPr>
    </w:p>
    <w:p/>
    <w:p>
      <w:pPr>
        <w:pStyle w:val="31"/>
      </w:pPr>
    </w:p>
    <w:p/>
    <w:p>
      <w:pPr>
        <w:pStyle w:val="31"/>
      </w:pPr>
    </w:p>
    <w:p/>
    <w:p>
      <w:pPr>
        <w:pStyle w:val="31"/>
      </w:pPr>
    </w:p>
    <w:p/>
    <w:p>
      <w:pPr>
        <w:pStyle w:val="31"/>
      </w:pPr>
    </w:p>
    <w:p/>
    <w:p>
      <w:pPr>
        <w:snapToGrid w:val="0"/>
        <w:spacing w:line="360" w:lineRule="auto"/>
        <w:rPr>
          <w:rFonts w:ascii="楷体" w:hAnsi="楷体" w:eastAsia="楷体"/>
          <w:b/>
          <w:sz w:val="24"/>
        </w:rPr>
      </w:pPr>
      <w:r>
        <w:rPr>
          <w:rFonts w:hint="eastAsia" w:ascii="楷体" w:hAnsi="楷体" w:eastAsia="楷体"/>
          <w:b/>
          <w:sz w:val="24"/>
        </w:rPr>
        <w:t>附件五：</w:t>
      </w:r>
    </w:p>
    <w:p>
      <w:pPr>
        <w:spacing w:line="360" w:lineRule="auto"/>
        <w:jc w:val="center"/>
        <w:rPr>
          <w:rFonts w:ascii="楷体" w:hAnsi="楷体" w:eastAsia="楷体" w:cs="宋体"/>
          <w:b/>
          <w:color w:val="000000"/>
          <w:kern w:val="0"/>
          <w:sz w:val="24"/>
        </w:rPr>
      </w:pPr>
      <w:r>
        <w:rPr>
          <w:rFonts w:hint="eastAsia" w:ascii="楷体" w:hAnsi="楷体" w:eastAsia="楷体" w:cs="宋体"/>
          <w:b/>
          <w:color w:val="000000"/>
          <w:kern w:val="0"/>
          <w:sz w:val="24"/>
        </w:rPr>
        <w:t>保修</w:t>
      </w:r>
    </w:p>
    <w:p>
      <w:pPr>
        <w:spacing w:line="360" w:lineRule="auto"/>
        <w:jc w:val="center"/>
        <w:rPr>
          <w:rFonts w:ascii="楷体" w:hAnsi="楷体" w:eastAsia="楷体"/>
          <w:sz w:val="24"/>
        </w:rPr>
      </w:pP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 xml:space="preserve">1. 本合同工程保修期限为 </w:t>
      </w:r>
      <w:r>
        <w:rPr>
          <w:rFonts w:ascii="楷体" w:hAnsi="楷体" w:eastAsia="楷体" w:cs="宋体"/>
          <w:color w:val="000000"/>
          <w:kern w:val="0"/>
          <w:sz w:val="24"/>
        </w:rPr>
        <w:t xml:space="preserve"> </w:t>
      </w:r>
      <w:r>
        <w:rPr>
          <w:rFonts w:hint="eastAsia" w:ascii="楷体" w:hAnsi="楷体" w:eastAsia="楷体" w:cs="宋体"/>
          <w:color w:val="000000"/>
          <w:kern w:val="0"/>
          <w:sz w:val="24"/>
        </w:rPr>
        <w:t>年，但防水工程、有防水要求的房间、卫生间和外墙的防渗漏工程为年，自工程竣工验收合格之日起计算。</w:t>
      </w:r>
    </w:p>
    <w:p>
      <w:pPr>
        <w:adjustRightInd w:val="0"/>
        <w:snapToGrid w:val="0"/>
        <w:spacing w:line="360" w:lineRule="auto"/>
        <w:ind w:firstLine="480" w:firstLineChars="200"/>
        <w:rPr>
          <w:rFonts w:ascii="楷体" w:hAnsi="楷体" w:eastAsia="楷体" w:cs="宋体"/>
          <w:color w:val="000000"/>
          <w:kern w:val="0"/>
          <w:sz w:val="24"/>
        </w:rPr>
      </w:pPr>
      <w:r>
        <w:rPr>
          <w:rFonts w:hint="eastAsia" w:ascii="楷体" w:hAnsi="楷体" w:eastAsia="楷体" w:cs="宋体"/>
          <w:color w:val="000000"/>
          <w:kern w:val="0"/>
          <w:sz w:val="24"/>
        </w:rPr>
        <w:t>2. 保修期内承包人应在接到发包人修理或维护通知后在发包人指定的合理时间内派人修理维护，承包人不能在指定时间内进行修理或维护的，发包人可以自行或另行委托第三方进行修复，所发生的费用从保修金内扣除，不足部分由承包人向发包人另行支付。承包人不按本合同约定履行修理或维护义务的，应承担违约责任。</w:t>
      </w:r>
    </w:p>
    <w:p>
      <w:pPr>
        <w:pStyle w:val="5"/>
        <w:numPr>
          <w:ilvl w:val="0"/>
          <w:numId w:val="0"/>
        </w:numPr>
        <w:jc w:val="both"/>
        <w:rPr>
          <w:rFonts w:hint="eastAsia"/>
        </w:rPr>
      </w:pPr>
    </w:p>
    <w:p>
      <w:pPr>
        <w:rPr>
          <w:rFonts w:hint="eastAsia"/>
        </w:rPr>
      </w:pPr>
    </w:p>
    <w:p>
      <w:pPr>
        <w:pStyle w:val="31"/>
        <w:rPr>
          <w:rFonts w:hint="eastAsia"/>
        </w:rPr>
      </w:pPr>
    </w:p>
    <w:p>
      <w:pPr>
        <w:rPr>
          <w:rFonts w:hint="eastAsia"/>
        </w:rPr>
      </w:pPr>
    </w:p>
    <w:p>
      <w:pPr>
        <w:pStyle w:val="31"/>
        <w:rPr>
          <w:rFonts w:hint="eastAsia"/>
        </w:rPr>
      </w:pPr>
    </w:p>
    <w:p>
      <w:pPr>
        <w:rPr>
          <w:rFonts w:hint="eastAsia"/>
        </w:rPr>
      </w:pPr>
    </w:p>
    <w:bookmarkEnd w:id="16"/>
    <w:p>
      <w:pPr>
        <w:widowControl/>
        <w:adjustRightInd w:val="0"/>
        <w:snapToGrid w:val="0"/>
        <w:spacing w:line="360" w:lineRule="auto"/>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4"/>
        <w:pageBreakBefore w:val="0"/>
        <w:numPr>
          <w:ilvl w:val="0"/>
          <w:numId w:val="0"/>
        </w:numPr>
        <w:kinsoku/>
        <w:wordWrap/>
        <w:overflowPunct/>
        <w:topLinePunct w:val="0"/>
        <w:autoSpaceDE/>
        <w:autoSpaceDN/>
        <w:bidi w:val="0"/>
        <w:adjustRightInd/>
        <w:snapToGrid/>
        <w:spacing w:line="360" w:lineRule="auto"/>
        <w:textAlignment w:val="auto"/>
        <w:rPr>
          <w:rFonts w:hint="eastAsia" w:ascii="楷体" w:hAnsi="楷体" w:eastAsia="楷体" w:cs="楷体"/>
          <w:sz w:val="24"/>
          <w:szCs w:val="24"/>
        </w:rPr>
      </w:pPr>
      <w:r>
        <w:rPr>
          <w:rFonts w:hint="eastAsia" w:ascii="楷体" w:hAnsi="楷体" w:eastAsia="楷体" w:cs="楷体"/>
          <w:sz w:val="24"/>
          <w:szCs w:val="24"/>
        </w:rPr>
        <w:t>附件4.2 采购需求及技术服务要求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楷体" w:hAnsi="楷体" w:eastAsia="楷体" w:cs="楷体"/>
          <w:b/>
          <w:bCs w:val="0"/>
          <w:kern w:val="0"/>
          <w:sz w:val="24"/>
          <w:szCs w:val="24"/>
          <w:highlight w:val="none"/>
          <w:lang w:val="en-US" w:eastAsia="zh-CN"/>
        </w:rPr>
      </w:pPr>
      <w:r>
        <w:rPr>
          <w:rFonts w:hint="eastAsia" w:ascii="楷体" w:hAnsi="楷体" w:eastAsia="楷体" w:cs="楷体"/>
          <w:b/>
          <w:bCs w:val="0"/>
          <w:kern w:val="0"/>
          <w:sz w:val="24"/>
          <w:szCs w:val="24"/>
          <w:highlight w:val="none"/>
          <w:lang w:val="en-US" w:eastAsia="zh-CN"/>
        </w:rPr>
        <w:t>一、工作内容：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1.办公楼4层厨房冷库聚氨酯夹芯材料问题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整改方案：经与专业冷库厂家进行沟通，冷库保温板目前没有其他材料替换品，经过处理后的聚氨酯保温板燃烧性能可达到消防要求B1难燃烧级别，要求通过现场采样进行专业燃烧性能试验并出具检测报告。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2.办公楼4层厨房冷库烟感报警器问题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 xml:space="preserve">建议解决方案：办公楼4层厨房冷库未设置吸气式烟感火灾报警器，新消防规范要求冷库区域安装吸气式火灾探测系统，要求加装一台两区管式吸气式报警设备，通过模块将信号传至消防中控室。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3.消防排烟配电柜主备电互投装置故障问题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整改方案：办公楼目前44层、14层排烟设备，29层消防泵双电源自动转换开关处于损坏状态，该设备配件施耐德厂家已停产，要求对配电柜进行调整后安装施耐德新型双电源自动转换开关，本次更换更换型号630A二台、型号160A三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4.办公楼消防正压送风系统余压值过低问题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整改方案：办公楼14层避难层消防电梯前室正压送风系统最不利点余压值过低，实测值小于25Pa。消防电梯前室共6台正压送风机末端风压均无法满足要求，目前市场轴流风机不能满足压力要求，要求更换为功率较大离心风机以满足消防规范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5.办公楼LL层客梯厅烟感探测器遮挡问题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整改方案：LL层客梯厅天花吊顶装饰为隔板式造型，形成33个“储烟仓”，不能满足火灾自动报警要求，要求在每个“储烟仓”内加装29套烟感报警器，以满足消防规范要求。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6.办公楼42层健身房消防喷淋遮挡问题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highlight w:val="none"/>
          <w:lang w:val="en-US" w:eastAsia="zh-CN"/>
        </w:rPr>
      </w:pPr>
      <w:r>
        <w:rPr>
          <w:rFonts w:hint="eastAsia" w:ascii="楷体" w:hAnsi="楷体" w:eastAsia="楷体" w:cs="楷体"/>
          <w:b w:val="0"/>
          <w:bCs/>
          <w:kern w:val="0"/>
          <w:sz w:val="24"/>
          <w:szCs w:val="24"/>
          <w:highlight w:val="none"/>
          <w:lang w:val="en-US" w:eastAsia="zh-CN"/>
        </w:rPr>
        <w:t>整改方案：办公楼42层健身房格栅吊顶遮挡喷淋头，不符合新消防规范，要求将健身房现有20套喷淋设备改造为格栅下探喷淋样式。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b w:val="0"/>
          <w:bCs/>
          <w:kern w:val="0"/>
          <w:sz w:val="24"/>
          <w:szCs w:val="24"/>
          <w:lang w:val="en-US" w:eastAsia="zh-CN"/>
        </w:rPr>
      </w:pPr>
      <w:r>
        <w:rPr>
          <w:rFonts w:hint="eastAsia" w:ascii="楷体" w:hAnsi="楷体" w:eastAsia="楷体" w:cs="楷体"/>
          <w:b w:val="0"/>
          <w:bCs/>
          <w:kern w:val="0"/>
          <w:sz w:val="24"/>
          <w:szCs w:val="24"/>
          <w:highlight w:val="none"/>
          <w:lang w:val="en-US" w:eastAsia="zh-CN"/>
        </w:rPr>
        <w:t>备注：以上维修改造设备最低期限要求质保1年,要求提供原厂正品元器件设备，管线及安装辅料要求提供市场主流品牌符合国标产品，供应商出具质保书。</w:t>
      </w:r>
    </w:p>
    <w:p>
      <w:pPr>
        <w:pStyle w:val="31"/>
        <w:ind w:left="0" w:leftChars="0" w:firstLine="482" w:firstLineChars="200"/>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二、施工标准</w:t>
      </w:r>
    </w:p>
    <w:p>
      <w:pPr>
        <w:rPr>
          <w:rFonts w:hint="eastAsia" w:ascii="楷体" w:hAnsi="楷体" w:eastAsia="楷体" w:cs="楷体"/>
          <w:sz w:val="24"/>
          <w:szCs w:val="24"/>
          <w:lang w:val="en-US" w:eastAsia="zh-CN"/>
        </w:rPr>
      </w:pPr>
      <w:r>
        <w:rPr>
          <w:rFonts w:hint="eastAsia"/>
          <w:lang w:val="en-US" w:eastAsia="zh-CN"/>
        </w:rPr>
        <w:t xml:space="preserve">    </w:t>
      </w:r>
      <w:r>
        <w:rPr>
          <w:rFonts w:hint="eastAsia" w:ascii="楷体" w:hAnsi="楷体" w:eastAsia="楷体" w:cs="楷体"/>
          <w:sz w:val="24"/>
          <w:szCs w:val="24"/>
          <w:lang w:val="en-US" w:eastAsia="zh-CN"/>
        </w:rPr>
        <w:t>该项目消防设备设施所有维修改造内容，必须符合以下标准要求：</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《中华人民共和国消防法》；</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《火灾自动报警系统设计规范》（GB50116-2013）；</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《火灾自动报警系统设计施工验收规范》（GB50166-2019）；</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《火灾报警控制器》（GB4717-2005）；</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《建筑设计防火规范》 (GB50016-2014)（2018年版）；</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《点型感烟火灾探测器（GB4715-2005）；</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《消防联动控制系统》（GB16806-2006）；</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《火灾自动报警系统安装使用规范》（中国工程标准化委员会标准）；</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《建筑给排水设计规范（GB50015-2003）》（2009年版）；</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《自动喷水灭火系统施工及验收规范（GB50261-2017）》；</w:t>
      </w:r>
    </w:p>
    <w:p>
      <w:pPr>
        <w:pStyle w:val="31"/>
        <w:ind w:left="0" w:leftChars="0" w:firstLine="480" w:firstLineChars="200"/>
        <w:rPr>
          <w:rFonts w:hint="eastAsia"/>
          <w:b w:val="0"/>
          <w:bCs w:val="0"/>
          <w:lang w:val="en-US" w:eastAsia="zh-CN"/>
        </w:rPr>
      </w:pPr>
      <w:r>
        <w:rPr>
          <w:rFonts w:hint="eastAsia" w:ascii="楷体" w:hAnsi="楷体" w:eastAsia="楷体" w:cs="楷体"/>
          <w:b w:val="0"/>
          <w:bCs w:val="0"/>
          <w:sz w:val="24"/>
          <w:szCs w:val="24"/>
          <w:lang w:val="en-US" w:eastAsia="zh-CN"/>
        </w:rPr>
        <w:t>《建筑电气工程施工质量验收规范（GB50303-2015）》；</w:t>
      </w:r>
    </w:p>
    <w:p>
      <w:pPr>
        <w:pStyle w:val="31"/>
        <w:ind w:left="0" w:leftChars="0" w:firstLine="480" w:firstLineChars="200"/>
        <w:rPr>
          <w:rFonts w:hint="eastAsia" w:ascii="楷体" w:hAnsi="楷体" w:eastAsia="楷体" w:cs="楷体"/>
          <w:b w:val="0"/>
          <w:bCs w:val="0"/>
          <w:sz w:val="24"/>
          <w:szCs w:val="24"/>
          <w:lang w:val="en-US" w:eastAsia="zh-CN"/>
        </w:rPr>
      </w:pPr>
      <w:r>
        <w:rPr>
          <w:rFonts w:hint="eastAsia" w:ascii="楷体" w:hAnsi="楷体" w:eastAsia="楷体" w:cs="楷体"/>
          <w:b w:val="0"/>
          <w:bCs w:val="0"/>
          <w:sz w:val="24"/>
          <w:szCs w:val="24"/>
          <w:lang w:val="en-US" w:eastAsia="zh-CN"/>
        </w:rPr>
        <w:t>《中华人民共和国国家标准:电气装置安装工程施工及验收规范》(GB50254-96、GB50255-96、GB50256-96、GB50257-96)。</w:t>
      </w:r>
    </w:p>
    <w:p>
      <w:pPr>
        <w:pStyle w:val="31"/>
        <w:ind w:left="0" w:leftChars="0" w:firstLine="482" w:firstLineChars="200"/>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三、工程量清单</w:t>
      </w:r>
    </w:p>
    <w:p>
      <w:pPr>
        <w:ind w:firstLine="480"/>
        <w:rPr>
          <w:rFonts w:hint="eastAsia"/>
          <w:b w:val="0"/>
          <w:bCs w:val="0"/>
          <w:sz w:val="24"/>
          <w:szCs w:val="24"/>
          <w:lang w:val="en-US" w:eastAsia="zh-CN"/>
        </w:rPr>
      </w:pPr>
    </w:p>
    <w:tbl>
      <w:tblPr>
        <w:tblStyle w:val="32"/>
        <w:tblW w:w="88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0"/>
        <w:gridCol w:w="2730"/>
        <w:gridCol w:w="2290"/>
        <w:gridCol w:w="1410"/>
        <w:gridCol w:w="1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860"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kern w:val="0"/>
                <w:sz w:val="32"/>
                <w:szCs w:val="32"/>
                <w:u w:val="none"/>
                <w:lang w:val="en-US" w:eastAsia="zh-CN" w:bidi="ar"/>
              </w:rPr>
              <w:t>工程项目清单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860" w:type="dxa"/>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工程名称-1：4层厨房聚氨酯检测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nil"/>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序号</w:t>
            </w:r>
          </w:p>
        </w:tc>
        <w:tc>
          <w:tcPr>
            <w:tcW w:w="273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项目名称</w:t>
            </w:r>
          </w:p>
        </w:tc>
        <w:tc>
          <w:tcPr>
            <w:tcW w:w="229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施工内容</w:t>
            </w:r>
          </w:p>
        </w:tc>
        <w:tc>
          <w:tcPr>
            <w:tcW w:w="141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单位</w:t>
            </w:r>
          </w:p>
        </w:tc>
        <w:tc>
          <w:tcPr>
            <w:tcW w:w="156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4层厨房聚氨酯检测</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2</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冷库聚氨酯保温板拆除</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保护性拆除</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m2</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3</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冷库聚氨酯保温板安装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华文楷体" w:hAnsi="华文楷体" w:eastAsia="华文楷体" w:cs="华文楷体"/>
                <w:i w:val="0"/>
                <w:iCs w:val="0"/>
                <w:color w:val="000000"/>
                <w:sz w:val="18"/>
                <w:szCs w:val="18"/>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m2</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4</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聚氨酯保温板燃烧性能检测</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出具B1及检测报告</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项</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00" w:hRule="atLeast"/>
        </w:trPr>
        <w:tc>
          <w:tcPr>
            <w:tcW w:w="8860" w:type="dxa"/>
            <w:gridSpan w:val="5"/>
            <w:tcBorders>
              <w:top w:val="single" w:color="000000" w:sz="4" w:space="0"/>
              <w:left w:val="single" w:color="000000" w:sz="8"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工程名称-2：4层冷库空气采样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序号</w:t>
            </w:r>
          </w:p>
        </w:tc>
        <w:tc>
          <w:tcPr>
            <w:tcW w:w="273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项目名称</w:t>
            </w:r>
          </w:p>
        </w:tc>
        <w:tc>
          <w:tcPr>
            <w:tcW w:w="229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施工内容</w:t>
            </w:r>
          </w:p>
        </w:tc>
        <w:tc>
          <w:tcPr>
            <w:tcW w:w="141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单位</w:t>
            </w:r>
          </w:p>
        </w:tc>
        <w:tc>
          <w:tcPr>
            <w:tcW w:w="156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nil"/>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w:t>
            </w:r>
          </w:p>
        </w:tc>
        <w:tc>
          <w:tcPr>
            <w:tcW w:w="273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报警控制器(箱)安装</w:t>
            </w:r>
          </w:p>
        </w:tc>
        <w:tc>
          <w:tcPr>
            <w:tcW w:w="229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1.名称：吸气式报警控制器（两管制)</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2.安装方式：底边距地1.5m安装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3.其他：满足招标文件、图纸、施工规范、设计及验收规范要求</w:t>
            </w:r>
          </w:p>
        </w:tc>
        <w:tc>
          <w:tcPr>
            <w:tcW w:w="141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台</w:t>
            </w:r>
          </w:p>
        </w:tc>
        <w:tc>
          <w:tcPr>
            <w:tcW w:w="156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2</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防冻架子</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华文楷体" w:hAnsi="华文楷体" w:eastAsia="华文楷体" w:cs="华文楷体"/>
                <w:i w:val="0"/>
                <w:iCs w:val="0"/>
                <w:color w:val="000000"/>
                <w:sz w:val="18"/>
                <w:szCs w:val="18"/>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3</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模块(模块箱)</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安装-爱德华</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:输入输出模块</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2.其他 :满足招标文件、 图纸、施工规范、设计及</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4</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系统调试费</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华文楷体" w:hAnsi="华文楷体" w:eastAsia="华文楷体" w:cs="华文楷体"/>
                <w:i w:val="0"/>
                <w:iCs w:val="0"/>
                <w:color w:val="000000"/>
                <w:sz w:val="18"/>
                <w:szCs w:val="18"/>
                <w:u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系统</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5</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电气配管</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:配管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:JDG20</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3.配置形式 :吊顶及明敷设</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6</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金属软管敷设</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:金属软管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2.规格:20</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根</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7</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电气配线</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:管内穿线</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2.导线型号、材质、规格 :WDZBN-BV2.5</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8</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电气配线</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:管内穿线</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2.导线型号、材质、规格 :WDZBN-RVS-2*1.5</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9</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接线盒安装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:接线盒</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:钢制</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3.安装形式 :暗装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10</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管道刷油</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1.油漆品种 :防火涂料</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2.涂刷遍数、漆膜厚度 :综合考虑</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m2</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11</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ppr吸气管安装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DN25</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12</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墙体开洞</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DN40</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860" w:type="dxa"/>
            <w:gridSpan w:val="5"/>
            <w:tcBorders>
              <w:top w:val="single" w:color="000000" w:sz="4" w:space="0"/>
              <w:left w:val="single" w:color="000000" w:sz="8"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工程名称-3：42层健身房喷淋改造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序号</w:t>
            </w:r>
          </w:p>
        </w:tc>
        <w:tc>
          <w:tcPr>
            <w:tcW w:w="273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项目名称</w:t>
            </w:r>
          </w:p>
        </w:tc>
        <w:tc>
          <w:tcPr>
            <w:tcW w:w="229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施工内容</w:t>
            </w:r>
          </w:p>
        </w:tc>
        <w:tc>
          <w:tcPr>
            <w:tcW w:w="141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单位</w:t>
            </w:r>
          </w:p>
        </w:tc>
        <w:tc>
          <w:tcPr>
            <w:tcW w:w="156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nil"/>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w:t>
            </w:r>
          </w:p>
        </w:tc>
        <w:tc>
          <w:tcPr>
            <w:tcW w:w="273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水喷头拆除</w:t>
            </w:r>
          </w:p>
        </w:tc>
        <w:tc>
          <w:tcPr>
            <w:tcW w:w="229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:喷淋头拆除</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2.其他 :满足招标文件、 图纸、施工规范、设计及验收规范要求</w:t>
            </w:r>
          </w:p>
        </w:tc>
        <w:tc>
          <w:tcPr>
            <w:tcW w:w="141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2</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钢管拆除</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1.拆除部位 :吊顶内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3.型号、规格:25以内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3</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钢管拆除</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1.拆除部位 :吊顶内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 :DN50以内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4</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钢管拆除</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1.拆除部位 :吊顶内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 :DN100以内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5</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水喷头安装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:喷头</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2.安装部位 :吊顶内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3.材质、型号、</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规格 :DN25</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6</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喷淋头集热罩</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7</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镀锌钢管安装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1.安装部位 :室内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:内外热浸镀锌钢管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 :DN80</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4.连接方式 :沟槽连接（含管件）</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5.其他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8</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镀锌钢管安装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1.安装部位 :室内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:内外热浸镀锌钢管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 :DN65</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4.连接方式 :沟槽连接（含管件）</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5.压力试验、吹扫及清洗设计要求 :满足设计及验收规范要求</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6.其他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9</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镀锌钢管安装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1.安装部位 :室内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:内外热浸镀锌钢管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 :DN50</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4.连接方式 :螺纹连接</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5.压力试验、吹扫及清洗设计要求 :满足设计及验收规范要求</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6.其他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10</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镀锌钢管安装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1.安装部位 :室内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:内外热浸镀锌钢管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 :DN40</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4.连接方式 :螺纹连接</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5.压力试验、吹扫及清洗设计要求 :满足设计及验收规范要求</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6.其他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11</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镀锌钢管安装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1.安装部位 :室内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:内外热浸镀锌钢管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 :DN32</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4.连接方式 :螺纹连接</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5.压力试验、吹扫及清洗设计要求 :满足设计及验收规范要求</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6.其他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12</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镀锌钢管安装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1.安装部位 :室内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:内外热浸镀锌钢管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3.型号、规格 :DN25</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4.连接方式 :螺纹连接</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5.压力试验、吹扫及清洗设计要求 :满足设计及验收规范要求</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6.其他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13</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管道刷油</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:管道刷红色色环漆</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2.涂刷遍数、漆膜厚度:2遍</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m2</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14</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管道刷油</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:管道刷油</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2.油漆品种 : 白色醇酸瓷</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3.涂刷遍数、漆膜厚度:2遍</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m2</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15</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支吊架制作、安装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:管道支吊架制作安装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kg</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16</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金属结构刷油</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:支吊架除锈、刷油</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2.油漆品种 :防锈漆、调和漆</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3.涂刷遍数、漆膜厚度:2遍</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kg</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860" w:type="dxa"/>
            <w:gridSpan w:val="5"/>
            <w:tcBorders>
              <w:top w:val="single" w:color="000000" w:sz="4" w:space="0"/>
              <w:left w:val="single" w:color="000000" w:sz="8"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工程名称-4：排烟、消防泵双电源开关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序号</w:t>
            </w:r>
          </w:p>
        </w:tc>
        <w:tc>
          <w:tcPr>
            <w:tcW w:w="273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项目名称</w:t>
            </w:r>
          </w:p>
        </w:tc>
        <w:tc>
          <w:tcPr>
            <w:tcW w:w="229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施工内容</w:t>
            </w:r>
          </w:p>
        </w:tc>
        <w:tc>
          <w:tcPr>
            <w:tcW w:w="141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单位</w:t>
            </w:r>
          </w:p>
        </w:tc>
        <w:tc>
          <w:tcPr>
            <w:tcW w:w="156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nil"/>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w:t>
            </w:r>
          </w:p>
        </w:tc>
        <w:tc>
          <w:tcPr>
            <w:tcW w:w="273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双电源自动转换开关拆除</w:t>
            </w:r>
          </w:p>
        </w:tc>
        <w:tc>
          <w:tcPr>
            <w:tcW w:w="229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41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只</w:t>
            </w:r>
          </w:p>
        </w:tc>
        <w:tc>
          <w:tcPr>
            <w:tcW w:w="156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2</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消防控制柜线路拆改</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项</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3</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双电源自动转换开关安装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:双电源自动转换开关</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2、型号：WATSG-630/630/4H PC级</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3、额定绝缘电压800V，额定工作电压380V，额定电流630A。</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4</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双电源自动转换开关安装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:双电源自动转换开关。</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2、型号：WATSG-160/160/4H PC级。</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3、额定绝缘电压750V，额定工作电压380V，额定电流160A。</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5</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电气配管</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JGD32管</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6</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电气配线</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WDZN-5*10mm2</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860" w:type="dxa"/>
            <w:gridSpan w:val="5"/>
            <w:tcBorders>
              <w:top w:val="single" w:color="000000" w:sz="4" w:space="0"/>
              <w:left w:val="single" w:color="000000" w:sz="8"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工程名称-5：消防梯前室正压送风机更换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序号</w:t>
            </w:r>
          </w:p>
        </w:tc>
        <w:tc>
          <w:tcPr>
            <w:tcW w:w="273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项目名称</w:t>
            </w:r>
          </w:p>
        </w:tc>
        <w:tc>
          <w:tcPr>
            <w:tcW w:w="229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施工内容</w:t>
            </w:r>
          </w:p>
        </w:tc>
        <w:tc>
          <w:tcPr>
            <w:tcW w:w="141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单位</w:t>
            </w:r>
          </w:p>
        </w:tc>
        <w:tc>
          <w:tcPr>
            <w:tcW w:w="156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nil"/>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w:t>
            </w:r>
          </w:p>
        </w:tc>
        <w:tc>
          <w:tcPr>
            <w:tcW w:w="273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原正压送风及拆除</w:t>
            </w:r>
          </w:p>
        </w:tc>
        <w:tc>
          <w:tcPr>
            <w:tcW w:w="229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41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台</w:t>
            </w:r>
          </w:p>
        </w:tc>
        <w:tc>
          <w:tcPr>
            <w:tcW w:w="156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2</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镀锌风管拆除</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m2</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3</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防火阀拆除</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4</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箱式离心正压风机</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品牌：亿利达，风量：20000m³/h，风压1200Pa，功率15KW</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台</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5</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镀锌钢板制作、安装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厚度1.2mm</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m2</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6</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防火阀安装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尺寸1100*400</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860" w:type="dxa"/>
            <w:gridSpan w:val="5"/>
            <w:tcBorders>
              <w:top w:val="single" w:color="000000" w:sz="4" w:space="0"/>
              <w:left w:val="single" w:color="000000" w:sz="8"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名称名称-6：B1客梯厅增加烟感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序号</w:t>
            </w:r>
          </w:p>
        </w:tc>
        <w:tc>
          <w:tcPr>
            <w:tcW w:w="273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项目名称</w:t>
            </w:r>
          </w:p>
        </w:tc>
        <w:tc>
          <w:tcPr>
            <w:tcW w:w="229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施工内容</w:t>
            </w:r>
          </w:p>
        </w:tc>
        <w:tc>
          <w:tcPr>
            <w:tcW w:w="141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单位</w:t>
            </w:r>
          </w:p>
        </w:tc>
        <w:tc>
          <w:tcPr>
            <w:tcW w:w="156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nil"/>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1</w:t>
            </w:r>
          </w:p>
        </w:tc>
        <w:tc>
          <w:tcPr>
            <w:tcW w:w="273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点型探测器安装</w:t>
            </w:r>
          </w:p>
        </w:tc>
        <w:tc>
          <w:tcPr>
            <w:tcW w:w="229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:感烟探测器（品牌：爱德华）</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2.型号、规格 :JBF4101</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只</w:t>
            </w:r>
          </w:p>
        </w:tc>
        <w:tc>
          <w:tcPr>
            <w:tcW w:w="1560" w:type="dxa"/>
            <w:tcBorders>
              <w:top w:val="nil"/>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2</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回路卡</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1.爱德华-EST3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张</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3</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电气配管</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:配管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:JDG20</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3.配置形式 :吊顶及明敷设</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4</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金属软管敷设</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:金属软管</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2.规格:20</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根</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5</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电气配线</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:桥架内穿线</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2.导线型号、材质、规格 :WDZBN-RVS-2*1.5</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6</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接线盒安装</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1.名称 :接线盒</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2.材质 :钢制</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3.安装形式 :暗装</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4.其他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个</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7</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管道刷油</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1.油漆品种 :防火涂料</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2.涂刷遍数、漆膜厚度 :综合考虑</w:t>
            </w:r>
            <w:r>
              <w:rPr>
                <w:rFonts w:hint="eastAsia" w:ascii="华文楷体" w:hAnsi="华文楷体" w:eastAsia="华文楷体" w:cs="华文楷体"/>
                <w:i w:val="0"/>
                <w:iCs w:val="0"/>
                <w:color w:val="000000"/>
                <w:kern w:val="0"/>
                <w:sz w:val="18"/>
                <w:szCs w:val="18"/>
                <w:u w:val="none"/>
                <w:lang w:val="en-US" w:eastAsia="zh-CN" w:bidi="ar"/>
              </w:rPr>
              <w:br w:type="textWrapping"/>
            </w:r>
            <w:r>
              <w:rPr>
                <w:rFonts w:hint="eastAsia" w:ascii="华文楷体" w:hAnsi="华文楷体" w:eastAsia="华文楷体" w:cs="华文楷体"/>
                <w:i w:val="0"/>
                <w:iCs w:val="0"/>
                <w:color w:val="000000"/>
                <w:kern w:val="0"/>
                <w:sz w:val="18"/>
                <w:szCs w:val="18"/>
                <w:u w:val="none"/>
                <w:lang w:val="en-US" w:eastAsia="zh-CN" w:bidi="ar"/>
              </w:rPr>
              <w:t>3.其他 :满足招标文件、 图纸、施工规范、设计及验收规范要求</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m2</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00" w:hRule="atLeast"/>
        </w:trPr>
        <w:tc>
          <w:tcPr>
            <w:tcW w:w="87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8</w:t>
            </w:r>
          </w:p>
        </w:tc>
        <w:tc>
          <w:tcPr>
            <w:tcW w:w="273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设备调试</w:t>
            </w:r>
          </w:p>
        </w:tc>
        <w:tc>
          <w:tcPr>
            <w:tcW w:w="2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b/>
                <w:bCs/>
                <w:i w:val="0"/>
                <w:iCs w:val="0"/>
                <w:color w:val="000000"/>
                <w:sz w:val="18"/>
                <w:szCs w:val="18"/>
                <w:u w:val="none"/>
              </w:rPr>
            </w:pPr>
            <w:r>
              <w:rPr>
                <w:rFonts w:hint="eastAsia" w:ascii="华文楷体" w:hAnsi="华文楷体" w:eastAsia="华文楷体" w:cs="华文楷体"/>
                <w:b/>
                <w:bCs/>
                <w:i w:val="0"/>
                <w:iCs w:val="0"/>
                <w:color w:val="000000"/>
                <w:kern w:val="0"/>
                <w:sz w:val="18"/>
                <w:szCs w:val="18"/>
                <w:u w:val="none"/>
                <w:lang w:val="en-US" w:eastAsia="zh-CN" w:bidi="ar"/>
              </w:rPr>
              <w:t>/</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系统</w:t>
            </w:r>
          </w:p>
        </w:tc>
        <w:tc>
          <w:tcPr>
            <w:tcW w:w="15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华文楷体" w:hAnsi="华文楷体" w:eastAsia="华文楷体" w:cs="华文楷体"/>
                <w:i w:val="0"/>
                <w:iCs w:val="0"/>
                <w:color w:val="000000"/>
                <w:sz w:val="18"/>
                <w:szCs w:val="18"/>
                <w:u w:val="none"/>
              </w:rPr>
            </w:pPr>
            <w:r>
              <w:rPr>
                <w:rFonts w:hint="eastAsia" w:ascii="华文楷体" w:hAnsi="华文楷体" w:eastAsia="华文楷体" w:cs="华文楷体"/>
                <w:i w:val="0"/>
                <w:iCs w:val="0"/>
                <w:color w:val="000000"/>
                <w:kern w:val="0"/>
                <w:sz w:val="18"/>
                <w:szCs w:val="18"/>
                <w:u w:val="none"/>
                <w:lang w:val="en-US" w:eastAsia="zh-CN" w:bidi="ar"/>
              </w:rPr>
              <w:t>1</w:t>
            </w:r>
          </w:p>
        </w:tc>
      </w:tr>
    </w:tbl>
    <w:p>
      <w:pPr>
        <w:rPr>
          <w:rFonts w:hint="default"/>
          <w:lang w:val="en-US" w:eastAsia="zh-CN"/>
        </w:rPr>
      </w:pPr>
    </w:p>
    <w:p>
      <w:pPr>
        <w:pStyle w:val="31"/>
        <w:numPr>
          <w:ilvl w:val="0"/>
          <w:numId w:val="0"/>
        </w:numPr>
        <w:spacing w:line="360" w:lineRule="auto"/>
        <w:ind w:firstLine="482" w:firstLineChars="200"/>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三、工期要求</w:t>
      </w:r>
    </w:p>
    <w:p>
      <w:pPr>
        <w:numPr>
          <w:ilvl w:val="0"/>
          <w:numId w:val="0"/>
        </w:numPr>
        <w:spacing w:line="360" w:lineRule="auto"/>
        <w:ind w:left="540" w:leftChars="0"/>
        <w:rPr>
          <w:rFonts w:hint="eastAsia" w:ascii="楷体" w:hAnsi="楷体" w:eastAsia="楷体" w:cs="楷体"/>
          <w:b/>
          <w:bCs/>
          <w:color w:val="auto"/>
          <w:sz w:val="24"/>
          <w:szCs w:val="24"/>
          <w:lang w:val="en-US" w:eastAsia="zh-CN"/>
        </w:rPr>
      </w:pPr>
      <w:r>
        <w:rPr>
          <w:rFonts w:hint="eastAsia" w:ascii="楷体" w:hAnsi="楷体" w:eastAsia="楷体" w:cs="楷体"/>
          <w:b/>
          <w:bCs/>
          <w:color w:val="auto"/>
          <w:sz w:val="24"/>
          <w:szCs w:val="24"/>
          <w:lang w:val="en-US" w:eastAsia="zh-CN"/>
        </w:rPr>
        <w:t>30个自然日。</w:t>
      </w:r>
    </w:p>
    <w:p>
      <w:pPr>
        <w:numPr>
          <w:ilvl w:val="0"/>
          <w:numId w:val="0"/>
        </w:numPr>
        <w:spacing w:line="360" w:lineRule="auto"/>
        <w:ind w:firstLine="482" w:firstLineChars="200"/>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四、磋商控制价</w:t>
      </w:r>
    </w:p>
    <w:p>
      <w:pPr>
        <w:pStyle w:val="31"/>
        <w:numPr>
          <w:ilvl w:val="0"/>
          <w:numId w:val="0"/>
        </w:numPr>
        <w:spacing w:line="360" w:lineRule="auto"/>
        <w:ind w:firstLine="480" w:firstLineChars="200"/>
        <w:rPr>
          <w:rFonts w:hint="eastAsia" w:ascii="楷体" w:hAnsi="楷体" w:eastAsia="楷体" w:cs="楷体"/>
          <w:b w:val="0"/>
          <w:bCs w:val="0"/>
          <w:color w:val="auto"/>
          <w:sz w:val="24"/>
          <w:szCs w:val="24"/>
          <w:lang w:val="en-US" w:eastAsia="zh-CN"/>
        </w:rPr>
      </w:pPr>
      <w:r>
        <w:rPr>
          <w:rFonts w:hint="eastAsia" w:ascii="楷体" w:hAnsi="楷体" w:eastAsia="楷体" w:cs="楷体"/>
          <w:b w:val="0"/>
          <w:bCs w:val="0"/>
          <w:color w:val="auto"/>
          <w:sz w:val="24"/>
          <w:szCs w:val="24"/>
          <w:lang w:val="en-US" w:eastAsia="zh-CN"/>
        </w:rPr>
        <w:t>本项目磋商控制价为人民币39.3万元（含税），超过本控制价的磋商报价视为无效报价。</w:t>
      </w:r>
    </w:p>
    <w:p>
      <w:pPr>
        <w:spacing w:line="360" w:lineRule="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lang w:val="en-US" w:eastAsia="zh-CN"/>
        </w:rPr>
        <w:t xml:space="preserve"> </w:t>
      </w:r>
      <w:r>
        <w:rPr>
          <w:rFonts w:hint="eastAsia" w:ascii="楷体" w:hAnsi="楷体" w:eastAsia="楷体" w:cs="楷体"/>
          <w:b w:val="0"/>
          <w:bCs w:val="0"/>
          <w:color w:val="auto"/>
          <w:sz w:val="24"/>
          <w:szCs w:val="24"/>
          <w:highlight w:val="none"/>
          <w:lang w:val="en-US" w:eastAsia="zh-CN"/>
        </w:rPr>
        <w:t xml:space="preserve">   五、付款方式</w:t>
      </w:r>
    </w:p>
    <w:p>
      <w:pPr>
        <w:adjustRightInd w:val="0"/>
        <w:snapToGrid w:val="0"/>
        <w:spacing w:line="360" w:lineRule="auto"/>
        <w:ind w:left="2" w:firstLine="480" w:firstLineChars="200"/>
        <w:rPr>
          <w:rFonts w:hint="eastAsia" w:ascii="楷体" w:hAnsi="楷体" w:eastAsia="楷体" w:cs="宋体"/>
          <w:iCs/>
          <w:color w:val="000000"/>
          <w:kern w:val="0"/>
          <w:sz w:val="24"/>
          <w:szCs w:val="24"/>
          <w:highlight w:val="none"/>
        </w:rPr>
      </w:pPr>
      <w:r>
        <w:rPr>
          <w:rFonts w:hint="eastAsia" w:ascii="楷体" w:hAnsi="楷体" w:eastAsia="楷体" w:cs="宋体"/>
          <w:iCs/>
          <w:color w:val="000000"/>
          <w:kern w:val="0"/>
          <w:sz w:val="24"/>
          <w:szCs w:val="24"/>
          <w:highlight w:val="none"/>
        </w:rPr>
        <w:t>工程竣工验收合格并完成结算后，</w:t>
      </w:r>
      <w:r>
        <w:rPr>
          <w:rFonts w:hint="eastAsia" w:ascii="楷体" w:hAnsi="楷体" w:eastAsia="楷体" w:cs="宋体"/>
          <w:iCs/>
          <w:color w:val="000000"/>
          <w:kern w:val="0"/>
          <w:sz w:val="24"/>
          <w:szCs w:val="24"/>
          <w:highlight w:val="none"/>
          <w:lang w:val="en-US" w:eastAsia="zh-CN"/>
        </w:rPr>
        <w:t>甲方</w:t>
      </w:r>
      <w:r>
        <w:rPr>
          <w:rFonts w:hint="eastAsia" w:ascii="楷体" w:hAnsi="楷体" w:eastAsia="楷体" w:cs="宋体"/>
          <w:iCs/>
          <w:color w:val="000000"/>
          <w:kern w:val="0"/>
          <w:sz w:val="24"/>
          <w:szCs w:val="24"/>
          <w:highlight w:val="none"/>
        </w:rPr>
        <w:t>在收到</w:t>
      </w:r>
      <w:r>
        <w:rPr>
          <w:rFonts w:hint="eastAsia" w:ascii="楷体" w:hAnsi="楷体" w:eastAsia="楷体" w:cs="宋体"/>
          <w:iCs/>
          <w:color w:val="000000"/>
          <w:kern w:val="0"/>
          <w:sz w:val="24"/>
          <w:szCs w:val="24"/>
          <w:highlight w:val="none"/>
          <w:lang w:val="en-US" w:eastAsia="zh-CN"/>
        </w:rPr>
        <w:t>乙方</w:t>
      </w:r>
      <w:r>
        <w:rPr>
          <w:rFonts w:hint="eastAsia" w:ascii="楷体" w:hAnsi="楷体" w:eastAsia="楷体" w:cs="宋体"/>
          <w:iCs/>
          <w:color w:val="000000"/>
          <w:kern w:val="0"/>
          <w:sz w:val="24"/>
          <w:szCs w:val="24"/>
          <w:highlight w:val="none"/>
        </w:rPr>
        <w:t>相应金额的合法有效</w:t>
      </w:r>
      <w:r>
        <w:rPr>
          <w:rFonts w:ascii="楷体" w:hAnsi="楷体" w:eastAsia="楷体" w:cs="宋体"/>
          <w:iCs/>
          <w:color w:val="000000"/>
          <w:kern w:val="0"/>
          <w:sz w:val="24"/>
          <w:szCs w:val="24"/>
          <w:highlight w:val="none"/>
        </w:rPr>
        <w:t>的增值税专用</w:t>
      </w:r>
      <w:r>
        <w:rPr>
          <w:rFonts w:hint="eastAsia" w:ascii="楷体" w:hAnsi="楷体" w:eastAsia="楷体" w:cs="宋体"/>
          <w:iCs/>
          <w:color w:val="000000"/>
          <w:kern w:val="0"/>
          <w:sz w:val="24"/>
          <w:szCs w:val="24"/>
          <w:highlight w:val="none"/>
        </w:rPr>
        <w:t>发票后</w:t>
      </w:r>
      <w:r>
        <w:rPr>
          <w:rFonts w:hint="eastAsia" w:ascii="楷体" w:hAnsi="楷体" w:eastAsia="楷体" w:cs="宋体"/>
          <w:iCs/>
          <w:color w:val="000000"/>
          <w:kern w:val="0"/>
          <w:sz w:val="24"/>
          <w:szCs w:val="24"/>
          <w:highlight w:val="none"/>
          <w:u w:val="single"/>
          <w:lang w:val="en-US" w:eastAsia="zh-CN"/>
        </w:rPr>
        <w:t xml:space="preserve"> 10 </w:t>
      </w:r>
      <w:r>
        <w:rPr>
          <w:rFonts w:hint="eastAsia" w:ascii="楷体" w:hAnsi="楷体" w:eastAsia="楷体" w:cs="宋体"/>
          <w:iCs/>
          <w:color w:val="000000"/>
          <w:kern w:val="0"/>
          <w:sz w:val="24"/>
          <w:szCs w:val="24"/>
          <w:highlight w:val="none"/>
        </w:rPr>
        <w:t>个工作日内</w:t>
      </w:r>
      <w:r>
        <w:rPr>
          <w:rFonts w:hint="eastAsia" w:ascii="楷体" w:hAnsi="楷体" w:eastAsia="楷体" w:cs="宋体"/>
          <w:iCs/>
          <w:color w:val="000000"/>
          <w:kern w:val="0"/>
          <w:sz w:val="24"/>
          <w:szCs w:val="24"/>
          <w:highlight w:val="none"/>
          <w:lang w:eastAsia="zh-CN"/>
        </w:rPr>
        <w:t>，</w:t>
      </w:r>
      <w:r>
        <w:rPr>
          <w:rFonts w:hint="eastAsia" w:ascii="楷体" w:hAnsi="楷体" w:eastAsia="楷体" w:cs="宋体"/>
          <w:iCs/>
          <w:color w:val="000000"/>
          <w:kern w:val="0"/>
          <w:sz w:val="24"/>
          <w:szCs w:val="24"/>
          <w:highlight w:val="none"/>
        </w:rPr>
        <w:t>向</w:t>
      </w:r>
      <w:r>
        <w:rPr>
          <w:rFonts w:hint="eastAsia" w:ascii="楷体" w:hAnsi="楷体" w:eastAsia="楷体" w:cs="宋体"/>
          <w:iCs/>
          <w:color w:val="000000"/>
          <w:kern w:val="0"/>
          <w:sz w:val="24"/>
          <w:szCs w:val="24"/>
          <w:highlight w:val="none"/>
          <w:lang w:val="en-US" w:eastAsia="zh-CN"/>
        </w:rPr>
        <w:t>乙方</w:t>
      </w:r>
      <w:r>
        <w:rPr>
          <w:rFonts w:hint="eastAsia" w:ascii="楷体" w:hAnsi="楷体" w:eastAsia="楷体" w:cs="宋体"/>
          <w:iCs/>
          <w:color w:val="000000"/>
          <w:kern w:val="0"/>
          <w:sz w:val="24"/>
          <w:szCs w:val="24"/>
          <w:highlight w:val="none"/>
        </w:rPr>
        <w:t>支付工程结算总价款的</w:t>
      </w:r>
      <w:r>
        <w:rPr>
          <w:rFonts w:hint="eastAsia" w:ascii="楷体" w:hAnsi="楷体" w:eastAsia="楷体" w:cs="宋体"/>
          <w:iCs/>
          <w:color w:val="000000"/>
          <w:kern w:val="0"/>
          <w:sz w:val="24"/>
          <w:szCs w:val="24"/>
          <w:highlight w:val="none"/>
          <w:u w:val="single"/>
          <w:lang w:val="en-US" w:eastAsia="zh-CN"/>
        </w:rPr>
        <w:t>95</w:t>
      </w:r>
      <w:r>
        <w:rPr>
          <w:rFonts w:hint="eastAsia" w:ascii="楷体" w:hAnsi="楷体" w:eastAsia="楷体" w:cs="宋体"/>
          <w:iCs/>
          <w:color w:val="000000"/>
          <w:kern w:val="0"/>
          <w:sz w:val="24"/>
          <w:szCs w:val="24"/>
          <w:highlight w:val="none"/>
          <w:u w:val="single"/>
        </w:rPr>
        <w:t>%</w:t>
      </w:r>
      <w:r>
        <w:rPr>
          <w:rFonts w:hint="eastAsia" w:ascii="楷体" w:hAnsi="楷体" w:eastAsia="楷体" w:cs="宋体"/>
          <w:iCs/>
          <w:color w:val="000000"/>
          <w:kern w:val="0"/>
          <w:sz w:val="24"/>
          <w:szCs w:val="24"/>
          <w:highlight w:val="none"/>
        </w:rPr>
        <w:t>；</w:t>
      </w:r>
    </w:p>
    <w:p>
      <w:pPr>
        <w:pStyle w:val="2"/>
        <w:ind w:left="0" w:leftChars="0" w:firstLine="0" w:firstLineChars="0"/>
        <w:rPr>
          <w:rFonts w:hint="default" w:eastAsia="楷体"/>
          <w:highlight w:val="none"/>
          <w:lang w:val="en-US" w:eastAsia="zh-CN"/>
        </w:rPr>
      </w:pPr>
      <w:r>
        <w:rPr>
          <w:rFonts w:hint="eastAsia" w:ascii="楷体" w:hAnsi="楷体" w:eastAsia="楷体" w:cs="宋体"/>
          <w:iCs/>
          <w:color w:val="000000"/>
          <w:kern w:val="0"/>
          <w:sz w:val="24"/>
          <w:szCs w:val="24"/>
          <w:highlight w:val="none"/>
          <w:lang w:val="en-US" w:eastAsia="zh-CN"/>
        </w:rPr>
        <w:t xml:space="preserve">    剩余5%工程款作为项目质保金，质保期满经验收合格支付乙方全部质保金。</w:t>
      </w:r>
    </w:p>
    <w:p>
      <w:pPr>
        <w:pStyle w:val="31"/>
        <w:rPr>
          <w:rFonts w:hint="default"/>
          <w:lang w:val="en-US" w:eastAsia="zh-CN"/>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sz w:val="24"/>
          <w:szCs w:val="24"/>
        </w:rPr>
      </w:pPr>
    </w:p>
    <w:p>
      <w:pPr>
        <w:spacing w:line="360" w:lineRule="auto"/>
        <w:rPr>
          <w:rFonts w:hint="eastAsia" w:ascii="楷体" w:hAnsi="楷体" w:eastAsia="楷体" w:cs="楷体"/>
          <w:b/>
          <w:bCs/>
          <w:sz w:val="24"/>
          <w:szCs w:val="24"/>
        </w:rPr>
      </w:pPr>
      <w:r>
        <w:rPr>
          <w:rFonts w:hint="eastAsia" w:ascii="楷体" w:hAnsi="楷体" w:eastAsia="楷体" w:cs="楷体"/>
          <w:b/>
          <w:bCs/>
          <w:sz w:val="24"/>
          <w:szCs w:val="24"/>
        </w:rPr>
        <w:t>附件4.3 供应商技术响应文件</w:t>
      </w:r>
    </w:p>
    <w:p>
      <w:pPr>
        <w:pStyle w:val="31"/>
        <w:rPr>
          <w:rFonts w:hint="eastAsia"/>
        </w:rPr>
      </w:pPr>
    </w:p>
    <w:p>
      <w:pPr>
        <w:adjustRightInd w:val="0"/>
        <w:snapToGrid w:val="0"/>
        <w:spacing w:line="360" w:lineRule="auto"/>
        <w:jc w:val="center"/>
        <w:rPr>
          <w:rFonts w:hint="eastAsia" w:ascii="楷体" w:hAnsi="楷体" w:eastAsia="楷体" w:cs="楷体"/>
          <w:b/>
          <w:sz w:val="24"/>
          <w:szCs w:val="24"/>
        </w:rPr>
      </w:pPr>
      <w:r>
        <w:rPr>
          <w:rFonts w:hint="eastAsia" w:ascii="楷体" w:hAnsi="楷体" w:eastAsia="楷体" w:cs="楷体"/>
          <w:b/>
          <w:sz w:val="24"/>
          <w:szCs w:val="24"/>
        </w:rPr>
        <w:t>供应商技术响应文件</w:t>
      </w:r>
    </w:p>
    <w:p>
      <w:pPr>
        <w:adjustRightInd w:val="0"/>
        <w:snapToGrid w:val="0"/>
        <w:spacing w:line="360" w:lineRule="auto"/>
        <w:ind w:firstLine="564"/>
        <w:rPr>
          <w:rFonts w:hint="eastAsia" w:ascii="楷体" w:hAnsi="楷体" w:eastAsia="楷体" w:cs="楷体"/>
          <w:sz w:val="24"/>
          <w:szCs w:val="24"/>
        </w:rPr>
      </w:pPr>
      <w:r>
        <w:rPr>
          <w:rFonts w:hint="eastAsia" w:ascii="楷体" w:hAnsi="楷体" w:eastAsia="楷体" w:cs="楷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5"/>
      </w:rPr>
    </w:pPr>
    <w:r>
      <w:fldChar w:fldCharType="begin"/>
    </w:r>
    <w:r>
      <w:rPr>
        <w:rStyle w:val="35"/>
      </w:rPr>
      <w:instrText xml:space="preserve">PAGE  </w:instrText>
    </w:r>
    <w:r>
      <w:fldChar w:fldCharType="separate"/>
    </w:r>
    <w:r>
      <w:rPr>
        <w:rStyle w:val="35"/>
      </w:rPr>
      <w:t>21</w: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5"/>
      </w:rPr>
    </w:pPr>
    <w:r>
      <w:fldChar w:fldCharType="begin"/>
    </w:r>
    <w:r>
      <w:rPr>
        <w:rStyle w:val="35"/>
      </w:rPr>
      <w:instrText xml:space="preserve">PAGE  </w:instrText>
    </w:r>
    <w:r>
      <w:fldChar w:fldCharType="end"/>
    </w:r>
  </w:p>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4"/>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A17D9D"/>
    <w:rsid w:val="01E44FDB"/>
    <w:rsid w:val="02746310"/>
    <w:rsid w:val="033B547A"/>
    <w:rsid w:val="04421F31"/>
    <w:rsid w:val="04FF599C"/>
    <w:rsid w:val="05A60512"/>
    <w:rsid w:val="06DE500D"/>
    <w:rsid w:val="076B6FE8"/>
    <w:rsid w:val="084B4885"/>
    <w:rsid w:val="0A2029B8"/>
    <w:rsid w:val="0C4B4988"/>
    <w:rsid w:val="0E471B93"/>
    <w:rsid w:val="0E967232"/>
    <w:rsid w:val="0FAC172F"/>
    <w:rsid w:val="11F22F35"/>
    <w:rsid w:val="13613868"/>
    <w:rsid w:val="1584045C"/>
    <w:rsid w:val="16204437"/>
    <w:rsid w:val="168C537F"/>
    <w:rsid w:val="16B6192C"/>
    <w:rsid w:val="176E6A53"/>
    <w:rsid w:val="17C90A93"/>
    <w:rsid w:val="180A43DC"/>
    <w:rsid w:val="188D78E2"/>
    <w:rsid w:val="1A060AB9"/>
    <w:rsid w:val="1B520060"/>
    <w:rsid w:val="1D0B446C"/>
    <w:rsid w:val="1E0E648E"/>
    <w:rsid w:val="1EEE5571"/>
    <w:rsid w:val="1F2E3E57"/>
    <w:rsid w:val="200B1EC8"/>
    <w:rsid w:val="200F7A29"/>
    <w:rsid w:val="21D67F7C"/>
    <w:rsid w:val="22F06852"/>
    <w:rsid w:val="23371649"/>
    <w:rsid w:val="237D724C"/>
    <w:rsid w:val="247D7FE2"/>
    <w:rsid w:val="251E2159"/>
    <w:rsid w:val="25F77B16"/>
    <w:rsid w:val="26344CDB"/>
    <w:rsid w:val="271D38C7"/>
    <w:rsid w:val="27B37A09"/>
    <w:rsid w:val="28215DEE"/>
    <w:rsid w:val="29945761"/>
    <w:rsid w:val="2A145999"/>
    <w:rsid w:val="2A492617"/>
    <w:rsid w:val="2A9A6A8D"/>
    <w:rsid w:val="2C046D45"/>
    <w:rsid w:val="2C07371E"/>
    <w:rsid w:val="2F28771E"/>
    <w:rsid w:val="30FE2136"/>
    <w:rsid w:val="319821DC"/>
    <w:rsid w:val="33BF44E1"/>
    <w:rsid w:val="34B24A71"/>
    <w:rsid w:val="34E81269"/>
    <w:rsid w:val="35240D62"/>
    <w:rsid w:val="38A10EA4"/>
    <w:rsid w:val="39F97EA6"/>
    <w:rsid w:val="3A66230F"/>
    <w:rsid w:val="3AAF39E6"/>
    <w:rsid w:val="3D4846E6"/>
    <w:rsid w:val="3D484E7E"/>
    <w:rsid w:val="3E2F0F21"/>
    <w:rsid w:val="3F1342AB"/>
    <w:rsid w:val="3F164165"/>
    <w:rsid w:val="3FD652BA"/>
    <w:rsid w:val="41FF6288"/>
    <w:rsid w:val="430811D8"/>
    <w:rsid w:val="448F7CCD"/>
    <w:rsid w:val="44EC5010"/>
    <w:rsid w:val="465B4F4D"/>
    <w:rsid w:val="4B0228F0"/>
    <w:rsid w:val="4B186CBD"/>
    <w:rsid w:val="4BFF7508"/>
    <w:rsid w:val="4D2211D8"/>
    <w:rsid w:val="4DA17C46"/>
    <w:rsid w:val="4FC71F94"/>
    <w:rsid w:val="4FCC047B"/>
    <w:rsid w:val="50993CBF"/>
    <w:rsid w:val="5129762E"/>
    <w:rsid w:val="56EC1D92"/>
    <w:rsid w:val="583C06E1"/>
    <w:rsid w:val="58675ABF"/>
    <w:rsid w:val="5CA70634"/>
    <w:rsid w:val="5D0215DE"/>
    <w:rsid w:val="5FED63B7"/>
    <w:rsid w:val="60794621"/>
    <w:rsid w:val="61F4789B"/>
    <w:rsid w:val="62832443"/>
    <w:rsid w:val="63AE760C"/>
    <w:rsid w:val="647C477B"/>
    <w:rsid w:val="651E2080"/>
    <w:rsid w:val="65E16C77"/>
    <w:rsid w:val="67F843A3"/>
    <w:rsid w:val="68287E53"/>
    <w:rsid w:val="69491A61"/>
    <w:rsid w:val="6A4A0A1A"/>
    <w:rsid w:val="6ADB0D0A"/>
    <w:rsid w:val="6BA90AF6"/>
    <w:rsid w:val="6C936C48"/>
    <w:rsid w:val="6EA87056"/>
    <w:rsid w:val="6FC91B03"/>
    <w:rsid w:val="70D214F8"/>
    <w:rsid w:val="732B5311"/>
    <w:rsid w:val="745E76B6"/>
    <w:rsid w:val="74CE335F"/>
    <w:rsid w:val="774429B4"/>
    <w:rsid w:val="787541B4"/>
    <w:rsid w:val="7AC95EC1"/>
    <w:rsid w:val="7BD428A1"/>
    <w:rsid w:val="7D4304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First Indent 2"/>
    <w:unhideWhenUsed/>
    <w:qFormat/>
    <w:uiPriority w:val="99"/>
    <w:pPr>
      <w:widowControl w:val="0"/>
      <w:spacing w:after="120"/>
      <w:ind w:left="420" w:leftChars="200" w:firstLine="420" w:firstLineChars="200"/>
      <w:jc w:val="both"/>
    </w:pPr>
    <w:rPr>
      <w:rFonts w:ascii="Times New Roman" w:hAnsi="Times New Roman" w:eastAsia="宋体" w:cs="Times New Roman"/>
      <w:kern w:val="2"/>
      <w:sz w:val="21"/>
      <w:szCs w:val="24"/>
      <w:lang w:val="en-US" w:eastAsia="zh-CN" w:bidi="ar-SA"/>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20"/>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21"/>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w:basedOn w:val="1"/>
    <w:qFormat/>
    <w:uiPriority w:val="0"/>
    <w:pPr>
      <w:spacing w:after="120" w:afterLines="0" w:afterAutospacing="0"/>
    </w:pPr>
  </w:style>
  <w:style w:type="paragraph" w:styleId="14">
    <w:name w:val="Body Text Indent"/>
    <w:unhideWhenUsed/>
    <w:qFormat/>
    <w:uiPriority w:val="99"/>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4"/>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3"/>
    <w:qFormat/>
    <w:uiPriority w:val="0"/>
    <w:pPr>
      <w:widowControl/>
      <w:spacing w:line="360" w:lineRule="atLeast"/>
      <w:ind w:left="100" w:leftChars="2500"/>
      <w:jc w:val="left"/>
    </w:pPr>
    <w:rPr>
      <w:kern w:val="0"/>
      <w:sz w:val="24"/>
      <w:szCs w:val="24"/>
    </w:rPr>
  </w:style>
  <w:style w:type="paragraph" w:styleId="20">
    <w:name w:val="Balloon Text"/>
    <w:basedOn w:val="1"/>
    <w:link w:val="123"/>
    <w:unhideWhenUsed/>
    <w:qFormat/>
    <w:uiPriority w:val="99"/>
    <w:pPr>
      <w:spacing w:line="360" w:lineRule="auto"/>
      <w:ind w:firstLine="200" w:firstLineChars="200"/>
    </w:pPr>
    <w:rPr>
      <w:rFonts w:ascii="Calibri" w:hAnsi="Calibri" w:eastAsia="楷体"/>
      <w:sz w:val="18"/>
      <w:szCs w:val="18"/>
    </w:rPr>
  </w:style>
  <w:style w:type="paragraph" w:styleId="21">
    <w:name w:val="footer"/>
    <w:basedOn w:val="1"/>
    <w:link w:val="40"/>
    <w:unhideWhenUsed/>
    <w:qFormat/>
    <w:uiPriority w:val="99"/>
    <w:pPr>
      <w:tabs>
        <w:tab w:val="center" w:pos="4153"/>
        <w:tab w:val="right" w:pos="8306"/>
      </w:tabs>
      <w:snapToGrid w:val="0"/>
      <w:jc w:val="left"/>
    </w:pPr>
    <w:rPr>
      <w:sz w:val="18"/>
      <w:szCs w:val="18"/>
    </w:rPr>
  </w:style>
  <w:style w:type="paragraph" w:styleId="22">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widowControl/>
    </w:pPr>
    <w:rPr>
      <w:kern w:val="0"/>
      <w:szCs w:val="21"/>
    </w:rPr>
  </w:style>
  <w:style w:type="paragraph" w:styleId="24">
    <w:name w:val="toc 4"/>
    <w:basedOn w:val="1"/>
    <w:next w:val="1"/>
    <w:unhideWhenUsed/>
    <w:qFormat/>
    <w:uiPriority w:val="39"/>
    <w:pPr>
      <w:spacing w:line="360" w:lineRule="auto"/>
      <w:ind w:left="1260" w:leftChars="600"/>
    </w:pPr>
    <w:rPr>
      <w:rFonts w:ascii="Calibri" w:hAnsi="Calibri" w:eastAsia="楷体"/>
      <w:szCs w:val="22"/>
    </w:rPr>
  </w:style>
  <w:style w:type="paragraph" w:styleId="25">
    <w:name w:val="toc 6"/>
    <w:basedOn w:val="1"/>
    <w:next w:val="1"/>
    <w:unhideWhenUsed/>
    <w:qFormat/>
    <w:uiPriority w:val="39"/>
    <w:pPr>
      <w:spacing w:line="360" w:lineRule="auto"/>
      <w:ind w:left="2100" w:leftChars="1000"/>
    </w:pPr>
    <w:rPr>
      <w:rFonts w:ascii="Calibri" w:hAnsi="Calibri" w:eastAsia="楷体"/>
      <w:szCs w:val="22"/>
    </w:rPr>
  </w:style>
  <w:style w:type="paragraph" w:styleId="26">
    <w:name w:val="toc 2"/>
    <w:basedOn w:val="1"/>
    <w:next w:val="1"/>
    <w:qFormat/>
    <w:uiPriority w:val="39"/>
    <w:pPr>
      <w:widowControl/>
      <w:ind w:left="420" w:leftChars="200"/>
    </w:pPr>
    <w:rPr>
      <w:kern w:val="0"/>
      <w:szCs w:val="21"/>
    </w:rPr>
  </w:style>
  <w:style w:type="paragraph" w:styleId="27">
    <w:name w:val="toc 9"/>
    <w:basedOn w:val="1"/>
    <w:next w:val="1"/>
    <w:unhideWhenUsed/>
    <w:qFormat/>
    <w:uiPriority w:val="39"/>
    <w:pPr>
      <w:spacing w:line="360" w:lineRule="auto"/>
      <w:ind w:left="3360" w:leftChars="1600"/>
    </w:pPr>
    <w:rPr>
      <w:rFonts w:ascii="Calibri" w:hAnsi="Calibri" w:eastAsia="楷体"/>
      <w:szCs w:val="22"/>
    </w:rPr>
  </w:style>
  <w:style w:type="paragraph" w:styleId="28">
    <w:name w:val="Body Text 2"/>
    <w:basedOn w:val="1"/>
    <w:qFormat/>
    <w:uiPriority w:val="0"/>
    <w:pPr>
      <w:jc w:val="center"/>
    </w:pPr>
    <w:rPr>
      <w:rFonts w:eastAsia="黑体"/>
      <w:bCs/>
      <w:sz w:val="72"/>
    </w:rPr>
  </w:style>
  <w:style w:type="paragraph" w:styleId="29">
    <w:name w:val="Title"/>
    <w:basedOn w:val="1"/>
    <w:next w:val="1"/>
    <w:link w:val="119"/>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0">
    <w:name w:val="annotation subject"/>
    <w:basedOn w:val="12"/>
    <w:next w:val="12"/>
    <w:link w:val="62"/>
    <w:unhideWhenUsed/>
    <w:qFormat/>
    <w:uiPriority w:val="0"/>
    <w:rPr>
      <w:rFonts w:asciiTheme="minorHAnsi" w:hAnsiTheme="minorHAnsi" w:cstheme="minorBidi"/>
      <w:b/>
      <w:bCs/>
      <w:lang w:val="zh-CN" w:eastAsia="zh-CN"/>
    </w:rPr>
  </w:style>
  <w:style w:type="paragraph" w:styleId="31">
    <w:name w:val="Body Text First Indent"/>
    <w:basedOn w:val="13"/>
    <w:next w:val="1"/>
    <w:qFormat/>
    <w:uiPriority w:val="0"/>
    <w:pPr>
      <w:spacing w:after="120" w:line="400" w:lineRule="atLeast"/>
      <w:ind w:firstLine="420"/>
    </w:pPr>
    <w:rPr>
      <w:rFonts w:ascii="宋体" w:hAnsi="宋体" w:eastAsia="宋体" w:cs="宋体"/>
      <w:sz w:val="36"/>
      <w:szCs w:val="24"/>
      <w:lang w:val="zh-CN" w:bidi="zh-CN"/>
    </w:rPr>
  </w:style>
  <w:style w:type="table" w:styleId="33">
    <w:name w:val="Table Grid"/>
    <w:basedOn w:val="32"/>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basedOn w:val="34"/>
    <w:qFormat/>
    <w:uiPriority w:val="0"/>
  </w:style>
  <w:style w:type="character" w:styleId="36">
    <w:name w:val="FollowedHyperlink"/>
    <w:qFormat/>
    <w:uiPriority w:val="99"/>
    <w:rPr>
      <w:color w:val="800080"/>
      <w:u w:val="single"/>
    </w:rPr>
  </w:style>
  <w:style w:type="character" w:styleId="37">
    <w:name w:val="Hyperlink"/>
    <w:qFormat/>
    <w:uiPriority w:val="99"/>
    <w:rPr>
      <w:color w:val="0000FF"/>
      <w:u w:val="single"/>
    </w:rPr>
  </w:style>
  <w:style w:type="character" w:styleId="38">
    <w:name w:val="annotation reference"/>
    <w:qFormat/>
    <w:uiPriority w:val="0"/>
    <w:rPr>
      <w:sz w:val="21"/>
      <w:szCs w:val="21"/>
    </w:rPr>
  </w:style>
  <w:style w:type="character" w:customStyle="1" w:styleId="39">
    <w:name w:val="页眉 Char"/>
    <w:basedOn w:val="34"/>
    <w:link w:val="22"/>
    <w:qFormat/>
    <w:uiPriority w:val="99"/>
    <w:rPr>
      <w:sz w:val="18"/>
      <w:szCs w:val="18"/>
    </w:rPr>
  </w:style>
  <w:style w:type="character" w:customStyle="1" w:styleId="40">
    <w:name w:val="页脚 Char"/>
    <w:basedOn w:val="34"/>
    <w:link w:val="21"/>
    <w:qFormat/>
    <w:uiPriority w:val="99"/>
    <w:rPr>
      <w:sz w:val="18"/>
      <w:szCs w:val="18"/>
    </w:rPr>
  </w:style>
  <w:style w:type="character" w:customStyle="1" w:styleId="41">
    <w:name w:val="标题 1 Char"/>
    <w:basedOn w:val="34"/>
    <w:link w:val="3"/>
    <w:qFormat/>
    <w:uiPriority w:val="9"/>
    <w:rPr>
      <w:rFonts w:ascii="宋体" w:hAnsi="宋体" w:eastAsia="宋体" w:cs="宋体"/>
      <w:b/>
      <w:bCs/>
      <w:kern w:val="36"/>
      <w:szCs w:val="21"/>
    </w:rPr>
  </w:style>
  <w:style w:type="character" w:customStyle="1" w:styleId="42">
    <w:name w:val="标题 2 Char"/>
    <w:basedOn w:val="34"/>
    <w:link w:val="4"/>
    <w:qFormat/>
    <w:uiPriority w:val="9"/>
    <w:rPr>
      <w:rFonts w:ascii="Calibri Light" w:hAnsi="Calibri Light" w:eastAsia="宋体" w:cs="Times New Roman"/>
      <w:b/>
      <w:bCs/>
      <w:sz w:val="32"/>
      <w:szCs w:val="32"/>
    </w:rPr>
  </w:style>
  <w:style w:type="character" w:customStyle="1" w:styleId="43">
    <w:name w:val="标题 3 Char"/>
    <w:basedOn w:val="34"/>
    <w:link w:val="5"/>
    <w:qFormat/>
    <w:uiPriority w:val="9"/>
    <w:rPr>
      <w:rFonts w:ascii="Times New Roman" w:hAnsi="Times New Roman" w:eastAsia="宋体" w:cs="Times New Roman"/>
      <w:b/>
      <w:bCs/>
      <w:kern w:val="0"/>
      <w:sz w:val="32"/>
      <w:szCs w:val="32"/>
    </w:rPr>
  </w:style>
  <w:style w:type="character" w:customStyle="1" w:styleId="44">
    <w:name w:val="标题 4 Char"/>
    <w:basedOn w:val="34"/>
    <w:link w:val="6"/>
    <w:qFormat/>
    <w:uiPriority w:val="9"/>
    <w:rPr>
      <w:rFonts w:ascii="Calibri Light" w:hAnsi="Calibri Light" w:eastAsia="宋体" w:cs="Times New Roman"/>
      <w:b/>
      <w:bCs/>
      <w:sz w:val="28"/>
      <w:szCs w:val="28"/>
    </w:rPr>
  </w:style>
  <w:style w:type="character" w:customStyle="1" w:styleId="45">
    <w:name w:val="标题 5 Char"/>
    <w:basedOn w:val="34"/>
    <w:link w:val="7"/>
    <w:qFormat/>
    <w:uiPriority w:val="9"/>
    <w:rPr>
      <w:rFonts w:ascii="Times New Roman" w:hAnsi="Times New Roman" w:eastAsia="宋体" w:cs="Times New Roman"/>
      <w:b/>
      <w:bCs/>
      <w:sz w:val="28"/>
      <w:szCs w:val="28"/>
    </w:rPr>
  </w:style>
  <w:style w:type="character" w:customStyle="1" w:styleId="46">
    <w:name w:val="标题 6 Char"/>
    <w:basedOn w:val="34"/>
    <w:link w:val="8"/>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Char"/>
    <w:basedOn w:val="34"/>
    <w:link w:val="19"/>
    <w:qFormat/>
    <w:uiPriority w:val="0"/>
    <w:rPr>
      <w:rFonts w:ascii="Times New Roman" w:hAnsi="Times New Roman" w:eastAsia="宋体" w:cs="Times New Roman"/>
      <w:kern w:val="0"/>
      <w:sz w:val="24"/>
      <w:szCs w:val="24"/>
    </w:rPr>
  </w:style>
  <w:style w:type="character" w:customStyle="1" w:styleId="54">
    <w:name w:val="纯文本 Char"/>
    <w:basedOn w:val="34"/>
    <w:link w:val="17"/>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1"/>
    <w:link w:val="57"/>
    <w:qFormat/>
    <w:uiPriority w:val="0"/>
    <w:pPr>
      <w:spacing w:line="360" w:lineRule="auto"/>
      <w:ind w:firstLine="200" w:firstLineChars="200"/>
    </w:pPr>
    <w:rPr>
      <w:rFonts w:ascii="宋体" w:hAnsi="Calibri" w:eastAsia="楷体"/>
      <w:sz w:val="18"/>
      <w:szCs w:val="18"/>
      <w:lang w:val="zh-CN" w:eastAsia="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2"/>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
    <w:name w:val="批注文字1"/>
    <w:basedOn w:val="1"/>
    <w:next w:val="12"/>
    <w:link w:val="60"/>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2"/>
    <w:next w:val="12"/>
    <w:qFormat/>
    <w:uiPriority w:val="0"/>
    <w:rPr>
      <w:b/>
      <w:bCs/>
      <w:lang w:val="zh-CN" w:eastAsia="zh-CN"/>
    </w:rPr>
  </w:style>
  <w:style w:type="character" w:customStyle="1" w:styleId="62">
    <w:name w:val="批注主题 Char"/>
    <w:link w:val="30"/>
    <w:qFormat/>
    <w:uiPriority w:val="0"/>
    <w:rPr>
      <w:rFonts w:eastAsia="楷体"/>
      <w:b/>
      <w:bCs/>
      <w:sz w:val="24"/>
      <w:lang w:val="zh-CN" w:eastAsia="zh-CN"/>
    </w:rPr>
  </w:style>
  <w:style w:type="paragraph" w:customStyle="1" w:styleId="63">
    <w:name w:val="批注框文本1"/>
    <w:basedOn w:val="1"/>
    <w:next w:val="20"/>
    <w:link w:val="64"/>
    <w:qFormat/>
    <w:uiPriority w:val="0"/>
    <w:pPr>
      <w:spacing w:line="360" w:lineRule="auto"/>
      <w:ind w:firstLine="200" w:firstLineChars="200"/>
    </w:pPr>
    <w:rPr>
      <w:rFonts w:ascii="Calibri" w:hAnsi="Calibri" w:eastAsia="楷体"/>
      <w:sz w:val="18"/>
      <w:szCs w:val="18"/>
      <w:lang w:val="zh-CN" w:eastAsia="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0"/>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9">
    <w:name w:val="标题 Char"/>
    <w:link w:val="29"/>
    <w:qFormat/>
    <w:uiPriority w:val="10"/>
    <w:rPr>
      <w:rFonts w:ascii="Calibri Light" w:hAnsi="Calibri Light"/>
      <w:b/>
      <w:bCs/>
      <w:sz w:val="32"/>
      <w:szCs w:val="32"/>
    </w:rPr>
  </w:style>
  <w:style w:type="character" w:customStyle="1" w:styleId="120">
    <w:name w:val="文档结构图 Char1"/>
    <w:basedOn w:val="34"/>
    <w:link w:val="11"/>
    <w:qFormat/>
    <w:uiPriority w:val="99"/>
    <w:rPr>
      <w:rFonts w:ascii="Microsoft YaHei UI" w:hAnsi="Calibri" w:eastAsia="Microsoft YaHei UI" w:cs="Times New Roman"/>
      <w:sz w:val="18"/>
      <w:szCs w:val="18"/>
    </w:rPr>
  </w:style>
  <w:style w:type="character" w:customStyle="1" w:styleId="121">
    <w:name w:val="批注文字 Char1"/>
    <w:basedOn w:val="34"/>
    <w:link w:val="12"/>
    <w:qFormat/>
    <w:uiPriority w:val="99"/>
    <w:rPr>
      <w:rFonts w:ascii="Calibri" w:hAnsi="Calibri" w:eastAsia="楷体" w:cs="Times New Roman"/>
      <w:sz w:val="24"/>
    </w:rPr>
  </w:style>
  <w:style w:type="character" w:customStyle="1" w:styleId="122">
    <w:name w:val="批注主题 Char1"/>
    <w:basedOn w:val="121"/>
    <w:qFormat/>
    <w:uiPriority w:val="99"/>
    <w:rPr>
      <w:rFonts w:ascii="Calibri" w:hAnsi="Calibri" w:eastAsia="楷体" w:cs="Times New Roman"/>
      <w:b/>
      <w:bCs/>
      <w:sz w:val="24"/>
    </w:rPr>
  </w:style>
  <w:style w:type="character" w:customStyle="1" w:styleId="123">
    <w:name w:val="批注框文本 Char1"/>
    <w:basedOn w:val="34"/>
    <w:link w:val="20"/>
    <w:qFormat/>
    <w:uiPriority w:val="99"/>
    <w:rPr>
      <w:rFonts w:ascii="Calibri" w:hAnsi="Calibri" w:eastAsia="楷体" w:cs="Times New Roman"/>
      <w:sz w:val="18"/>
      <w:szCs w:val="18"/>
    </w:rPr>
  </w:style>
  <w:style w:type="character" w:customStyle="1" w:styleId="124">
    <w:name w:val="标题 Char1"/>
    <w:basedOn w:val="34"/>
    <w:qFormat/>
    <w:uiPriority w:val="10"/>
    <w:rPr>
      <w:rFonts w:eastAsia="宋体" w:asciiTheme="majorHAnsi" w:hAnsiTheme="majorHAnsi" w:cstheme="majorBidi"/>
      <w:b/>
      <w:bCs/>
      <w:sz w:val="32"/>
      <w:szCs w:val="32"/>
    </w:rPr>
  </w:style>
  <w:style w:type="paragraph" w:styleId="125">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6">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2">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4">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5">
    <w:name w:val="图文"/>
    <w:basedOn w:val="1"/>
    <w:qFormat/>
    <w:uiPriority w:val="0"/>
    <w:pPr>
      <w:adjustRightInd w:val="0"/>
      <w:snapToGrid w:val="0"/>
      <w:spacing w:after="50" w:line="360" w:lineRule="auto"/>
    </w:pPr>
    <w:rPr>
      <w:sz w:val="24"/>
      <w:szCs w:val="24"/>
    </w:rPr>
  </w:style>
  <w:style w:type="character" w:customStyle="1" w:styleId="136">
    <w:name w:val="font51"/>
    <w:basedOn w:val="34"/>
    <w:qFormat/>
    <w:uiPriority w:val="0"/>
    <w:rPr>
      <w:rFonts w:hint="eastAsia" w:ascii="仿宋" w:hAnsi="仿宋" w:eastAsia="仿宋" w:cs="仿宋"/>
      <w:color w:val="000000"/>
      <w:sz w:val="21"/>
      <w:szCs w:val="21"/>
      <w:u w:val="none"/>
    </w:rPr>
  </w:style>
  <w:style w:type="character" w:customStyle="1" w:styleId="137">
    <w:name w:val="font41"/>
    <w:basedOn w:val="34"/>
    <w:qFormat/>
    <w:uiPriority w:val="0"/>
    <w:rPr>
      <w:rFonts w:hint="eastAsia" w:ascii="仿宋" w:hAnsi="仿宋" w:eastAsia="仿宋" w:cs="仿宋"/>
      <w:color w:val="0000FF"/>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12</TotalTime>
  <ScaleCrop>false</ScaleCrop>
  <LinksUpToDate>false</LinksUpToDate>
  <CharactersWithSpaces>11754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尚小兵</cp:lastModifiedBy>
  <dcterms:modified xsi:type="dcterms:W3CDTF">2023-09-18T06:15:36Z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CB93FBBD36DC4DD991F9C67CEF6009E4</vt:lpwstr>
  </property>
</Properties>
</file>