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中国人民财产保险股份有限公司</w:t>
      </w:r>
      <w:r>
        <w:rPr>
          <w:rFonts w:hint="eastAsia" w:ascii="仿宋" w:hAnsi="仿宋" w:eastAsia="仿宋" w:cs="仿宋"/>
          <w:b/>
          <w:color w:val="000000"/>
          <w:sz w:val="36"/>
          <w:szCs w:val="36"/>
          <w:lang w:val="en-US" w:eastAsia="zh-CN"/>
        </w:rPr>
        <w:t>新宁支公司食堂服务采购</w:t>
      </w:r>
      <w:r>
        <w:rPr>
          <w:rFonts w:hint="eastAsia" w:ascii="仿宋" w:hAnsi="仿宋" w:eastAsia="仿宋" w:cs="仿宋"/>
          <w:b/>
          <w:color w:val="000000"/>
          <w:sz w:val="36"/>
          <w:szCs w:val="36"/>
        </w:rPr>
        <w:t>项目询价邀请文件</w:t>
      </w:r>
    </w:p>
    <w:p>
      <w:pPr>
        <w:spacing w:line="600" w:lineRule="exact"/>
        <w:ind w:firstLine="510"/>
        <w:rPr>
          <w:rFonts w:ascii="仿宋_GB2312" w:eastAsia="仿宋_GB2312" w:hAnsiTheme="majorEastAsia"/>
          <w:color w:val="000000"/>
          <w:sz w:val="32"/>
          <w:szCs w:val="32"/>
        </w:rPr>
      </w:pPr>
    </w:p>
    <w:p>
      <w:pPr>
        <w:spacing w:line="600" w:lineRule="exact"/>
        <w:ind w:firstLine="640" w:firstLineChars="20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新宁支公司</w:t>
      </w:r>
      <w:r>
        <w:rPr>
          <w:rFonts w:hint="eastAsia" w:ascii="仿宋_GB2312" w:eastAsia="仿宋_GB2312" w:hAnsiTheme="majorEastAsia"/>
          <w:color w:val="000000"/>
          <w:sz w:val="32"/>
          <w:szCs w:val="32"/>
        </w:rPr>
        <w:t>拟通过询价方式，选定</w:t>
      </w:r>
      <w:r>
        <w:rPr>
          <w:rFonts w:hint="eastAsia" w:ascii="仿宋_GB2312" w:eastAsia="仿宋_GB2312" w:hAnsiTheme="majorEastAsia"/>
          <w:color w:val="000000"/>
          <w:sz w:val="32"/>
          <w:szCs w:val="32"/>
          <w:lang w:val="en-US" w:eastAsia="zh-CN"/>
        </w:rPr>
        <w:t>新宁支公司食堂服务采购</w:t>
      </w:r>
      <w:r>
        <w:rPr>
          <w:rFonts w:hint="eastAsia" w:ascii="仿宋_GB2312" w:eastAsia="仿宋_GB2312" w:hAnsiTheme="majorEastAsia"/>
          <w:color w:val="000000"/>
          <w:sz w:val="32"/>
          <w:szCs w:val="32"/>
        </w:rPr>
        <w:t>项目的服务合作供应商，合同签署主体为</w:t>
      </w:r>
      <w:r>
        <w:rPr>
          <w:rFonts w:hint="eastAsia" w:ascii="仿宋_GB2312" w:eastAsia="仿宋_GB2312" w:hAnsiTheme="majorEastAsia"/>
          <w:color w:val="000000"/>
          <w:sz w:val="32"/>
          <w:szCs w:val="32"/>
          <w:lang w:val="en-US" w:eastAsia="zh-CN"/>
        </w:rPr>
        <w:t>邵阳市</w:t>
      </w:r>
      <w:r>
        <w:rPr>
          <w:rFonts w:hint="eastAsia" w:ascii="仿宋_GB2312" w:eastAsia="仿宋_GB2312" w:hAnsiTheme="majorEastAsia"/>
          <w:color w:val="000000"/>
          <w:sz w:val="32"/>
          <w:szCs w:val="32"/>
        </w:rPr>
        <w:t>分公司。现特邀贵单位参加，请贵单位根据以下内容提供递交报价文件。</w:t>
      </w:r>
    </w:p>
    <w:p>
      <w:pPr>
        <w:pStyle w:val="2"/>
        <w:spacing w:before="120" w:after="0"/>
        <w:ind w:firstLine="643" w:firstLineChars="200"/>
        <w:rPr>
          <w:rFonts w:hint="eastAsia" w:ascii="黑体" w:hAnsi="黑体" w:eastAsia="黑体"/>
          <w:sz w:val="32"/>
          <w:szCs w:val="32"/>
          <w:lang w:eastAsia="zh-CN"/>
        </w:rPr>
      </w:pPr>
      <w:r>
        <w:rPr>
          <w:rFonts w:hint="eastAsia" w:ascii="黑体" w:hAnsi="黑体" w:eastAsia="黑体"/>
          <w:sz w:val="32"/>
          <w:szCs w:val="32"/>
        </w:rPr>
        <w:t>一、</w:t>
      </w:r>
      <w:r>
        <w:rPr>
          <w:rFonts w:hint="eastAsia" w:ascii="黑体" w:hAnsi="黑体" w:eastAsia="黑体"/>
          <w:sz w:val="32"/>
          <w:szCs w:val="32"/>
          <w:lang w:val="en-US" w:eastAsia="zh-CN"/>
        </w:rPr>
        <w:t>递交</w:t>
      </w:r>
      <w:r>
        <w:rPr>
          <w:rFonts w:hint="eastAsia" w:ascii="黑体" w:hAnsi="黑体" w:eastAsia="黑体"/>
          <w:sz w:val="32"/>
          <w:szCs w:val="32"/>
        </w:rPr>
        <w:t>时间及</w:t>
      </w:r>
      <w:r>
        <w:rPr>
          <w:rFonts w:hint="eastAsia" w:ascii="黑体" w:hAnsi="黑体" w:eastAsia="黑体"/>
          <w:sz w:val="32"/>
          <w:szCs w:val="32"/>
          <w:lang w:val="en-US" w:eastAsia="zh-CN"/>
        </w:rPr>
        <w:t>方式</w:t>
      </w:r>
    </w:p>
    <w:p>
      <w:pPr>
        <w:autoSpaceDN w:val="0"/>
        <w:spacing w:line="360" w:lineRule="auto"/>
        <w:ind w:firstLine="630"/>
        <w:rPr>
          <w:rFonts w:hint="default" w:ascii="仿宋_GB2312" w:eastAsia="仿宋_GB2312" w:hAnsiTheme="majorEastAsia"/>
          <w:sz w:val="32"/>
          <w:szCs w:val="32"/>
          <w:lang w:val="en-US" w:eastAsia="zh-CN"/>
        </w:rPr>
      </w:pPr>
      <w:r>
        <w:rPr>
          <w:rFonts w:hint="eastAsia" w:ascii="仿宋_GB2312" w:eastAsia="仿宋_GB2312" w:hAnsiTheme="majorEastAsia"/>
          <w:color w:val="000000"/>
          <w:sz w:val="32"/>
          <w:szCs w:val="32"/>
          <w:lang w:val="en-US" w:eastAsia="zh-CN"/>
        </w:rPr>
        <w:t>递交</w:t>
      </w:r>
      <w:r>
        <w:rPr>
          <w:rFonts w:hint="eastAsia" w:ascii="仿宋_GB2312" w:eastAsia="仿宋_GB2312" w:hAnsiTheme="majorEastAsia"/>
          <w:color w:val="000000"/>
          <w:sz w:val="32"/>
          <w:szCs w:val="32"/>
        </w:rPr>
        <w:t>时间：</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日</w:t>
      </w:r>
      <w:r>
        <w:rPr>
          <w:rFonts w:hint="eastAsia" w:ascii="仿宋_GB2312" w:eastAsia="仿宋_GB2312" w:hAnsiTheme="majorEastAsia"/>
          <w:sz w:val="32"/>
          <w:szCs w:val="32"/>
          <w:lang w:val="en-US" w:eastAsia="zh-CN"/>
        </w:rPr>
        <w:t>--   年   月  日</w:t>
      </w:r>
    </w:p>
    <w:p>
      <w:pPr>
        <w:autoSpaceDN w:val="0"/>
        <w:spacing w:line="360" w:lineRule="auto"/>
        <w:ind w:firstLine="63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递交方式</w:t>
      </w: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电话询价、邮件询价或者书面递交报价单</w:t>
      </w:r>
    </w:p>
    <w:p>
      <w:pPr>
        <w:autoSpaceDN w:val="0"/>
        <w:spacing w:line="360" w:lineRule="auto"/>
        <w:ind w:firstLine="630"/>
        <w:rPr>
          <w:rFonts w:hint="default" w:ascii="仿宋_GB2312" w:eastAsia="仿宋_GB2312" w:hAnsiTheme="majorEastAsia"/>
          <w:color w:val="FF0000"/>
          <w:sz w:val="32"/>
          <w:szCs w:val="32"/>
          <w:lang w:val="en-US" w:eastAsia="zh-CN"/>
        </w:rPr>
      </w:pPr>
      <w:r>
        <w:rPr>
          <w:rFonts w:hint="eastAsia" w:ascii="仿宋_GB2312" w:eastAsia="仿宋_GB2312" w:hAnsiTheme="majorEastAsia"/>
          <w:color w:val="000000"/>
          <w:sz w:val="32"/>
          <w:szCs w:val="32"/>
        </w:rPr>
        <w:t>递交地点：湖南省邵阳市</w:t>
      </w:r>
      <w:r>
        <w:rPr>
          <w:rFonts w:hint="eastAsia" w:ascii="仿宋_GB2312" w:eastAsia="仿宋_GB2312" w:hAnsiTheme="majorEastAsia"/>
          <w:color w:val="000000"/>
          <w:sz w:val="32"/>
          <w:szCs w:val="32"/>
          <w:lang w:eastAsia="zh-CN"/>
        </w:rPr>
        <w:t>新宁</w:t>
      </w:r>
      <w:r>
        <w:rPr>
          <w:rFonts w:hint="eastAsia" w:ascii="仿宋_GB2312" w:eastAsia="仿宋_GB2312" w:hAnsiTheme="majorEastAsia"/>
          <w:color w:val="000000"/>
          <w:sz w:val="32"/>
          <w:szCs w:val="32"/>
        </w:rPr>
        <w:t>县</w:t>
      </w:r>
      <w:r>
        <w:rPr>
          <w:rFonts w:hint="eastAsia" w:ascii="仿宋_GB2312" w:eastAsia="仿宋_GB2312" w:hAnsiTheme="majorEastAsia"/>
          <w:color w:val="000000"/>
          <w:sz w:val="32"/>
          <w:szCs w:val="32"/>
          <w:lang w:eastAsia="zh-CN"/>
        </w:rPr>
        <w:t>金石镇大兴路</w:t>
      </w:r>
      <w:r>
        <w:rPr>
          <w:rFonts w:hint="eastAsia" w:ascii="仿宋_GB2312" w:eastAsia="仿宋_GB2312" w:hAnsiTheme="majorEastAsia"/>
          <w:color w:val="000000"/>
          <w:sz w:val="32"/>
          <w:szCs w:val="32"/>
          <w:lang w:val="en-US" w:eastAsia="zh-CN"/>
        </w:rPr>
        <w:t>298</w:t>
      </w:r>
      <w:r>
        <w:rPr>
          <w:rFonts w:hint="eastAsia" w:ascii="仿宋_GB2312" w:eastAsia="仿宋_GB2312" w:hAnsiTheme="majorEastAsia"/>
          <w:color w:val="000000"/>
          <w:sz w:val="32"/>
          <w:szCs w:val="32"/>
        </w:rPr>
        <w:t>号</w:t>
      </w:r>
      <w:r>
        <w:rPr>
          <w:rFonts w:hint="eastAsia" w:ascii="仿宋_GB2312" w:eastAsia="仿宋_GB2312" w:hAnsiTheme="majorEastAsia"/>
          <w:color w:val="FF0000"/>
          <w:sz w:val="32"/>
          <w:szCs w:val="32"/>
        </w:rPr>
        <w:t>（时间、地点如有变化，将另行提前通知）。</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二、询价项目内容</w:t>
      </w:r>
    </w:p>
    <w:p>
      <w:pPr>
        <w:spacing w:line="600" w:lineRule="exact"/>
        <w:ind w:firstLine="640" w:firstLineChars="20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本项目选定1家承包商，为我公司提供周期为 1 年的食堂        服务。我公司现有员工</w:t>
      </w:r>
      <w:bookmarkStart w:id="0" w:name="_GoBack"/>
      <w:bookmarkEnd w:id="0"/>
      <w:r>
        <w:rPr>
          <w:rFonts w:hint="eastAsia" w:ascii="仿宋_GB2312" w:eastAsia="仿宋_GB2312" w:hAnsiTheme="majorEastAsia"/>
          <w:color w:val="000000"/>
          <w:sz w:val="32"/>
          <w:szCs w:val="32"/>
          <w:lang w:val="en-US" w:eastAsia="zh-CN"/>
        </w:rPr>
        <w:t>26人，主要服务内容要求如下：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sz w:val="32"/>
          <w:szCs w:val="32"/>
          <w:lang w:eastAsia="zh-CN"/>
        </w:rPr>
        <w:t>（</w:t>
      </w:r>
      <w:r>
        <w:rPr>
          <w:rFonts w:hint="eastAsia" w:ascii="仿宋" w:hAnsi="仿宋" w:eastAsia="仿宋" w:cs="仿宋"/>
          <w:b/>
          <w:sz w:val="32"/>
          <w:szCs w:val="32"/>
          <w:lang w:val="en-US" w:eastAsia="zh-CN"/>
        </w:rPr>
        <w:t>一</w:t>
      </w:r>
      <w:r>
        <w:rPr>
          <w:rFonts w:hint="eastAsia" w:ascii="仿宋" w:hAnsi="仿宋" w:eastAsia="仿宋" w:cs="仿宋"/>
          <w:b/>
          <w:sz w:val="32"/>
          <w:szCs w:val="32"/>
          <w:lang w:eastAsia="zh-CN"/>
        </w:rPr>
        <w:t>）</w:t>
      </w:r>
      <w:r>
        <w:rPr>
          <w:rFonts w:hint="eastAsia" w:ascii="仿宋" w:hAnsi="仿宋" w:eastAsia="仿宋" w:cs="仿宋"/>
          <w:b/>
          <w:sz w:val="32"/>
          <w:szCs w:val="32"/>
        </w:rPr>
        <w:t>采购方食堂就餐人员提供工作日的中餐</w:t>
      </w:r>
      <w:r>
        <w:rPr>
          <w:rFonts w:hint="eastAsia" w:ascii="仿宋" w:hAnsi="仿宋" w:eastAsia="仿宋" w:cs="仿宋"/>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就餐服务时间：中餐: 12:00至12:45。</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（二）根据公司通知为采购方食堂就餐人员提供</w:t>
      </w:r>
      <w:r>
        <w:rPr>
          <w:rFonts w:hint="eastAsia" w:ascii="仿宋" w:hAnsi="仿宋" w:eastAsia="仿宋" w:cs="仿宋"/>
          <w:b w:val="0"/>
          <w:bCs/>
          <w:kern w:val="0"/>
          <w:sz w:val="32"/>
          <w:szCs w:val="32"/>
          <w:highlight w:val="none"/>
          <w:lang w:val="en-US" w:eastAsia="zh-CN"/>
        </w:rPr>
        <w:t>接待用餐、加班餐及会议临时用餐，</w:t>
      </w:r>
      <w:r>
        <w:rPr>
          <w:rFonts w:hint="eastAsia" w:ascii="仿宋" w:hAnsi="仿宋" w:eastAsia="仿宋" w:cs="仿宋"/>
          <w:sz w:val="32"/>
          <w:szCs w:val="32"/>
          <w:lang w:eastAsia="zh-CN"/>
        </w:rPr>
        <w:t>其余特殊</w:t>
      </w:r>
      <w:r>
        <w:rPr>
          <w:rFonts w:hint="eastAsia" w:ascii="仿宋" w:hAnsi="仿宋" w:eastAsia="仿宋" w:cs="仿宋"/>
          <w:sz w:val="32"/>
          <w:szCs w:val="32"/>
        </w:rPr>
        <w:t>就餐时间以我公司具体要求时间为准</w:t>
      </w:r>
      <w:r>
        <w:rPr>
          <w:rFonts w:hint="eastAsia" w:ascii="仿宋" w:hAnsi="仿宋" w:eastAsia="仿宋" w:cs="仿宋"/>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kern w:val="0"/>
          <w:sz w:val="32"/>
          <w:szCs w:val="32"/>
        </w:rPr>
      </w:pPr>
      <w:r>
        <w:rPr>
          <w:rFonts w:hint="eastAsia" w:ascii="仿宋" w:hAnsi="仿宋" w:eastAsia="仿宋" w:cs="仿宋"/>
          <w:b/>
          <w:bCs/>
          <w:kern w:val="0"/>
          <w:sz w:val="32"/>
          <w:szCs w:val="32"/>
          <w:lang w:eastAsia="zh-CN"/>
        </w:rPr>
        <w:t>（</w:t>
      </w:r>
      <w:r>
        <w:rPr>
          <w:rFonts w:hint="eastAsia" w:ascii="仿宋" w:hAnsi="仿宋" w:eastAsia="仿宋" w:cs="仿宋"/>
          <w:b/>
          <w:bCs/>
          <w:kern w:val="0"/>
          <w:sz w:val="32"/>
          <w:szCs w:val="32"/>
          <w:lang w:val="en-US" w:eastAsia="zh-CN"/>
        </w:rPr>
        <w:t>三</w:t>
      </w:r>
      <w:r>
        <w:rPr>
          <w:rFonts w:hint="eastAsia" w:ascii="仿宋" w:hAnsi="仿宋" w:eastAsia="仿宋" w:cs="仿宋"/>
          <w:b/>
          <w:bCs/>
          <w:kern w:val="0"/>
          <w:sz w:val="32"/>
          <w:szCs w:val="32"/>
          <w:lang w:eastAsia="zh-CN"/>
        </w:rPr>
        <w:t>）</w:t>
      </w:r>
      <w:r>
        <w:rPr>
          <w:rFonts w:hint="eastAsia" w:ascii="仿宋" w:hAnsi="仿宋" w:eastAsia="仿宋" w:cs="仿宋"/>
          <w:b/>
          <w:bCs/>
          <w:kern w:val="0"/>
          <w:sz w:val="32"/>
          <w:szCs w:val="32"/>
        </w:rPr>
        <w:t>包干服务费用组成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本项目报总价，价格为完成本项目</w:t>
      </w:r>
      <w:r>
        <w:rPr>
          <w:rFonts w:hint="eastAsia" w:ascii="仿宋" w:hAnsi="仿宋" w:eastAsia="仿宋" w:cs="仿宋"/>
          <w:sz w:val="32"/>
          <w:szCs w:val="32"/>
          <w:lang w:val="en-US" w:eastAsia="zh-CN"/>
        </w:rPr>
        <w:t>一</w:t>
      </w:r>
      <w:r>
        <w:rPr>
          <w:rFonts w:hint="eastAsia" w:ascii="仿宋" w:hAnsi="仿宋" w:eastAsia="仿宋" w:cs="仿宋"/>
          <w:sz w:val="32"/>
          <w:szCs w:val="32"/>
        </w:rPr>
        <w:t>年的所有劳务费用。成交供应商自行解决员工养老、失业、医疗、工伤、生育、纳税等保险及劳保、工资、福利、</w:t>
      </w:r>
      <w:r>
        <w:rPr>
          <w:rFonts w:hint="eastAsia" w:ascii="仿宋" w:hAnsi="仿宋" w:eastAsia="仿宋" w:cs="仿宋"/>
          <w:sz w:val="32"/>
          <w:szCs w:val="32"/>
          <w:lang w:val="en-US" w:eastAsia="zh-CN"/>
        </w:rPr>
        <w:t>加班补贴、</w:t>
      </w:r>
      <w:r>
        <w:rPr>
          <w:rFonts w:hint="eastAsia" w:ascii="仿宋" w:hAnsi="仿宋" w:eastAsia="仿宋" w:cs="仿宋"/>
          <w:sz w:val="32"/>
          <w:szCs w:val="32"/>
        </w:rPr>
        <w:t xml:space="preserve">员工住宿及上下班交通等有关问题。   </w:t>
      </w:r>
    </w:p>
    <w:p>
      <w:pPr>
        <w:pStyle w:val="10"/>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Cs/>
          <w:i w:val="0"/>
          <w:sz w:val="32"/>
          <w:szCs w:val="32"/>
        </w:rPr>
      </w:pPr>
      <w:r>
        <w:rPr>
          <w:rFonts w:hint="eastAsia" w:ascii="仿宋" w:hAnsi="仿宋" w:eastAsia="仿宋" w:cs="仿宋"/>
          <w:bCs/>
          <w:i w:val="0"/>
          <w:sz w:val="32"/>
          <w:szCs w:val="32"/>
        </w:rPr>
        <w:t>（</w:t>
      </w:r>
      <w:r>
        <w:rPr>
          <w:rFonts w:hint="eastAsia" w:ascii="仿宋" w:hAnsi="仿宋" w:eastAsia="仿宋" w:cs="仿宋"/>
          <w:bCs/>
          <w:i w:val="0"/>
          <w:sz w:val="32"/>
          <w:szCs w:val="32"/>
          <w:lang w:val="en-US" w:eastAsia="zh-CN"/>
        </w:rPr>
        <w:t>四</w:t>
      </w:r>
      <w:r>
        <w:rPr>
          <w:rFonts w:hint="eastAsia" w:ascii="仿宋" w:hAnsi="仿宋" w:eastAsia="仿宋" w:cs="仿宋"/>
          <w:bCs/>
          <w:i w:val="0"/>
          <w:sz w:val="32"/>
          <w:szCs w:val="32"/>
        </w:rPr>
        <w:t>）工作内容</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rPr>
      </w:pPr>
      <w:r>
        <w:rPr>
          <w:rFonts w:hint="eastAsia" w:ascii="仿宋" w:hAnsi="仿宋" w:eastAsia="仿宋" w:cs="仿宋"/>
          <w:b w:val="0"/>
          <w:i w:val="0"/>
          <w:sz w:val="32"/>
          <w:szCs w:val="32"/>
        </w:rPr>
        <w:t>1、负责原材料食材采购，食品加工。</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rPr>
      </w:pPr>
      <w:r>
        <w:rPr>
          <w:rFonts w:hint="eastAsia" w:ascii="仿宋" w:hAnsi="仿宋" w:eastAsia="仿宋" w:cs="仿宋"/>
          <w:b w:val="0"/>
          <w:i w:val="0"/>
          <w:sz w:val="32"/>
          <w:szCs w:val="32"/>
        </w:rPr>
        <w:t>2、负责食堂食品制作任务和餐厅工作协调，保证菜肴质量、服务水平，确保员工关系和谐。</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rPr>
      </w:pPr>
      <w:r>
        <w:rPr>
          <w:rFonts w:hint="eastAsia" w:ascii="仿宋" w:hAnsi="仿宋" w:eastAsia="仿宋" w:cs="仿宋"/>
          <w:b w:val="0"/>
          <w:i w:val="0"/>
          <w:sz w:val="32"/>
          <w:szCs w:val="32"/>
        </w:rPr>
        <w:t>3、负责每周菜单的筹划和更换。</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rPr>
      </w:pPr>
      <w:r>
        <w:rPr>
          <w:rFonts w:hint="eastAsia" w:ascii="仿宋" w:hAnsi="仿宋" w:eastAsia="仿宋" w:cs="仿宋"/>
          <w:b w:val="0"/>
          <w:i w:val="0"/>
          <w:sz w:val="32"/>
          <w:szCs w:val="32"/>
        </w:rPr>
        <w:t>4、定期征求公司员工对菜品质量的意见，并按照要求及时改善。</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rPr>
      </w:pPr>
      <w:r>
        <w:rPr>
          <w:rFonts w:hint="eastAsia" w:ascii="仿宋" w:hAnsi="仿宋" w:eastAsia="仿宋" w:cs="仿宋"/>
          <w:b w:val="0"/>
          <w:i w:val="0"/>
          <w:sz w:val="32"/>
          <w:szCs w:val="32"/>
        </w:rPr>
        <w:t>5、负责食堂食品卫生安全、消防安全工作。</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rPr>
      </w:pPr>
      <w:r>
        <w:rPr>
          <w:rFonts w:hint="eastAsia" w:ascii="仿宋" w:hAnsi="仿宋" w:eastAsia="仿宋" w:cs="仿宋"/>
          <w:b w:val="0"/>
          <w:i w:val="0"/>
          <w:sz w:val="32"/>
          <w:szCs w:val="32"/>
        </w:rPr>
        <w:t>6、负责服务人员的配备及管理。</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rPr>
      </w:pPr>
      <w:r>
        <w:rPr>
          <w:rFonts w:hint="eastAsia" w:ascii="仿宋" w:hAnsi="仿宋" w:eastAsia="仿宋" w:cs="仿宋"/>
          <w:b w:val="0"/>
          <w:i w:val="0"/>
          <w:sz w:val="32"/>
          <w:szCs w:val="32"/>
        </w:rPr>
        <w:t>7、其他与食堂管理服务的相关工作。</w:t>
      </w:r>
    </w:p>
    <w:p>
      <w:pPr>
        <w:pStyle w:val="10"/>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Cs/>
          <w:i w:val="0"/>
          <w:sz w:val="32"/>
          <w:szCs w:val="32"/>
          <w:lang w:val="en-US" w:eastAsia="zh-CN"/>
        </w:rPr>
      </w:pPr>
      <w:r>
        <w:rPr>
          <w:rFonts w:hint="eastAsia" w:ascii="仿宋" w:hAnsi="仿宋" w:eastAsia="仿宋" w:cs="仿宋"/>
          <w:bCs/>
          <w:i w:val="0"/>
          <w:sz w:val="32"/>
          <w:szCs w:val="32"/>
          <w:lang w:val="en-US" w:eastAsia="zh-CN"/>
        </w:rPr>
        <w:t>（五）设备的使用与维护</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lang w:eastAsia="zh-CN"/>
        </w:rPr>
      </w:pPr>
      <w:r>
        <w:rPr>
          <w:rFonts w:hint="eastAsia" w:ascii="仿宋" w:hAnsi="仿宋" w:eastAsia="仿宋" w:cs="仿宋"/>
          <w:b w:val="0"/>
          <w:i w:val="0"/>
          <w:sz w:val="32"/>
          <w:szCs w:val="32"/>
          <w:lang w:val="en-US" w:eastAsia="zh-CN"/>
        </w:rPr>
        <w:t>1</w:t>
      </w:r>
      <w:r>
        <w:rPr>
          <w:rFonts w:hint="eastAsia" w:ascii="仿宋" w:hAnsi="仿宋" w:eastAsia="仿宋" w:cs="仿宋"/>
          <w:b w:val="0"/>
          <w:i w:val="0"/>
          <w:sz w:val="32"/>
          <w:szCs w:val="32"/>
        </w:rPr>
        <w:t>、我公司</w:t>
      </w:r>
      <w:r>
        <w:rPr>
          <w:rFonts w:hint="eastAsia" w:ascii="仿宋" w:hAnsi="仿宋" w:eastAsia="仿宋" w:cs="仿宋"/>
          <w:b w:val="0"/>
          <w:i w:val="0"/>
          <w:sz w:val="32"/>
          <w:szCs w:val="32"/>
          <w:lang w:eastAsia="zh-CN"/>
        </w:rPr>
        <w:t>仅</w:t>
      </w:r>
      <w:r>
        <w:rPr>
          <w:rFonts w:hint="eastAsia" w:ascii="仿宋" w:hAnsi="仿宋" w:eastAsia="仿宋" w:cs="仿宋"/>
          <w:b w:val="0"/>
          <w:i w:val="0"/>
          <w:sz w:val="32"/>
          <w:szCs w:val="32"/>
        </w:rPr>
        <w:t>提供场地</w:t>
      </w:r>
      <w:r>
        <w:rPr>
          <w:rFonts w:hint="eastAsia" w:ascii="仿宋" w:hAnsi="仿宋" w:eastAsia="仿宋" w:cs="仿宋"/>
          <w:b w:val="0"/>
          <w:i w:val="0"/>
          <w:sz w:val="32"/>
          <w:szCs w:val="32"/>
          <w:lang w:eastAsia="zh-CN"/>
        </w:rPr>
        <w:t>并且所有场地</w:t>
      </w:r>
      <w:r>
        <w:rPr>
          <w:rFonts w:hint="eastAsia" w:ascii="仿宋" w:hAnsi="仿宋" w:eastAsia="仿宋" w:cs="仿宋"/>
          <w:b w:val="0"/>
          <w:i w:val="0"/>
          <w:sz w:val="32"/>
          <w:szCs w:val="32"/>
        </w:rPr>
        <w:t>承包商不得随意改造，改造或改变功能均须上报我公司审批同意后方可实施，否则承包商须无条件恢复原状。</w:t>
      </w:r>
      <w:r>
        <w:rPr>
          <w:rFonts w:hint="eastAsia" w:ascii="仿宋" w:hAnsi="仿宋" w:eastAsia="仿宋" w:cs="仿宋"/>
          <w:b w:val="0"/>
          <w:i w:val="0"/>
          <w:sz w:val="32"/>
          <w:szCs w:val="32"/>
          <w:lang w:eastAsia="zh-CN"/>
        </w:rPr>
        <w:t>其余</w:t>
      </w:r>
      <w:r>
        <w:rPr>
          <w:rFonts w:hint="eastAsia" w:ascii="仿宋" w:hAnsi="仿宋" w:eastAsia="仿宋" w:cs="仿宋"/>
          <w:b w:val="0"/>
          <w:i w:val="0"/>
          <w:sz w:val="32"/>
          <w:szCs w:val="32"/>
        </w:rPr>
        <w:t>厨房全套设施设备</w:t>
      </w:r>
      <w:r>
        <w:rPr>
          <w:rFonts w:hint="eastAsia" w:ascii="仿宋" w:hAnsi="仿宋" w:eastAsia="仿宋" w:cs="仿宋"/>
          <w:b w:val="0"/>
          <w:i w:val="0"/>
          <w:sz w:val="32"/>
          <w:szCs w:val="32"/>
          <w:lang w:eastAsia="zh-CN"/>
        </w:rPr>
        <w:t>均由承包商自行准备，非我公司员工造成的设备、物品损坏和丢失的维修和赔偿责任由承包商自行负责。</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rPr>
      </w:pPr>
      <w:r>
        <w:rPr>
          <w:rFonts w:hint="eastAsia" w:ascii="仿宋" w:hAnsi="仿宋" w:eastAsia="仿宋" w:cs="仿宋"/>
          <w:b w:val="0"/>
          <w:i w:val="0"/>
          <w:sz w:val="32"/>
          <w:szCs w:val="32"/>
          <w:lang w:val="en-US" w:eastAsia="zh-CN"/>
        </w:rPr>
        <w:t>2</w:t>
      </w: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rPr>
        <w:t>厨房设备的正常维修、维护、保养费用</w:t>
      </w:r>
      <w:r>
        <w:rPr>
          <w:rFonts w:hint="eastAsia" w:ascii="仿宋" w:hAnsi="仿宋" w:eastAsia="仿宋" w:cs="仿宋"/>
          <w:b w:val="0"/>
          <w:i w:val="0"/>
          <w:sz w:val="32"/>
          <w:szCs w:val="32"/>
          <w:lang w:eastAsia="zh-CN"/>
        </w:rPr>
        <w:t>由承包商负责</w:t>
      </w:r>
      <w:r>
        <w:rPr>
          <w:rFonts w:hint="eastAsia" w:ascii="仿宋" w:hAnsi="仿宋" w:eastAsia="仿宋" w:cs="仿宋"/>
          <w:b w:val="0"/>
          <w:i w:val="0"/>
          <w:sz w:val="32"/>
          <w:szCs w:val="32"/>
        </w:rPr>
        <w:t>。</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sz w:val="32"/>
          <w:szCs w:val="32"/>
          <w:lang w:val="en-US" w:eastAsia="zh-CN"/>
        </w:rPr>
      </w:pPr>
      <w:r>
        <w:rPr>
          <w:rFonts w:hint="eastAsia" w:ascii="仿宋" w:hAnsi="仿宋" w:eastAsia="仿宋" w:cs="仿宋"/>
          <w:b w:val="0"/>
          <w:i w:val="0"/>
          <w:sz w:val="32"/>
          <w:szCs w:val="32"/>
          <w:lang w:val="en-US" w:eastAsia="zh-CN"/>
        </w:rPr>
        <w:t>3、水电煤气费由我公司承担，但承包商本着节约使用的原则</w:t>
      </w:r>
      <w:r>
        <w:rPr>
          <w:rFonts w:hint="eastAsia" w:ascii="仿宋" w:hAnsi="仿宋" w:eastAsia="仿宋" w:cs="仿宋"/>
          <w:b w:val="0"/>
          <w:i w:val="0"/>
          <w:sz w:val="32"/>
          <w:szCs w:val="32"/>
        </w:rPr>
        <w:t>。</w:t>
      </w:r>
    </w:p>
    <w:p>
      <w:pPr>
        <w:pStyle w:val="9"/>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sz w:val="32"/>
          <w:szCs w:val="32"/>
        </w:rPr>
      </w:pPr>
      <w:r>
        <w:rPr>
          <w:rFonts w:hint="eastAsia" w:ascii="仿宋" w:hAnsi="仿宋" w:eastAsia="仿宋" w:cs="仿宋"/>
          <w:b/>
          <w:bCs/>
          <w:sz w:val="32"/>
          <w:szCs w:val="32"/>
        </w:rPr>
        <w:t>（</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）服务方式</w:t>
      </w:r>
    </w:p>
    <w:p>
      <w:pPr>
        <w:pStyle w:val="9"/>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食堂工作日正常</w:t>
      </w:r>
      <w:r>
        <w:rPr>
          <w:rFonts w:hint="eastAsia" w:ascii="仿宋" w:hAnsi="仿宋" w:eastAsia="仿宋" w:cs="仿宋"/>
          <w:sz w:val="32"/>
          <w:szCs w:val="32"/>
          <w:lang w:eastAsia="zh-CN"/>
        </w:rPr>
        <w:t>中</w:t>
      </w:r>
      <w:r>
        <w:rPr>
          <w:rFonts w:hint="eastAsia" w:ascii="仿宋" w:hAnsi="仿宋" w:eastAsia="仿宋" w:cs="仿宋"/>
          <w:sz w:val="32"/>
          <w:szCs w:val="32"/>
        </w:rPr>
        <w:t>餐，以及食堂采买、食堂管理服务工作等。用餐形式：采取打餐制形式，食堂工作人员将菜肴有序排列</w:t>
      </w:r>
      <w:r>
        <w:rPr>
          <w:rFonts w:hint="eastAsia" w:ascii="仿宋" w:hAnsi="仿宋" w:eastAsia="仿宋" w:cs="仿宋"/>
          <w:sz w:val="32"/>
          <w:szCs w:val="32"/>
          <w:lang w:eastAsia="zh-CN"/>
        </w:rPr>
        <w:t>并安排专人为</w:t>
      </w:r>
      <w:r>
        <w:rPr>
          <w:rFonts w:hint="eastAsia" w:ascii="仿宋" w:hAnsi="仿宋" w:eastAsia="仿宋" w:cs="仿宋"/>
          <w:sz w:val="32"/>
          <w:szCs w:val="32"/>
        </w:rPr>
        <w:t>就餐员工</w:t>
      </w:r>
      <w:r>
        <w:rPr>
          <w:rFonts w:hint="eastAsia" w:ascii="仿宋" w:hAnsi="仿宋" w:eastAsia="仿宋" w:cs="仿宋"/>
          <w:sz w:val="32"/>
          <w:szCs w:val="32"/>
          <w:lang w:eastAsia="zh-CN"/>
        </w:rPr>
        <w:t>打菜</w:t>
      </w:r>
      <w:r>
        <w:rPr>
          <w:rFonts w:hint="eastAsia" w:ascii="仿宋" w:hAnsi="仿宋" w:eastAsia="仿宋" w:cs="仿宋"/>
          <w:sz w:val="32"/>
          <w:szCs w:val="32"/>
        </w:rPr>
        <w:t>。</w:t>
      </w:r>
    </w:p>
    <w:p>
      <w:pPr>
        <w:pStyle w:val="9"/>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mallCaps/>
          <w:sz w:val="32"/>
          <w:szCs w:val="32"/>
        </w:rPr>
      </w:pPr>
      <w:r>
        <w:rPr>
          <w:rFonts w:hint="eastAsia" w:ascii="仿宋" w:hAnsi="仿宋" w:eastAsia="仿宋" w:cs="仿宋"/>
          <w:smallCaps/>
          <w:sz w:val="32"/>
          <w:szCs w:val="32"/>
        </w:rPr>
        <w:t>菜单要求：</w:t>
      </w:r>
    </w:p>
    <w:p>
      <w:pPr>
        <w:pStyle w:val="9"/>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中餐保证荤菜、素菜、例汤的供应，（一大荤</w:t>
      </w:r>
      <w:r>
        <w:rPr>
          <w:rFonts w:hint="eastAsia" w:ascii="仿宋" w:hAnsi="仿宋" w:eastAsia="仿宋" w:cs="仿宋"/>
          <w:sz w:val="32"/>
          <w:szCs w:val="32"/>
          <w:lang w:eastAsia="zh-CN"/>
        </w:rPr>
        <w:t>、</w:t>
      </w:r>
      <w:r>
        <w:rPr>
          <w:rFonts w:hint="eastAsia" w:ascii="仿宋" w:hAnsi="仿宋" w:eastAsia="仿宋" w:cs="仿宋"/>
          <w:sz w:val="32"/>
          <w:szCs w:val="32"/>
        </w:rPr>
        <w:t>一小荤</w:t>
      </w:r>
      <w:r>
        <w:rPr>
          <w:rFonts w:hint="eastAsia" w:ascii="仿宋" w:hAnsi="仿宋" w:eastAsia="仿宋" w:cs="仿宋"/>
          <w:sz w:val="32"/>
          <w:szCs w:val="32"/>
          <w:lang w:eastAsia="zh-CN"/>
        </w:rPr>
        <w:t>、</w:t>
      </w:r>
      <w:r>
        <w:rPr>
          <w:rFonts w:hint="eastAsia" w:ascii="仿宋" w:hAnsi="仿宋" w:eastAsia="仿宋" w:cs="仿宋"/>
          <w:sz w:val="32"/>
          <w:szCs w:val="32"/>
        </w:rPr>
        <w:t>一素</w:t>
      </w:r>
      <w:r>
        <w:rPr>
          <w:rFonts w:hint="eastAsia" w:ascii="仿宋" w:hAnsi="仿宋" w:eastAsia="仿宋" w:cs="仿宋"/>
          <w:sz w:val="32"/>
          <w:szCs w:val="32"/>
          <w:lang w:eastAsia="zh-CN"/>
        </w:rPr>
        <w:t>或</w:t>
      </w:r>
      <w:r>
        <w:rPr>
          <w:rFonts w:hint="eastAsia" w:ascii="仿宋" w:hAnsi="仿宋" w:eastAsia="仿宋" w:cs="仿宋"/>
          <w:sz w:val="32"/>
          <w:szCs w:val="32"/>
        </w:rPr>
        <w:t>一汤，大荤为鸡鸭鱼牛肉等，小荤为肉蛋类）。确保菜品丰富，同一个菜品，一周内不重复。</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sz w:val="32"/>
          <w:szCs w:val="32"/>
        </w:rPr>
      </w:pPr>
      <w:r>
        <w:rPr>
          <w:rFonts w:hint="eastAsia" w:ascii="仿宋" w:hAnsi="仿宋" w:eastAsia="仿宋" w:cs="仿宋"/>
          <w:b/>
          <w:bCs/>
          <w:sz w:val="32"/>
          <w:szCs w:val="32"/>
        </w:rPr>
        <w:t>服务人员及食堂管理要求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mallCaps w:val="0"/>
          <w:kern w:val="0"/>
          <w:sz w:val="32"/>
          <w:szCs w:val="32"/>
        </w:rPr>
      </w:pPr>
      <w:r>
        <w:rPr>
          <w:rFonts w:hint="eastAsia" w:ascii="仿宋" w:hAnsi="仿宋" w:eastAsia="仿宋" w:cs="仿宋"/>
          <w:smallCaps w:val="0"/>
          <w:kern w:val="0"/>
          <w:sz w:val="32"/>
          <w:szCs w:val="32"/>
        </w:rPr>
        <w:t>1、服务人员及管理要求</w:t>
      </w:r>
    </w:p>
    <w:p>
      <w:pPr>
        <w:pStyle w:val="2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kern w:val="0"/>
          <w:sz w:val="32"/>
          <w:szCs w:val="32"/>
        </w:rPr>
      </w:pPr>
      <w:r>
        <w:rPr>
          <w:rFonts w:hint="eastAsia" w:ascii="仿宋" w:hAnsi="仿宋" w:eastAsia="仿宋" w:cs="仿宋"/>
          <w:b w:val="0"/>
          <w:i w:val="0"/>
          <w:kern w:val="0"/>
          <w:sz w:val="32"/>
          <w:szCs w:val="32"/>
          <w:lang w:val="en-US" w:eastAsia="zh-CN"/>
        </w:rPr>
        <w:t>（1</w:t>
      </w:r>
      <w:r>
        <w:rPr>
          <w:rFonts w:hint="eastAsia" w:ascii="仿宋" w:hAnsi="仿宋" w:eastAsia="仿宋" w:cs="仿宋"/>
          <w:b w:val="0"/>
          <w:i w:val="0"/>
          <w:kern w:val="0"/>
          <w:sz w:val="32"/>
          <w:szCs w:val="32"/>
        </w:rPr>
        <w:t>）</w:t>
      </w:r>
      <w:r>
        <w:rPr>
          <w:rFonts w:hint="eastAsia" w:ascii="仿宋" w:hAnsi="仿宋" w:eastAsia="仿宋" w:cs="仿宋"/>
          <w:b w:val="0"/>
          <w:i w:val="0"/>
          <w:kern w:val="0"/>
          <w:sz w:val="32"/>
          <w:szCs w:val="32"/>
          <w:lang w:eastAsia="zh-CN"/>
        </w:rPr>
        <w:t>服务人员由承包商自行配备。</w:t>
      </w:r>
      <w:r>
        <w:rPr>
          <w:rFonts w:hint="eastAsia" w:ascii="仿宋" w:hAnsi="仿宋" w:eastAsia="仿宋" w:cs="仿宋"/>
          <w:kern w:val="0"/>
          <w:sz w:val="32"/>
          <w:szCs w:val="32"/>
        </w:rPr>
        <w:t>我公司按本采购项目合同约定向承包商支付包干服务费及就餐费用，不额外向服务人员发放费用与福利。</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（2）承包商须按照劳动部门的相关规定规范用工，如发生劳资纠纷的与我公司无关，并按规定向税务部门缴纳各种税费。</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（3）服务期限内，承包商安排的员工发生的一切事故及伤亡事故由承包商负责。</w:t>
      </w:r>
    </w:p>
    <w:p>
      <w:pPr>
        <w:pStyle w:val="2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smallCaps w:val="0"/>
          <w:kern w:val="0"/>
          <w:sz w:val="32"/>
          <w:szCs w:val="32"/>
        </w:rPr>
      </w:pPr>
      <w:r>
        <w:rPr>
          <w:rFonts w:hint="eastAsia" w:ascii="仿宋" w:hAnsi="仿宋" w:eastAsia="仿宋" w:cs="仿宋"/>
          <w:b w:val="0"/>
          <w:i w:val="0"/>
          <w:kern w:val="0"/>
          <w:sz w:val="32"/>
          <w:szCs w:val="32"/>
        </w:rPr>
        <w:t>（</w:t>
      </w:r>
      <w:r>
        <w:rPr>
          <w:rFonts w:hint="eastAsia" w:ascii="仿宋" w:hAnsi="仿宋" w:eastAsia="仿宋" w:cs="仿宋"/>
          <w:b w:val="0"/>
          <w:i w:val="0"/>
          <w:kern w:val="0"/>
          <w:sz w:val="32"/>
          <w:szCs w:val="32"/>
          <w:lang w:val="en-US" w:eastAsia="zh-CN"/>
        </w:rPr>
        <w:t>4</w:t>
      </w:r>
      <w:r>
        <w:rPr>
          <w:rFonts w:hint="eastAsia" w:ascii="仿宋" w:hAnsi="仿宋" w:eastAsia="仿宋" w:cs="仿宋"/>
          <w:b w:val="0"/>
          <w:i w:val="0"/>
          <w:kern w:val="0"/>
          <w:sz w:val="32"/>
          <w:szCs w:val="32"/>
        </w:rPr>
        <w:t>）</w:t>
      </w:r>
      <w:r>
        <w:rPr>
          <w:rFonts w:hint="eastAsia" w:ascii="仿宋" w:hAnsi="仿宋" w:eastAsia="仿宋" w:cs="仿宋"/>
          <w:smallCaps w:val="0"/>
          <w:kern w:val="0"/>
          <w:sz w:val="32"/>
          <w:szCs w:val="32"/>
        </w:rPr>
        <w:t>承包商要提供足够的人员，合理安排工作岗位，在采购人</w:t>
      </w:r>
      <w:r>
        <w:rPr>
          <w:rFonts w:hint="eastAsia" w:ascii="仿宋" w:hAnsi="仿宋" w:eastAsia="仿宋" w:cs="仿宋"/>
          <w:smallCaps w:val="0"/>
          <w:kern w:val="0"/>
          <w:sz w:val="32"/>
          <w:szCs w:val="32"/>
          <w:lang w:eastAsia="zh-CN"/>
        </w:rPr>
        <w:t>要求</w:t>
      </w:r>
      <w:r>
        <w:rPr>
          <w:rFonts w:hint="eastAsia" w:ascii="仿宋" w:hAnsi="仿宋" w:eastAsia="仿宋" w:cs="仿宋"/>
          <w:smallCaps w:val="0"/>
          <w:kern w:val="0"/>
          <w:sz w:val="32"/>
          <w:szCs w:val="32"/>
        </w:rPr>
        <w:t>的条件下，确保食堂正常运作。由承包商安排不当，造成我公司员工就餐延误等问题，由承包商承担一切责任。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（5）</w:t>
      </w:r>
      <w:r>
        <w:rPr>
          <w:rFonts w:hint="eastAsia" w:ascii="仿宋" w:hAnsi="仿宋" w:eastAsia="仿宋" w:cs="仿宋"/>
          <w:kern w:val="0"/>
          <w:sz w:val="32"/>
          <w:szCs w:val="32"/>
          <w:lang w:val="en-US" w:eastAsia="zh-CN"/>
        </w:rPr>
        <w:t>工作</w:t>
      </w:r>
      <w:r>
        <w:rPr>
          <w:rFonts w:hint="eastAsia" w:ascii="仿宋" w:hAnsi="仿宋" w:eastAsia="仿宋" w:cs="仿宋"/>
          <w:kern w:val="0"/>
          <w:sz w:val="32"/>
          <w:szCs w:val="32"/>
        </w:rPr>
        <w:t>人员须</w:t>
      </w:r>
      <w:r>
        <w:rPr>
          <w:rFonts w:hint="eastAsia" w:ascii="仿宋" w:hAnsi="仿宋" w:eastAsia="仿宋" w:cs="仿宋"/>
          <w:kern w:val="0"/>
          <w:sz w:val="32"/>
          <w:szCs w:val="32"/>
          <w:lang w:eastAsia="zh-CN"/>
        </w:rPr>
        <w:t>身体状况良好，</w:t>
      </w:r>
      <w:r>
        <w:rPr>
          <w:rFonts w:hint="eastAsia" w:ascii="仿宋" w:hAnsi="仿宋" w:eastAsia="仿宋" w:cs="仿宋"/>
          <w:kern w:val="0"/>
          <w:sz w:val="32"/>
          <w:szCs w:val="32"/>
        </w:rPr>
        <w:t>五官端正、谈吐清晰，具有一定的文化素质，身体健康，着装、仪容要求整洁整齐，上班穿工作服。严格落实“晨检”和“五病调离”制度，尽职尽责履行岗位责任。</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b w:val="0"/>
          <w:i w:val="0"/>
          <w:kern w:val="0"/>
          <w:sz w:val="32"/>
          <w:szCs w:val="32"/>
        </w:rPr>
        <w:t>（6）我公司食堂管理人员负责对承包商的工作进行监督检查指导，同时协助承包商开展工作，经常与承包商沟通，及时解决工作中出现的问题。</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2、食堂运营与服务管理要求</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lang w:val="en-US" w:eastAsia="zh-CN"/>
        </w:rPr>
      </w:pPr>
      <w:r>
        <w:rPr>
          <w:rFonts w:hint="eastAsia" w:ascii="仿宋" w:hAnsi="仿宋" w:eastAsia="仿宋" w:cs="仿宋"/>
          <w:b w:val="0"/>
          <w:i w:val="0"/>
          <w:kern w:val="0"/>
          <w:sz w:val="32"/>
          <w:szCs w:val="32"/>
          <w:lang w:eastAsia="zh-CN"/>
        </w:rPr>
        <w:t>（</w:t>
      </w:r>
      <w:r>
        <w:rPr>
          <w:rFonts w:hint="eastAsia" w:ascii="仿宋" w:hAnsi="仿宋" w:eastAsia="仿宋" w:cs="仿宋"/>
          <w:b w:val="0"/>
          <w:i w:val="0"/>
          <w:kern w:val="0"/>
          <w:sz w:val="32"/>
          <w:szCs w:val="32"/>
          <w:lang w:val="en-US" w:eastAsia="zh-CN"/>
        </w:rPr>
        <w:t>1</w:t>
      </w:r>
      <w:r>
        <w:rPr>
          <w:rFonts w:hint="eastAsia" w:ascii="仿宋" w:hAnsi="仿宋" w:eastAsia="仿宋" w:cs="仿宋"/>
          <w:b w:val="0"/>
          <w:i w:val="0"/>
          <w:kern w:val="0"/>
          <w:sz w:val="32"/>
          <w:szCs w:val="32"/>
          <w:lang w:eastAsia="zh-CN"/>
        </w:rPr>
        <w:t>）</w:t>
      </w:r>
      <w:r>
        <w:rPr>
          <w:rFonts w:hint="eastAsia" w:ascii="仿宋" w:hAnsi="仿宋" w:eastAsia="仿宋" w:cs="仿宋"/>
          <w:b w:val="0"/>
          <w:i w:val="0"/>
          <w:kern w:val="0"/>
          <w:sz w:val="32"/>
          <w:szCs w:val="32"/>
        </w:rPr>
        <w:t>承包商必须遵守国家和地方有关环境和食品卫生的标准。严禁供应腐烂变质的食品，保持莱肴的新鲜和卫生。食材我公司负责质量、实物验收，如因食品质量及卫生问题所造成的一切不良后果，由承包商负责法律责任及经济后果</w:t>
      </w:r>
      <w:r>
        <w:rPr>
          <w:rFonts w:hint="eastAsia" w:ascii="仿宋" w:hAnsi="仿宋" w:eastAsia="仿宋" w:cs="仿宋"/>
          <w:b w:val="0"/>
          <w:i w:val="0"/>
          <w:kern w:val="0"/>
          <w:sz w:val="32"/>
          <w:szCs w:val="32"/>
          <w:lang w:eastAsia="zh-CN"/>
        </w:rPr>
        <w:t>。</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lang w:eastAsia="zh-CN"/>
        </w:rPr>
        <w:t>（</w:t>
      </w:r>
      <w:r>
        <w:rPr>
          <w:rFonts w:hint="eastAsia" w:ascii="仿宋" w:hAnsi="仿宋" w:eastAsia="仿宋" w:cs="仿宋"/>
          <w:b w:val="0"/>
          <w:i w:val="0"/>
          <w:kern w:val="0"/>
          <w:sz w:val="32"/>
          <w:szCs w:val="32"/>
          <w:lang w:val="en-US" w:eastAsia="zh-CN"/>
        </w:rPr>
        <w:t>2</w:t>
      </w:r>
      <w:r>
        <w:rPr>
          <w:rFonts w:hint="eastAsia" w:ascii="仿宋" w:hAnsi="仿宋" w:eastAsia="仿宋" w:cs="仿宋"/>
          <w:b w:val="0"/>
          <w:i w:val="0"/>
          <w:kern w:val="0"/>
          <w:sz w:val="32"/>
          <w:szCs w:val="32"/>
          <w:lang w:eastAsia="zh-CN"/>
        </w:rPr>
        <w:t>）</w:t>
      </w:r>
      <w:r>
        <w:rPr>
          <w:rFonts w:hint="eastAsia" w:ascii="仿宋" w:hAnsi="仿宋" w:eastAsia="仿宋" w:cs="仿宋"/>
          <w:b w:val="0"/>
          <w:i w:val="0"/>
          <w:kern w:val="0"/>
          <w:sz w:val="32"/>
          <w:szCs w:val="32"/>
        </w:rPr>
        <w:t>每周编制采购计划，</w:t>
      </w:r>
      <w:r>
        <w:rPr>
          <w:rFonts w:hint="eastAsia" w:ascii="仿宋" w:hAnsi="仿宋" w:eastAsia="仿宋" w:cs="仿宋"/>
          <w:b w:val="0"/>
          <w:i w:val="0"/>
          <w:kern w:val="0"/>
          <w:sz w:val="32"/>
          <w:szCs w:val="32"/>
          <w:lang w:val="en-US" w:eastAsia="zh-CN"/>
        </w:rPr>
        <w:t>在采购计划中须明确</w:t>
      </w:r>
      <w:r>
        <w:rPr>
          <w:rFonts w:hint="eastAsia" w:ascii="仿宋" w:hAnsi="仿宋" w:eastAsia="仿宋" w:cs="仿宋"/>
          <w:b w:val="0"/>
          <w:i w:val="0"/>
          <w:kern w:val="0"/>
          <w:sz w:val="32"/>
          <w:szCs w:val="32"/>
        </w:rPr>
        <w:t>餐饮所需的肉食、蔬菜、粮油、副食品等</w:t>
      </w:r>
      <w:r>
        <w:rPr>
          <w:rFonts w:hint="eastAsia" w:ascii="仿宋" w:hAnsi="仿宋" w:eastAsia="仿宋" w:cs="仿宋"/>
          <w:b w:val="0"/>
          <w:i w:val="0"/>
          <w:kern w:val="0"/>
          <w:sz w:val="32"/>
          <w:szCs w:val="32"/>
          <w:lang w:val="en-US" w:eastAsia="zh-CN"/>
        </w:rPr>
        <w:t>的采购进货渠道、单次采购量，交由我公司审核监督</w:t>
      </w:r>
      <w:r>
        <w:rPr>
          <w:rFonts w:hint="eastAsia" w:ascii="仿宋" w:hAnsi="仿宋" w:eastAsia="仿宋" w:cs="仿宋"/>
          <w:b w:val="0"/>
          <w:i w:val="0"/>
          <w:kern w:val="0"/>
          <w:sz w:val="32"/>
          <w:szCs w:val="32"/>
        </w:rPr>
        <w:t xml:space="preserve">。肉食类须按需采购，不得大量囤积、不得使用长期冷冻的肉食。蔬菜类要每天采购新鲜的蔬菜，不得购买晚市打折等不新鲜的食材。粮油副食品坚持先进先出原则，做好防虫防霉工作，一旦霉变不得使用。   </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（3）应按我公司要求，定时定量供应饭菜，若未能按要求供应，其造成的后果损失，由承包商全部承担责任。</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（4）不能使用一次性餐具，餐后应对餐具进行认真清洗并消毒，对厨房、用餐厅及包厢环境卫生全面清洁整理。经常清理食堂内外水池、下水道，确保畅通。经常清理灶台及炊事用品污垢。</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lang w:eastAsia="zh-CN"/>
        </w:rPr>
        <w:t>（</w:t>
      </w:r>
      <w:r>
        <w:rPr>
          <w:rFonts w:hint="eastAsia" w:ascii="仿宋" w:hAnsi="仿宋" w:eastAsia="仿宋" w:cs="仿宋"/>
          <w:b w:val="0"/>
          <w:i w:val="0"/>
          <w:kern w:val="0"/>
          <w:sz w:val="32"/>
          <w:szCs w:val="32"/>
          <w:lang w:val="en-US" w:eastAsia="zh-CN"/>
        </w:rPr>
        <w:t>5</w:t>
      </w:r>
      <w:r>
        <w:rPr>
          <w:rFonts w:hint="eastAsia" w:ascii="仿宋" w:hAnsi="仿宋" w:eastAsia="仿宋" w:cs="仿宋"/>
          <w:b w:val="0"/>
          <w:i w:val="0"/>
          <w:kern w:val="0"/>
          <w:sz w:val="32"/>
          <w:szCs w:val="32"/>
          <w:lang w:eastAsia="zh-CN"/>
        </w:rPr>
        <w:t>）</w:t>
      </w:r>
      <w:r>
        <w:rPr>
          <w:rFonts w:hint="eastAsia" w:ascii="仿宋" w:hAnsi="仿宋" w:eastAsia="仿宋" w:cs="仿宋"/>
          <w:b w:val="0"/>
          <w:i w:val="0"/>
          <w:kern w:val="0"/>
          <w:sz w:val="32"/>
          <w:szCs w:val="32"/>
        </w:rPr>
        <w:t>应按照国家有关食品卫生管理规定做好蚊、蝇、鼠害的消除工作</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（6）冰柜定期清理、除霜、消除异味、生熟物品分开存放。</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（7）未经我公司许可，不得为我公司规定以外的人员提供餐饮服务。</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（8）要遵守食品安全、消防安全、用电用气安全的有关法规，合同期内食堂出现各种安全事故以及由此带来的经济损失和法律责任，全部由承包商承担，我公司不负任何连带责任。</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（9）中标人签订合同后应按采购人的各项要求按时保质保量完成所承担事项，不得将项目分包和转让。</w:t>
      </w:r>
    </w:p>
    <w:p>
      <w:pPr>
        <w:pStyle w:val="10"/>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Cs/>
          <w:i w:val="0"/>
          <w:kern w:val="0"/>
          <w:sz w:val="32"/>
          <w:szCs w:val="32"/>
        </w:rPr>
      </w:pPr>
      <w:r>
        <w:rPr>
          <w:rFonts w:hint="eastAsia" w:ascii="仿宋" w:hAnsi="仿宋" w:eastAsia="仿宋" w:cs="仿宋"/>
          <w:bCs/>
          <w:i w:val="0"/>
          <w:kern w:val="0"/>
          <w:sz w:val="32"/>
          <w:szCs w:val="32"/>
        </w:rPr>
        <w:t>（</w:t>
      </w:r>
      <w:r>
        <w:rPr>
          <w:rFonts w:hint="eastAsia" w:ascii="仿宋" w:hAnsi="仿宋" w:eastAsia="仿宋" w:cs="仿宋"/>
          <w:bCs/>
          <w:i w:val="0"/>
          <w:kern w:val="0"/>
          <w:sz w:val="32"/>
          <w:szCs w:val="32"/>
          <w:lang w:val="en-US" w:eastAsia="zh-CN"/>
        </w:rPr>
        <w:t>八</w:t>
      </w:r>
      <w:r>
        <w:rPr>
          <w:rFonts w:hint="eastAsia" w:ascii="仿宋" w:hAnsi="仿宋" w:eastAsia="仿宋" w:cs="仿宋"/>
          <w:bCs/>
          <w:i w:val="0"/>
          <w:kern w:val="0"/>
          <w:sz w:val="32"/>
          <w:szCs w:val="32"/>
        </w:rPr>
        <w:t>）应急服务</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我公司有紧急任务需承包商提供服务的（如临时加餐服务、加班餐提供服务、非工作日临时提供工作餐服务等），承包商须无条件积极响应并配合。</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九</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验收/考核标准</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1、每季度对承包商的服务和管理情况进行评价，向就餐人员发放评分表，并根据考核的结果要求承包商进行相应的整改，评分的主要内容详见具体考核细则。</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bCs/>
          <w:i w:val="0"/>
          <w:kern w:val="0"/>
          <w:sz w:val="32"/>
          <w:szCs w:val="32"/>
        </w:rPr>
      </w:pPr>
      <w:r>
        <w:rPr>
          <w:rFonts w:hint="eastAsia" w:ascii="仿宋" w:hAnsi="仿宋" w:eastAsia="仿宋" w:cs="仿宋"/>
          <w:b w:val="0"/>
          <w:i w:val="0"/>
          <w:kern w:val="0"/>
          <w:sz w:val="32"/>
          <w:szCs w:val="32"/>
        </w:rPr>
        <w:t>2、服务期内，每季度对承包商进行</w:t>
      </w:r>
      <w:r>
        <w:rPr>
          <w:rFonts w:hint="eastAsia" w:ascii="仿宋" w:hAnsi="仿宋" w:eastAsia="仿宋" w:cs="仿宋"/>
          <w:b w:val="0"/>
          <w:i w:val="0"/>
          <w:kern w:val="0"/>
          <w:sz w:val="32"/>
          <w:szCs w:val="32"/>
          <w:lang w:val="en-US" w:eastAsia="zh-CN"/>
        </w:rPr>
        <w:t>评价</w:t>
      </w:r>
      <w:r>
        <w:rPr>
          <w:rFonts w:hint="eastAsia" w:ascii="仿宋" w:hAnsi="仿宋" w:eastAsia="仿宋" w:cs="仿宋"/>
          <w:b w:val="0"/>
          <w:i w:val="0"/>
          <w:kern w:val="0"/>
          <w:sz w:val="32"/>
          <w:szCs w:val="32"/>
        </w:rPr>
        <w:t>，总分为100分，低于 80 分（含）为不及格，要求限期整改。整改期满，仍未达到相关服务要求和质量，我司有权根据质量不合格项的性质和严重程度扣除 200-1000 元不等的金额；若情节严重或造成严重影响的，</w:t>
      </w:r>
      <w:r>
        <w:rPr>
          <w:rFonts w:hint="eastAsia" w:ascii="仿宋" w:hAnsi="仿宋" w:eastAsia="仿宋" w:cs="仿宋"/>
          <w:b/>
          <w:bCs/>
          <w:i w:val="0"/>
          <w:kern w:val="0"/>
          <w:sz w:val="32"/>
          <w:szCs w:val="32"/>
        </w:rPr>
        <w:t>我公司有权直接单方终止合同。</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3、具体考核细则详见下表：</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tbl>
      <w:tblPr>
        <w:tblStyle w:val="25"/>
        <w:tblW w:w="931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08"/>
        <w:gridCol w:w="1759"/>
        <w:gridCol w:w="2190"/>
        <w:gridCol w:w="1995"/>
        <w:gridCol w:w="1320"/>
        <w:gridCol w:w="134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jc w:val="center"/>
        </w:trPr>
        <w:tc>
          <w:tcPr>
            <w:tcW w:w="708" w:type="dxa"/>
            <w:tcBorders>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序号</w:t>
            </w:r>
          </w:p>
        </w:tc>
        <w:tc>
          <w:tcPr>
            <w:tcW w:w="1759" w:type="dxa"/>
            <w:tcBorders>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考核项目</w:t>
            </w:r>
          </w:p>
        </w:tc>
        <w:tc>
          <w:tcPr>
            <w:tcW w:w="4185" w:type="dxa"/>
            <w:gridSpan w:val="2"/>
            <w:tcBorders>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评分参照内容</w:t>
            </w:r>
          </w:p>
        </w:tc>
        <w:tc>
          <w:tcPr>
            <w:tcW w:w="1320" w:type="dxa"/>
            <w:tcBorders>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评分细则</w:t>
            </w:r>
          </w:p>
        </w:tc>
        <w:tc>
          <w:tcPr>
            <w:tcW w:w="1342" w:type="dxa"/>
            <w:tcBorders>
              <w:left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扣除分数</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90" w:hRule="atLeast"/>
          <w:jc w:val="center"/>
        </w:trPr>
        <w:tc>
          <w:tcPr>
            <w:tcW w:w="708" w:type="dxa"/>
            <w:tcBorders>
              <w:top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textAlignment w:val="auto"/>
              <w:rPr>
                <w:rFonts w:hint="eastAsia" w:ascii="仿宋" w:hAnsi="仿宋" w:eastAsia="仿宋" w:cs="仿宋"/>
                <w:b w:val="0"/>
                <w:kern w:val="2"/>
                <w:sz w:val="32"/>
                <w:szCs w:val="32"/>
                <w:highlight w:val="none"/>
                <w:lang w:val="en-US" w:eastAsia="zh-CN" w:bidi="ar-SA"/>
              </w:rPr>
            </w:pP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1</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食堂卫生</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1.桌面是否残渣垃圾及时清理</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2.是否保持食堂通风无异味</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3.地面是否洁净无积水油污</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4.餐具是否消毒洁净无残留物</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5.就餐环境是否无蝇虫老鼠</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10" w:hRule="atLeast"/>
          <w:jc w:val="center"/>
        </w:trPr>
        <w:tc>
          <w:tcPr>
            <w:tcW w:w="708" w:type="dxa"/>
            <w:tcBorders>
              <w:top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2</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饭菜质量</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1.食材是否新鲜</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2.是否按时提供饭菜</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3.是否提供剩菜剩饭</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4.是否采用保温措施</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25" w:hRule="atLeast"/>
          <w:jc w:val="center"/>
        </w:trPr>
        <w:tc>
          <w:tcPr>
            <w:tcW w:w="708" w:type="dxa"/>
            <w:tcBorders>
              <w:top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3</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菜品花样</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1.中餐的菜品是否满足一周内不重样</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2.中餐菜品是否符合一大荤、一小荤、一素或一汤的搭配</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0" w:hRule="atLeast"/>
          <w:jc w:val="center"/>
        </w:trPr>
        <w:tc>
          <w:tcPr>
            <w:tcW w:w="708" w:type="dxa"/>
            <w:tcBorders>
              <w:top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4</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厨余垃圾处理</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1.是否存在厨余垃圾随意堆放</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2.是否存在厨余垃圾处理不及时</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708" w:type="dxa"/>
            <w:tcBorders>
              <w:top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5</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食材存储</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1.生鲜肉类是否及时分类存放冰箱</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2.是否做到成品、半成品、原料分开存放</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80" w:hRule="atLeast"/>
          <w:jc w:val="center"/>
        </w:trPr>
        <w:tc>
          <w:tcPr>
            <w:tcW w:w="708" w:type="dxa"/>
            <w:tcBorders>
              <w:top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6</w:t>
            </w:r>
          </w:p>
        </w:tc>
        <w:tc>
          <w:tcPr>
            <w:tcW w:w="1759"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食堂管理</w:t>
            </w:r>
          </w:p>
        </w:tc>
        <w:tc>
          <w:tcPr>
            <w:tcW w:w="4185" w:type="dxa"/>
            <w:gridSpan w:val="2"/>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1.是否患有有碍食品安全的疾病。</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2.是否规范佩戴口罩</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3.接触食材之前是否洗手、消毒。</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4.是否定期排查用水用电用火风险</w:t>
            </w:r>
          </w:p>
        </w:tc>
        <w:tc>
          <w:tcPr>
            <w:tcW w:w="1320" w:type="dxa"/>
            <w:tcBorders>
              <w:top w:val="single" w:color="000000" w:sz="6" w:space="0"/>
              <w:left w:val="single" w:color="000000" w:sz="6" w:space="0"/>
              <w:bottom w:val="single" w:color="000000" w:sz="6" w:space="0"/>
              <w:right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0" w:firstLineChars="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发现一条扣2分</w:t>
            </w:r>
          </w:p>
        </w:tc>
        <w:tc>
          <w:tcPr>
            <w:tcW w:w="1342" w:type="dxa"/>
            <w:tcBorders>
              <w:top w:val="single" w:color="000000" w:sz="6" w:space="0"/>
              <w:left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9314" w:type="dxa"/>
            <w:gridSpan w:val="6"/>
            <w:tcBorders>
              <w:top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总体评价：</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20" w:hRule="atLeast"/>
          <w:jc w:val="center"/>
        </w:trPr>
        <w:tc>
          <w:tcPr>
            <w:tcW w:w="4657" w:type="dxa"/>
            <w:gridSpan w:val="3"/>
            <w:tcBorders>
              <w:top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被考核人签字：</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日期</w:t>
            </w:r>
          </w:p>
        </w:tc>
        <w:tc>
          <w:tcPr>
            <w:tcW w:w="4657" w:type="dxa"/>
            <w:gridSpan w:val="3"/>
            <w:tcBorders>
              <w:top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评分人员签字：</w:t>
            </w:r>
          </w:p>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日期</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90" w:hRule="atLeast"/>
          <w:jc w:val="center"/>
        </w:trPr>
        <w:tc>
          <w:tcPr>
            <w:tcW w:w="9314" w:type="dxa"/>
            <w:gridSpan w:val="6"/>
            <w:tcBorders>
              <w:top w:val="single" w:color="000000" w:sz="6" w:space="0"/>
              <w:bottom w:val="single" w:color="000000" w:sz="6" w:space="0"/>
            </w:tcBorders>
            <w:vAlign w:val="center"/>
          </w:tcPr>
          <w:p>
            <w:pPr>
              <w:pStyle w:val="20"/>
              <w:keepNext w:val="0"/>
              <w:keepLines w:val="0"/>
              <w:pageBreakBefore w:val="0"/>
              <w:widowControl w:val="0"/>
              <w:tabs>
                <w:tab w:val="left" w:pos="1800"/>
              </w:tabs>
              <w:kinsoku/>
              <w:wordWrap/>
              <w:overflowPunct/>
              <w:topLinePunct w:val="0"/>
              <w:autoSpaceDE/>
              <w:autoSpaceDN/>
              <w:bidi w:val="0"/>
              <w:adjustRightInd/>
              <w:spacing w:after="0" w:line="600" w:lineRule="exact"/>
              <w:ind w:left="0" w:leftChars="0" w:firstLine="640" w:firstLineChars="200"/>
              <w:textAlignment w:val="auto"/>
              <w:rPr>
                <w:rFonts w:hint="eastAsia" w:ascii="仿宋" w:hAnsi="仿宋" w:eastAsia="仿宋" w:cs="仿宋"/>
                <w:b w:val="0"/>
                <w:kern w:val="2"/>
                <w:sz w:val="32"/>
                <w:szCs w:val="32"/>
                <w:highlight w:val="none"/>
                <w:lang w:val="en-US" w:eastAsia="zh-CN" w:bidi="ar-SA"/>
              </w:rPr>
            </w:pPr>
            <w:r>
              <w:rPr>
                <w:rFonts w:hint="eastAsia" w:ascii="仿宋" w:hAnsi="仿宋" w:eastAsia="仿宋" w:cs="仿宋"/>
                <w:b w:val="0"/>
                <w:kern w:val="2"/>
                <w:sz w:val="32"/>
                <w:szCs w:val="32"/>
                <w:highlight w:val="none"/>
                <w:lang w:val="en-US" w:eastAsia="zh-CN" w:bidi="ar-SA"/>
              </w:rPr>
              <w:t>备注：总分为 100 分，低于 80 分（含）为不及格。</w:t>
            </w:r>
          </w:p>
        </w:tc>
      </w:tr>
    </w:tbl>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ascii="仿宋_GB2312" w:hAnsi="仿宋_GB2312" w:eastAsia="仿宋_GB2312" w:cs="仿宋_GB2312"/>
          <w:b/>
          <w:sz w:val="32"/>
          <w:szCs w:val="32"/>
        </w:rPr>
      </w:pPr>
      <w:r>
        <w:rPr>
          <w:rFonts w:hint="eastAsia" w:ascii="仿宋_GB2312" w:hAnsi="仿宋_GB2312" w:eastAsia="仿宋_GB2312" w:cs="仿宋_GB2312"/>
          <w:b/>
          <w:sz w:val="32"/>
          <w:szCs w:val="32"/>
        </w:rPr>
        <w:t>（</w:t>
      </w:r>
      <w:r>
        <w:rPr>
          <w:rFonts w:hint="eastAsia" w:ascii="仿宋_GB2312" w:hAnsi="仿宋_GB2312" w:eastAsia="仿宋_GB2312" w:cs="仿宋_GB2312"/>
          <w:b/>
          <w:sz w:val="32"/>
          <w:szCs w:val="32"/>
          <w:lang w:val="en-US" w:eastAsia="zh-CN"/>
        </w:rPr>
        <w:t>十</w:t>
      </w:r>
      <w:r>
        <w:rPr>
          <w:rFonts w:hint="eastAsia" w:ascii="仿宋_GB2312" w:hAnsi="仿宋_GB2312" w:eastAsia="仿宋_GB2312" w:cs="仿宋_GB2312"/>
          <w:b/>
          <w:sz w:val="32"/>
          <w:szCs w:val="32"/>
        </w:rPr>
        <w:t>）付款安排</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b w:val="0"/>
          <w:i w:val="0"/>
          <w:kern w:val="0"/>
          <w:sz w:val="32"/>
          <w:szCs w:val="32"/>
        </w:rPr>
      </w:pPr>
      <w:r>
        <w:rPr>
          <w:rFonts w:hint="eastAsia" w:ascii="仿宋" w:hAnsi="仿宋" w:eastAsia="仿宋" w:cs="仿宋"/>
          <w:b w:val="0"/>
          <w:i w:val="0"/>
          <w:kern w:val="0"/>
          <w:sz w:val="32"/>
          <w:szCs w:val="32"/>
        </w:rPr>
        <w:t xml:space="preserve">1、支付方式：服务费用每月结算一次。采购人收到发票后的 </w:t>
      </w:r>
      <w:r>
        <w:rPr>
          <w:rFonts w:hint="eastAsia" w:ascii="仿宋" w:hAnsi="仿宋" w:eastAsia="仿宋" w:cs="仿宋"/>
          <w:b w:val="0"/>
          <w:i w:val="0"/>
          <w:kern w:val="0"/>
          <w:sz w:val="32"/>
          <w:szCs w:val="32"/>
          <w:lang w:val="en-US" w:eastAsia="zh-CN"/>
        </w:rPr>
        <w:t>3</w:t>
      </w:r>
      <w:r>
        <w:rPr>
          <w:rFonts w:hint="eastAsia" w:ascii="仿宋" w:hAnsi="仿宋" w:eastAsia="仿宋" w:cs="仿宋"/>
          <w:b w:val="0"/>
          <w:i w:val="0"/>
          <w:kern w:val="0"/>
          <w:sz w:val="32"/>
          <w:szCs w:val="32"/>
        </w:rPr>
        <w:t>0个工作日</w:t>
      </w:r>
      <w:r>
        <w:rPr>
          <w:rFonts w:hint="eastAsia" w:ascii="仿宋" w:hAnsi="仿宋" w:eastAsia="仿宋" w:cs="仿宋"/>
          <w:b w:val="0"/>
          <w:i w:val="0"/>
          <w:kern w:val="0"/>
          <w:sz w:val="32"/>
          <w:szCs w:val="32"/>
          <w:lang w:eastAsia="zh-CN"/>
        </w:rPr>
        <w:t>内</w:t>
      </w:r>
      <w:r>
        <w:rPr>
          <w:rFonts w:hint="eastAsia" w:ascii="仿宋" w:hAnsi="仿宋" w:eastAsia="仿宋" w:cs="仿宋"/>
          <w:b w:val="0"/>
          <w:i w:val="0"/>
          <w:kern w:val="0"/>
          <w:sz w:val="32"/>
          <w:szCs w:val="32"/>
        </w:rPr>
        <w:t>转账支付上月费用。</w:t>
      </w:r>
    </w:p>
    <w:p>
      <w:pPr>
        <w:pStyle w:val="42"/>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 w:hAnsi="仿宋" w:eastAsia="仿宋" w:cs="仿宋"/>
          <w:b w:val="0"/>
          <w:i w:val="0"/>
          <w:kern w:val="0"/>
          <w:sz w:val="32"/>
          <w:szCs w:val="32"/>
        </w:rPr>
      </w:pPr>
      <w:r>
        <w:rPr>
          <w:rFonts w:hint="eastAsia" w:ascii="仿宋" w:hAnsi="仿宋" w:eastAsia="仿宋" w:cs="仿宋"/>
          <w:b w:val="0"/>
          <w:i w:val="0"/>
          <w:kern w:val="0"/>
          <w:sz w:val="32"/>
          <w:szCs w:val="32"/>
        </w:rPr>
        <w:t>2、结算方式：</w:t>
      </w:r>
      <w:r>
        <w:rPr>
          <w:rFonts w:hint="eastAsia" w:ascii="仿宋" w:hAnsi="仿宋" w:eastAsia="仿宋" w:cs="仿宋"/>
          <w:b w:val="0"/>
          <w:i w:val="0"/>
          <w:kern w:val="0"/>
          <w:sz w:val="32"/>
          <w:szCs w:val="32"/>
          <w:lang w:val="en-US" w:eastAsia="zh-CN" w:bidi="ar-SA"/>
        </w:rPr>
        <w:t>根据本采购项目中标合同约定价格进行结算。按月支付食堂服务费，均由承包商提供增值税发票，税费由承包商自行承担。</w:t>
      </w:r>
    </w:p>
    <w:p>
      <w:pPr>
        <w:pStyle w:val="33"/>
        <w:widowControl w:val="0"/>
        <w:spacing w:line="600" w:lineRule="exact"/>
        <w:ind w:firstLine="640"/>
        <w:rPr>
          <w:rFonts w:ascii="黑体" w:hAnsi="黑体" w:eastAsia="黑体"/>
          <w:b/>
          <w:sz w:val="32"/>
          <w:szCs w:val="32"/>
        </w:rPr>
      </w:pPr>
      <w:r>
        <w:rPr>
          <w:rFonts w:hint="eastAsia" w:ascii="黑体" w:hAnsi="黑体" w:eastAsia="黑体"/>
          <w:b/>
          <w:sz w:val="32"/>
          <w:szCs w:val="32"/>
        </w:rPr>
        <w:t>三、供应商资格条件（须同时满足）</w:t>
      </w:r>
    </w:p>
    <w:p>
      <w:pPr>
        <w:pStyle w:val="13"/>
        <w:spacing w:line="360" w:lineRule="auto"/>
        <w:ind w:firstLine="640" w:firstLineChars="200"/>
        <w:rPr>
          <w:rFonts w:hint="eastAsia" w:ascii="仿宋" w:hAnsi="仿宋" w:eastAsia="仿宋" w:cs="仿宋"/>
          <w:b w:val="0"/>
          <w:i w:val="0"/>
          <w:kern w:val="0"/>
          <w:sz w:val="32"/>
          <w:szCs w:val="32"/>
          <w:lang w:val="en-GB" w:eastAsia="zh-CN" w:bidi="ar-SA"/>
        </w:rPr>
      </w:pPr>
      <w:r>
        <w:rPr>
          <w:rFonts w:hint="eastAsia" w:ascii="仿宋" w:hAnsi="仿宋" w:eastAsia="仿宋" w:cs="仿宋"/>
          <w:b w:val="0"/>
          <w:i w:val="0"/>
          <w:kern w:val="0"/>
          <w:sz w:val="32"/>
          <w:szCs w:val="32"/>
          <w:lang w:val="en-GB" w:eastAsia="zh-CN" w:bidi="ar-SA"/>
        </w:rPr>
        <w:t>（1）具有独立承担民事责任能力的个人供应商；</w:t>
      </w:r>
    </w:p>
    <w:p>
      <w:pPr>
        <w:pStyle w:val="13"/>
        <w:spacing w:line="360" w:lineRule="auto"/>
        <w:ind w:firstLine="640" w:firstLineChars="200"/>
        <w:rPr>
          <w:rFonts w:hint="eastAsia" w:ascii="仿宋" w:hAnsi="仿宋" w:eastAsia="仿宋" w:cs="仿宋"/>
          <w:b w:val="0"/>
          <w:i w:val="0"/>
          <w:kern w:val="0"/>
          <w:sz w:val="32"/>
          <w:szCs w:val="32"/>
          <w:lang w:val="en-GB" w:eastAsia="zh-CN" w:bidi="ar-SA"/>
        </w:rPr>
      </w:pPr>
      <w:r>
        <w:rPr>
          <w:rFonts w:hint="eastAsia" w:ascii="仿宋" w:hAnsi="仿宋" w:eastAsia="仿宋" w:cs="仿宋"/>
          <w:b w:val="0"/>
          <w:i w:val="0"/>
          <w:kern w:val="0"/>
          <w:sz w:val="32"/>
          <w:szCs w:val="32"/>
          <w:lang w:val="en-GB" w:eastAsia="zh-CN" w:bidi="ar-SA"/>
        </w:rPr>
        <w:t>（2）具有良好的个人信誉且</w:t>
      </w:r>
      <w:r>
        <w:rPr>
          <w:rFonts w:hint="eastAsia" w:ascii="仿宋" w:hAnsi="仿宋" w:eastAsia="仿宋" w:cs="仿宋"/>
          <w:b w:val="0"/>
          <w:i w:val="0"/>
          <w:kern w:val="0"/>
          <w:sz w:val="32"/>
          <w:szCs w:val="32"/>
          <w:lang w:val="en-US" w:eastAsia="zh-CN" w:bidi="ar-SA"/>
        </w:rPr>
        <w:t>无个人不良嗜好</w:t>
      </w:r>
    </w:p>
    <w:p>
      <w:pPr>
        <w:pStyle w:val="24"/>
        <w:ind w:left="0" w:leftChars="0" w:firstLine="640" w:firstLineChars="200"/>
        <w:rPr>
          <w:rFonts w:hint="eastAsia" w:ascii="仿宋" w:hAnsi="仿宋" w:eastAsia="仿宋" w:cs="仿宋"/>
          <w:b w:val="0"/>
          <w:i w:val="0"/>
          <w:kern w:val="0"/>
          <w:sz w:val="32"/>
          <w:szCs w:val="32"/>
          <w:lang w:val="en-US" w:eastAsia="zh-CN" w:bidi="ar-SA"/>
        </w:rPr>
      </w:pPr>
      <w:r>
        <w:rPr>
          <w:rFonts w:hint="eastAsia" w:ascii="仿宋" w:hAnsi="仿宋" w:eastAsia="仿宋" w:cs="仿宋"/>
          <w:b w:val="0"/>
          <w:i w:val="0"/>
          <w:kern w:val="0"/>
          <w:sz w:val="32"/>
          <w:szCs w:val="32"/>
          <w:lang w:val="en-GB" w:eastAsia="zh-CN" w:bidi="ar-SA"/>
        </w:rPr>
        <w:t>（</w:t>
      </w:r>
      <w:r>
        <w:rPr>
          <w:rFonts w:hint="eastAsia" w:ascii="仿宋" w:hAnsi="仿宋" w:eastAsia="仿宋" w:cs="仿宋"/>
          <w:b w:val="0"/>
          <w:i w:val="0"/>
          <w:kern w:val="0"/>
          <w:sz w:val="32"/>
          <w:szCs w:val="32"/>
          <w:lang w:val="en-US" w:eastAsia="zh-CN" w:bidi="ar-SA"/>
        </w:rPr>
        <w:t>3</w:t>
      </w:r>
      <w:r>
        <w:rPr>
          <w:rFonts w:hint="eastAsia" w:ascii="仿宋" w:hAnsi="仿宋" w:eastAsia="仿宋" w:cs="仿宋"/>
          <w:b w:val="0"/>
          <w:i w:val="0"/>
          <w:kern w:val="0"/>
          <w:sz w:val="32"/>
          <w:szCs w:val="32"/>
          <w:lang w:val="en-GB" w:eastAsia="zh-CN" w:bidi="ar-SA"/>
        </w:rPr>
        <w:t>）</w:t>
      </w:r>
      <w:r>
        <w:rPr>
          <w:rFonts w:hint="eastAsia" w:ascii="仿宋" w:hAnsi="仿宋" w:eastAsia="仿宋" w:cs="仿宋"/>
          <w:b w:val="0"/>
          <w:i w:val="0"/>
          <w:kern w:val="0"/>
          <w:sz w:val="32"/>
          <w:szCs w:val="32"/>
          <w:lang w:val="en-US" w:eastAsia="zh-CN" w:bidi="ar-SA"/>
        </w:rPr>
        <w:t>居住在新宁城区</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四、报价文件要求</w:t>
      </w:r>
    </w:p>
    <w:p>
      <w:pPr>
        <w:autoSpaceDN w:val="0"/>
        <w:snapToGrid w:val="0"/>
        <w:spacing w:line="360" w:lineRule="auto"/>
        <w:ind w:firstLine="640" w:firstLineChars="20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参加报价的供应商应准备</w:t>
      </w:r>
      <w:r>
        <w:rPr>
          <w:rFonts w:hint="eastAsia" w:ascii="仿宋_GB2312" w:eastAsia="仿宋_GB2312" w:hAnsiTheme="majorEastAsia"/>
          <w:color w:val="000000"/>
          <w:sz w:val="32"/>
          <w:szCs w:val="32"/>
          <w:lang w:val="en-US" w:eastAsia="zh-CN"/>
        </w:rPr>
        <w:t>一份</w:t>
      </w:r>
      <w:r>
        <w:rPr>
          <w:rFonts w:hint="eastAsia" w:ascii="仿宋_GB2312" w:eastAsia="仿宋_GB2312" w:hAnsiTheme="majorEastAsia"/>
          <w:color w:val="000000"/>
          <w:sz w:val="32"/>
          <w:szCs w:val="32"/>
        </w:rPr>
        <w:t>纸质报价文件，采用左侧胶装方式装订，并连续标注页码。</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报价文件按以下顺序构成，包含但不限于以下内容：</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（一）供应商承诺与声明（见附件1）；</w:t>
      </w:r>
    </w:p>
    <w:p>
      <w:pPr>
        <w:autoSpaceDN w:val="0"/>
        <w:snapToGrid w:val="0"/>
        <w:spacing w:line="360" w:lineRule="auto"/>
        <w:ind w:firstLine="640" w:firstLineChars="200"/>
        <w:rPr>
          <w:rFonts w:hint="default"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（二）供应商资质证明文件，包括不限于</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身份证等）</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三</w:t>
      </w: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一次性不得更改的报价单</w:t>
      </w:r>
      <w:r>
        <w:rPr>
          <w:rFonts w:hint="eastAsia" w:ascii="仿宋_GB2312" w:eastAsia="仿宋_GB2312" w:hAnsiTheme="majorEastAsia"/>
          <w:color w:val="000000"/>
          <w:sz w:val="32"/>
          <w:szCs w:val="32"/>
        </w:rPr>
        <w:t>（见附件</w:t>
      </w:r>
      <w:r>
        <w:rPr>
          <w:rFonts w:hint="eastAsia" w:ascii="仿宋_GB2312" w:eastAsia="仿宋_GB2312" w:hAnsiTheme="majorEastAsia"/>
          <w:color w:val="000000"/>
          <w:sz w:val="32"/>
          <w:szCs w:val="32"/>
          <w:lang w:val="en-US" w:eastAsia="zh-CN"/>
        </w:rPr>
        <w:t>2</w:t>
      </w:r>
      <w:r>
        <w:rPr>
          <w:rFonts w:hint="eastAsia" w:ascii="仿宋_GB2312" w:eastAsia="仿宋_GB2312" w:hAnsiTheme="majorEastAsia"/>
          <w:color w:val="000000"/>
          <w:sz w:val="32"/>
          <w:szCs w:val="32"/>
        </w:rPr>
        <w:t>，需</w:t>
      </w:r>
      <w:r>
        <w:rPr>
          <w:rFonts w:hint="eastAsia" w:ascii="仿宋_GB2312" w:eastAsia="仿宋_GB2312" w:hAnsiTheme="majorEastAsia"/>
          <w:color w:val="000000"/>
          <w:sz w:val="32"/>
          <w:szCs w:val="32"/>
          <w:lang w:val="en-US" w:eastAsia="zh-CN"/>
        </w:rPr>
        <w:t>个人</w:t>
      </w:r>
      <w:r>
        <w:rPr>
          <w:rFonts w:hint="eastAsia" w:ascii="仿宋_GB2312" w:eastAsia="仿宋_GB2312" w:hAnsiTheme="majorEastAsia"/>
          <w:color w:val="000000"/>
          <w:sz w:val="32"/>
          <w:szCs w:val="32"/>
        </w:rPr>
        <w:t>供应商</w:t>
      </w:r>
      <w:r>
        <w:rPr>
          <w:rFonts w:hint="eastAsia" w:ascii="仿宋_GB2312" w:eastAsia="仿宋_GB2312" w:hAnsiTheme="majorEastAsia"/>
          <w:color w:val="000000"/>
          <w:sz w:val="32"/>
          <w:szCs w:val="32"/>
          <w:lang w:val="en-US" w:eastAsia="zh-CN"/>
        </w:rPr>
        <w:t>签字确认并加盖手印或私章</w:t>
      </w:r>
      <w:r>
        <w:rPr>
          <w:rFonts w:hint="eastAsia" w:ascii="仿宋_GB2312" w:eastAsia="仿宋_GB2312" w:hAnsiTheme="majorEastAsia"/>
          <w:color w:val="000000"/>
          <w:sz w:val="32"/>
          <w:szCs w:val="32"/>
        </w:rPr>
        <w:t>）。</w:t>
      </w:r>
    </w:p>
    <w:p>
      <w:pPr>
        <w:autoSpaceDN w:val="0"/>
        <w:snapToGrid w:val="0"/>
        <w:spacing w:line="360" w:lineRule="auto"/>
        <w:ind w:left="638" w:leftChars="304" w:firstLine="0" w:firstLineChars="0"/>
        <w:rPr>
          <w:rFonts w:ascii="黑体" w:hAnsi="黑体" w:eastAsia="黑体"/>
          <w:sz w:val="32"/>
          <w:szCs w:val="32"/>
        </w:rPr>
      </w:pP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四</w:t>
      </w:r>
      <w:r>
        <w:rPr>
          <w:rFonts w:hint="eastAsia" w:ascii="仿宋_GB2312" w:eastAsia="仿宋_GB2312" w:hAnsiTheme="majorEastAsia"/>
          <w:color w:val="000000"/>
          <w:sz w:val="32"/>
          <w:szCs w:val="32"/>
        </w:rPr>
        <w:t>）询价邀请文件要求提供/供应商认为应附的其他材料；</w:t>
      </w:r>
      <w:r>
        <w:rPr>
          <w:rFonts w:hint="eastAsia" w:ascii="黑体" w:hAnsi="黑体" w:eastAsia="黑体"/>
          <w:sz w:val="32"/>
          <w:szCs w:val="32"/>
        </w:rPr>
        <w:t>五、联系人</w:t>
      </w:r>
    </w:p>
    <w:p>
      <w:pPr>
        <w:pStyle w:val="13"/>
        <w:spacing w:line="360" w:lineRule="auto"/>
        <w:ind w:firstLine="640" w:firstLineChars="200"/>
        <w:rPr>
          <w:rFonts w:hint="eastAsia" w:ascii="仿宋_GB2312" w:hAnsi="宋体" w:eastAsia="仿宋_GB2312" w:cs="宋体"/>
          <w:sz w:val="32"/>
          <w:szCs w:val="32"/>
        </w:rPr>
      </w:pPr>
      <w:r>
        <w:rPr>
          <w:rFonts w:hint="eastAsia" w:ascii="仿宋_GB2312" w:hAnsi="宋体" w:eastAsia="仿宋_GB2312" w:cs="宋体"/>
          <w:sz w:val="32"/>
          <w:szCs w:val="32"/>
        </w:rPr>
        <w:t>采购人：人保财险</w:t>
      </w:r>
      <w:r>
        <w:rPr>
          <w:rFonts w:hint="eastAsia" w:ascii="仿宋_GB2312" w:hAnsi="宋体" w:eastAsia="仿宋_GB2312" w:cs="宋体"/>
          <w:sz w:val="32"/>
          <w:szCs w:val="32"/>
          <w:lang w:eastAsia="zh-CN"/>
        </w:rPr>
        <w:t>新宁支</w:t>
      </w:r>
      <w:r>
        <w:rPr>
          <w:rFonts w:hint="eastAsia" w:ascii="仿宋_GB2312" w:hAnsi="宋体" w:eastAsia="仿宋_GB2312" w:cs="宋体"/>
          <w:sz w:val="32"/>
          <w:szCs w:val="32"/>
        </w:rPr>
        <w:t>公司</w:t>
      </w:r>
    </w:p>
    <w:p>
      <w:pPr>
        <w:pStyle w:val="13"/>
        <w:spacing w:line="360" w:lineRule="auto"/>
        <w:ind w:firstLine="640" w:firstLineChars="200"/>
        <w:rPr>
          <w:rFonts w:hint="default" w:ascii="仿宋_GB2312" w:hAnsi="宋体" w:eastAsia="仿宋_GB2312" w:cs="宋体"/>
          <w:sz w:val="32"/>
          <w:szCs w:val="32"/>
          <w:lang w:val="en-US" w:eastAsia="zh-CN"/>
        </w:rPr>
      </w:pPr>
      <w:r>
        <w:rPr>
          <w:rFonts w:hint="eastAsia" w:ascii="仿宋_GB2312" w:hAnsi="宋体" w:eastAsia="仿宋_GB2312" w:cs="宋体"/>
          <w:sz w:val="32"/>
          <w:szCs w:val="32"/>
        </w:rPr>
        <w:t>联系人</w:t>
      </w:r>
      <w:r>
        <w:rPr>
          <w:rFonts w:hint="eastAsia" w:ascii="仿宋_GB2312" w:hAnsi="宋体" w:eastAsia="仿宋_GB2312" w:cs="宋体"/>
          <w:sz w:val="32"/>
          <w:szCs w:val="32"/>
          <w:lang w:eastAsia="zh-CN"/>
        </w:rPr>
        <w:t>：雷洁</w:t>
      </w:r>
      <w:r>
        <w:rPr>
          <w:rFonts w:hint="eastAsia" w:ascii="仿宋_GB2312" w:hAnsi="宋体" w:eastAsia="仿宋_GB2312" w:cs="宋体"/>
          <w:sz w:val="32"/>
          <w:szCs w:val="32"/>
        </w:rPr>
        <w:t>， 联系方式：</w:t>
      </w:r>
      <w:r>
        <w:rPr>
          <w:rFonts w:hint="eastAsia" w:ascii="仿宋_GB2312" w:hAnsi="宋体" w:eastAsia="仿宋_GB2312" w:cs="宋体"/>
          <w:sz w:val="32"/>
          <w:szCs w:val="32"/>
          <w:lang w:val="en-US" w:eastAsia="zh-CN"/>
        </w:rPr>
        <w:t>17674039992</w:t>
      </w:r>
    </w:p>
    <w:p>
      <w:pPr>
        <w:pStyle w:val="13"/>
        <w:spacing w:line="360" w:lineRule="auto"/>
        <w:ind w:firstLine="640" w:firstLineChars="200"/>
        <w:rPr>
          <w:rFonts w:hint="default"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 xml:space="preserve">               邮    箱：1091003577@qq.com</w:t>
      </w:r>
    </w:p>
    <w:p>
      <w:pPr>
        <w:autoSpaceDN w:val="0"/>
        <w:snapToGrid w:val="0"/>
        <w:spacing w:line="600" w:lineRule="exact"/>
        <w:jc w:val="right"/>
        <w:rPr>
          <w:rFonts w:hint="eastAsia" w:ascii="仿宋_GB2312" w:eastAsia="仿宋_GB2312" w:hAnsiTheme="majorEastAsia"/>
          <w:color w:val="000000"/>
          <w:sz w:val="32"/>
          <w:szCs w:val="32"/>
        </w:rPr>
      </w:pPr>
    </w:p>
    <w:p>
      <w:pPr>
        <w:autoSpaceDN w:val="0"/>
        <w:snapToGrid w:val="0"/>
        <w:spacing w:line="600" w:lineRule="exact"/>
        <w:jc w:val="right"/>
        <w:rPr>
          <w:rFonts w:hint="eastAsia" w:ascii="仿宋_GB2312" w:eastAsia="仿宋_GB2312" w:hAnsiTheme="majorEastAsia"/>
          <w:color w:val="000000"/>
          <w:sz w:val="32"/>
          <w:szCs w:val="32"/>
        </w:rPr>
      </w:pPr>
    </w:p>
    <w:p>
      <w:pPr>
        <w:autoSpaceDN w:val="0"/>
        <w:snapToGrid w:val="0"/>
        <w:spacing w:line="600" w:lineRule="exact"/>
        <w:ind w:firstLine="2560" w:firstLineChars="800"/>
        <w:jc w:val="both"/>
        <w:rPr>
          <w:rFonts w:ascii="仿宋_GB2312" w:eastAsia="仿宋_GB2312" w:hAnsiTheme="majorEastAsia"/>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新宁支公司</w:t>
      </w:r>
      <w:r>
        <w:rPr>
          <w:rFonts w:hint="eastAsia" w:ascii="仿宋_GB2312" w:eastAsia="仿宋_GB2312" w:hAnsiTheme="majorEastAsia"/>
          <w:color w:val="000000"/>
          <w:sz w:val="32"/>
          <w:szCs w:val="32"/>
        </w:rPr>
        <w:t xml:space="preserve">  </w:t>
      </w:r>
      <w:r>
        <w:rPr>
          <w:rFonts w:hint="eastAsia" w:ascii="仿宋_GB2312" w:eastAsia="仿宋_GB2312" w:hAnsiTheme="majorEastAsia"/>
          <w:sz w:val="32"/>
          <w:szCs w:val="32"/>
        </w:rPr>
        <w:t xml:space="preserve">                                   </w:t>
      </w:r>
    </w:p>
    <w:p>
      <w:pPr>
        <w:autoSpaceDN w:val="0"/>
        <w:snapToGrid w:val="0"/>
        <w:spacing w:line="600" w:lineRule="exact"/>
        <w:ind w:right="1280"/>
        <w:jc w:val="right"/>
        <w:rPr>
          <w:rFonts w:ascii="仿宋_GB2312" w:eastAsia="仿宋_GB2312" w:hAnsiTheme="majorEastAsia"/>
          <w:sz w:val="32"/>
          <w:szCs w:val="32"/>
        </w:rPr>
      </w:pP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 xml:space="preserve">  </w:t>
      </w:r>
      <w:r>
        <w:rPr>
          <w:rFonts w:hint="eastAsia" w:ascii="仿宋_GB2312" w:eastAsia="仿宋_GB2312" w:hAnsiTheme="majorEastAsia"/>
          <w:sz w:val="32"/>
          <w:szCs w:val="32"/>
        </w:rPr>
        <w:t>日</w:t>
      </w:r>
    </w:p>
    <w:p>
      <w:pPr>
        <w:pStyle w:val="2"/>
        <w:rPr>
          <w:rFonts w:asciiTheme="majorEastAsia" w:hAnsiTheme="majorEastAsia" w:eastAsiaTheme="majorEastAsia"/>
          <w:sz w:val="30"/>
          <w:szCs w:val="30"/>
        </w:rPr>
      </w:pPr>
      <w:r>
        <w:rPr>
          <w:rFonts w:asciiTheme="majorEastAsia" w:hAnsiTheme="majorEastAsia" w:eastAsiaTheme="majorEastAsia"/>
          <w:sz w:val="24"/>
          <w:szCs w:val="24"/>
        </w:rPr>
        <w:br w:type="page"/>
      </w:r>
      <w:r>
        <w:rPr>
          <w:rFonts w:asciiTheme="majorEastAsia" w:hAnsiTheme="majorEastAsia" w:eastAsiaTheme="majorEastAsia"/>
          <w:sz w:val="30"/>
          <w:szCs w:val="30"/>
        </w:rPr>
        <w:t>附件1</w:t>
      </w:r>
      <w:r>
        <w:rPr>
          <w:rFonts w:hint="eastAsia" w:asciiTheme="majorEastAsia" w:hAnsiTheme="majorEastAsia" w:eastAsiaTheme="majorEastAsia"/>
          <w:sz w:val="30"/>
          <w:szCs w:val="30"/>
        </w:rPr>
        <w:t>：供应商承诺与声明</w:t>
      </w:r>
    </w:p>
    <w:p>
      <w:pPr>
        <w:jc w:val="center"/>
        <w:rPr>
          <w:rFonts w:ascii="黑体" w:hAnsi="ˎ̥" w:eastAsia="黑体" w:cs="宋体"/>
          <w:color w:val="333333"/>
          <w:kern w:val="0"/>
          <w:sz w:val="10"/>
          <w:szCs w:val="10"/>
        </w:rPr>
      </w:pPr>
      <w:r>
        <w:rPr>
          <w:rFonts w:ascii="黑体" w:hAnsi="宋体" w:eastAsia="黑体" w:cs="宋体"/>
          <w:b/>
          <w:bCs/>
          <w:snapToGrid w:val="0"/>
          <w:color w:val="333333"/>
          <w:kern w:val="0"/>
          <w:sz w:val="44"/>
          <w:szCs w:val="44"/>
        </w:rPr>
        <w:t>供应商承诺与声明</w:t>
      </w:r>
    </w:p>
    <w:p>
      <w:pPr>
        <w:widowControl/>
        <w:adjustRightInd w:val="0"/>
        <w:snapToGrid w:val="0"/>
        <w:spacing w:line="329" w:lineRule="auto"/>
        <w:rPr>
          <w:rFonts w:ascii="仿宋_GB2312" w:hAnsi="ˎ̥" w:eastAsia="仿宋_GB2312" w:cs="宋体"/>
          <w:color w:val="333333"/>
          <w:kern w:val="0"/>
          <w:sz w:val="18"/>
          <w:szCs w:val="18"/>
        </w:rPr>
      </w:pPr>
      <w:r>
        <w:rPr>
          <w:rFonts w:ascii="仿宋_GB2312" w:hAnsi="宋体" w:eastAsia="仿宋_GB2312" w:cs="宋体"/>
          <w:b/>
          <w:color w:val="333333"/>
          <w:kern w:val="0"/>
          <w:sz w:val="32"/>
        </w:rPr>
        <w:t>致：中国人民财产保险股份有限公司</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一、_______________________(以下简称我方)认识到中国人民财产保险股份有限公司采购（以下简称贵方）为企业采购，非政府采购。</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二、我方承诺遵守贵方有关集中采购管理和供应商管理的相关规定、履行相应义务。</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六、在采购过程中，我方承诺不做任何可能影响正当交易的行为。</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八、如果我方（包括咨询顾问、董事、雇员、代理人和代表）违反或未履行本承诺与声明书下的任何规定、保证及陈述，我方将对因违反或未履行承诺书的规定而对贵方造成的直接损失进行赔偿。</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九、采购过程中涉及函件往来的，请使用我方以下地址及联系方式：</w:t>
      </w:r>
    </w:p>
    <w:p>
      <w:pPr>
        <w:widowControl/>
        <w:adjustRightInd w:val="0"/>
        <w:snapToGrid w:val="0"/>
        <w:spacing w:line="329" w:lineRule="auto"/>
        <w:ind w:firstLine="640" w:firstLineChars="200"/>
        <w:jc w:val="left"/>
        <w:rPr>
          <w:rFonts w:ascii="仿宋_GB2312" w:hAnsi="宋体" w:eastAsia="仿宋_GB2312" w:cs="宋体"/>
          <w:color w:val="333333"/>
          <w:kern w:val="0"/>
          <w:sz w:val="18"/>
          <w:szCs w:val="18"/>
        </w:rPr>
      </w:pPr>
      <w:r>
        <w:rPr>
          <w:rFonts w:hint="eastAsia" w:ascii="仿宋_GB2312" w:hAnsi="宋体" w:eastAsia="仿宋_GB2312" w:cs="宋体"/>
          <w:color w:val="333333"/>
          <w:kern w:val="0"/>
          <w:sz w:val="32"/>
          <w:szCs w:val="32"/>
          <w:lang w:val="en-US" w:eastAsia="zh-CN"/>
        </w:rPr>
        <w:t>供应商</w:t>
      </w:r>
      <w:r>
        <w:rPr>
          <w:rFonts w:ascii="仿宋_GB2312" w:hAnsi="宋体" w:eastAsia="仿宋_GB2312" w:cs="宋体"/>
          <w:color w:val="333333"/>
          <w:kern w:val="0"/>
          <w:sz w:val="32"/>
          <w:szCs w:val="32"/>
        </w:rPr>
        <w:t>名称（全称、盖章</w:t>
      </w:r>
      <w:r>
        <w:rPr>
          <w:rFonts w:hint="eastAsia" w:ascii="仿宋_GB2312" w:hAnsi="宋体" w:eastAsia="仿宋_GB2312" w:cs="宋体"/>
          <w:color w:val="333333"/>
          <w:kern w:val="0"/>
          <w:sz w:val="32"/>
          <w:szCs w:val="32"/>
          <w:lang w:val="en-US" w:eastAsia="zh-CN"/>
        </w:rPr>
        <w:t>或加印</w:t>
      </w:r>
      <w:r>
        <w:rPr>
          <w:rFonts w:ascii="仿宋_GB2312" w:hAnsi="宋体" w:eastAsia="仿宋_GB2312" w:cs="宋体"/>
          <w:color w:val="333333"/>
          <w:kern w:val="0"/>
          <w:sz w:val="32"/>
          <w:szCs w:val="32"/>
        </w:rPr>
        <w:t>）：________________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地址：_________________电话：___________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法定代表人或授权代表签字：______________</w:t>
      </w:r>
    </w:p>
    <w:p>
      <w:pPr>
        <w:pStyle w:val="2"/>
        <w:rPr>
          <w:i/>
          <w:sz w:val="30"/>
          <w:szCs w:val="30"/>
        </w:rPr>
      </w:pPr>
      <w:r>
        <w:rPr>
          <w:sz w:val="30"/>
          <w:szCs w:val="30"/>
        </w:rPr>
        <w:t>附件</w:t>
      </w:r>
      <w:r>
        <w:rPr>
          <w:rFonts w:hint="eastAsia"/>
          <w:sz w:val="30"/>
          <w:szCs w:val="30"/>
          <w:lang w:val="en-US" w:eastAsia="zh-CN"/>
        </w:rPr>
        <w:t>2</w:t>
      </w:r>
      <w:r>
        <w:rPr>
          <w:rFonts w:hint="eastAsia"/>
          <w:sz w:val="30"/>
          <w:szCs w:val="30"/>
        </w:rPr>
        <w:t>：报价表</w:t>
      </w:r>
      <w:r>
        <w:rPr>
          <w:rFonts w:hint="eastAsia"/>
          <w:i/>
          <w:sz w:val="30"/>
          <w:szCs w:val="30"/>
        </w:rPr>
        <w:t>（供应商的所有报价均以人民币报价并为含税价）</w:t>
      </w:r>
    </w:p>
    <w:p>
      <w:pPr>
        <w:ind w:firstLine="560" w:firstLineChars="200"/>
        <w:jc w:val="center"/>
        <w:rPr>
          <w:rFonts w:ascii="黑体" w:hAnsi="宋体" w:eastAsia="黑体"/>
          <w:sz w:val="28"/>
          <w:szCs w:val="28"/>
        </w:rPr>
      </w:pPr>
      <w:r>
        <w:rPr>
          <w:rFonts w:hint="eastAsia" w:ascii="黑体" w:hAnsi="宋体" w:eastAsia="黑体"/>
          <w:bCs/>
          <w:sz w:val="28"/>
          <w:szCs w:val="28"/>
        </w:rPr>
        <w:t>报价一览表</w:t>
      </w:r>
    </w:p>
    <w:tbl>
      <w:tblPr>
        <w:tblStyle w:val="25"/>
        <w:tblW w:w="0" w:type="auto"/>
        <w:tblInd w:w="108" w:type="dxa"/>
        <w:tblLayout w:type="fixed"/>
        <w:tblCellMar>
          <w:top w:w="0" w:type="dxa"/>
          <w:left w:w="108" w:type="dxa"/>
          <w:bottom w:w="0" w:type="dxa"/>
          <w:right w:w="108" w:type="dxa"/>
        </w:tblCellMar>
      </w:tblPr>
      <w:tblGrid>
        <w:gridCol w:w="1785"/>
        <w:gridCol w:w="3045"/>
        <w:gridCol w:w="1575"/>
        <w:gridCol w:w="2595"/>
      </w:tblGrid>
      <w:tr>
        <w:tblPrEx>
          <w:tblCellMar>
            <w:top w:w="0" w:type="dxa"/>
            <w:left w:w="108" w:type="dxa"/>
            <w:bottom w:w="0" w:type="dxa"/>
            <w:right w:w="108" w:type="dxa"/>
          </w:tblCellMar>
        </w:tblPrEx>
        <w:trPr>
          <w:trHeight w:val="1416" w:hRule="atLeast"/>
        </w:trPr>
        <w:tc>
          <w:tcPr>
            <w:tcW w:w="1785" w:type="dxa"/>
            <w:tcBorders>
              <w:top w:val="double" w:color="auto" w:sz="4" w:space="0"/>
              <w:left w:val="double" w:color="auto" w:sz="4" w:space="0"/>
              <w:bottom w:val="single" w:color="auto" w:sz="6" w:space="0"/>
              <w:right w:val="single" w:color="auto" w:sz="6" w:space="0"/>
            </w:tcBorders>
            <w:noWrap w:val="0"/>
            <w:vAlign w:val="center"/>
          </w:tcPr>
          <w:p>
            <w:pPr>
              <w:widowControl/>
              <w:jc w:val="center"/>
              <w:rPr>
                <w:rFonts w:ascii="宋体" w:hAnsi="宋体"/>
                <w:b/>
                <w:bCs/>
                <w:sz w:val="24"/>
              </w:rPr>
            </w:pPr>
            <w:r>
              <w:rPr>
                <w:rFonts w:hint="eastAsia" w:ascii="宋体" w:hAnsi="宋体"/>
                <w:b/>
                <w:bCs/>
                <w:sz w:val="24"/>
              </w:rPr>
              <w:t>项目名称</w:t>
            </w:r>
          </w:p>
        </w:tc>
        <w:tc>
          <w:tcPr>
            <w:tcW w:w="3045" w:type="dxa"/>
            <w:tcBorders>
              <w:top w:val="double" w:color="auto" w:sz="4" w:space="0"/>
              <w:left w:val="nil"/>
              <w:bottom w:val="single" w:color="auto" w:sz="6" w:space="0"/>
              <w:right w:val="single" w:color="auto" w:sz="6" w:space="0"/>
            </w:tcBorders>
            <w:noWrap w:val="0"/>
            <w:vAlign w:val="center"/>
          </w:tcPr>
          <w:p>
            <w:pPr>
              <w:widowControl/>
              <w:jc w:val="center"/>
              <w:rPr>
                <w:rFonts w:hint="default" w:ascii="宋体" w:hAnsi="宋体" w:eastAsia="宋体"/>
                <w:sz w:val="24"/>
                <w:lang w:val="en-US" w:eastAsia="zh-CN"/>
              </w:rPr>
            </w:pPr>
            <w:r>
              <w:rPr>
                <w:rFonts w:hint="eastAsia" w:hAnsi="宋体" w:cs="宋体"/>
                <w:kern w:val="0"/>
                <w:sz w:val="24"/>
                <w:lang w:val="en-US" w:eastAsia="zh-CN"/>
              </w:rPr>
              <w:t>中国人民财产保险股份有限公司新宁支公司食堂服务外包采购项目</w:t>
            </w:r>
          </w:p>
        </w:tc>
        <w:tc>
          <w:tcPr>
            <w:tcW w:w="1575" w:type="dxa"/>
            <w:tcBorders>
              <w:top w:val="double" w:color="auto" w:sz="4" w:space="0"/>
              <w:left w:val="nil"/>
              <w:bottom w:val="single" w:color="auto" w:sz="6" w:space="0"/>
              <w:right w:val="single" w:color="auto" w:sz="6" w:space="0"/>
            </w:tcBorders>
            <w:noWrap w:val="0"/>
            <w:vAlign w:val="center"/>
          </w:tcPr>
          <w:p>
            <w:pPr>
              <w:spacing w:line="420" w:lineRule="exact"/>
              <w:jc w:val="center"/>
              <w:rPr>
                <w:rFonts w:ascii="宋体" w:hAnsi="宋体"/>
                <w:sz w:val="24"/>
              </w:rPr>
            </w:pPr>
            <w:r>
              <w:rPr>
                <w:rFonts w:hint="eastAsia" w:ascii="宋体" w:hAnsi="宋体"/>
                <w:sz w:val="24"/>
              </w:rPr>
              <w:t>代理机构编号</w:t>
            </w:r>
          </w:p>
        </w:tc>
        <w:tc>
          <w:tcPr>
            <w:tcW w:w="2595" w:type="dxa"/>
            <w:tcBorders>
              <w:top w:val="double" w:color="auto" w:sz="4" w:space="0"/>
              <w:left w:val="nil"/>
              <w:bottom w:val="single" w:color="auto" w:sz="6" w:space="0"/>
              <w:right w:val="double" w:color="auto" w:sz="4" w:space="0"/>
            </w:tcBorders>
            <w:noWrap w:val="0"/>
            <w:vAlign w:val="center"/>
          </w:tcPr>
          <w:p>
            <w:pPr>
              <w:jc w:val="center"/>
              <w:rPr>
                <w:rFonts w:hint="default" w:ascii="宋体" w:hAnsi="宋体" w:eastAsia="宋体"/>
                <w:sz w:val="24"/>
                <w:lang w:val="en-US" w:eastAsia="zh-CN"/>
              </w:rPr>
            </w:pPr>
            <w:r>
              <w:rPr>
                <w:rFonts w:hint="eastAsia" w:ascii="宋体" w:hAnsi="宋体"/>
                <w:sz w:val="24"/>
                <w:lang w:val="en-US" w:eastAsia="zh-CN"/>
              </w:rPr>
              <w:t>无</w:t>
            </w:r>
          </w:p>
        </w:tc>
      </w:tr>
      <w:tr>
        <w:tblPrEx>
          <w:tblCellMar>
            <w:top w:w="0" w:type="dxa"/>
            <w:left w:w="108" w:type="dxa"/>
            <w:bottom w:w="0" w:type="dxa"/>
            <w:right w:w="108" w:type="dxa"/>
          </w:tblCellMar>
        </w:tblPrEx>
        <w:trPr>
          <w:trHeight w:val="1693" w:hRule="atLeast"/>
        </w:trPr>
        <w:tc>
          <w:tcPr>
            <w:tcW w:w="1785" w:type="dxa"/>
            <w:tcBorders>
              <w:top w:val="nil"/>
              <w:left w:val="double" w:color="auto" w:sz="4" w:space="0"/>
              <w:bottom w:val="single" w:color="auto" w:sz="4" w:space="0"/>
              <w:right w:val="single" w:color="auto" w:sz="6" w:space="0"/>
            </w:tcBorders>
            <w:noWrap w:val="0"/>
            <w:vAlign w:val="center"/>
          </w:tcPr>
          <w:p>
            <w:pPr>
              <w:spacing w:line="420" w:lineRule="exact"/>
              <w:jc w:val="center"/>
              <w:rPr>
                <w:rFonts w:ascii="宋体" w:hAnsi="宋体"/>
                <w:b/>
                <w:bCs/>
                <w:sz w:val="24"/>
              </w:rPr>
            </w:pPr>
            <w:r>
              <w:rPr>
                <w:rFonts w:hint="eastAsia" w:ascii="宋体" w:hAnsi="宋体"/>
                <w:b/>
                <w:bCs/>
                <w:sz w:val="24"/>
              </w:rPr>
              <w:t>报价</w:t>
            </w:r>
          </w:p>
        </w:tc>
        <w:tc>
          <w:tcPr>
            <w:tcW w:w="7215" w:type="dxa"/>
            <w:gridSpan w:val="3"/>
            <w:tcBorders>
              <w:top w:val="single" w:color="auto" w:sz="6" w:space="0"/>
              <w:left w:val="nil"/>
              <w:bottom w:val="single" w:color="auto" w:sz="6" w:space="0"/>
              <w:right w:val="double" w:color="auto" w:sz="4" w:space="0"/>
            </w:tcBorders>
            <w:noWrap w:val="0"/>
            <w:vAlign w:val="center"/>
          </w:tcPr>
          <w:p>
            <w:pPr>
              <w:spacing w:line="420" w:lineRule="exact"/>
              <w:rPr>
                <w:rFonts w:hint="default" w:ascii="宋体" w:hAnsi="宋体"/>
                <w:sz w:val="24"/>
                <w:lang w:val="en-US"/>
              </w:rPr>
            </w:pPr>
            <w:r>
              <w:rPr>
                <w:rFonts w:hint="eastAsia" w:ascii="宋体" w:hAnsi="宋体"/>
                <w:sz w:val="24"/>
                <w:lang w:val="en-US" w:eastAsia="zh-CN"/>
              </w:rPr>
              <w:t xml:space="preserve">    （在预算范围内，分项报价）</w:t>
            </w:r>
          </w:p>
        </w:tc>
      </w:tr>
      <w:tr>
        <w:tblPrEx>
          <w:tblCellMar>
            <w:top w:w="0" w:type="dxa"/>
            <w:left w:w="108" w:type="dxa"/>
            <w:bottom w:w="0" w:type="dxa"/>
            <w:right w:w="108" w:type="dxa"/>
          </w:tblCellMar>
        </w:tblPrEx>
        <w:trPr>
          <w:trHeight w:val="1449" w:hRule="atLeast"/>
        </w:trPr>
        <w:tc>
          <w:tcPr>
            <w:tcW w:w="1785" w:type="dxa"/>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hint="eastAsia" w:ascii="宋体" w:hAnsi="宋体"/>
                <w:b/>
                <w:bCs/>
                <w:sz w:val="24"/>
              </w:rPr>
            </w:pPr>
            <w:r>
              <w:rPr>
                <w:rFonts w:hint="eastAsia" w:ascii="宋体" w:hAnsi="宋体"/>
                <w:b/>
                <w:bCs/>
                <w:sz w:val="24"/>
              </w:rPr>
              <w:t>服务期限</w:t>
            </w:r>
          </w:p>
        </w:tc>
        <w:tc>
          <w:tcPr>
            <w:tcW w:w="7215" w:type="dxa"/>
            <w:gridSpan w:val="3"/>
            <w:tcBorders>
              <w:top w:val="single" w:color="auto" w:sz="6" w:space="0"/>
              <w:left w:val="nil"/>
              <w:bottom w:val="single" w:color="auto" w:sz="6" w:space="0"/>
              <w:right w:val="double" w:color="auto" w:sz="4" w:space="0"/>
            </w:tcBorders>
            <w:noWrap w:val="0"/>
            <w:vAlign w:val="center"/>
          </w:tcPr>
          <w:p>
            <w:pPr>
              <w:spacing w:line="420" w:lineRule="exact"/>
              <w:rPr>
                <w:rFonts w:hint="default" w:ascii="宋体" w:hAnsi="宋体" w:eastAsia="宋体"/>
                <w:sz w:val="24"/>
                <w:lang w:val="en-US" w:eastAsia="zh-CN"/>
              </w:rPr>
            </w:pPr>
            <w:r>
              <w:rPr>
                <w:rFonts w:ascii="宋体" w:hAnsi="宋体"/>
                <w:sz w:val="24"/>
              </w:rPr>
              <w:t xml:space="preserve"> </w:t>
            </w:r>
            <w:r>
              <w:rPr>
                <w:rFonts w:hint="eastAsia" w:ascii="宋体" w:hAnsi="宋体"/>
                <w:sz w:val="24"/>
                <w:lang w:val="en-US" w:eastAsia="zh-CN"/>
              </w:rPr>
              <w:t xml:space="preserve">           </w:t>
            </w:r>
          </w:p>
        </w:tc>
      </w:tr>
      <w:tr>
        <w:tblPrEx>
          <w:tblCellMar>
            <w:top w:w="0" w:type="dxa"/>
            <w:left w:w="108" w:type="dxa"/>
            <w:bottom w:w="0" w:type="dxa"/>
            <w:right w:w="108" w:type="dxa"/>
          </w:tblCellMar>
        </w:tblPrEx>
        <w:trPr>
          <w:trHeight w:val="1290" w:hRule="atLeast"/>
        </w:trPr>
        <w:tc>
          <w:tcPr>
            <w:tcW w:w="1785" w:type="dxa"/>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ascii="宋体" w:hAnsi="宋体"/>
                <w:b/>
                <w:bCs/>
                <w:sz w:val="24"/>
              </w:rPr>
            </w:pPr>
            <w:r>
              <w:rPr>
                <w:rFonts w:hint="eastAsia" w:ascii="宋体" w:hAnsi="宋体"/>
                <w:b/>
                <w:bCs/>
                <w:sz w:val="24"/>
              </w:rPr>
              <w:t>项目负责人</w:t>
            </w:r>
            <w:r>
              <w:rPr>
                <w:rFonts w:hint="eastAsia" w:ascii="宋体" w:hAnsi="宋体"/>
                <w:b/>
                <w:sz w:val="24"/>
              </w:rPr>
              <w:t>姓名</w:t>
            </w:r>
          </w:p>
        </w:tc>
        <w:tc>
          <w:tcPr>
            <w:tcW w:w="7215" w:type="dxa"/>
            <w:gridSpan w:val="3"/>
            <w:tcBorders>
              <w:top w:val="single" w:color="auto" w:sz="6" w:space="0"/>
              <w:left w:val="nil"/>
              <w:bottom w:val="single" w:color="auto" w:sz="6" w:space="0"/>
              <w:right w:val="double" w:color="auto" w:sz="4" w:space="0"/>
            </w:tcBorders>
            <w:noWrap w:val="0"/>
            <w:vAlign w:val="center"/>
          </w:tcPr>
          <w:p>
            <w:pPr>
              <w:spacing w:line="420" w:lineRule="exact"/>
              <w:ind w:firstLine="3120" w:firstLineChars="1300"/>
              <w:rPr>
                <w:rFonts w:hint="eastAsia" w:ascii="宋体" w:hAnsi="宋体" w:eastAsia="宋体"/>
                <w:sz w:val="24"/>
                <w:lang w:val="en-US" w:eastAsia="zh-CN"/>
              </w:rPr>
            </w:pPr>
          </w:p>
        </w:tc>
      </w:tr>
      <w:tr>
        <w:tblPrEx>
          <w:tblCellMar>
            <w:top w:w="0" w:type="dxa"/>
            <w:left w:w="108" w:type="dxa"/>
            <w:bottom w:w="0" w:type="dxa"/>
            <w:right w:w="108" w:type="dxa"/>
          </w:tblCellMar>
        </w:tblPrEx>
        <w:trPr>
          <w:trHeight w:val="2033" w:hRule="atLeast"/>
        </w:trPr>
        <w:tc>
          <w:tcPr>
            <w:tcW w:w="1785" w:type="dxa"/>
            <w:tcBorders>
              <w:top w:val="single" w:color="auto" w:sz="6" w:space="0"/>
              <w:left w:val="double" w:color="auto" w:sz="4" w:space="0"/>
              <w:bottom w:val="double" w:color="auto" w:sz="4" w:space="0"/>
              <w:right w:val="single" w:color="auto" w:sz="6" w:space="0"/>
            </w:tcBorders>
            <w:noWrap w:val="0"/>
            <w:vAlign w:val="center"/>
          </w:tcPr>
          <w:p>
            <w:pPr>
              <w:spacing w:line="420" w:lineRule="exact"/>
              <w:jc w:val="center"/>
              <w:rPr>
                <w:rFonts w:ascii="宋体" w:hAnsi="宋体"/>
                <w:b/>
                <w:bCs/>
                <w:sz w:val="24"/>
              </w:rPr>
            </w:pPr>
            <w:r>
              <w:rPr>
                <w:rFonts w:hint="eastAsia" w:ascii="宋体" w:hAnsi="宋体"/>
                <w:b/>
                <w:bCs/>
                <w:sz w:val="24"/>
              </w:rPr>
              <w:t>备  注</w:t>
            </w:r>
          </w:p>
        </w:tc>
        <w:tc>
          <w:tcPr>
            <w:tcW w:w="7215" w:type="dxa"/>
            <w:gridSpan w:val="3"/>
            <w:tcBorders>
              <w:top w:val="single" w:color="auto" w:sz="6" w:space="0"/>
              <w:left w:val="nil"/>
              <w:bottom w:val="double" w:color="auto" w:sz="4" w:space="0"/>
              <w:right w:val="double" w:color="auto" w:sz="4" w:space="0"/>
            </w:tcBorders>
            <w:noWrap w:val="0"/>
            <w:vAlign w:val="center"/>
          </w:tcPr>
          <w:p>
            <w:pPr>
              <w:spacing w:line="420" w:lineRule="exact"/>
              <w:rPr>
                <w:rFonts w:ascii="宋体" w:hAnsi="宋体"/>
                <w:sz w:val="24"/>
              </w:rPr>
            </w:pPr>
            <w:r>
              <w:rPr>
                <w:rFonts w:hint="eastAsia" w:ascii="宋体" w:hAnsi="宋体"/>
                <w:sz w:val="24"/>
                <w:u w:val="single"/>
              </w:rPr>
              <w:t>本项目为交钥匙工程，除了合同价款之外采购人不再支付其他任何费用</w:t>
            </w:r>
          </w:p>
        </w:tc>
      </w:tr>
    </w:tbl>
    <w:p>
      <w:pPr>
        <w:adjustRightInd w:val="0"/>
        <w:snapToGrid w:val="0"/>
        <w:ind w:right="23" w:rightChars="11"/>
        <w:rPr>
          <w:rFonts w:hint="eastAsia" w:ascii="黑体" w:hAnsi="宋体" w:eastAsia="黑体"/>
          <w:sz w:val="24"/>
        </w:rPr>
      </w:pPr>
    </w:p>
    <w:p>
      <w:pPr>
        <w:adjustRightInd w:val="0"/>
        <w:snapToGrid w:val="0"/>
        <w:spacing w:line="480" w:lineRule="auto"/>
        <w:ind w:right="23" w:rightChars="11"/>
        <w:rPr>
          <w:rFonts w:hint="eastAsia" w:ascii="宋体"/>
        </w:rPr>
      </w:pPr>
    </w:p>
    <w:p>
      <w:pPr>
        <w:adjustRightInd w:val="0"/>
        <w:snapToGrid w:val="0"/>
        <w:spacing w:line="480" w:lineRule="auto"/>
        <w:ind w:right="23" w:rightChars="11"/>
        <w:rPr>
          <w:rFonts w:hint="eastAsia" w:ascii="宋体" w:hAnsi="宋体"/>
          <w:sz w:val="24"/>
        </w:rPr>
      </w:pPr>
      <w:r>
        <w:rPr>
          <w:rFonts w:hint="eastAsia" w:ascii="宋体" w:hAnsi="宋体"/>
          <w:sz w:val="24"/>
        </w:rPr>
        <w:t>供应商（</w:t>
      </w:r>
      <w:r>
        <w:rPr>
          <w:rFonts w:hint="eastAsia" w:ascii="宋体" w:hAnsi="宋体"/>
          <w:sz w:val="24"/>
          <w:lang w:val="en-US" w:eastAsia="zh-CN"/>
        </w:rPr>
        <w:t>盖章或加印</w:t>
      </w:r>
      <w:r>
        <w:rPr>
          <w:rFonts w:hint="eastAsia" w:ascii="宋体" w:hAnsi="宋体"/>
          <w:sz w:val="24"/>
        </w:rPr>
        <w:t>）：</w:t>
      </w:r>
    </w:p>
    <w:p>
      <w:pPr>
        <w:adjustRightInd w:val="0"/>
        <w:snapToGrid w:val="0"/>
        <w:spacing w:line="480" w:lineRule="auto"/>
        <w:ind w:right="23" w:rightChars="11"/>
        <w:rPr>
          <w:rFonts w:hint="eastAsia" w:ascii="宋体" w:hAnsi="宋体"/>
          <w:sz w:val="24"/>
        </w:rPr>
      </w:pPr>
    </w:p>
    <w:p>
      <w:pPr>
        <w:adjustRightInd w:val="0"/>
        <w:snapToGrid w:val="0"/>
        <w:spacing w:line="480" w:lineRule="auto"/>
        <w:ind w:right="23" w:rightChars="11"/>
        <w:rPr>
          <w:rFonts w:hint="eastAsia" w:ascii="宋体" w:hAnsi="宋体"/>
          <w:sz w:val="24"/>
        </w:rPr>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pPr>
        <w:pBdr>
          <w:bottom w:val="single" w:color="auto" w:sz="6" w:space="11"/>
        </w:pBdr>
        <w:tabs>
          <w:tab w:val="center" w:pos="4153"/>
          <w:tab w:val="right" w:pos="8306"/>
        </w:tabs>
        <w:adjustRightInd w:val="0"/>
        <w:snapToGrid w:val="0"/>
        <w:spacing w:line="360" w:lineRule="auto"/>
        <w:jc w:val="center"/>
        <w:textAlignment w:val="baseline"/>
        <w:rPr>
          <w:rFonts w:ascii="仿宋_GB2312" w:hAnsi="Times New Roman" w:eastAsia="仿宋_GB2312" w:cs="Times New Roman"/>
          <w:b/>
          <w:kern w:val="0"/>
          <w:sz w:val="30"/>
          <w:szCs w:val="30"/>
        </w:rPr>
      </w:pPr>
    </w:p>
    <w:p>
      <w:pPr>
        <w:rPr>
          <w:sz w:val="28"/>
          <w:szCs w:val="28"/>
        </w:rPr>
      </w:pPr>
    </w:p>
    <w:p>
      <w:pPr>
        <w:widowControl/>
        <w:pBdr>
          <w:bottom w:val="single" w:color="auto" w:sz="6" w:space="1"/>
        </w:pBdr>
        <w:jc w:val="center"/>
        <w:rPr>
          <w:rFonts w:ascii="Arial" w:hAnsi="Arial" w:eastAsia="宋体" w:cs="Arial"/>
          <w:vanish/>
          <w:kern w:val="0"/>
          <w:sz w:val="16"/>
          <w:szCs w:val="16"/>
        </w:rPr>
      </w:pPr>
      <w:r>
        <w:rPr>
          <w:rFonts w:hint="eastAsia" w:ascii="Arial" w:hAnsi="Arial" w:eastAsia="宋体" w:cs="Arial"/>
          <w:vanish/>
          <w:kern w:val="0"/>
          <w:sz w:val="16"/>
          <w:szCs w:val="16"/>
        </w:rPr>
        <w:t>窗体顶端</w:t>
      </w:r>
    </w:p>
    <w:sectPr>
      <w:headerReference r:id="rId3" w:type="default"/>
      <w:footerReference r:id="rId4"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華康中楷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DE2F17"/>
    <w:multiLevelType w:val="singleLevel"/>
    <w:tmpl w:val="4ADE2F17"/>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21D5214"/>
    <w:rsid w:val="047D342F"/>
    <w:rsid w:val="07F6661C"/>
    <w:rsid w:val="09B35B6B"/>
    <w:rsid w:val="109E279B"/>
    <w:rsid w:val="131D158C"/>
    <w:rsid w:val="16B843D0"/>
    <w:rsid w:val="1A5563A1"/>
    <w:rsid w:val="23D06FE3"/>
    <w:rsid w:val="24022FDA"/>
    <w:rsid w:val="2BF609A7"/>
    <w:rsid w:val="2D8E20A4"/>
    <w:rsid w:val="2FA5682E"/>
    <w:rsid w:val="2FBB516C"/>
    <w:rsid w:val="300778E4"/>
    <w:rsid w:val="31777136"/>
    <w:rsid w:val="332E5E06"/>
    <w:rsid w:val="34E1007A"/>
    <w:rsid w:val="39856F96"/>
    <w:rsid w:val="3A9F4B60"/>
    <w:rsid w:val="3D226616"/>
    <w:rsid w:val="40E35CEC"/>
    <w:rsid w:val="418D4D97"/>
    <w:rsid w:val="42337DA9"/>
    <w:rsid w:val="44800290"/>
    <w:rsid w:val="51E479EC"/>
    <w:rsid w:val="52BC094F"/>
    <w:rsid w:val="53777C0F"/>
    <w:rsid w:val="56E45EC9"/>
    <w:rsid w:val="5BB37C7B"/>
    <w:rsid w:val="5D083CAA"/>
    <w:rsid w:val="68532154"/>
    <w:rsid w:val="696100F5"/>
    <w:rsid w:val="7DB34925"/>
    <w:rsid w:val="7FD90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4">
    <w:name w:val="heading 3"/>
    <w:basedOn w:val="1"/>
    <w:next w:val="1"/>
    <w:link w:val="46"/>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7"/>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rFonts w:ascii="Times New Roman" w:hAnsi="Times New Roman" w:eastAsia="宋体" w:cs="Times New Roman"/>
      <w:szCs w:val="24"/>
    </w:rPr>
  </w:style>
  <w:style w:type="paragraph" w:styleId="7">
    <w:name w:val="caption"/>
    <w:basedOn w:val="1"/>
    <w:next w:val="1"/>
    <w:unhideWhenUsed/>
    <w:qFormat/>
    <w:uiPriority w:val="35"/>
    <w:rPr>
      <w:rFonts w:eastAsia="黑体" w:asciiTheme="majorHAnsi" w:hAnsiTheme="majorHAnsi" w:cstheme="majorBidi"/>
      <w:sz w:val="20"/>
      <w:szCs w:val="20"/>
    </w:rPr>
  </w:style>
  <w:style w:type="paragraph" w:styleId="8">
    <w:name w:val="Document Map"/>
    <w:basedOn w:val="1"/>
    <w:link w:val="51"/>
    <w:semiHidden/>
    <w:unhideWhenUsed/>
    <w:qFormat/>
    <w:uiPriority w:val="99"/>
    <w:rPr>
      <w:rFonts w:ascii="宋体" w:hAnsi="Calibri" w:eastAsia="宋体" w:cs="Times New Roman"/>
      <w:kern w:val="0"/>
      <w:sz w:val="18"/>
      <w:szCs w:val="18"/>
    </w:rPr>
  </w:style>
  <w:style w:type="paragraph" w:styleId="9">
    <w:name w:val="annotation text"/>
    <w:basedOn w:val="1"/>
    <w:link w:val="39"/>
    <w:semiHidden/>
    <w:unhideWhenUsed/>
    <w:qFormat/>
    <w:uiPriority w:val="99"/>
    <w:pPr>
      <w:jc w:val="left"/>
    </w:pPr>
  </w:style>
  <w:style w:type="paragraph" w:styleId="10">
    <w:name w:val="Body Text"/>
    <w:basedOn w:val="1"/>
    <w:semiHidden/>
    <w:qFormat/>
    <w:uiPriority w:val="0"/>
    <w:pPr>
      <w:spacing w:before="120" w:line="360" w:lineRule="atLeast"/>
    </w:pPr>
    <w:rPr>
      <w:rFonts w:ascii="Times New Roman" w:hAnsi="Times New Roman" w:eastAsia="宋体" w:cs="Times New Roman"/>
      <w:b/>
      <w:i/>
      <w:szCs w:val="24"/>
    </w:rPr>
  </w:style>
  <w:style w:type="paragraph" w:styleId="11">
    <w:name w:val="Body Text Indent"/>
    <w:basedOn w:val="1"/>
    <w:qFormat/>
    <w:uiPriority w:val="0"/>
    <w:pPr>
      <w:spacing w:after="120"/>
      <w:ind w:left="420" w:leftChars="200"/>
    </w:pPr>
  </w:style>
  <w:style w:type="paragraph" w:styleId="12">
    <w:name w:val="toc 3"/>
    <w:basedOn w:val="1"/>
    <w:next w:val="1"/>
    <w:unhideWhenUsed/>
    <w:qFormat/>
    <w:uiPriority w:val="39"/>
    <w:pPr>
      <w:ind w:left="840" w:leftChars="400"/>
    </w:pPr>
    <w:rPr>
      <w:rFonts w:ascii="Calibri" w:hAnsi="Calibri" w:eastAsia="宋体" w:cs="Times New Roman"/>
    </w:rPr>
  </w:style>
  <w:style w:type="paragraph" w:styleId="13">
    <w:name w:val="Plain Text"/>
    <w:basedOn w:val="1"/>
    <w:link w:val="45"/>
    <w:qFormat/>
    <w:uiPriority w:val="0"/>
    <w:rPr>
      <w:rFonts w:ascii="宋体" w:hAnsi="Courier New" w:eastAsia="宋体" w:cs="Times New Roman"/>
      <w:szCs w:val="20"/>
    </w:rPr>
  </w:style>
  <w:style w:type="paragraph" w:styleId="14">
    <w:name w:val="Body Text Indent 2"/>
    <w:basedOn w:val="1"/>
    <w:link w:val="43"/>
    <w:unhideWhenUsed/>
    <w:qFormat/>
    <w:uiPriority w:val="99"/>
    <w:pPr>
      <w:ind w:firstLine="480" w:firstLineChars="160"/>
    </w:pPr>
    <w:rPr>
      <w:rFonts w:ascii="仿宋_GB2312" w:eastAsia="仿宋_GB2312"/>
      <w:sz w:val="30"/>
      <w:szCs w:val="30"/>
    </w:rPr>
  </w:style>
  <w:style w:type="paragraph" w:styleId="15">
    <w:name w:val="Balloon Text"/>
    <w:basedOn w:val="1"/>
    <w:link w:val="41"/>
    <w:semiHidden/>
    <w:unhideWhenUsed/>
    <w:qFormat/>
    <w:uiPriority w:val="99"/>
    <w:rPr>
      <w:sz w:val="18"/>
      <w:szCs w:val="18"/>
    </w:rPr>
  </w:style>
  <w:style w:type="paragraph" w:styleId="16">
    <w:name w:val="footer"/>
    <w:basedOn w:val="1"/>
    <w:link w:val="32"/>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7">
    <w:name w:val="header"/>
    <w:basedOn w:val="1"/>
    <w:link w:val="34"/>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line="360" w:lineRule="auto"/>
    </w:pPr>
    <w:rPr>
      <w:rFonts w:ascii="宋体" w:hAnsi="Times New Roman" w:eastAsia="宋体" w:cs="Times New Roman"/>
      <w:b/>
      <w:sz w:val="24"/>
      <w:szCs w:val="20"/>
    </w:rPr>
  </w:style>
  <w:style w:type="paragraph" w:styleId="19">
    <w:name w:val="toc 4"/>
    <w:basedOn w:val="1"/>
    <w:next w:val="1"/>
    <w:unhideWhenUsed/>
    <w:qFormat/>
    <w:uiPriority w:val="39"/>
    <w:pPr>
      <w:ind w:left="1260" w:leftChars="600"/>
    </w:pPr>
    <w:rPr>
      <w:rFonts w:ascii="Calibri" w:hAnsi="Calibri" w:eastAsia="宋体" w:cs="Times New Roman"/>
    </w:rPr>
  </w:style>
  <w:style w:type="paragraph" w:styleId="20">
    <w:name w:val="Body Text Indent 3"/>
    <w:basedOn w:val="1"/>
    <w:qFormat/>
    <w:uiPriority w:val="0"/>
    <w:pPr>
      <w:snapToGrid w:val="0"/>
      <w:spacing w:line="580" w:lineRule="exact"/>
      <w:ind w:firstLine="560" w:firstLineChars="200"/>
    </w:pPr>
    <w:rPr>
      <w:rFonts w:ascii="仿宋_GB2312" w:eastAsia="仿宋_GB2312"/>
      <w:sz w:val="28"/>
      <w:szCs w:val="28"/>
      <w:lang w:val="zh-CN"/>
    </w:rPr>
  </w:style>
  <w:style w:type="paragraph" w:styleId="21">
    <w:name w:val="toc 2"/>
    <w:basedOn w:val="1"/>
    <w:next w:val="1"/>
    <w:unhideWhenUsed/>
    <w:qFormat/>
    <w:uiPriority w:val="39"/>
    <w:pPr>
      <w:ind w:left="420" w:leftChars="200"/>
    </w:pPr>
    <w:rPr>
      <w:rFonts w:ascii="Calibri" w:hAnsi="Calibri" w:eastAsia="宋体" w:cs="Times New Roman"/>
    </w:rPr>
  </w:style>
  <w:style w:type="paragraph" w:styleId="22">
    <w:name w:val="Title"/>
    <w:basedOn w:val="1"/>
    <w:next w:val="1"/>
    <w:link w:val="49"/>
    <w:qFormat/>
    <w:uiPriority w:val="10"/>
    <w:pPr>
      <w:spacing w:before="240" w:after="60"/>
      <w:jc w:val="center"/>
      <w:outlineLvl w:val="0"/>
    </w:pPr>
    <w:rPr>
      <w:rFonts w:eastAsia="宋体" w:asciiTheme="majorHAnsi" w:hAnsiTheme="majorHAnsi" w:cstheme="majorBidi"/>
      <w:b/>
      <w:bCs/>
      <w:sz w:val="32"/>
      <w:szCs w:val="32"/>
    </w:rPr>
  </w:style>
  <w:style w:type="paragraph" w:styleId="23">
    <w:name w:val="annotation subject"/>
    <w:basedOn w:val="9"/>
    <w:next w:val="9"/>
    <w:link w:val="40"/>
    <w:semiHidden/>
    <w:unhideWhenUsed/>
    <w:qFormat/>
    <w:uiPriority w:val="99"/>
    <w:rPr>
      <w:b/>
      <w:bCs/>
    </w:rPr>
  </w:style>
  <w:style w:type="paragraph" w:styleId="24">
    <w:name w:val="Body Text First Indent 2"/>
    <w:basedOn w:val="11"/>
    <w:qFormat/>
    <w:uiPriority w:val="0"/>
    <w:pPr>
      <w:ind w:firstLine="420" w:firstLineChars="200"/>
    </w:pPr>
    <w:rPr>
      <w:rFonts w:ascii="Times New Roman" w:hAnsi="Times New Roman" w:eastAsia="宋体" w:cs="Times New Roman"/>
    </w:rPr>
  </w:style>
  <w:style w:type="table" w:styleId="26">
    <w:name w:val="Table Grid"/>
    <w:basedOn w:val="2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qFormat/>
    <w:uiPriority w:val="0"/>
  </w:style>
  <w:style w:type="character" w:styleId="29">
    <w:name w:val="FollowedHyperlink"/>
    <w:basedOn w:val="27"/>
    <w:semiHidden/>
    <w:unhideWhenUsed/>
    <w:qFormat/>
    <w:uiPriority w:val="99"/>
    <w:rPr>
      <w:color w:val="954F72" w:themeColor="followedHyperlink"/>
      <w:u w:val="single"/>
      <w14:textFill>
        <w14:solidFill>
          <w14:schemeClr w14:val="folHlink"/>
        </w14:solidFill>
      </w14:textFill>
    </w:rPr>
  </w:style>
  <w:style w:type="character" w:styleId="30">
    <w:name w:val="Hyperlink"/>
    <w:basedOn w:val="27"/>
    <w:unhideWhenUsed/>
    <w:qFormat/>
    <w:uiPriority w:val="99"/>
    <w:rPr>
      <w:color w:val="0563C1" w:themeColor="hyperlink"/>
      <w:u w:val="single"/>
      <w14:textFill>
        <w14:solidFill>
          <w14:schemeClr w14:val="hlink"/>
        </w14:solidFill>
      </w14:textFill>
    </w:rPr>
  </w:style>
  <w:style w:type="character" w:styleId="31">
    <w:name w:val="annotation reference"/>
    <w:qFormat/>
    <w:uiPriority w:val="99"/>
    <w:rPr>
      <w:sz w:val="21"/>
      <w:szCs w:val="21"/>
    </w:rPr>
  </w:style>
  <w:style w:type="character" w:customStyle="1" w:styleId="32">
    <w:name w:val="页脚 Char"/>
    <w:basedOn w:val="27"/>
    <w:link w:val="16"/>
    <w:qFormat/>
    <w:uiPriority w:val="99"/>
    <w:rPr>
      <w:rFonts w:ascii="Times New Roman" w:hAnsi="Times New Roman" w:eastAsia="宋体" w:cs="Times New Roman"/>
      <w:sz w:val="18"/>
      <w:szCs w:val="20"/>
    </w:rPr>
  </w:style>
  <w:style w:type="paragraph" w:customStyle="1" w:styleId="33">
    <w:name w:val="p0"/>
    <w:basedOn w:val="1"/>
    <w:qFormat/>
    <w:uiPriority w:val="0"/>
    <w:pPr>
      <w:widowControl/>
    </w:pPr>
    <w:rPr>
      <w:rFonts w:ascii="Times New Roman" w:hAnsi="Times New Roman" w:eastAsia="宋体" w:cs="Times New Roman"/>
      <w:kern w:val="0"/>
      <w:szCs w:val="21"/>
    </w:rPr>
  </w:style>
  <w:style w:type="character" w:customStyle="1" w:styleId="34">
    <w:name w:val="页眉 Char"/>
    <w:basedOn w:val="27"/>
    <w:link w:val="17"/>
    <w:qFormat/>
    <w:uiPriority w:val="0"/>
    <w:rPr>
      <w:sz w:val="18"/>
      <w:szCs w:val="18"/>
    </w:rPr>
  </w:style>
  <w:style w:type="character" w:customStyle="1" w:styleId="35">
    <w:name w:val="标题 1 Char"/>
    <w:basedOn w:val="27"/>
    <w:link w:val="2"/>
    <w:qFormat/>
    <w:uiPriority w:val="9"/>
    <w:rPr>
      <w:rFonts w:ascii="Times New Roman" w:hAnsi="Times New Roman" w:eastAsia="宋体" w:cs="Times New Roman"/>
      <w:b/>
      <w:bCs/>
      <w:kern w:val="44"/>
      <w:sz w:val="44"/>
      <w:szCs w:val="44"/>
    </w:rPr>
  </w:style>
  <w:style w:type="paragraph" w:customStyle="1" w:styleId="36">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7">
    <w:name w:val="标题 2 Char"/>
    <w:basedOn w:val="27"/>
    <w:link w:val="3"/>
    <w:qFormat/>
    <w:uiPriority w:val="9"/>
    <w:rPr>
      <w:rFonts w:ascii="仿宋_GB2312" w:hAnsi="仿宋_GB2312" w:eastAsia="仿宋_GB2312" w:cs="仿宋_GB2312"/>
      <w:b/>
      <w:bCs/>
      <w:sz w:val="32"/>
      <w:szCs w:val="32"/>
    </w:rPr>
  </w:style>
  <w:style w:type="paragraph" w:customStyle="1" w:styleId="38">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9">
    <w:name w:val="批注文字 Char"/>
    <w:basedOn w:val="27"/>
    <w:link w:val="9"/>
    <w:semiHidden/>
    <w:qFormat/>
    <w:uiPriority w:val="99"/>
  </w:style>
  <w:style w:type="character" w:customStyle="1" w:styleId="40">
    <w:name w:val="批注主题 Char"/>
    <w:basedOn w:val="39"/>
    <w:link w:val="23"/>
    <w:semiHidden/>
    <w:qFormat/>
    <w:uiPriority w:val="99"/>
    <w:rPr>
      <w:b/>
      <w:bCs/>
    </w:rPr>
  </w:style>
  <w:style w:type="character" w:customStyle="1" w:styleId="41">
    <w:name w:val="批注框文本 Char"/>
    <w:basedOn w:val="27"/>
    <w:link w:val="15"/>
    <w:semiHidden/>
    <w:qFormat/>
    <w:uiPriority w:val="99"/>
    <w:rPr>
      <w:sz w:val="18"/>
      <w:szCs w:val="18"/>
    </w:rPr>
  </w:style>
  <w:style w:type="paragraph" w:styleId="42">
    <w:name w:val="List Paragraph"/>
    <w:basedOn w:val="1"/>
    <w:link w:val="48"/>
    <w:qFormat/>
    <w:uiPriority w:val="34"/>
    <w:pPr>
      <w:ind w:firstLine="420" w:firstLineChars="200"/>
    </w:pPr>
  </w:style>
  <w:style w:type="character" w:customStyle="1" w:styleId="43">
    <w:name w:val="正文文本缩进 2 Char"/>
    <w:link w:val="14"/>
    <w:qFormat/>
    <w:uiPriority w:val="99"/>
    <w:rPr>
      <w:rFonts w:ascii="仿宋_GB2312" w:eastAsia="仿宋_GB2312"/>
      <w:sz w:val="30"/>
      <w:szCs w:val="30"/>
    </w:rPr>
  </w:style>
  <w:style w:type="character" w:customStyle="1" w:styleId="44">
    <w:name w:val="正文文本缩进 2 Char1"/>
    <w:basedOn w:val="27"/>
    <w:semiHidden/>
    <w:qFormat/>
    <w:uiPriority w:val="99"/>
  </w:style>
  <w:style w:type="character" w:customStyle="1" w:styleId="45">
    <w:name w:val="纯文本 Char"/>
    <w:basedOn w:val="27"/>
    <w:link w:val="13"/>
    <w:qFormat/>
    <w:uiPriority w:val="0"/>
    <w:rPr>
      <w:rFonts w:ascii="宋体" w:hAnsi="Courier New" w:eastAsia="宋体" w:cs="Times New Roman"/>
      <w:szCs w:val="20"/>
    </w:rPr>
  </w:style>
  <w:style w:type="character" w:customStyle="1" w:styleId="46">
    <w:name w:val="标题 3 Char"/>
    <w:basedOn w:val="27"/>
    <w:link w:val="4"/>
    <w:qFormat/>
    <w:uiPriority w:val="9"/>
    <w:rPr>
      <w:b/>
      <w:bCs/>
      <w:sz w:val="32"/>
      <w:szCs w:val="32"/>
    </w:rPr>
  </w:style>
  <w:style w:type="character" w:customStyle="1" w:styleId="47">
    <w:name w:val="标题 4 Char"/>
    <w:basedOn w:val="27"/>
    <w:link w:val="5"/>
    <w:qFormat/>
    <w:uiPriority w:val="9"/>
    <w:rPr>
      <w:rFonts w:ascii="Cambria" w:hAnsi="Cambria" w:eastAsia="宋体" w:cs="Times New Roman"/>
      <w:b/>
      <w:bCs/>
      <w:kern w:val="0"/>
      <w:sz w:val="28"/>
      <w:szCs w:val="28"/>
    </w:rPr>
  </w:style>
  <w:style w:type="character" w:customStyle="1" w:styleId="48">
    <w:name w:val="列出段落 Char"/>
    <w:link w:val="42"/>
    <w:qFormat/>
    <w:locked/>
    <w:uiPriority w:val="34"/>
  </w:style>
  <w:style w:type="character" w:customStyle="1" w:styleId="49">
    <w:name w:val="标题 Char"/>
    <w:basedOn w:val="27"/>
    <w:link w:val="22"/>
    <w:qFormat/>
    <w:uiPriority w:val="10"/>
    <w:rPr>
      <w:rFonts w:eastAsia="宋体" w:asciiTheme="majorHAnsi" w:hAnsiTheme="majorHAnsi" w:cstheme="majorBidi"/>
      <w:b/>
      <w:bCs/>
      <w:sz w:val="32"/>
      <w:szCs w:val="32"/>
    </w:rPr>
  </w:style>
  <w:style w:type="table" w:customStyle="1" w:styleId="50">
    <w:name w:val="网格型1"/>
    <w:basedOn w:val="2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1">
    <w:name w:val="文档结构图 Char"/>
    <w:basedOn w:val="27"/>
    <w:link w:val="8"/>
    <w:semiHidden/>
    <w:qFormat/>
    <w:uiPriority w:val="99"/>
    <w:rPr>
      <w:rFonts w:ascii="宋体" w:hAnsi="Calibri" w:eastAsia="宋体" w:cs="Times New Roman"/>
      <w:kern w:val="0"/>
      <w:sz w:val="18"/>
      <w:szCs w:val="18"/>
    </w:rPr>
  </w:style>
  <w:style w:type="character" w:customStyle="1" w:styleId="52">
    <w:name w:val="m1"/>
    <w:qFormat/>
    <w:uiPriority w:val="0"/>
    <w:rPr>
      <w:color w:val="0000FF"/>
    </w:rPr>
  </w:style>
  <w:style w:type="character" w:customStyle="1" w:styleId="53">
    <w:name w:val="t1"/>
    <w:qFormat/>
    <w:uiPriority w:val="0"/>
    <w:rPr>
      <w:color w:val="990000"/>
    </w:rPr>
  </w:style>
  <w:style w:type="character" w:customStyle="1" w:styleId="54">
    <w:name w:val="def"/>
    <w:basedOn w:val="27"/>
    <w:qFormat/>
    <w:uiPriority w:val="0"/>
  </w:style>
  <w:style w:type="paragraph" w:customStyle="1" w:styleId="55">
    <w:name w:val="z-窗体底端1"/>
    <w:basedOn w:val="1"/>
    <w:next w:val="1"/>
    <w:link w:val="56"/>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6">
    <w:name w:val="z-窗体底端 Char"/>
    <w:basedOn w:val="27"/>
    <w:link w:val="55"/>
    <w:qFormat/>
    <w:uiPriority w:val="99"/>
    <w:rPr>
      <w:rFonts w:ascii="Arial" w:hAnsi="Arial" w:eastAsia="宋体" w:cs="Times New Roman"/>
      <w:vanish/>
      <w:kern w:val="0"/>
      <w:sz w:val="16"/>
      <w:szCs w:val="16"/>
    </w:rPr>
  </w:style>
  <w:style w:type="character" w:customStyle="1" w:styleId="57">
    <w:name w:val="keyword"/>
    <w:basedOn w:val="27"/>
    <w:qFormat/>
    <w:uiPriority w:val="0"/>
  </w:style>
  <w:style w:type="character" w:customStyle="1" w:styleId="58">
    <w:name w:val="tx1"/>
    <w:qFormat/>
    <w:uiPriority w:val="0"/>
    <w:rPr>
      <w:b/>
      <w:bCs/>
    </w:rPr>
  </w:style>
  <w:style w:type="paragraph" w:customStyle="1" w:styleId="59">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60">
    <w:name w:val="Table Paragraph"/>
    <w:basedOn w:val="1"/>
    <w:qFormat/>
    <w:uiPriority w:val="1"/>
    <w:rPr>
      <w:rFonts w:ascii="宋体" w:hAnsi="宋体" w:eastAsia="宋体" w:cs="宋体"/>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4B6A7-0EE6-41F0-9922-5983FFB8FD1E}">
  <ds:schemaRefs/>
</ds:datastoreItem>
</file>

<file path=docProps/app.xml><?xml version="1.0" encoding="utf-8"?>
<Properties xmlns="http://schemas.openxmlformats.org/officeDocument/2006/extended-properties" xmlns:vt="http://schemas.openxmlformats.org/officeDocument/2006/docPropsVTypes">
  <Template>Normal.dotm</Template>
  <Pages>8</Pages>
  <Words>361</Words>
  <Characters>2060</Characters>
  <Lines>17</Lines>
  <Paragraphs>4</Paragraphs>
  <TotalTime>2</TotalTime>
  <ScaleCrop>false</ScaleCrop>
  <LinksUpToDate>false</LinksUpToDate>
  <CharactersWithSpaces>2417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雷洁</cp:lastModifiedBy>
  <dcterms:modified xsi:type="dcterms:W3CDTF">2024-04-02T08:52:10Z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F465EA382BC8492AA47D1D33DC726049</vt:lpwstr>
  </property>
</Properties>
</file>