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hint="eastAsia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人保财险海南省分公司20楼LED显示屏</w:t>
      </w:r>
    </w:p>
    <w:p>
      <w:pPr>
        <w:pStyle w:val="5"/>
        <w:ind w:firstLine="883" w:firstLineChars="200"/>
        <w:jc w:val="both"/>
        <w:rPr>
          <w:rFonts w:asciiTheme="majorEastAsia" w:hAnsiTheme="majorEastAsia" w:eastAsiaTheme="majorEastAsia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更换</w:t>
      </w:r>
      <w:r>
        <w:rPr>
          <w:rFonts w:hint="eastAsia" w:asciiTheme="majorEastAsia" w:hAnsiTheme="majorEastAsia" w:eastAsiaTheme="majorEastAsia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采购项目采购需求</w:t>
      </w:r>
      <w:r>
        <w:rPr>
          <w:rFonts w:hint="eastAsia" w:asciiTheme="majorEastAsia" w:hAnsiTheme="majorEastAsia" w:eastAsiaTheme="majorEastAsia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（试行）</w:t>
      </w:r>
    </w:p>
    <w:p>
      <w:pPr>
        <w:jc w:val="center"/>
        <w:rPr>
          <w:rFonts w:asciiTheme="majorEastAsia" w:hAnsiTheme="majorEastAsia" w:eastAsiaTheme="maj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/>
          <w:color w:val="000000" w:themeColor="text1"/>
          <w14:textFill>
            <w14:solidFill>
              <w14:schemeClr w14:val="tx1"/>
            </w14:solidFill>
          </w14:textFill>
        </w:rPr>
        <w:t>（货物类项目适用）</w:t>
      </w:r>
    </w:p>
    <w:p>
      <w:pPr>
        <w:pStyle w:val="10"/>
        <w:ind w:firstLine="0" w:firstLineChars="0"/>
        <w:rPr>
          <w:rFonts w:ascii="仿宋_GB2312" w:hAnsi="仿宋" w:eastAsia="仿宋_GB2312"/>
          <w:color w:val="000000" w:themeColor="text1"/>
          <w:sz w:val="28"/>
          <w:szCs w:val="28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167640</wp:posOffset>
                </wp:positionV>
                <wp:extent cx="5166360" cy="0"/>
                <wp:effectExtent l="0" t="0" r="34290" b="190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6636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.8pt;margin-top:13.2pt;height:0pt;width:406.8pt;z-index:251659264;mso-width-relative:page;mso-height-relative:page;" filled="f" stroked="t" coordsize="21600,21600" o:gfxdata="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FoAvL&#10;1gAAAAcBAAAPAAAAAAAAAAEAIAAAACIAAABkcnMvZG93bnJldi54bWxQSwECFAAUAAAACACHTuJA&#10;G25wOOoBAADAAwAADgAAAAAAAAABACAAAAAlAQAAZHJzL2Uyb0RvYy54bWxQSwUGAAAAAAYABgBZ&#10;AQAAgQUAAAAA&#10;">
                <v:fill on="f" focussize="0,0"/>
                <v:stroke weight="1pt" color="#FF0000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spacing w:line="560" w:lineRule="exact"/>
        <w:ind w:firstLine="562" w:firstLineChars="200"/>
        <w:rPr>
          <w:rFonts w:ascii="仿宋_GB2312" w:hAnsi="仿宋" w:eastAsia="仿宋_GB2312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一、项目概况</w:t>
      </w:r>
    </w:p>
    <w:p>
      <w:pPr>
        <w:spacing w:line="560" w:lineRule="exact"/>
        <w:ind w:firstLine="560" w:firstLineChars="200"/>
        <w:rPr>
          <w:rFonts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1．项目概述</w:t>
      </w:r>
    </w:p>
    <w:p>
      <w:pPr>
        <w:spacing w:line="560" w:lineRule="exact"/>
        <w:ind w:firstLine="560" w:firstLineChars="200"/>
        <w:rPr>
          <w:rFonts w:hint="default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20楼原LED屏已出现故障频繁现象，且已达到使用年限，为提高办公会议工作效率，及时传达会议精神，拟新购置一块LED屏以满足正常工作会议需求。</w:t>
      </w:r>
    </w:p>
    <w:p>
      <w:pPr>
        <w:spacing w:line="560" w:lineRule="exact"/>
        <w:ind w:firstLine="560" w:firstLineChars="200"/>
        <w:rPr>
          <w:rFonts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项目预算：</w:t>
      </w:r>
      <w:r>
        <w:rPr>
          <w:rFonts w:ascii="仿宋_GB2312" w:hAnsi="仿宋" w:eastAsia="仿宋_GB2312" w:cs="宋体"/>
          <w:color w:val="000000" w:themeColor="text1"/>
          <w:sz w:val="28"/>
          <w:szCs w:val="24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ascii="仿宋_GB2312" w:hAnsi="仿宋" w:eastAsia="仿宋_GB2312" w:cs="宋体"/>
          <w:color w:val="000000" w:themeColor="text1"/>
          <w:sz w:val="28"/>
          <w:szCs w:val="24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万元</w:t>
      </w:r>
    </w:p>
    <w:p>
      <w:pPr>
        <w:spacing w:line="560" w:lineRule="exact"/>
        <w:ind w:firstLine="562" w:firstLineChars="200"/>
        <w:rPr>
          <w:rFonts w:hint="eastAsia" w:ascii="仿宋_GB2312" w:hAnsi="仿宋" w:eastAsia="仿宋_GB2312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二、采购内容描述</w:t>
      </w:r>
    </w:p>
    <w:tbl>
      <w:tblPr>
        <w:tblStyle w:val="6"/>
        <w:tblW w:w="9976" w:type="dxa"/>
        <w:tblInd w:w="-5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326"/>
        <w:gridCol w:w="2402"/>
        <w:gridCol w:w="718"/>
        <w:gridCol w:w="778"/>
        <w:gridCol w:w="799"/>
        <w:gridCol w:w="933"/>
        <w:gridCol w:w="1081"/>
        <w:gridCol w:w="12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楷体" w:hAnsi="楷体" w:eastAsia="楷体" w:cs="楷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品名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单价（含税）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总计(含税)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单价（不含税）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总计(不含税)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3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P2表贴全彩</w:t>
            </w: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LED显示屏屏体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1、投标产品LED像素点间距≤2mm;像素密度≥250000点/㎡，每个像素点采用1纯红1纯绿1纯蓝三像素，表贴三合一封装。（提供封面具有CNAS盖章的第三方检测机构出具的检测报告复印件）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、投标产品支持前拆前维护和后拆后维护功能，支持用户级模组前维护方式,可在正面拆卸、安装，支持带电维护,热插拔,维护时间不超过10秒，支持单点维修更换。（提供封面具有CNAS盖章的第三方检测机构出具的检测报告复印件）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3、LED显示屏整屏像素失控率小于0.000001且区域像素失控率小于0.000003LED显示屏整屏平整度：≤0.05mm，单元平整度：≤0.05mm，模组间缝隙：≤0.10mm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4、色彩：16Bit，281万亿色，色域覆盖率100%，NTSC色域覆盖率≥120%上，YLV(PAL)色域覆盖率≥170%，支持BT.2020、DCI.P3、BT.709、sRGB等多种色域转换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5、投标产品的显示单元白平衡亮度≥600cd/㎡，对比度≥4000：1；色温2000K~18000K连续可调。色温在6500K时，100%、75%、50%、25%四档电平白场调节色温误差＜100K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（提供封面具有CNAS盖章的第三方检测机构出具的检测报告复印件）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6、投标产品水平和垂直视角≥170°；亮度均匀性≥99%，色度均匀性≤±0.001Cx、Cy之内。（提供封面具有CNAS盖章的第三方检测机构出具的检测报告复印件）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7、支持单点检测逐点校正功能，单点亮度校正，单点颜色校正； 支持多bin色度校正，校正数据存储在模组里，采用色彩管理系统，在LED控制系统对视频解码后，添加二次过滤显示算法，对显示屏每一个发光二极管进行逐点14位颜色校正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8、LED显示屏具有防潮、防尘、防高温、防腐蚀、防燃烧、防静电、防电磁干扰、抗震动等功能；阻燃系统具有烟雾报警和温升报警功能；具有动态扫描方式LED显示屏驱动电路保护功能；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9、按GB/T 5169.16-2017对样品进行防火测试；产品整机阻燃防护等级达到V-0级；产品选用的PCB阻燃防护等级达到V-0级；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10、按照GB4943.1-2011《信息技术设备安全第l部分:通用要求》进行温升测试，最大亮度白色连续工作2小时，模组表面温升小于20℃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11、依据标准进行光生物安全及蓝光危害评估检测无危害类，具备防蓝光护眼功能（提供封面具有ilac-MRA、CNAS标识盖章的权威检测报告）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320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原装同批次备用单元板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P2表贴全彩 单元板规格</w:t>
            </w: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320×160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节能开关电源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4.5V-40A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default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视频处理器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DS-D43V10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接收卡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DS-D43R16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屏体主供强电线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强电国标4平方（4+1)电缆线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屏体主供弱电线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弱电六类网线6条（弱电、信号线布线）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辅材：屏内电源线/网线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辅材：屏内16P长排信号线/连接网线/MDHI 线（含接电脑高清线）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人工费、调试及其他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屏体安装调试售后（包含原LED屏幕拆除、垃圾清运等全部费用）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16.38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平方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default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default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4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default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屏体结构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6.49米X2.65米 </w:t>
            </w: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4X2镀锌方钢及4590电镀铝材包边（利旧）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4" w:hRule="atLeast"/>
        </w:trPr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default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电源箱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适配</w:t>
            </w:r>
          </w:p>
          <w:p>
            <w:pPr>
              <w:numPr>
                <w:ilvl w:val="0"/>
                <w:numId w:val="1"/>
              </w:num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手动；</w:t>
            </w:r>
          </w:p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3.电源箱电源及供电线路布设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rPr>
                <w:rFonts w:hint="default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</w:trPr>
        <w:tc>
          <w:tcPr>
            <w:tcW w:w="87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备注：1.品牌参考主流品牌：如利亚德、海康威视、艾比森、高科等</w:t>
            </w:r>
          </w:p>
          <w:p>
            <w:pPr>
              <w:spacing w:line="560" w:lineRule="exact"/>
              <w:ind w:firstLine="480" w:firstLineChars="200"/>
              <w:rPr>
                <w:rFonts w:hint="default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2.屏体显示面积：宽：6.4米X高：2.56米=16.38㎡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560" w:lineRule="exact"/>
              <w:ind w:firstLine="480" w:firstLineChars="200"/>
              <w:rPr>
                <w:rFonts w:hint="eastAsia" w:ascii="仿宋_GB2312" w:hAnsi="仿宋" w:eastAsia="仿宋_GB2312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pStyle w:val="2"/>
      </w:pPr>
    </w:p>
    <w:p>
      <w:pPr>
        <w:rPr>
          <w:rFonts w:hint="eastAsia" w:ascii="仿宋" w:hAnsi="仿宋" w:eastAsia="仿宋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</w:p>
    <w:p>
      <w:pPr>
        <w:rPr>
          <w:rFonts w:ascii="仿宋" w:hAnsi="仿宋" w:eastAsia="仿宋" w:cs="等线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仿宋" w:hAnsi="仿宋" w:eastAsia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" w:hAnsi="仿宋" w:eastAsia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货物规格包括但不限于货物的配置、配件、材料成分等。</w:t>
      </w:r>
    </w:p>
    <w:p>
      <w:pPr>
        <w:ind w:firstLine="480" w:firstLineChars="200"/>
        <w:rPr>
          <w:rFonts w:ascii="仿宋" w:hAnsi="仿宋" w:eastAsia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质量要求包括但不限于货物的技术标准要求、必须的认证资格要求、售后服务要求等。</w:t>
      </w:r>
    </w:p>
    <w:p>
      <w:pPr>
        <w:ind w:firstLine="480" w:firstLineChars="200"/>
        <w:rPr>
          <w:rFonts w:ascii="仿宋" w:hAnsi="仿宋" w:eastAsia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供货要求包括但不限于配送时间、配送地点、包装要求、运输费等。</w:t>
      </w:r>
    </w:p>
    <w:p>
      <w:pPr>
        <w:spacing w:line="560" w:lineRule="exact"/>
        <w:ind w:firstLine="562" w:firstLineChars="200"/>
        <w:rPr>
          <w:rFonts w:ascii="仿宋_GB2312" w:hAnsi="仿宋" w:eastAsia="仿宋_GB2312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三、技术及质量要求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交货</w:t>
      </w:r>
      <w:r>
        <w:rPr>
          <w:rFonts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时间及交货地点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的要求。</w:t>
      </w:r>
    </w:p>
    <w:p>
      <w:pPr>
        <w:spacing w:line="560" w:lineRule="exact"/>
        <w:ind w:firstLine="560" w:firstLineChars="200"/>
        <w:rPr>
          <w:rFonts w:hint="eastAsia" w:ascii="楷体" w:hAnsi="楷体" w:eastAsia="楷体" w:cs="楷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交货时间：自签订合同之日起乙方一周内备货完成</w:t>
      </w:r>
    </w:p>
    <w:p>
      <w:pPr>
        <w:spacing w:line="560" w:lineRule="exact"/>
        <w:ind w:firstLine="560" w:firstLineChars="200"/>
        <w:rPr>
          <w:rFonts w:hint="default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交货地点：海口</w:t>
      </w:r>
    </w:p>
    <w:p>
      <w:pPr>
        <w:numPr>
          <w:ilvl w:val="0"/>
          <w:numId w:val="0"/>
        </w:num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货物质量标准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2.1乙方所提供的货物型号、技术规格、技术参数等质量必须与   招投标文件和承诺相一致。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2.2乙方所提供的货物必须是全新、未使用的原装产品，且在正常安装、使用和保养条件下，其使用寿命期内名项指标均达到质量要求。</w:t>
      </w:r>
    </w:p>
    <w:p>
      <w:pPr>
        <w:numPr>
          <w:ilvl w:val="0"/>
          <w:numId w:val="0"/>
        </w:num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14:textFill>
            <w14:solidFill>
              <w14:schemeClr w14:val="tx1"/>
            </w14:solidFill>
          </w14:textFill>
        </w:rPr>
        <w:t>其他要求：售后服务要求、发生问题处理意见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3.1售后服务要求：自该项目工程验收之日起，乙方应对项目提供免费技术支持和保修维护服务，货物保修期为15个月，保修期内应定期上门维护设备。其中6个月内出现质量问题免费更换，15个月内出现质量问题免费维修，乙方为甲方提供免费维修服务。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3.2供应商应到我司现场对实际操作人员进行培训，使我司操作人员能正确理解和掌握设备的操作方法、保养、修理等技能。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3.3故障处理：诊断、解决设备系统故障，对其错误及缺陷进行排错，乙方应在甲方提出书面要求后2小时内予以排除，系统一般故障在4小时内排除或当天下班前维修完毕服务。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3.4技术咨询：解答设备使用中的常见问题，供应商应在我司提出口头或书面要求后24小时内予以解答。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3.5保修期结束后，如我司甲方需要供应商提供维护服务，供应商应予提供，具体服务内容和维护价格由双方另行商定，且服务水平不低于保修期的服务水平。）</w:t>
      </w:r>
    </w:p>
    <w:p>
      <w:pPr>
        <w:spacing w:line="560" w:lineRule="exact"/>
        <w:ind w:firstLine="562" w:firstLineChars="200"/>
        <w:rPr>
          <w:rFonts w:hint="eastAsia" w:ascii="仿宋_GB2312" w:hAnsi="仿宋" w:eastAsia="仿宋_GB2312" w:cs="宋体"/>
          <w:b/>
          <w:bCs/>
          <w:color w:val="000000" w:themeColor="text1"/>
          <w:sz w:val="28"/>
          <w:szCs w:val="24"/>
          <w:lang w:val="zh-CN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b/>
          <w:bCs/>
          <w:color w:val="000000" w:themeColor="text1"/>
          <w:sz w:val="28"/>
          <w:szCs w:val="24"/>
          <w:lang w:val="zh-CN" w:eastAsia="zh-CN"/>
          <w14:textFill>
            <w14:solidFill>
              <w14:schemeClr w14:val="tx1"/>
            </w14:solidFill>
          </w14:textFill>
        </w:rPr>
        <w:t>四、验收/考核标准及付款安排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（一）验收/考核标准</w:t>
      </w:r>
    </w:p>
    <w:p>
      <w:pPr>
        <w:spacing w:line="360" w:lineRule="auto"/>
        <w:ind w:firstLine="560" w:firstLineChars="200"/>
        <w:rPr>
          <w:rFonts w:hint="eastAsia" w:ascii="仿宋_GB2312" w:hAnsi="仿宋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1.乙方提供不符合招投标文件和本合同规定的货物，甲方有权拒绝接受。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2.乙方应将所提供货物的装箱清单、用户手册、原厂保修卡、随机资料、工具和备品、备件、三包凭证等交付给甲方，如有缺失应及时补齐：否则视为逾期交货。</w:t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3.甲方应当在到货（安装、调试完）后七个工作日内对货物进行验收，检验内容为包装是否完整、无损、清洁、无瑕疵，是否与本合同一致等，并共同签署到货检验记录。逾期不验收的乙方可视同验收合格。验收合格后由甲乙双方签署货物验收单并加盖甲方公章，甲乙双方各执一份。项目验收（货物的安装、调试完成后的验收）应在乙方提交验收申请报告并经甲方同意后的十五个工作日内进行。</w:t>
      </w:r>
    </w:p>
    <w:p>
      <w:pPr>
        <w:spacing w:line="360" w:lineRule="auto"/>
        <w:ind w:firstLine="560" w:firstLineChars="200"/>
        <w:rPr>
          <w:rFonts w:ascii="仿宋_GB2312" w:hAnsi="仿宋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（二）付款安排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设备合同签订后预付总项目款30%，设备安装竣工我司验收合格后，支付总项目款的65%；总项目款的5%，作为本项目的质保金，待本项目验收合格后满一年后十五个工作日内支付5%。</w:t>
      </w:r>
    </w:p>
    <w:p>
      <w:pPr>
        <w:spacing w:line="360" w:lineRule="auto"/>
        <w:ind w:firstLine="661" w:firstLineChars="235"/>
        <w:jc w:val="left"/>
        <w:rPr>
          <w:rFonts w:ascii="仿宋_GB2312" w:hAnsi="楷体" w:eastAsia="仿宋_GB2312"/>
          <w:b/>
          <w:color w:val="000000" w:themeColor="text1"/>
          <w:sz w:val="28"/>
          <w:szCs w:val="28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楷体" w:eastAsia="仿宋_GB2312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仿宋_GB2312" w:hAnsi="楷体" w:eastAsia="仿宋_GB2312"/>
          <w:b/>
          <w:color w:val="000000" w:themeColor="text1"/>
          <w:sz w:val="28"/>
          <w:szCs w:val="28"/>
          <w:lang w:val="zh-CN"/>
          <w14:textFill>
            <w14:solidFill>
              <w14:schemeClr w14:val="tx1"/>
            </w14:solidFill>
          </w14:textFill>
        </w:rPr>
        <w:t>、供应商资质要求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（一）在中华人民共和国境内依照《中华人民共和国公司法》注册的、具有法人资格、符合本谈判文件的要求并承诺提供本次服务的企业，需提供营业执照复印件（营业执照需有相关设备经营范围，否则视作不符合要求投标）；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（二）具有良好的商业信誉和健全的财务会计制度； 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（三）具有履行合同所必需的设备和专业技术能力；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（四）有依法缴纳税收和社会保障资金的良好记录；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（五）参加此项采购活动最近三年没有出现违法违规或失信行为，没有骗取中标和严重违约的行为；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（六）单位负责人为同一人或存在控股、管理关系的不同单位，不得参加同一采购项目；</w:t>
      </w:r>
    </w:p>
    <w:p>
      <w:pPr>
        <w:spacing w:line="560" w:lineRule="exact"/>
        <w:ind w:firstLine="560" w:firstLineChars="200"/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宋体"/>
          <w:color w:val="000000" w:themeColor="text1"/>
          <w:sz w:val="28"/>
          <w:szCs w:val="24"/>
          <w:lang w:val="en-US" w:eastAsia="zh-CN"/>
          <w14:textFill>
            <w14:solidFill>
              <w14:schemeClr w14:val="tx1"/>
            </w14:solidFill>
          </w14:textFill>
        </w:rPr>
        <w:t>（七）本项目不接受联合体。</w:t>
      </w:r>
    </w:p>
    <w:p>
      <w:pPr>
        <w:spacing w:line="360" w:lineRule="auto"/>
        <w:ind w:firstLine="703" w:firstLineChars="250"/>
        <w:rPr>
          <w:rFonts w:hint="eastAsia" w:ascii="仿宋_GB2312" w:hAnsi="楷体" w:eastAsia="仿宋_GB2312"/>
          <w:b/>
          <w:color w:val="000000" w:themeColor="text1"/>
          <w:sz w:val="28"/>
          <w:szCs w:val="28"/>
          <w:lang w:val="zh-CN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B6F60C"/>
    <w:multiLevelType w:val="singleLevel"/>
    <w:tmpl w:val="3CB6F60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4DE"/>
    <w:rsid w:val="000D06D9"/>
    <w:rsid w:val="000F3FD4"/>
    <w:rsid w:val="001563B2"/>
    <w:rsid w:val="001D24DE"/>
    <w:rsid w:val="00531421"/>
    <w:rsid w:val="00552A4C"/>
    <w:rsid w:val="00CD2FDE"/>
    <w:rsid w:val="03580109"/>
    <w:rsid w:val="04411018"/>
    <w:rsid w:val="09523CC3"/>
    <w:rsid w:val="09D12003"/>
    <w:rsid w:val="0A841986"/>
    <w:rsid w:val="0B5D4FB1"/>
    <w:rsid w:val="0E095E94"/>
    <w:rsid w:val="0F4C320E"/>
    <w:rsid w:val="15A90642"/>
    <w:rsid w:val="187F2B40"/>
    <w:rsid w:val="197D2F18"/>
    <w:rsid w:val="1C811B99"/>
    <w:rsid w:val="1E21497B"/>
    <w:rsid w:val="1EC340B1"/>
    <w:rsid w:val="1F5627F9"/>
    <w:rsid w:val="240B5CB0"/>
    <w:rsid w:val="268B68CD"/>
    <w:rsid w:val="27703632"/>
    <w:rsid w:val="2790435C"/>
    <w:rsid w:val="2E3063D5"/>
    <w:rsid w:val="2FF83079"/>
    <w:rsid w:val="31F67A0B"/>
    <w:rsid w:val="346E1A5D"/>
    <w:rsid w:val="3DB36BC6"/>
    <w:rsid w:val="3F062CFD"/>
    <w:rsid w:val="451E1CF2"/>
    <w:rsid w:val="45A57BAB"/>
    <w:rsid w:val="4716722E"/>
    <w:rsid w:val="474F25EA"/>
    <w:rsid w:val="4C1634B7"/>
    <w:rsid w:val="4C4F6528"/>
    <w:rsid w:val="4CD36995"/>
    <w:rsid w:val="4D12588A"/>
    <w:rsid w:val="50294293"/>
    <w:rsid w:val="50A66461"/>
    <w:rsid w:val="50BF5204"/>
    <w:rsid w:val="5203251E"/>
    <w:rsid w:val="56B4793E"/>
    <w:rsid w:val="583574C7"/>
    <w:rsid w:val="59AD78CE"/>
    <w:rsid w:val="5BE51C2E"/>
    <w:rsid w:val="5D4B2D1B"/>
    <w:rsid w:val="5DC44938"/>
    <w:rsid w:val="5F25105E"/>
    <w:rsid w:val="634258E5"/>
    <w:rsid w:val="63903465"/>
    <w:rsid w:val="651532F4"/>
    <w:rsid w:val="651954EB"/>
    <w:rsid w:val="71302AFD"/>
    <w:rsid w:val="726047CD"/>
    <w:rsid w:val="73243B43"/>
    <w:rsid w:val="732F11BB"/>
    <w:rsid w:val="73E60053"/>
    <w:rsid w:val="74694588"/>
    <w:rsid w:val="75F558CC"/>
    <w:rsid w:val="7667508B"/>
    <w:rsid w:val="77CC6C7B"/>
    <w:rsid w:val="7C301B09"/>
    <w:rsid w:val="7D4F3440"/>
    <w:rsid w:val="7E3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0"/>
    <w:pPr>
      <w:spacing w:after="12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2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link w:val="11"/>
    <w:qFormat/>
    <w:uiPriority w:val="0"/>
    <w:pPr>
      <w:spacing w:line="360" w:lineRule="auto"/>
      <w:ind w:firstLine="200" w:firstLineChars="200"/>
      <w:jc w:val="left"/>
    </w:pPr>
    <w:rPr>
      <w:rFonts w:eastAsia="仿宋"/>
      <w:b/>
      <w:sz w:val="24"/>
    </w:rPr>
  </w:style>
  <w:style w:type="character" w:customStyle="1" w:styleId="11">
    <w:name w:val="列出段落 Char"/>
    <w:link w:val="10"/>
    <w:qFormat/>
    <w:locked/>
    <w:uiPriority w:val="0"/>
    <w:rPr>
      <w:rFonts w:eastAsia="仿宋"/>
      <w:b/>
      <w:sz w:val="24"/>
    </w:rPr>
  </w:style>
  <w:style w:type="character" w:customStyle="1" w:styleId="12">
    <w:name w:val="标题 Char"/>
    <w:basedOn w:val="7"/>
    <w:link w:val="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186</Words>
  <Characters>1063</Characters>
  <Lines>8</Lines>
  <Paragraphs>2</Paragraphs>
  <TotalTime>1</TotalTime>
  <ScaleCrop>false</ScaleCrop>
  <LinksUpToDate>false</LinksUpToDate>
  <CharactersWithSpaces>1247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2021-06-10T08:02:00Z</dcterms:created>
  <dc:creator>张起悦</dc:creator>
  <cp:lastModifiedBy>linfangfen</cp:lastModifiedBy>
  <dcterms:modified xsi:type="dcterms:W3CDTF">2024-04-07T10:41:16Z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E04CEEE8D3734D0DB13E581B19967113</vt:lpwstr>
  </property>
</Properties>
</file>