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仿宋" w:hAnsi="仿宋" w:eastAsia="仿宋" w:cs="仿宋"/>
          <w:b w:val="0"/>
          <w:bCs w:val="0"/>
          <w:sz w:val="30"/>
          <w:szCs w:val="30"/>
          <w:lang w:val="en-US" w:eastAsia="zh-CN"/>
        </w:rPr>
      </w:pPr>
      <w:r>
        <w:rPr>
          <w:rFonts w:hint="eastAsia" w:ascii="仿宋" w:hAnsi="仿宋" w:eastAsia="仿宋" w:cs="仿宋"/>
          <w:sz w:val="30"/>
          <w:szCs w:val="30"/>
          <w:lang w:val="en-US" w:eastAsia="zh-CN"/>
        </w:rPr>
        <w:t>人保寿险四川省分公司兑现平台活动支持物资项目</w:t>
      </w:r>
    </w:p>
    <w:p>
      <w:pPr>
        <w:pStyle w:val="2"/>
        <w:spacing w:before="0" w:after="0" w:line="360" w:lineRule="auto"/>
        <w:jc w:val="center"/>
        <w:rPr>
          <w:rFonts w:hint="eastAsia" w:ascii="仿宋" w:hAnsi="仿宋" w:eastAsia="仿宋" w:cs="仿宋"/>
          <w:b w:val="0"/>
          <w:bCs/>
          <w:w w:val="90"/>
          <w:sz w:val="24"/>
        </w:rPr>
      </w:pPr>
      <w:r>
        <w:rPr>
          <w:rFonts w:hint="eastAsia" w:ascii="仿宋" w:hAnsi="仿宋" w:eastAsia="仿宋" w:cs="仿宋"/>
          <w:sz w:val="30"/>
          <w:szCs w:val="30"/>
          <w:lang w:val="en-US" w:eastAsia="zh-CN"/>
        </w:rPr>
        <w:t>竞争性磋商采购</w:t>
      </w:r>
      <w:r>
        <w:rPr>
          <w:rFonts w:hint="eastAsia" w:ascii="仿宋" w:hAnsi="仿宋" w:eastAsia="仿宋" w:cs="仿宋"/>
          <w:sz w:val="30"/>
          <w:szCs w:val="30"/>
          <w:lang w:eastAsia="zh-CN"/>
        </w:rPr>
        <w:t>公告</w:t>
      </w:r>
    </w:p>
    <w:p>
      <w:pPr>
        <w:spacing w:line="360" w:lineRule="auto"/>
        <w:ind w:firstLine="480" w:firstLineChars="200"/>
        <w:rPr>
          <w:rFonts w:hint="eastAsia" w:ascii="仿宋" w:hAnsi="仿宋" w:eastAsia="仿宋" w:cs="仿宋"/>
          <w:sz w:val="24"/>
          <w:highlight w:val="green"/>
        </w:rPr>
      </w:pPr>
      <w:r>
        <w:rPr>
          <w:rFonts w:hint="eastAsia" w:ascii="仿宋" w:hAnsi="仿宋" w:eastAsia="仿宋" w:cs="仿宋"/>
          <w:sz w:val="24"/>
          <w:szCs w:val="24"/>
          <w:u w:val="none"/>
          <w:lang w:val="en-US" w:eastAsia="zh-CN"/>
        </w:rPr>
        <w:t>本项目</w:t>
      </w:r>
      <w:r>
        <w:rPr>
          <w:rFonts w:hint="eastAsia" w:ascii="仿宋" w:hAnsi="仿宋" w:eastAsia="仿宋" w:cs="仿宋"/>
          <w:sz w:val="24"/>
          <w:szCs w:val="24"/>
          <w:u w:val="single"/>
          <w:lang w:val="en-US" w:eastAsia="zh-CN"/>
        </w:rPr>
        <w:t>人保寿险四川省分公司兑现平台活动支持物资</w:t>
      </w:r>
      <w:r>
        <w:rPr>
          <w:rFonts w:hint="eastAsia" w:ascii="仿宋" w:hAnsi="仿宋" w:eastAsia="仿宋" w:cs="仿宋"/>
          <w:sz w:val="24"/>
          <w:szCs w:val="24"/>
          <w:u w:val="single"/>
          <w:lang w:eastAsia="zh-CN"/>
        </w:rPr>
        <w:t>项目</w:t>
      </w:r>
      <w:r>
        <w:rPr>
          <w:rFonts w:hint="eastAsia" w:ascii="仿宋" w:hAnsi="仿宋" w:eastAsia="仿宋" w:cs="仿宋"/>
          <w:sz w:val="24"/>
          <w:szCs w:val="24"/>
          <w:u w:val="single"/>
        </w:rPr>
        <w:t>（项目编号：</w:t>
      </w:r>
      <w:r>
        <w:rPr>
          <w:rFonts w:ascii="宋体" w:hAnsi="宋体" w:eastAsia="宋体" w:cs="宋体"/>
          <w:sz w:val="24"/>
          <w:szCs w:val="24"/>
        </w:rPr>
        <w:br w:type="textWrapping"/>
      </w:r>
      <w:r>
        <w:rPr>
          <w:rFonts w:ascii="Segoe UI" w:hAnsi="Segoe UI" w:eastAsia="Segoe UI" w:cs="Segoe UI"/>
          <w:i w:val="0"/>
          <w:iCs w:val="0"/>
          <w:caps w:val="0"/>
          <w:color w:val="172B4D"/>
          <w:spacing w:val="0"/>
          <w:sz w:val="21"/>
          <w:szCs w:val="21"/>
          <w:u w:val="single"/>
          <w:shd w:val="clear" w:fill="FFFFFF"/>
        </w:rPr>
        <w:t>PRJ2024042601331</w:t>
      </w:r>
      <w:r>
        <w:rPr>
          <w:rFonts w:hint="eastAsia" w:ascii="仿宋" w:hAnsi="仿宋" w:eastAsia="仿宋" w:cs="仿宋"/>
          <w:sz w:val="24"/>
          <w:szCs w:val="24"/>
          <w:u w:val="single"/>
        </w:rPr>
        <w:t>）</w:t>
      </w:r>
      <w:r>
        <w:rPr>
          <w:rFonts w:hint="eastAsia" w:ascii="仿宋" w:hAnsi="仿宋" w:eastAsia="仿宋" w:cs="仿宋"/>
          <w:sz w:val="24"/>
        </w:rPr>
        <w:t>已由</w:t>
      </w:r>
      <w:r>
        <w:rPr>
          <w:rFonts w:hint="eastAsia" w:ascii="仿宋" w:hAnsi="仿宋" w:eastAsia="仿宋" w:cs="仿宋"/>
          <w:sz w:val="24"/>
          <w:u w:val="single"/>
          <w:lang w:eastAsia="zh-CN"/>
        </w:rPr>
        <w:t>中国人民人寿保险股份有限公司四川省分公司</w:t>
      </w:r>
      <w:r>
        <w:rPr>
          <w:rFonts w:hint="eastAsia" w:ascii="仿宋" w:hAnsi="仿宋" w:eastAsia="仿宋" w:cs="仿宋"/>
          <w:sz w:val="24"/>
        </w:rPr>
        <w:t>（以下简称“采购人”）批准并落实资金，</w:t>
      </w:r>
      <w:r>
        <w:rPr>
          <w:rFonts w:hint="eastAsia" w:ascii="仿宋" w:hAnsi="仿宋" w:eastAsia="仿宋" w:cs="Cambria Math"/>
          <w:sz w:val="24"/>
        </w:rPr>
        <w:t>组织本项目的</w:t>
      </w:r>
      <w:r>
        <w:rPr>
          <w:rFonts w:hint="eastAsia" w:ascii="仿宋" w:hAnsi="仿宋" w:eastAsia="仿宋" w:cs="Cambria Math"/>
          <w:sz w:val="24"/>
          <w:lang w:val="en-US" w:eastAsia="zh-CN"/>
        </w:rPr>
        <w:t>磋商</w:t>
      </w:r>
      <w:r>
        <w:rPr>
          <w:rFonts w:hint="eastAsia" w:ascii="仿宋" w:hAnsi="仿宋" w:eastAsia="仿宋" w:cs="Cambria Math"/>
          <w:sz w:val="24"/>
        </w:rPr>
        <w:t>工作</w:t>
      </w:r>
      <w:r>
        <w:rPr>
          <w:rFonts w:hint="eastAsia" w:ascii="仿宋" w:hAnsi="仿宋" w:eastAsia="仿宋" w:cs="仿宋"/>
          <w:color w:val="000000"/>
          <w:sz w:val="24"/>
        </w:rPr>
        <w:t>。</w:t>
      </w:r>
      <w:r>
        <w:rPr>
          <w:rFonts w:hint="eastAsia" w:ascii="仿宋" w:hAnsi="仿宋" w:eastAsia="仿宋" w:cs="Cambria Math"/>
          <w:sz w:val="24"/>
        </w:rPr>
        <w:t>有意向且具有提供</w:t>
      </w:r>
      <w:bookmarkStart w:id="37" w:name="_GoBack"/>
      <w:bookmarkEnd w:id="37"/>
      <w:r>
        <w:rPr>
          <w:rFonts w:hint="eastAsia" w:ascii="仿宋" w:hAnsi="仿宋" w:eastAsia="仿宋" w:cs="Cambria Math"/>
          <w:sz w:val="24"/>
        </w:rPr>
        <w:t>标的物能力的潜在供应商（以下简称“供应商”）可前来参与</w:t>
      </w:r>
      <w:r>
        <w:rPr>
          <w:rFonts w:hint="eastAsia" w:ascii="仿宋" w:hAnsi="仿宋" w:eastAsia="仿宋" w:cs="Cambria Math"/>
          <w:sz w:val="24"/>
          <w:lang w:val="en-US" w:eastAsia="zh-CN"/>
        </w:rPr>
        <w:t>磋商</w:t>
      </w:r>
      <w:r>
        <w:rPr>
          <w:rFonts w:hint="eastAsia" w:ascii="仿宋" w:hAnsi="仿宋" w:eastAsia="仿宋" w:cs="Cambria Math"/>
          <w:sz w:val="24"/>
        </w:rPr>
        <w:t>响应。</w:t>
      </w:r>
      <w:r>
        <w:rPr>
          <w:rFonts w:hint="eastAsia" w:ascii="仿宋" w:hAnsi="仿宋" w:eastAsia="仿宋" w:cs="Cambria Math"/>
          <w:color w:val="000000"/>
          <w:sz w:val="24"/>
        </w:rPr>
        <w:t xml:space="preserve"> </w:t>
      </w:r>
    </w:p>
    <w:p>
      <w:pPr>
        <w:spacing w:line="360" w:lineRule="auto"/>
        <w:outlineLvl w:val="1"/>
        <w:rPr>
          <w:rFonts w:hint="eastAsia" w:ascii="仿宋" w:hAnsi="仿宋" w:eastAsia="仿宋" w:cs="仿宋"/>
          <w:sz w:val="24"/>
          <w:szCs w:val="24"/>
        </w:rPr>
      </w:pPr>
      <w:bookmarkStart w:id="0" w:name="_Toc14853"/>
      <w:bookmarkStart w:id="1" w:name="_Toc16345"/>
      <w:bookmarkStart w:id="2" w:name="_Toc4658"/>
      <w:bookmarkStart w:id="3" w:name="_Toc10019"/>
      <w:bookmarkStart w:id="4" w:name="_Toc15293"/>
      <w:bookmarkStart w:id="5" w:name="_Toc8764"/>
      <w:r>
        <w:rPr>
          <w:rFonts w:hint="eastAsia" w:ascii="仿宋" w:hAnsi="仿宋" w:eastAsia="仿宋" w:cs="仿宋"/>
          <w:b/>
          <w:bCs/>
          <w:sz w:val="24"/>
          <w:szCs w:val="24"/>
          <w:lang w:val="en-US" w:eastAsia="zh-CN"/>
        </w:rPr>
        <w:t>一、项目概况与采购范围</w:t>
      </w:r>
      <w:bookmarkEnd w:id="0"/>
      <w:bookmarkEnd w:id="1"/>
      <w:bookmarkEnd w:id="2"/>
      <w:bookmarkEnd w:id="3"/>
      <w:bookmarkEnd w:id="4"/>
      <w:bookmarkEnd w:id="5"/>
    </w:p>
    <w:p>
      <w:pPr>
        <w:spacing w:line="360" w:lineRule="auto"/>
        <w:ind w:firstLine="480" w:firstLineChars="200"/>
        <w:outlineLvl w:val="9"/>
        <w:rPr>
          <w:rFonts w:hint="eastAsia" w:ascii="仿宋" w:hAnsi="仿宋" w:eastAsia="仿宋" w:cs="仿宋"/>
          <w:b w:val="0"/>
          <w:bCs w:val="0"/>
          <w:sz w:val="24"/>
          <w:szCs w:val="24"/>
          <w:lang w:val="en-US" w:eastAsia="zh-CN"/>
        </w:rPr>
      </w:pPr>
      <w:bookmarkStart w:id="6" w:name="_Toc12639"/>
      <w:bookmarkStart w:id="7" w:name="_Toc17347"/>
      <w:bookmarkStart w:id="8" w:name="_Toc17996"/>
      <w:bookmarkStart w:id="9" w:name="_Toc23317"/>
      <w:bookmarkStart w:id="10" w:name="_Toc16441"/>
      <w:r>
        <w:rPr>
          <w:rFonts w:hint="eastAsia" w:ascii="仿宋" w:hAnsi="仿宋" w:eastAsia="仿宋" w:cs="仿宋"/>
          <w:b w:val="0"/>
          <w:bCs w:val="0"/>
          <w:sz w:val="24"/>
          <w:szCs w:val="24"/>
          <w:lang w:val="en-US" w:eastAsia="zh-CN"/>
        </w:rPr>
        <w:t>1.项目名称：</w:t>
      </w:r>
      <w:r>
        <w:rPr>
          <w:rFonts w:hint="eastAsia" w:ascii="仿宋" w:hAnsi="仿宋" w:eastAsia="仿宋" w:cs="仿宋"/>
          <w:sz w:val="24"/>
          <w:szCs w:val="24"/>
          <w:u w:val="none"/>
          <w:lang w:val="en-US" w:eastAsia="zh-CN"/>
        </w:rPr>
        <w:t>人保寿险四川省分公司兑现平台活动支持物资</w:t>
      </w:r>
      <w:r>
        <w:rPr>
          <w:rFonts w:hint="eastAsia" w:ascii="仿宋" w:hAnsi="仿宋" w:eastAsia="仿宋" w:cs="仿宋"/>
          <w:sz w:val="24"/>
          <w:szCs w:val="24"/>
          <w:u w:val="none"/>
          <w:lang w:eastAsia="zh-CN"/>
        </w:rPr>
        <w:t>项目</w:t>
      </w:r>
      <w:r>
        <w:rPr>
          <w:rFonts w:hint="eastAsia" w:ascii="仿宋" w:hAnsi="仿宋" w:eastAsia="仿宋" w:cs="仿宋"/>
          <w:b w:val="0"/>
          <w:bCs w:val="0"/>
          <w:sz w:val="24"/>
          <w:szCs w:val="24"/>
          <w:lang w:val="en-US" w:eastAsia="zh-CN"/>
        </w:rPr>
        <w:t>。</w:t>
      </w:r>
    </w:p>
    <w:p>
      <w:pPr>
        <w:spacing w:line="360" w:lineRule="auto"/>
        <w:ind w:firstLine="480" w:firstLineChars="200"/>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2.采购内容：本项目拟通过竞争性磋商采购1家供应商，为采购人提供多巴胺套装、人保宝定制运动飞盘，具体需求详见磋商文件第三章采购需求。</w:t>
      </w:r>
    </w:p>
    <w:p>
      <w:pPr>
        <w:spacing w:line="360" w:lineRule="auto"/>
        <w:ind w:firstLine="480" w:firstLineChars="200"/>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3.标段划分：本项目不划分标段。</w:t>
      </w:r>
    </w:p>
    <w:p>
      <w:pPr>
        <w:spacing w:line="360" w:lineRule="auto"/>
        <w:ind w:firstLine="480" w:firstLineChars="200"/>
        <w:outlineLvl w:val="9"/>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4.交货地点：</w:t>
      </w:r>
      <w:r>
        <w:rPr>
          <w:rFonts w:hint="eastAsia" w:ascii="仿宋" w:hAnsi="仿宋" w:eastAsia="仿宋" w:cs="仿宋"/>
          <w:b w:val="0"/>
          <w:bCs w:val="0"/>
          <w:sz w:val="24"/>
          <w:szCs w:val="24"/>
          <w:highlight w:val="none"/>
          <w:lang w:val="en-US" w:eastAsia="zh-CN"/>
        </w:rPr>
        <w:t>四川省内，</w:t>
      </w:r>
      <w:r>
        <w:rPr>
          <w:rFonts w:hint="eastAsia" w:ascii="仿宋" w:hAnsi="仿宋" w:eastAsia="仿宋" w:cs="仿宋"/>
          <w:b w:val="0"/>
          <w:bCs w:val="0"/>
          <w:sz w:val="24"/>
          <w:highlight w:val="none"/>
          <w:lang w:val="en-US" w:eastAsia="zh-CN"/>
        </w:rPr>
        <w:t>采购人辖内机构</w:t>
      </w:r>
      <w:r>
        <w:rPr>
          <w:rFonts w:hint="eastAsia" w:ascii="仿宋" w:hAnsi="仿宋" w:eastAsia="仿宋" w:cs="仿宋"/>
          <w:b w:val="0"/>
          <w:bCs w:val="0"/>
          <w:sz w:val="24"/>
          <w:szCs w:val="24"/>
          <w:lang w:val="en-US" w:eastAsia="zh-CN"/>
        </w:rPr>
        <w:t>。</w:t>
      </w:r>
    </w:p>
    <w:p>
      <w:pPr>
        <w:spacing w:line="360" w:lineRule="auto"/>
        <w:ind w:firstLine="480" w:firstLineChars="200"/>
        <w:outlineLvl w:val="9"/>
        <w:rPr>
          <w:rFonts w:hint="eastAsia"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5.交货期限：</w:t>
      </w:r>
      <w:r>
        <w:rPr>
          <w:rFonts w:hint="eastAsia" w:ascii="仿宋" w:hAnsi="仿宋" w:eastAsia="仿宋" w:cs="仿宋"/>
          <w:b w:val="0"/>
          <w:bCs w:val="0"/>
          <w:sz w:val="24"/>
          <w:lang w:eastAsia="zh-CN"/>
        </w:rPr>
        <w:t>合同签订后15个工作日内全部交货</w:t>
      </w:r>
      <w:r>
        <w:rPr>
          <w:rFonts w:hint="eastAsia" w:ascii="仿宋" w:hAnsi="仿宋" w:eastAsia="仿宋" w:cs="仿宋"/>
          <w:b w:val="0"/>
          <w:bCs w:val="0"/>
          <w:sz w:val="24"/>
          <w:szCs w:val="24"/>
          <w:lang w:val="en-US" w:eastAsia="zh-CN"/>
        </w:rPr>
        <w:t>。</w:t>
      </w:r>
    </w:p>
    <w:bookmarkEnd w:id="6"/>
    <w:bookmarkEnd w:id="7"/>
    <w:bookmarkEnd w:id="8"/>
    <w:bookmarkEnd w:id="9"/>
    <w:bookmarkEnd w:id="10"/>
    <w:p>
      <w:pPr>
        <w:spacing w:line="360" w:lineRule="auto"/>
        <w:outlineLvl w:val="1"/>
        <w:rPr>
          <w:rFonts w:hint="eastAsia" w:ascii="仿宋" w:hAnsi="仿宋" w:eastAsia="仿宋" w:cs="仿宋"/>
          <w:b/>
          <w:bCs/>
          <w:sz w:val="24"/>
          <w:szCs w:val="24"/>
        </w:rPr>
      </w:pPr>
      <w:bookmarkStart w:id="11" w:name="_Toc20555"/>
      <w:bookmarkStart w:id="12" w:name="_Toc9865"/>
      <w:bookmarkStart w:id="13" w:name="_Toc26592"/>
      <w:bookmarkStart w:id="14" w:name="_Toc18949"/>
      <w:bookmarkStart w:id="15" w:name="_Toc562"/>
      <w:bookmarkStart w:id="16" w:name="_Toc11893"/>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的资格要求</w:t>
      </w:r>
      <w:bookmarkEnd w:id="11"/>
      <w:bookmarkEnd w:id="12"/>
      <w:bookmarkEnd w:id="13"/>
      <w:bookmarkEnd w:id="14"/>
      <w:bookmarkEnd w:id="15"/>
      <w:bookmarkEnd w:id="16"/>
    </w:p>
    <w:p>
      <w:pPr>
        <w:spacing w:line="360" w:lineRule="auto"/>
        <w:ind w:right="23" w:rightChars="11"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具有独立承担民事责任的能力，合法运作并独立于采购人，需提供合法有效的营业执照复印件。</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具有良好的商业信誉和健全的财务会计制度，需提供具有良好的商业信誉的承诺函、2022年度或2023年度经会计师事务所或审计机构审计的财务审计报告及财务报表（财务报表至少包含会计师事务所或审计机构签章页、资产负债表、现金流量表、损益表/利润表）或者提供</w:t>
      </w:r>
      <w:r>
        <w:rPr>
          <w:rFonts w:hint="eastAsia" w:ascii="仿宋" w:hAnsi="仿宋" w:eastAsia="仿宋" w:cs="仿宋"/>
          <w:sz w:val="24"/>
          <w:szCs w:val="24"/>
          <w:lang w:val="en-US" w:eastAsia="zh-CN"/>
        </w:rPr>
        <w:t>报价</w:t>
      </w:r>
      <w:r>
        <w:rPr>
          <w:rFonts w:hint="eastAsia" w:ascii="仿宋" w:hAnsi="仿宋" w:eastAsia="仿宋" w:cs="仿宋"/>
          <w:sz w:val="24"/>
          <w:szCs w:val="24"/>
        </w:rPr>
        <w:t>文件递交截止日前6个月内开具的银行资信证明。</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具有履行合同所必需的设备和专业技术能力，需提供具有履行合同所必需的设备和专业技术能力的承诺函。</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具有依法缴纳税收和社会保障资金的良好记录，提供最近6个月任意一个月的企业税收和社会保障资金缴纳凭证。</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供应商应经营状况良好，且近三年内（2021年1月1日至今）无违法违规记录。违法违规记录是指：（1）被“信用中国”列入失信被执行人、重大税收违法失信主体、政府采购严重违法失信行为记录名单；（2）被“中国政府采购网”列入政府采购严重违法失信行为记录名单。供应商需提供</w:t>
      </w:r>
      <w:r>
        <w:rPr>
          <w:rFonts w:hint="eastAsia" w:ascii="仿宋" w:hAnsi="仿宋" w:eastAsia="仿宋" w:cs="仿宋"/>
          <w:sz w:val="24"/>
          <w:szCs w:val="24"/>
          <w:lang w:val="en-US" w:eastAsia="zh-CN"/>
        </w:rPr>
        <w:t>报价</w:t>
      </w:r>
      <w:r>
        <w:rPr>
          <w:rFonts w:hint="eastAsia" w:ascii="仿宋" w:hAnsi="仿宋" w:eastAsia="仿宋" w:cs="仿宋"/>
          <w:sz w:val="24"/>
          <w:szCs w:val="24"/>
        </w:rPr>
        <w:t xml:space="preserve">文件递交截止时间前五日内在“信用中国”、“中国政府采购网”的查询截图并加盖公章。 </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根据《中国人民保险集团供应商管理办法》规定，严禁列入中国人民保险集团黑名单且在禁入期内的供应商参与采购活动。</w:t>
      </w:r>
    </w:p>
    <w:p>
      <w:pPr>
        <w:spacing w:line="360" w:lineRule="auto"/>
        <w:ind w:left="-6" w:leftChars="-3" w:right="23" w:rightChars="11" w:firstLine="468" w:firstLineChars="195"/>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单位负责人为同一人或存在控股、管理关系的不同单位，不得参加同一标段/标包的</w:t>
      </w:r>
      <w:r>
        <w:rPr>
          <w:rFonts w:hint="eastAsia" w:ascii="仿宋" w:hAnsi="仿宋" w:eastAsia="仿宋" w:cs="仿宋"/>
          <w:sz w:val="24"/>
          <w:szCs w:val="24"/>
          <w:lang w:val="en-US" w:eastAsia="zh-CN"/>
        </w:rPr>
        <w:t>报价</w:t>
      </w:r>
      <w:r>
        <w:rPr>
          <w:rFonts w:hint="eastAsia" w:ascii="仿宋" w:hAnsi="仿宋" w:eastAsia="仿宋" w:cs="仿宋"/>
          <w:sz w:val="24"/>
          <w:szCs w:val="24"/>
        </w:rPr>
        <w:t>或者未划分标段/标包的同一采购项目的</w:t>
      </w:r>
      <w:r>
        <w:rPr>
          <w:rFonts w:hint="eastAsia" w:ascii="仿宋" w:hAnsi="仿宋" w:eastAsia="仿宋" w:cs="仿宋"/>
          <w:sz w:val="24"/>
          <w:szCs w:val="24"/>
          <w:lang w:val="en-US" w:eastAsia="zh-CN"/>
        </w:rPr>
        <w:t>报价</w:t>
      </w:r>
      <w:r>
        <w:rPr>
          <w:rFonts w:hint="eastAsia" w:ascii="仿宋" w:hAnsi="仿宋" w:eastAsia="仿宋" w:cs="仿宋"/>
          <w:sz w:val="24"/>
          <w:szCs w:val="24"/>
        </w:rPr>
        <w:t>，需填写《供应商控股及管理关系情况申报表》。</w:t>
      </w:r>
    </w:p>
    <w:p>
      <w:pPr>
        <w:spacing w:line="360" w:lineRule="auto"/>
        <w:ind w:left="-6" w:leftChars="-3" w:right="23" w:rightChars="11" w:firstLine="468" w:firstLineChars="195"/>
        <w:rPr>
          <w:rFonts w:hint="default" w:ascii="仿宋" w:hAnsi="仿宋" w:eastAsia="仿宋" w:cs="仿宋"/>
          <w:color w:val="000000"/>
          <w:sz w:val="24"/>
          <w:szCs w:val="24"/>
          <w:lang w:val="en-US"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rPr>
        <w:t>本项目不接受联合体参与。</w:t>
      </w:r>
    </w:p>
    <w:p>
      <w:pPr>
        <w:spacing w:line="360" w:lineRule="auto"/>
        <w:outlineLvl w:val="1"/>
        <w:rPr>
          <w:rFonts w:hint="default" w:ascii="仿宋" w:hAnsi="仿宋" w:eastAsia="仿宋" w:cs="仿宋"/>
          <w:b/>
          <w:bCs/>
          <w:sz w:val="24"/>
          <w:szCs w:val="24"/>
          <w:lang w:val="en-US" w:eastAsia="zh-CN"/>
        </w:rPr>
      </w:pPr>
      <w:bookmarkStart w:id="17" w:name="_Toc11685"/>
      <w:bookmarkStart w:id="18" w:name="_Toc17483"/>
      <w:bookmarkStart w:id="19" w:name="_Toc14016"/>
      <w:bookmarkStart w:id="20" w:name="_Toc5674"/>
      <w:bookmarkStart w:id="21" w:name="_Toc18174"/>
      <w:bookmarkStart w:id="22" w:name="_Toc5252"/>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询价文件</w:t>
      </w:r>
      <w:bookmarkEnd w:id="17"/>
      <w:bookmarkEnd w:id="18"/>
      <w:bookmarkEnd w:id="19"/>
      <w:bookmarkEnd w:id="20"/>
      <w:bookmarkEnd w:id="21"/>
      <w:r>
        <w:rPr>
          <w:rFonts w:hint="eastAsia" w:ascii="仿宋" w:hAnsi="仿宋" w:eastAsia="仿宋" w:cs="仿宋"/>
          <w:b/>
          <w:bCs/>
          <w:sz w:val="24"/>
          <w:szCs w:val="24"/>
          <w:lang w:val="en-US" w:eastAsia="zh-CN"/>
        </w:rPr>
        <w:t>的获取</w:t>
      </w:r>
      <w:bookmarkEnd w:id="22"/>
    </w:p>
    <w:p>
      <w:pPr>
        <w:spacing w:line="360" w:lineRule="auto"/>
        <w:ind w:firstLine="480" w:firstLineChars="200"/>
        <w:textAlignment w:val="baseline"/>
        <w:rPr>
          <w:rFonts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1.询价</w:t>
      </w:r>
      <w:r>
        <w:rPr>
          <w:rFonts w:hint="eastAsia" w:ascii="仿宋" w:hAnsi="仿宋" w:eastAsia="仿宋" w:cs="Cambria Math"/>
          <w:color w:val="auto"/>
          <w:sz w:val="24"/>
          <w:highlight w:val="none"/>
        </w:rPr>
        <w:t>文件获取时间：</w:t>
      </w:r>
      <w:r>
        <w:rPr>
          <w:rFonts w:hint="eastAsia" w:ascii="仿宋" w:hAnsi="仿宋" w:eastAsia="仿宋" w:cs="Cambria Math"/>
          <w:b/>
          <w:color w:val="auto"/>
          <w:sz w:val="24"/>
          <w:highlight w:val="none"/>
          <w:u w:val="single"/>
        </w:rPr>
        <w:t>202</w:t>
      </w:r>
      <w:r>
        <w:rPr>
          <w:rFonts w:hint="eastAsia" w:ascii="仿宋" w:hAnsi="仿宋" w:eastAsia="仿宋" w:cs="Cambria Math"/>
          <w:b/>
          <w:color w:val="auto"/>
          <w:sz w:val="24"/>
          <w:highlight w:val="none"/>
          <w:u w:val="single"/>
          <w:lang w:val="en-US" w:eastAsia="zh-CN"/>
        </w:rPr>
        <w:t>4</w:t>
      </w:r>
      <w:r>
        <w:rPr>
          <w:rFonts w:hint="eastAsia" w:ascii="仿宋" w:hAnsi="仿宋" w:eastAsia="仿宋" w:cs="Cambria Math"/>
          <w:b/>
          <w:color w:val="auto"/>
          <w:sz w:val="24"/>
          <w:highlight w:val="none"/>
          <w:u w:val="single"/>
        </w:rPr>
        <w:t>年</w:t>
      </w:r>
      <w:r>
        <w:rPr>
          <w:rFonts w:hint="eastAsia" w:ascii="仿宋" w:hAnsi="仿宋" w:eastAsia="仿宋" w:cs="Cambria Math"/>
          <w:b/>
          <w:color w:val="auto"/>
          <w:sz w:val="24"/>
          <w:highlight w:val="none"/>
          <w:u w:val="single"/>
          <w:lang w:val="en-US" w:eastAsia="zh-CN"/>
        </w:rPr>
        <w:t>04</w:t>
      </w:r>
      <w:r>
        <w:rPr>
          <w:rFonts w:hint="eastAsia" w:ascii="仿宋" w:hAnsi="仿宋" w:eastAsia="仿宋" w:cs="Cambria Math"/>
          <w:b/>
          <w:color w:val="auto"/>
          <w:sz w:val="24"/>
          <w:highlight w:val="none"/>
          <w:u w:val="single"/>
        </w:rPr>
        <w:t>月</w:t>
      </w:r>
      <w:r>
        <w:rPr>
          <w:rFonts w:hint="eastAsia" w:ascii="仿宋" w:hAnsi="仿宋" w:eastAsia="仿宋" w:cs="Cambria Math"/>
          <w:b/>
          <w:color w:val="auto"/>
          <w:sz w:val="24"/>
          <w:highlight w:val="none"/>
          <w:u w:val="single"/>
          <w:lang w:val="en-US" w:eastAsia="zh-CN"/>
        </w:rPr>
        <w:t>27</w:t>
      </w:r>
      <w:r>
        <w:rPr>
          <w:rFonts w:hint="eastAsia" w:ascii="仿宋" w:hAnsi="仿宋" w:eastAsia="仿宋" w:cs="Cambria Math"/>
          <w:b/>
          <w:color w:val="auto"/>
          <w:sz w:val="24"/>
          <w:highlight w:val="none"/>
          <w:u w:val="single"/>
        </w:rPr>
        <w:t>日</w:t>
      </w:r>
      <w:r>
        <w:rPr>
          <w:rFonts w:hint="eastAsia" w:ascii="仿宋" w:hAnsi="仿宋" w:eastAsia="仿宋" w:cs="Cambria Math"/>
          <w:b/>
          <w:color w:val="auto"/>
          <w:sz w:val="24"/>
          <w:highlight w:val="none"/>
          <w:u w:val="single"/>
          <w:lang w:val="en-US" w:eastAsia="zh-CN"/>
        </w:rPr>
        <w:t>9</w:t>
      </w:r>
      <w:r>
        <w:rPr>
          <w:rFonts w:hint="eastAsia" w:ascii="仿宋" w:hAnsi="仿宋" w:eastAsia="仿宋" w:cs="Cambria Math"/>
          <w:b/>
          <w:color w:val="auto"/>
          <w:sz w:val="24"/>
          <w:highlight w:val="none"/>
          <w:u w:val="single"/>
        </w:rPr>
        <w:t>时</w:t>
      </w:r>
      <w:r>
        <w:rPr>
          <w:rFonts w:hint="eastAsia" w:ascii="仿宋" w:hAnsi="仿宋" w:eastAsia="仿宋" w:cs="Cambria Math"/>
          <w:b/>
          <w:color w:val="auto"/>
          <w:sz w:val="24"/>
          <w:highlight w:val="none"/>
          <w:u w:val="single"/>
          <w:lang w:val="en-US" w:eastAsia="zh-CN"/>
        </w:rPr>
        <w:t>3</w:t>
      </w:r>
      <w:r>
        <w:rPr>
          <w:rFonts w:hint="eastAsia" w:ascii="仿宋" w:hAnsi="仿宋" w:eastAsia="仿宋" w:cs="Cambria Math"/>
          <w:b/>
          <w:color w:val="auto"/>
          <w:sz w:val="24"/>
          <w:highlight w:val="none"/>
          <w:u w:val="single"/>
        </w:rPr>
        <w:t>0分</w:t>
      </w:r>
      <w:r>
        <w:rPr>
          <w:rFonts w:hint="eastAsia" w:ascii="仿宋" w:hAnsi="仿宋" w:eastAsia="仿宋" w:cs="Cambria Math"/>
          <w:b/>
          <w:color w:val="auto"/>
          <w:sz w:val="24"/>
          <w:highlight w:val="none"/>
        </w:rPr>
        <w:t>至</w:t>
      </w:r>
      <w:r>
        <w:rPr>
          <w:rFonts w:hint="eastAsia" w:ascii="仿宋" w:hAnsi="仿宋" w:eastAsia="仿宋" w:cs="Cambria Math"/>
          <w:b/>
          <w:color w:val="auto"/>
          <w:sz w:val="24"/>
          <w:highlight w:val="none"/>
          <w:u w:val="single"/>
        </w:rPr>
        <w:t>202</w:t>
      </w:r>
      <w:r>
        <w:rPr>
          <w:rFonts w:hint="eastAsia" w:ascii="仿宋" w:hAnsi="仿宋" w:eastAsia="仿宋" w:cs="Cambria Math"/>
          <w:b/>
          <w:color w:val="auto"/>
          <w:sz w:val="24"/>
          <w:highlight w:val="none"/>
          <w:u w:val="single"/>
          <w:lang w:val="en-US" w:eastAsia="zh-CN"/>
        </w:rPr>
        <w:t>4</w:t>
      </w:r>
      <w:r>
        <w:rPr>
          <w:rFonts w:hint="eastAsia" w:ascii="仿宋" w:hAnsi="仿宋" w:eastAsia="仿宋" w:cs="Cambria Math"/>
          <w:b/>
          <w:color w:val="auto"/>
          <w:sz w:val="24"/>
          <w:highlight w:val="none"/>
          <w:u w:val="single"/>
        </w:rPr>
        <w:t>年</w:t>
      </w:r>
      <w:r>
        <w:rPr>
          <w:rFonts w:hint="eastAsia" w:ascii="仿宋" w:hAnsi="仿宋" w:eastAsia="仿宋" w:cs="Cambria Math"/>
          <w:b/>
          <w:color w:val="auto"/>
          <w:sz w:val="24"/>
          <w:highlight w:val="none"/>
          <w:u w:val="single"/>
          <w:lang w:val="en-US" w:eastAsia="zh-CN"/>
        </w:rPr>
        <w:t>05</w:t>
      </w:r>
      <w:r>
        <w:rPr>
          <w:rFonts w:hint="eastAsia" w:ascii="仿宋" w:hAnsi="仿宋" w:eastAsia="仿宋" w:cs="Cambria Math"/>
          <w:b/>
          <w:color w:val="auto"/>
          <w:sz w:val="24"/>
          <w:highlight w:val="none"/>
          <w:u w:val="single"/>
        </w:rPr>
        <w:t>月</w:t>
      </w:r>
      <w:r>
        <w:rPr>
          <w:rFonts w:hint="eastAsia" w:ascii="仿宋" w:hAnsi="仿宋" w:eastAsia="仿宋" w:cs="Cambria Math"/>
          <w:b/>
          <w:color w:val="auto"/>
          <w:sz w:val="24"/>
          <w:highlight w:val="none"/>
          <w:u w:val="single"/>
          <w:lang w:val="en-US" w:eastAsia="zh-CN"/>
        </w:rPr>
        <w:t>8</w:t>
      </w:r>
      <w:r>
        <w:rPr>
          <w:rFonts w:hint="eastAsia" w:ascii="仿宋" w:hAnsi="仿宋" w:eastAsia="仿宋" w:cs="Cambria Math"/>
          <w:b/>
          <w:color w:val="auto"/>
          <w:sz w:val="24"/>
          <w:highlight w:val="none"/>
          <w:u w:val="single"/>
        </w:rPr>
        <w:t>日17时30分</w:t>
      </w:r>
      <w:r>
        <w:rPr>
          <w:rFonts w:hint="eastAsia" w:ascii="仿宋" w:hAnsi="仿宋" w:eastAsia="仿宋" w:cs="Cambria Math"/>
          <w:color w:val="auto"/>
          <w:sz w:val="24"/>
          <w:highlight w:val="none"/>
        </w:rPr>
        <w:t>（北京时间，下同）。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default" w:ascii="仿宋" w:hAnsi="仿宋" w:eastAsia="仿宋" w:cs="Cambria Math"/>
          <w:color w:val="auto"/>
          <w:sz w:val="24"/>
          <w:highlight w:val="none"/>
          <w:lang w:val="en-US" w:eastAsia="zh-CN"/>
        </w:rPr>
      </w:pPr>
      <w:r>
        <w:rPr>
          <w:rFonts w:hint="eastAsia" w:ascii="仿宋" w:hAnsi="仿宋" w:eastAsia="仿宋" w:cs="Cambria Math"/>
          <w:color w:val="auto"/>
          <w:sz w:val="24"/>
          <w:highlight w:val="none"/>
          <w:lang w:val="en-US" w:eastAsia="zh-CN"/>
        </w:rPr>
        <w:t>2.询价</w:t>
      </w:r>
      <w:r>
        <w:rPr>
          <w:rFonts w:hint="eastAsia" w:ascii="仿宋" w:hAnsi="仿宋" w:eastAsia="仿宋" w:cs="Cambria Math"/>
          <w:color w:val="auto"/>
          <w:sz w:val="24"/>
          <w:highlight w:val="none"/>
        </w:rPr>
        <w:t>文件的获取方式</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线下获取</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具体获取请联系采购联系人。</w:t>
      </w:r>
    </w:p>
    <w:p>
      <w:pPr>
        <w:spacing w:line="360" w:lineRule="auto"/>
        <w:outlineLvl w:val="1"/>
        <w:rPr>
          <w:rFonts w:hint="eastAsia" w:ascii="仿宋" w:hAnsi="仿宋" w:eastAsia="仿宋" w:cs="仿宋"/>
          <w:b/>
          <w:bCs/>
          <w:sz w:val="24"/>
          <w:szCs w:val="24"/>
        </w:rPr>
      </w:pPr>
      <w:bookmarkStart w:id="23" w:name="_Toc23592"/>
      <w:bookmarkStart w:id="24" w:name="_Toc10394"/>
      <w:bookmarkStart w:id="25" w:name="_Toc19651"/>
      <w:bookmarkStart w:id="26" w:name="_Toc8546"/>
      <w:bookmarkStart w:id="27" w:name="_Toc3799"/>
      <w:bookmarkStart w:id="28" w:name="_Toc28874"/>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报价文件递交时间、地点</w:t>
      </w:r>
      <w:bookmarkEnd w:id="23"/>
      <w:bookmarkEnd w:id="24"/>
      <w:bookmarkEnd w:id="25"/>
      <w:bookmarkEnd w:id="26"/>
      <w:bookmarkEnd w:id="27"/>
      <w:bookmarkEnd w:id="28"/>
    </w:p>
    <w:p>
      <w:pPr>
        <w:numPr>
          <w:ilvl w:val="0"/>
          <w:numId w:val="1"/>
        </w:numPr>
        <w:tabs>
          <w:tab w:val="clear" w:pos="420"/>
        </w:tabs>
        <w:spacing w:line="360" w:lineRule="auto"/>
        <w:ind w:left="882" w:leftChars="257" w:hanging="342" w:hangingChars="142"/>
        <w:rPr>
          <w:rFonts w:hint="eastAsia" w:ascii="仿宋" w:hAnsi="仿宋" w:eastAsia="仿宋" w:cs="仿宋"/>
          <w:b/>
          <w:bCs/>
          <w:sz w:val="24"/>
          <w:szCs w:val="24"/>
        </w:rPr>
      </w:pPr>
      <w:r>
        <w:rPr>
          <w:rFonts w:hint="eastAsia" w:ascii="仿宋" w:hAnsi="仿宋" w:eastAsia="仿宋" w:cs="仿宋"/>
          <w:b/>
          <w:bCs/>
          <w:sz w:val="24"/>
          <w:szCs w:val="24"/>
        </w:rPr>
        <w:t>递交截止时间：</w:t>
      </w:r>
      <w:r>
        <w:rPr>
          <w:rFonts w:hint="eastAsia" w:ascii="仿宋" w:hAnsi="仿宋" w:eastAsia="仿宋" w:cs="仿宋"/>
          <w:b/>
          <w:bCs/>
          <w:sz w:val="24"/>
          <w:szCs w:val="24"/>
          <w:highlight w:val="none"/>
          <w:u w:val="single"/>
        </w:rPr>
        <w:t>20</w:t>
      </w:r>
      <w:r>
        <w:rPr>
          <w:rFonts w:hint="eastAsia" w:ascii="仿宋" w:hAnsi="仿宋" w:eastAsia="仿宋" w:cs="仿宋"/>
          <w:b/>
          <w:bCs/>
          <w:sz w:val="24"/>
          <w:szCs w:val="24"/>
          <w:highlight w:val="none"/>
          <w:u w:val="single"/>
          <w:lang w:val="en-US" w:eastAsia="zh-CN"/>
        </w:rPr>
        <w:t>24</w:t>
      </w:r>
      <w:r>
        <w:rPr>
          <w:rFonts w:hint="eastAsia" w:ascii="仿宋" w:hAnsi="仿宋" w:eastAsia="仿宋" w:cs="仿宋"/>
          <w:b/>
          <w:bCs/>
          <w:sz w:val="24"/>
          <w:szCs w:val="24"/>
          <w:highlight w:val="none"/>
          <w:u w:val="single"/>
        </w:rPr>
        <w:t>年</w:t>
      </w:r>
      <w:r>
        <w:rPr>
          <w:rFonts w:hint="eastAsia" w:ascii="仿宋" w:hAnsi="仿宋" w:eastAsia="仿宋" w:cs="仿宋"/>
          <w:b/>
          <w:bCs/>
          <w:sz w:val="24"/>
          <w:szCs w:val="24"/>
          <w:highlight w:val="none"/>
          <w:u w:val="single"/>
          <w:lang w:val="en-US" w:eastAsia="zh-CN"/>
        </w:rPr>
        <w:t>05</w:t>
      </w:r>
      <w:r>
        <w:rPr>
          <w:rFonts w:hint="eastAsia" w:ascii="仿宋" w:hAnsi="仿宋" w:eastAsia="仿宋" w:cs="仿宋"/>
          <w:b/>
          <w:bCs/>
          <w:sz w:val="24"/>
          <w:szCs w:val="24"/>
          <w:highlight w:val="none"/>
          <w:u w:val="single"/>
        </w:rPr>
        <w:t>月</w:t>
      </w:r>
      <w:r>
        <w:rPr>
          <w:rFonts w:hint="eastAsia" w:ascii="仿宋" w:hAnsi="仿宋" w:eastAsia="仿宋" w:cs="仿宋"/>
          <w:b/>
          <w:bCs/>
          <w:sz w:val="24"/>
          <w:szCs w:val="24"/>
          <w:highlight w:val="none"/>
          <w:u w:val="single"/>
          <w:lang w:val="en-US" w:eastAsia="zh-CN"/>
        </w:rPr>
        <w:t>13</w:t>
      </w:r>
      <w:r>
        <w:rPr>
          <w:rFonts w:hint="eastAsia" w:ascii="仿宋" w:hAnsi="仿宋" w:eastAsia="仿宋" w:cs="仿宋"/>
          <w:b/>
          <w:bCs/>
          <w:sz w:val="24"/>
          <w:szCs w:val="24"/>
          <w:highlight w:val="none"/>
          <w:u w:val="single"/>
        </w:rPr>
        <w:t>日</w:t>
      </w:r>
      <w:r>
        <w:rPr>
          <w:rFonts w:hint="eastAsia" w:ascii="仿宋" w:hAnsi="仿宋" w:eastAsia="仿宋" w:cs="仿宋"/>
          <w:b/>
          <w:bCs/>
          <w:sz w:val="24"/>
          <w:szCs w:val="24"/>
          <w:highlight w:val="none"/>
          <w:u w:val="single"/>
          <w:lang w:val="en-US" w:eastAsia="zh-CN"/>
        </w:rPr>
        <w:t>14时0</w:t>
      </w:r>
      <w:r>
        <w:rPr>
          <w:rFonts w:hint="eastAsia" w:ascii="仿宋" w:hAnsi="仿宋" w:eastAsia="仿宋" w:cs="仿宋"/>
          <w:b/>
          <w:bCs/>
          <w:sz w:val="24"/>
          <w:szCs w:val="24"/>
          <w:highlight w:val="none"/>
          <w:u w:val="single"/>
        </w:rPr>
        <w:t>0</w:t>
      </w:r>
      <w:r>
        <w:rPr>
          <w:rFonts w:hint="eastAsia" w:ascii="仿宋" w:hAnsi="仿宋" w:eastAsia="仿宋" w:cs="仿宋"/>
          <w:b/>
          <w:bCs/>
          <w:sz w:val="24"/>
          <w:szCs w:val="24"/>
          <w:highlight w:val="none"/>
          <w:u w:val="single"/>
          <w:lang w:val="en-US" w:eastAsia="zh-CN"/>
        </w:rPr>
        <w:t>分</w:t>
      </w:r>
      <w:r>
        <w:rPr>
          <w:rFonts w:hint="eastAsia" w:ascii="仿宋" w:hAnsi="仿宋" w:eastAsia="仿宋" w:cs="仿宋"/>
          <w:b/>
          <w:bCs/>
          <w:sz w:val="24"/>
          <w:szCs w:val="24"/>
        </w:rPr>
        <w:t>（北京时间）。</w:t>
      </w:r>
    </w:p>
    <w:p>
      <w:pPr>
        <w:numPr>
          <w:ilvl w:val="0"/>
          <w:numId w:val="1"/>
        </w:numPr>
        <w:tabs>
          <w:tab w:val="clear" w:pos="420"/>
        </w:tabs>
        <w:spacing w:line="360" w:lineRule="auto"/>
        <w:ind w:left="882" w:leftChars="257" w:hanging="342" w:hangingChars="142"/>
        <w:rPr>
          <w:rFonts w:hint="eastAsia" w:ascii="仿宋" w:hAnsi="仿宋" w:eastAsia="仿宋" w:cs="仿宋"/>
          <w:b/>
          <w:bCs/>
          <w:sz w:val="24"/>
          <w:szCs w:val="24"/>
        </w:rPr>
      </w:pPr>
      <w:r>
        <w:rPr>
          <w:rFonts w:hint="eastAsia" w:ascii="仿宋" w:hAnsi="仿宋" w:eastAsia="仿宋" w:cs="仿宋"/>
          <w:b/>
          <w:bCs/>
          <w:sz w:val="24"/>
          <w:szCs w:val="24"/>
        </w:rPr>
        <w:t>递交地点：</w:t>
      </w:r>
      <w:r>
        <w:rPr>
          <w:rFonts w:hint="eastAsia" w:ascii="仿宋" w:hAnsi="仿宋" w:eastAsia="仿宋" w:cs="仿宋"/>
          <w:b/>
          <w:bCs/>
          <w:color w:val="000000"/>
          <w:sz w:val="24"/>
          <w:szCs w:val="24"/>
          <w:highlight w:val="none"/>
          <w:u w:val="single"/>
          <w:lang w:val="en-US" w:eastAsia="zh-CN"/>
        </w:rPr>
        <w:t>四川省</w:t>
      </w:r>
      <w:r>
        <w:rPr>
          <w:rFonts w:hint="eastAsia" w:ascii="仿宋" w:hAnsi="仿宋" w:eastAsia="仿宋" w:cs="仿宋"/>
          <w:b/>
          <w:sz w:val="24"/>
          <w:u w:val="single"/>
        </w:rPr>
        <w:t>成都市武侯区</w:t>
      </w:r>
      <w:r>
        <w:rPr>
          <w:rFonts w:hint="eastAsia" w:ascii="仿宋" w:hAnsi="仿宋" w:eastAsia="仿宋" w:cs="仿宋"/>
          <w:b/>
          <w:sz w:val="24"/>
          <w:u w:val="single"/>
          <w:lang w:val="en-US" w:eastAsia="zh-CN"/>
        </w:rPr>
        <w:t>交子大道177号中海国际A座8楼</w:t>
      </w:r>
      <w:r>
        <w:rPr>
          <w:rFonts w:hint="eastAsia" w:ascii="仿宋" w:hAnsi="仿宋" w:eastAsia="仿宋" w:cs="仿宋"/>
          <w:b/>
          <w:bCs/>
          <w:sz w:val="24"/>
          <w:szCs w:val="24"/>
        </w:rPr>
        <w:t>。</w:t>
      </w:r>
    </w:p>
    <w:p>
      <w:pPr>
        <w:spacing w:line="360" w:lineRule="auto"/>
        <w:ind w:left="540"/>
        <w:rPr>
          <w:rFonts w:hint="eastAsia" w:ascii="仿宋" w:hAnsi="仿宋" w:eastAsia="仿宋" w:cs="仿宋"/>
          <w:b/>
          <w:bCs/>
          <w:sz w:val="24"/>
          <w:szCs w:val="24"/>
        </w:rPr>
      </w:pPr>
      <w:r>
        <w:rPr>
          <w:rFonts w:hint="eastAsia" w:ascii="仿宋" w:hAnsi="仿宋" w:eastAsia="仿宋" w:cs="仿宋"/>
          <w:b/>
          <w:bCs/>
          <w:sz w:val="24"/>
          <w:szCs w:val="24"/>
        </w:rPr>
        <w:t>报价文件必须于报价截止时间前递交至指定地点，逾期送达的报价文件恕不接受。</w:t>
      </w:r>
    </w:p>
    <w:p>
      <w:pPr>
        <w:spacing w:line="360" w:lineRule="auto"/>
        <w:ind w:firstLine="482" w:firstLineChars="200"/>
        <w:outlineLvl w:val="9"/>
        <w:rPr>
          <w:rFonts w:hint="eastAsia" w:ascii="仿宋" w:hAnsi="仿宋" w:eastAsia="仿宋" w:cs="仿宋"/>
          <w:b/>
          <w:bCs/>
          <w:sz w:val="24"/>
          <w:szCs w:val="24"/>
        </w:rPr>
      </w:pPr>
      <w:bookmarkStart w:id="29" w:name="_Toc30022"/>
      <w:bookmarkStart w:id="30" w:name="_Toc32646"/>
      <w:bookmarkStart w:id="31" w:name="_Toc24140"/>
      <w:bookmarkStart w:id="32" w:name="_Toc1896"/>
      <w:bookmarkStart w:id="33" w:name="_Toc24012"/>
      <w:bookmarkStart w:id="34" w:name="_Toc5475"/>
      <w:r>
        <w:rPr>
          <w:rFonts w:hint="eastAsia" w:ascii="仿宋" w:hAnsi="仿宋" w:eastAsia="仿宋" w:cs="仿宋"/>
          <w:b/>
          <w:bCs/>
          <w:color w:val="000000"/>
          <w:sz w:val="24"/>
          <w:szCs w:val="24"/>
          <w:lang w:val="en-US" w:eastAsia="zh-CN"/>
        </w:rPr>
        <w:t>五、</w:t>
      </w:r>
      <w:bookmarkEnd w:id="29"/>
      <w:bookmarkEnd w:id="30"/>
      <w:bookmarkStart w:id="35" w:name="_Toc10253"/>
      <w:bookmarkStart w:id="36" w:name="_Toc31566"/>
      <w:r>
        <w:rPr>
          <w:rFonts w:hint="eastAsia" w:ascii="仿宋" w:hAnsi="仿宋" w:eastAsia="仿宋" w:cs="仿宋"/>
          <w:b/>
          <w:bCs/>
          <w:sz w:val="24"/>
          <w:szCs w:val="24"/>
        </w:rPr>
        <w:t>联系方式</w:t>
      </w:r>
      <w:bookmarkEnd w:id="31"/>
      <w:bookmarkEnd w:id="32"/>
      <w:bookmarkEnd w:id="33"/>
      <w:bookmarkEnd w:id="34"/>
      <w:bookmarkEnd w:id="35"/>
      <w:bookmarkEnd w:id="36"/>
    </w:p>
    <w:p>
      <w:pPr>
        <w:spacing w:line="360" w:lineRule="auto"/>
        <w:ind w:firstLine="482" w:firstLineChars="200"/>
        <w:textAlignment w:val="baseline"/>
        <w:rPr>
          <w:rFonts w:hint="eastAsia" w:ascii="仿宋" w:hAnsi="仿宋" w:eastAsia="仿宋" w:cs="仿宋"/>
          <w:b/>
          <w:sz w:val="24"/>
          <w:lang w:eastAsia="zh-CN"/>
        </w:rPr>
      </w:pPr>
      <w:r>
        <w:rPr>
          <w:rFonts w:hint="eastAsia" w:ascii="仿宋" w:hAnsi="仿宋" w:eastAsia="仿宋" w:cs="仿宋"/>
          <w:b/>
          <w:sz w:val="24"/>
        </w:rPr>
        <w:t>采购人：</w:t>
      </w:r>
      <w:r>
        <w:rPr>
          <w:rFonts w:hint="eastAsia" w:ascii="仿宋" w:hAnsi="仿宋" w:eastAsia="仿宋" w:cs="仿宋"/>
          <w:b/>
          <w:sz w:val="24"/>
          <w:lang w:eastAsia="zh-CN"/>
        </w:rPr>
        <w:t>中国人民人寿保险股份有限公司四川省分公司</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址：中国(四川)自由贸易试验区成都市高新区交子大道177号1栋2单元7-8层  </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w:t>
      </w:r>
      <w:r>
        <w:rPr>
          <w:rFonts w:hint="eastAsia" w:ascii="仿宋" w:hAnsi="仿宋" w:eastAsia="仿宋" w:cs="仿宋"/>
          <w:color w:val="auto"/>
          <w:sz w:val="24"/>
          <w:highlight w:val="none"/>
          <w:lang w:val="en-US" w:eastAsia="zh-CN"/>
        </w:rPr>
        <w:t>郭</w:t>
      </w:r>
      <w:r>
        <w:rPr>
          <w:rFonts w:hint="eastAsia" w:ascii="仿宋" w:hAnsi="仿宋" w:eastAsia="仿宋" w:cs="仿宋"/>
          <w:color w:val="auto"/>
          <w:sz w:val="24"/>
          <w:highlight w:val="none"/>
        </w:rPr>
        <w:t>老师</w:t>
      </w:r>
    </w:p>
    <w:p>
      <w:pPr>
        <w:spacing w:line="360" w:lineRule="auto"/>
        <w:ind w:firstLine="480" w:firstLineChars="200"/>
        <w:textAlignment w:val="baseline"/>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联系电话：1</w:t>
      </w:r>
      <w:r>
        <w:rPr>
          <w:rFonts w:hint="eastAsia" w:ascii="仿宋" w:hAnsi="仿宋" w:eastAsia="仿宋" w:cs="仿宋"/>
          <w:color w:val="auto"/>
          <w:sz w:val="24"/>
          <w:highlight w:val="none"/>
          <w:lang w:val="en-US" w:eastAsia="zh-CN"/>
        </w:rPr>
        <w:t>13518339159</w:t>
      </w:r>
    </w:p>
    <w:p>
      <w:pPr>
        <w:spacing w:line="360" w:lineRule="auto"/>
        <w:ind w:firstLine="480" w:firstLineChars="200"/>
        <w:textAlignment w:val="baseline"/>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邮    箱：guoqiuyan@picclife.cn;751068167@qq.com</w:t>
      </w:r>
    </w:p>
    <w:p>
      <w:pPr>
        <w:spacing w:line="360" w:lineRule="auto"/>
        <w:ind w:firstLine="480" w:firstLineChars="200"/>
        <w:textAlignment w:val="baseline"/>
        <w:rPr>
          <w:rFonts w:hint="eastAsia" w:ascii="仿宋" w:hAnsi="仿宋" w:eastAsia="仿宋" w:cs="仿宋"/>
          <w:color w:val="auto"/>
          <w:sz w:val="24"/>
          <w:highlight w:val="none"/>
          <w:lang w:val="en-US" w:eastAsia="zh-CN"/>
        </w:rPr>
      </w:pPr>
    </w:p>
    <w:p>
      <w:pPr>
        <w:spacing w:line="360" w:lineRule="auto"/>
        <w:ind w:firstLine="480" w:firstLineChars="200"/>
        <w:textAlignment w:val="baseline"/>
        <w:rPr>
          <w:rFonts w:hint="eastAsia" w:ascii="仿宋" w:hAnsi="仿宋" w:eastAsia="仿宋" w:cs="仿宋"/>
          <w:color w:val="auto"/>
          <w:sz w:val="24"/>
          <w:highlight w:val="none"/>
          <w:lang w:val="en-US" w:eastAsia="zh-CN"/>
        </w:rPr>
      </w:pPr>
    </w:p>
    <w:p>
      <w:pPr>
        <w:spacing w:line="360" w:lineRule="auto"/>
        <w:ind w:firstLine="480" w:firstLineChars="200"/>
        <w:jc w:val="right"/>
        <w:textAlignment w:val="baseline"/>
        <w:rPr>
          <w:rFonts w:hint="eastAsia" w:ascii="仿宋" w:hAnsi="仿宋" w:eastAsia="仿宋" w:cs="仿宋"/>
          <w:sz w:val="24"/>
          <w:szCs w:val="24"/>
          <w:lang w:eastAsia="zh-CN"/>
        </w:rPr>
      </w:pPr>
      <w:r>
        <w:rPr>
          <w:rFonts w:hint="eastAsia" w:ascii="仿宋" w:hAnsi="仿宋" w:eastAsia="仿宋" w:cs="仿宋"/>
          <w:sz w:val="24"/>
          <w:szCs w:val="24"/>
        </w:rPr>
        <w:t>采购人：</w:t>
      </w:r>
      <w:r>
        <w:rPr>
          <w:rFonts w:hint="eastAsia" w:ascii="仿宋" w:hAnsi="仿宋" w:eastAsia="仿宋" w:cs="仿宋"/>
          <w:sz w:val="24"/>
          <w:szCs w:val="24"/>
          <w:lang w:eastAsia="zh-CN"/>
        </w:rPr>
        <w:t>中国人民人寿保险股份有限公司四川省分公司</w:t>
      </w:r>
    </w:p>
    <w:p>
      <w:pPr>
        <w:spacing w:line="360" w:lineRule="auto"/>
        <w:ind w:firstLine="480" w:firstLineChars="200"/>
        <w:jc w:val="right"/>
        <w:textAlignment w:val="baseline"/>
      </w:pPr>
      <w:r>
        <w:rPr>
          <w:rFonts w:hint="eastAsia" w:ascii="仿宋" w:hAnsi="仿宋" w:eastAsia="仿宋" w:cs="仿宋"/>
          <w:sz w:val="24"/>
          <w:szCs w:val="24"/>
        </w:rPr>
        <w:t>202</w:t>
      </w:r>
      <w:r>
        <w:rPr>
          <w:rFonts w:hint="eastAsia" w:ascii="仿宋" w:hAnsi="仿宋" w:eastAsia="仿宋" w:cs="仿宋"/>
          <w:sz w:val="24"/>
          <w:szCs w:val="24"/>
          <w:lang w:val="en-US" w:eastAsia="zh-CN"/>
        </w:rPr>
        <w:t>4</w:t>
      </w:r>
      <w:r>
        <w:rPr>
          <w:rFonts w:hint="eastAsia" w:ascii="仿宋" w:hAnsi="仿宋" w:eastAsia="仿宋" w:cs="仿宋"/>
          <w:sz w:val="24"/>
          <w:szCs w:val="24"/>
        </w:rPr>
        <w:t>年</w:t>
      </w:r>
      <w:r>
        <w:rPr>
          <w:rFonts w:hint="eastAsia" w:ascii="仿宋" w:hAnsi="仿宋" w:eastAsia="仿宋" w:cs="仿宋"/>
          <w:sz w:val="24"/>
          <w:szCs w:val="24"/>
          <w:highlight w:val="none"/>
          <w:lang w:val="en-US" w:eastAsia="zh-CN"/>
        </w:rPr>
        <w:t>04</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rPr>
        <w:t>日</w:t>
      </w:r>
    </w:p>
    <w:sectPr>
      <w:headerReference r:id="rId3" w:type="default"/>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63712E"/>
    <w:multiLevelType w:val="multilevel"/>
    <w:tmpl w:val="5263712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2MmQ5ZGMzYjkyY2ViMjRkZTlkZjI2M2QwZGZmNjAifQ=="/>
  </w:docVars>
  <w:rsids>
    <w:rsidRoot w:val="00000000"/>
    <w:rsid w:val="27681E71"/>
    <w:rsid w:val="450831DF"/>
    <w:rsid w:val="54FD5E02"/>
    <w:rsid w:val="55D51D0D"/>
    <w:rsid w:val="56E3210F"/>
    <w:rsid w:val="631745D0"/>
    <w:rsid w:val="65FA18BE"/>
    <w:rsid w:val="6E7B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widowControl/>
      <w:spacing w:before="340" w:after="330" w:line="578" w:lineRule="auto"/>
      <w:jc w:val="left"/>
      <w:outlineLvl w:val="0"/>
    </w:pPr>
    <w:rPr>
      <w:b/>
      <w:kern w:val="44"/>
      <w:sz w:val="44"/>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2024-03-26T03:10:00Z</dcterms:created>
  <dc:creator>11011</dc:creator>
  <cp:lastModifiedBy>郭秋言undefined</cp:lastModifiedBy>
  <dcterms:modified xsi:type="dcterms:W3CDTF">2024-04-26T07:25:57Z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E5556C4303944C078989AFC97382047D_12</vt:lpwstr>
  </property>
</Properties>
</file>