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方正小标宋简体" w:hAnsi="宋体" w:eastAsia="方正小标宋简体"/>
          <w:b/>
          <w:color w:val="000000"/>
          <w:sz w:val="36"/>
          <w:szCs w:val="36"/>
          <w:lang w:val="en-US" w:eastAsia="zh-CN"/>
        </w:rPr>
      </w:pPr>
      <w:r>
        <w:rPr>
          <w:rFonts w:hint="eastAsia" w:ascii="方正小标宋简体" w:hAnsi="宋体" w:eastAsia="方正小标宋简体"/>
          <w:b/>
          <w:color w:val="000000"/>
          <w:sz w:val="36"/>
          <w:szCs w:val="36"/>
          <w:lang w:val="en-US" w:eastAsia="zh-CN"/>
        </w:rPr>
        <w:t>中国人民财产保险股份有限公司</w:t>
      </w:r>
    </w:p>
    <w:p>
      <w:pPr>
        <w:spacing w:line="360" w:lineRule="auto"/>
        <w:jc w:val="center"/>
        <w:rPr>
          <w:rFonts w:hint="eastAsia" w:ascii="方正小标宋简体" w:hAnsi="宋体" w:eastAsia="方正小标宋简体"/>
          <w:b/>
          <w:color w:val="000000"/>
          <w:sz w:val="36"/>
          <w:szCs w:val="36"/>
          <w:lang w:eastAsia="zh-CN"/>
        </w:rPr>
      </w:pPr>
      <w:r>
        <w:rPr>
          <w:rFonts w:hint="eastAsia" w:ascii="方正小标宋简体" w:hAnsi="宋体" w:eastAsia="方正小标宋简体"/>
          <w:b/>
          <w:color w:val="000000"/>
          <w:sz w:val="36"/>
          <w:szCs w:val="36"/>
          <w:lang w:val="en-US" w:eastAsia="zh-CN"/>
        </w:rPr>
        <w:t>广州市珠江支公司高端医疗服务竞争性磋商</w:t>
      </w:r>
      <w:r>
        <w:rPr>
          <w:rFonts w:hint="eastAsia" w:ascii="方正小标宋简体" w:hAnsi="宋体" w:eastAsia="方正小标宋简体"/>
          <w:b/>
          <w:color w:val="000000"/>
          <w:sz w:val="36"/>
          <w:szCs w:val="36"/>
        </w:rPr>
        <w:t>邀请</w:t>
      </w:r>
      <w:r>
        <w:rPr>
          <w:rFonts w:hint="eastAsia" w:ascii="方正小标宋简体" w:hAnsi="宋体" w:eastAsia="方正小标宋简体"/>
          <w:b/>
          <w:color w:val="000000"/>
          <w:sz w:val="36"/>
          <w:szCs w:val="36"/>
          <w:lang w:eastAsia="zh-CN"/>
        </w:rPr>
        <w:t>文件</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中国人民财产保险股份有限公司</w:t>
      </w:r>
      <w:r>
        <w:rPr>
          <w:rFonts w:hint="eastAsia" w:ascii="仿宋_GB2312" w:hAnsi="仿宋_GB2312" w:eastAsia="仿宋_GB2312" w:cs="仿宋_GB2312"/>
          <w:color w:val="000000"/>
          <w:sz w:val="32"/>
          <w:szCs w:val="32"/>
          <w:lang w:val="en-US" w:eastAsia="zh-CN"/>
        </w:rPr>
        <w:t>广州市</w:t>
      </w:r>
      <w:r>
        <w:rPr>
          <w:rFonts w:hint="eastAsia" w:ascii="仿宋_GB2312" w:hAnsi="仿宋_GB2312" w:eastAsia="仿宋_GB2312" w:cs="仿宋_GB2312"/>
          <w:color w:val="000000"/>
          <w:sz w:val="32"/>
          <w:szCs w:val="32"/>
        </w:rPr>
        <w:t>分公司拟通过竞争性磋商的方式，选定</w:t>
      </w:r>
      <w:r>
        <w:rPr>
          <w:rFonts w:hint="eastAsia" w:ascii="仿宋_GB2312" w:hAnsi="仿宋_GB2312" w:eastAsia="仿宋_GB2312" w:cs="仿宋_GB2312"/>
          <w:color w:val="000000"/>
          <w:sz w:val="32"/>
          <w:szCs w:val="32"/>
          <w:lang w:val="en-US" w:eastAsia="zh-CN"/>
        </w:rPr>
        <w:t>人保广州分公司</w:t>
      </w:r>
      <w:r>
        <w:rPr>
          <w:rFonts w:hint="eastAsia" w:ascii="仿宋_GB2312" w:hAnsi="仿宋_GB2312" w:eastAsia="仿宋_GB2312" w:cs="仿宋_GB2312"/>
          <w:color w:val="000000"/>
          <w:sz w:val="32"/>
          <w:szCs w:val="32"/>
        </w:rPr>
        <w:t>南航员工企补医疗项目</w:t>
      </w:r>
      <w:r>
        <w:rPr>
          <w:rFonts w:hint="eastAsia" w:ascii="仿宋_GB2312" w:hAnsi="仿宋_GB2312" w:eastAsia="仿宋_GB2312" w:cs="仿宋_GB2312"/>
          <w:color w:val="000000"/>
          <w:sz w:val="32"/>
          <w:szCs w:val="32"/>
          <w:lang w:val="en-US" w:eastAsia="zh-CN"/>
        </w:rPr>
        <w:t>的</w:t>
      </w:r>
      <w:r>
        <w:rPr>
          <w:rFonts w:hint="eastAsia" w:ascii="仿宋_GB2312" w:hAnsi="仿宋_GB2312" w:eastAsia="仿宋_GB2312" w:cs="仿宋_GB2312"/>
          <w:color w:val="000000"/>
          <w:sz w:val="32"/>
          <w:szCs w:val="32"/>
        </w:rPr>
        <w:t>高端医疗服务的</w:t>
      </w:r>
      <w:r>
        <w:rPr>
          <w:rFonts w:hint="eastAsia" w:ascii="仿宋_GB2312" w:hAnsi="仿宋_GB2312" w:eastAsia="仿宋_GB2312" w:cs="仿宋_GB2312"/>
          <w:sz w:val="32"/>
          <w:szCs w:val="32"/>
        </w:rPr>
        <w:t>合作</w:t>
      </w:r>
      <w:r>
        <w:rPr>
          <w:rFonts w:hint="eastAsia" w:ascii="仿宋_GB2312" w:hAnsi="仿宋_GB2312" w:eastAsia="仿宋_GB2312" w:cs="仿宋_GB2312"/>
          <w:color w:val="000000"/>
          <w:sz w:val="32"/>
          <w:szCs w:val="32"/>
        </w:rPr>
        <w:t>供应商，现特邀贵单位参加，请贵单位根据以下内容提供报价文件等相关材料。</w:t>
      </w:r>
    </w:p>
    <w:p>
      <w:pPr>
        <w:spacing w:line="600" w:lineRule="exact"/>
        <w:rPr>
          <w:rFonts w:hint="eastAsia" w:ascii="黑体" w:hAnsi="黑体" w:eastAsia="黑体" w:cs="黑体"/>
          <w:b/>
          <w:bCs/>
          <w:sz w:val="32"/>
          <w:szCs w:val="32"/>
        </w:rPr>
      </w:pPr>
      <w:r>
        <w:rPr>
          <w:rFonts w:hint="eastAsia" w:ascii="黑体" w:hAnsi="黑体" w:eastAsia="黑体" w:cs="黑体"/>
          <w:b/>
          <w:bCs/>
          <w:sz w:val="32"/>
          <w:szCs w:val="32"/>
          <w:lang w:val="en-US" w:eastAsia="zh-CN"/>
        </w:rPr>
        <w:t>一、磋商</w:t>
      </w:r>
      <w:r>
        <w:rPr>
          <w:rFonts w:hint="eastAsia" w:ascii="黑体" w:hAnsi="黑体" w:eastAsia="黑体" w:cs="黑体"/>
          <w:b/>
          <w:bCs/>
          <w:sz w:val="32"/>
          <w:szCs w:val="32"/>
        </w:rPr>
        <w:t>时间及地点</w:t>
      </w:r>
    </w:p>
    <w:p>
      <w:pPr>
        <w:autoSpaceDN w:val="0"/>
        <w:spacing w:line="360" w:lineRule="auto"/>
        <w:ind w:firstLine="63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lang w:val="en-US" w:eastAsia="zh-CN"/>
        </w:rPr>
        <w:t>磋商</w:t>
      </w:r>
      <w:r>
        <w:rPr>
          <w:rFonts w:hint="eastAsia" w:ascii="仿宋_GB2312" w:hAnsi="仿宋_GB2312" w:eastAsia="仿宋_GB2312" w:cs="仿宋_GB2312"/>
          <w:color w:val="000000"/>
          <w:sz w:val="32"/>
          <w:szCs w:val="32"/>
        </w:rPr>
        <w:t>时间：</w:t>
      </w:r>
      <w:r>
        <w:rPr>
          <w:rFonts w:hint="eastAsia" w:ascii="仿宋_GB2312" w:hAnsi="仿宋_GB2312" w:eastAsia="仿宋_GB2312" w:cs="仿宋_GB2312"/>
          <w:sz w:val="32"/>
          <w:szCs w:val="32"/>
          <w:lang w:val="en-US" w:eastAsia="zh-CN"/>
        </w:rPr>
        <w:t>2024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29</w:t>
      </w:r>
      <w:r>
        <w:rPr>
          <w:rFonts w:hint="eastAsia" w:ascii="仿宋_GB2312" w:hAnsi="仿宋_GB2312" w:eastAsia="仿宋_GB2312" w:cs="仿宋_GB2312"/>
          <w:sz w:val="32"/>
          <w:szCs w:val="32"/>
        </w:rPr>
        <w:t>日</w:t>
      </w:r>
      <w:r>
        <w:rPr>
          <w:rFonts w:hint="eastAsia" w:ascii="仿宋_GB2312" w:hAnsi="仿宋_GB2312" w:eastAsia="仿宋_GB2312" w:cs="仿宋_GB2312"/>
          <w:color w:val="FF0000"/>
          <w:kern w:val="0"/>
          <w:sz w:val="32"/>
          <w:szCs w:val="32"/>
        </w:rPr>
        <w:t>（时间、地点如有变化，将另行提前通知）</w:t>
      </w:r>
    </w:p>
    <w:p>
      <w:pPr>
        <w:autoSpaceDN w:val="0"/>
        <w:spacing w:line="360" w:lineRule="auto"/>
        <w:ind w:firstLine="630"/>
        <w:rPr>
          <w:rFonts w:hint="eastAsia" w:ascii="黑体" w:hAnsi="黑体" w:eastAsia="黑体" w:cs="黑体"/>
          <w:sz w:val="32"/>
          <w:szCs w:val="32"/>
        </w:rPr>
      </w:pPr>
      <w:r>
        <w:rPr>
          <w:rFonts w:hint="eastAsia" w:ascii="仿宋_GB2312" w:hAnsi="仿宋_GB2312" w:eastAsia="仿宋_GB2312" w:cs="仿宋_GB2312"/>
          <w:color w:val="000000"/>
          <w:sz w:val="32"/>
          <w:szCs w:val="32"/>
          <w:lang w:val="en-US" w:eastAsia="zh-CN"/>
        </w:rPr>
        <w:t>磋商</w:t>
      </w:r>
      <w:r>
        <w:rPr>
          <w:rFonts w:hint="eastAsia" w:ascii="仿宋_GB2312" w:hAnsi="仿宋_GB2312" w:eastAsia="仿宋_GB2312" w:cs="仿宋_GB2312"/>
          <w:color w:val="000000"/>
          <w:sz w:val="32"/>
          <w:szCs w:val="32"/>
        </w:rPr>
        <w:t>地点：广东省广州市越秀区广州大道中303号</w:t>
      </w:r>
      <w:r>
        <w:rPr>
          <w:rFonts w:hint="eastAsia" w:ascii="仿宋_GB2312" w:hAnsi="仿宋_GB2312" w:eastAsia="仿宋_GB2312" w:cs="仿宋_GB2312"/>
          <w:color w:val="000000"/>
          <w:sz w:val="32"/>
          <w:szCs w:val="32"/>
        </w:rPr>
        <w:br w:type="textWrapping"/>
      </w:r>
      <w:r>
        <w:rPr>
          <w:rFonts w:hint="eastAsia" w:ascii="黑体" w:hAnsi="黑体" w:eastAsia="黑体" w:cs="黑体"/>
          <w:b/>
          <w:bCs/>
          <w:color w:val="000000"/>
          <w:sz w:val="32"/>
          <w:szCs w:val="32"/>
          <w:lang w:val="en-US" w:eastAsia="zh-CN"/>
        </w:rPr>
        <w:t>二、</w:t>
      </w:r>
      <w:r>
        <w:rPr>
          <w:rFonts w:hint="eastAsia" w:ascii="黑体" w:hAnsi="黑体" w:eastAsia="黑体" w:cs="黑体"/>
          <w:b/>
          <w:bCs/>
          <w:sz w:val="32"/>
          <w:szCs w:val="32"/>
        </w:rPr>
        <w:t>项目</w:t>
      </w:r>
      <w:r>
        <w:rPr>
          <w:rFonts w:hint="eastAsia" w:ascii="黑体" w:hAnsi="黑体" w:eastAsia="黑体" w:cs="黑体"/>
          <w:b/>
          <w:bCs/>
          <w:sz w:val="32"/>
          <w:szCs w:val="32"/>
          <w:lang w:val="en-US" w:eastAsia="zh-CN"/>
        </w:rPr>
        <w:t>需求</w:t>
      </w:r>
    </w:p>
    <w:p>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本项目选定</w:t>
      </w:r>
      <w:r>
        <w:rPr>
          <w:rFonts w:hint="eastAsia" w:ascii="仿宋_GB2312" w:hAnsi="仿宋_GB2312" w:eastAsia="仿宋_GB2312" w:cs="仿宋_GB2312"/>
          <w:sz w:val="32"/>
          <w:szCs w:val="32"/>
          <w:u w:val="single"/>
          <w:lang w:val="en-US" w:eastAsia="zh-CN"/>
        </w:rPr>
        <w:t xml:space="preserve"> 1 </w:t>
      </w:r>
      <w:r>
        <w:rPr>
          <w:rFonts w:hint="eastAsia" w:ascii="仿宋_GB2312" w:hAnsi="仿宋_GB2312" w:eastAsia="仿宋_GB2312" w:cs="仿宋_GB2312"/>
          <w:sz w:val="32"/>
          <w:szCs w:val="32"/>
        </w:rPr>
        <w:t>家供应商，提供周期为</w:t>
      </w:r>
      <w:r>
        <w:rPr>
          <w:rFonts w:hint="eastAsia" w:ascii="仿宋_GB2312" w:hAnsi="仿宋_GB2312" w:eastAsia="仿宋_GB2312" w:cs="仿宋_GB2312"/>
          <w:sz w:val="32"/>
          <w:szCs w:val="32"/>
          <w:u w:val="single"/>
          <w:lang w:val="en-US" w:eastAsia="zh-CN"/>
        </w:rPr>
        <w:t xml:space="preserve">  12个月  </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高端医疗</w:t>
      </w:r>
      <w:r>
        <w:rPr>
          <w:rFonts w:hint="eastAsia" w:ascii="仿宋_GB2312" w:hAnsi="仿宋_GB2312" w:eastAsia="仿宋_GB2312" w:cs="仿宋_GB2312"/>
          <w:sz w:val="32"/>
          <w:szCs w:val="32"/>
        </w:rPr>
        <w:t>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合同签署主体为中国人民财产保险股份有限公司广州市分公司，相关要求如下：</w:t>
      </w:r>
    </w:p>
    <w:p>
      <w:pPr>
        <w:spacing w:line="560" w:lineRule="exact"/>
        <w:ind w:firstLine="640" w:firstLineChars="200"/>
        <w:rPr>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lang w:val="en-US" w:eastAsia="zh-CN"/>
        </w:rPr>
        <w:t>(1)</w:t>
      </w:r>
      <w:r>
        <w:rPr>
          <w:rFonts w:hint="eastAsia" w:ascii="仿宋_GB2312" w:hAnsi="仿宋_GB2312" w:eastAsia="仿宋_GB2312" w:cs="仿宋_GB2312"/>
          <w:b w:val="0"/>
          <w:bCs/>
          <w:sz w:val="32"/>
          <w:szCs w:val="32"/>
        </w:rPr>
        <w:t>服务内容要求</w:t>
      </w:r>
    </w:p>
    <w:p>
      <w:pPr>
        <w:spacing w:line="56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u w:val="none"/>
          <w:lang w:val="en-US" w:eastAsia="zh-CN"/>
        </w:rPr>
        <w:t>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一站式结算</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服务</w:t>
      </w:r>
      <w:r>
        <w:rPr>
          <w:rFonts w:hint="eastAsia" w:ascii="仿宋_GB2312" w:hAnsi="仿宋_GB2312" w:eastAsia="仿宋_GB2312" w:cs="仿宋_GB2312"/>
          <w:sz w:val="32"/>
          <w:szCs w:val="32"/>
          <w:lang w:eastAsia="zh-CN"/>
        </w:rPr>
        <w:t>，24小时内响应甲方客户要求，</w:t>
      </w:r>
      <w:r>
        <w:rPr>
          <w:rFonts w:hint="eastAsia" w:ascii="仿宋_GB2312" w:hAnsi="仿宋_GB2312" w:eastAsia="仿宋_GB2312" w:cs="仿宋_GB2312"/>
          <w:sz w:val="32"/>
          <w:szCs w:val="32"/>
          <w:lang w:val="en-US" w:eastAsia="zh-CN"/>
        </w:rPr>
        <w:t>每次派出1名专业陪护人员全程陪诊。</w:t>
      </w:r>
      <w:r>
        <w:rPr>
          <w:rFonts w:hint="eastAsia" w:ascii="仿宋_GB2312" w:hAnsi="仿宋_GB2312" w:eastAsia="仿宋_GB2312" w:cs="仿宋_GB2312"/>
          <w:sz w:val="32"/>
          <w:szCs w:val="32"/>
          <w:lang w:eastAsia="zh-CN"/>
        </w:rPr>
        <w:t>由乙方先行代甲方客户全程垫付挂号、治疗、诊疗服务费用，每月提供次数按实际发生为准，</w:t>
      </w:r>
      <w:r>
        <w:rPr>
          <w:rFonts w:hint="eastAsia" w:ascii="仿宋_GB2312" w:hAnsi="仿宋_GB2312" w:eastAsia="仿宋_GB2312" w:cs="仿宋_GB2312"/>
          <w:sz w:val="32"/>
          <w:szCs w:val="32"/>
          <w:lang w:val="en-US" w:eastAsia="zh-CN"/>
        </w:rPr>
        <w:t>合同期内总计不超过120次；</w:t>
      </w:r>
    </w:p>
    <w:p>
      <w:p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none"/>
          <w:lang w:val="en-US" w:eastAsia="zh-CN"/>
        </w:rPr>
        <w:t>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就医绿色通道</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服务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派出2名专业人员，</w:t>
      </w:r>
      <w:r>
        <w:rPr>
          <w:rFonts w:hint="eastAsia" w:ascii="仿宋_GB2312" w:hAnsi="仿宋_GB2312" w:eastAsia="仿宋_GB2312" w:cs="仿宋_GB2312"/>
          <w:sz w:val="32"/>
          <w:szCs w:val="32"/>
          <w:lang w:eastAsia="zh-CN"/>
        </w:rPr>
        <w:t>36小时内完成预约门诊挂号服务（含导医导诊），以及48小时内完成预约住院/手术安排，每月提供次数按实际发生为准</w:t>
      </w:r>
      <w:r>
        <w:rPr>
          <w:rFonts w:hint="eastAsia" w:ascii="仿宋_GB2312" w:hAnsi="仿宋_GB2312" w:eastAsia="仿宋_GB2312" w:cs="仿宋_GB2312"/>
          <w:sz w:val="32"/>
          <w:szCs w:val="32"/>
          <w:lang w:val="en-US" w:eastAsia="zh-CN"/>
        </w:rPr>
        <w:t>，合同期内总计不超过24次。</w:t>
      </w:r>
    </w:p>
    <w:p>
      <w:pPr>
        <w:numPr>
          <w:ilvl w:val="0"/>
          <w:numId w:val="1"/>
        </w:numPr>
        <w:spacing w:line="560" w:lineRule="exact"/>
        <w:ind w:left="-10" w:leftChars="0" w:firstLine="640" w:firstLineChars="0"/>
        <w:rPr>
          <w:rFonts w:hint="eastAsia"/>
          <w:sz w:val="32"/>
          <w:szCs w:val="32"/>
          <w:lang w:val="zh-CN" w:eastAsia="zh-CN"/>
        </w:rPr>
      </w:pPr>
      <w:r>
        <w:rPr>
          <w:rFonts w:hint="eastAsia" w:ascii="仿宋_GB2312" w:hAnsi="仿宋_GB2312" w:eastAsia="仿宋_GB2312" w:cs="仿宋_GB2312"/>
          <w:b w:val="0"/>
          <w:bCs/>
          <w:sz w:val="32"/>
          <w:szCs w:val="32"/>
          <w:lang w:val="zh-CN" w:eastAsia="zh-CN"/>
        </w:rPr>
        <w:t>验收/考核标准</w:t>
      </w:r>
    </w:p>
    <w:p>
      <w:pPr>
        <w:numPr>
          <w:ilvl w:val="0"/>
          <w:numId w:val="0"/>
        </w:num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①与服务期间为中国南方航空有限公司提供一站式结算、就医绿通等高端医疗健康管理服务。</w:t>
      </w:r>
    </w:p>
    <w:p>
      <w:pPr>
        <w:numPr>
          <w:ilvl w:val="0"/>
          <w:numId w:val="0"/>
        </w:num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②为甲方客户员工提供一站式结算服务，24小时内响应甲方客户要求，由乙方先行代甲方客户全程垫付挂号、治疗、诊疗服务费用。</w:t>
      </w:r>
    </w:p>
    <w:p>
      <w:pPr>
        <w:numPr>
          <w:ilvl w:val="0"/>
          <w:numId w:val="0"/>
        </w:numPr>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③为甲方客户员工提供就医绿色通道服务，36小时内完成预约门诊挂号服务（含导医导诊），以及48小时内完成预约住院/手术安排。</w:t>
      </w:r>
    </w:p>
    <w:p>
      <w:pPr>
        <w:pStyle w:val="2"/>
        <w:spacing w:line="360" w:lineRule="auto"/>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④通过南航员工反馈，了解服务服务质量，填写服务满意程度调查表。</w:t>
      </w:r>
    </w:p>
    <w:p>
      <w:pPr>
        <w:numPr>
          <w:ilvl w:val="0"/>
          <w:numId w:val="0"/>
        </w:numPr>
        <w:spacing w:line="600" w:lineRule="auto"/>
        <w:ind w:leftChars="200"/>
        <w:rPr>
          <w:rFonts w:hint="eastAsia" w:ascii="仿宋_GB2312" w:hAnsi="宋体" w:eastAsia="仿宋_GB2312" w:cs="仿宋_GB2312"/>
          <w:b w:val="0"/>
          <w:bCs w:val="0"/>
          <w:kern w:val="0"/>
          <w:sz w:val="32"/>
          <w:szCs w:val="32"/>
          <w:lang w:val="en-US" w:eastAsia="zh-CN" w:bidi="ar-SA"/>
        </w:rPr>
      </w:pPr>
      <w:r>
        <w:rPr>
          <w:rFonts w:hint="eastAsia" w:ascii="仿宋_GB2312" w:hAnsi="宋体" w:eastAsia="仿宋_GB2312" w:cs="仿宋_GB2312"/>
          <w:b w:val="0"/>
          <w:bCs w:val="0"/>
          <w:kern w:val="0"/>
          <w:sz w:val="32"/>
          <w:szCs w:val="32"/>
          <w:lang w:val="en-US" w:eastAsia="zh-CN" w:bidi="ar-SA"/>
        </w:rPr>
        <w:t>服务考核方式：</w:t>
      </w:r>
    </w:p>
    <w:p>
      <w:pPr>
        <w:pStyle w:val="2"/>
        <w:spacing w:line="360" w:lineRule="auto"/>
        <w:ind w:firstLine="960" w:firstLineChars="3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①客户满意度在80%以上（包括80%），甲方按照当初基准费用的100%支付。</w:t>
      </w:r>
    </w:p>
    <w:p>
      <w:pPr>
        <w:pStyle w:val="2"/>
        <w:spacing w:line="360" w:lineRule="auto"/>
        <w:ind w:firstLine="960" w:firstLineChars="3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②客户满意度在60%到80%之间（不包括60%，不包括80%），甲方按照当初基准费用的50%支付。</w:t>
      </w:r>
    </w:p>
    <w:p>
      <w:pPr>
        <w:pStyle w:val="2"/>
        <w:spacing w:line="360" w:lineRule="auto"/>
        <w:ind w:firstLine="960" w:firstLineChars="3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③客户满意度在60%以下（包括60%），甲方有权拒绝支付本次付款。</w:t>
      </w:r>
    </w:p>
    <w:p>
      <w:pPr>
        <w:pStyle w:val="2"/>
        <w:spacing w:line="480"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满意度调查表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28"/>
        <w:gridCol w:w="1485"/>
        <w:gridCol w:w="1935"/>
        <w:gridCol w:w="29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2628" w:type="dxa"/>
            <w:tcBorders>
              <w:right w:val="nil"/>
            </w:tcBorders>
            <w:vAlign w:val="bottom"/>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ind w:left="320" w:hanging="320" w:hangingChars="100"/>
              <w:jc w:val="left"/>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客户满意度调查表：</w:t>
            </w:r>
          </w:p>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调查日期：</w:t>
            </w:r>
          </w:p>
        </w:tc>
        <w:tc>
          <w:tcPr>
            <w:tcW w:w="6375" w:type="dxa"/>
            <w:gridSpan w:val="3"/>
            <w:tcBorders>
              <w:left w:val="nil"/>
            </w:tcBorders>
            <w:vAlign w:val="center"/>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eastAsia"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003" w:type="dxa"/>
            <w:gridSpan w:val="4"/>
            <w:vAlign w:val="top"/>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2628"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被调查项目组</w:t>
            </w:r>
          </w:p>
        </w:tc>
        <w:tc>
          <w:tcPr>
            <w:tcW w:w="3420" w:type="dxa"/>
            <w:gridSpan w:val="2"/>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调查人</w:t>
            </w:r>
          </w:p>
        </w:tc>
        <w:tc>
          <w:tcPr>
            <w:tcW w:w="3420" w:type="dxa"/>
            <w:gridSpan w:val="2"/>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客户单位</w:t>
            </w:r>
          </w:p>
        </w:tc>
        <w:tc>
          <w:tcPr>
            <w:tcW w:w="3420" w:type="dxa"/>
            <w:gridSpan w:val="2"/>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填表人</w:t>
            </w:r>
          </w:p>
        </w:tc>
        <w:tc>
          <w:tcPr>
            <w:tcW w:w="148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c>
          <w:tcPr>
            <w:tcW w:w="1935" w:type="dxa"/>
          </w:tcPr>
          <w:p>
            <w:pPr>
              <w:pStyle w:val="2"/>
              <w:keepNext w:val="0"/>
              <w:keepLines w:val="0"/>
              <w:pageBreakBefore w:val="0"/>
              <w:widowControl w:val="0"/>
              <w:numPr>
                <w:ilvl w:val="0"/>
                <w:numId w:val="2"/>
              </w:numPr>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mail</w:t>
            </w: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联系电话</w:t>
            </w:r>
          </w:p>
        </w:tc>
        <w:tc>
          <w:tcPr>
            <w:tcW w:w="148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c>
          <w:tcPr>
            <w:tcW w:w="193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填表日期</w:t>
            </w: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3" w:type="dxa"/>
            <w:gridSpan w:val="4"/>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3" w:type="dxa"/>
            <w:gridSpan w:val="4"/>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调查内容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8" w:type="dxa"/>
            <w:gridSpan w:val="3"/>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满意度打分（满分为100）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3" w:type="dxa"/>
            <w:gridSpan w:val="4"/>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项目服务情况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8" w:type="dxa"/>
            <w:gridSpan w:val="3"/>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服务专业性（50分）</w:t>
            </w: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8" w:type="dxa"/>
            <w:gridSpan w:val="3"/>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服务流程安排质量（30分）</w:t>
            </w: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8" w:type="dxa"/>
            <w:gridSpan w:val="3"/>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服务态度反馈（20分）</w:t>
            </w: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48" w:type="dxa"/>
            <w:gridSpan w:val="3"/>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综合得分</w:t>
            </w:r>
          </w:p>
        </w:tc>
        <w:tc>
          <w:tcPr>
            <w:tcW w:w="2955" w:type="dxa"/>
          </w:tcPr>
          <w:p>
            <w:pPr>
              <w:pStyle w:val="2"/>
              <w:keepNext w:val="0"/>
              <w:keepLines w:val="0"/>
              <w:pageBreakBefore w:val="0"/>
              <w:widowControl w:val="0"/>
              <w:kinsoku/>
              <w:wordWrap/>
              <w:overflowPunct/>
              <w:topLinePunct w:val="0"/>
              <w:autoSpaceDE/>
              <w:autoSpaceDN/>
              <w:bidi w:val="0"/>
              <w:adjustRightInd/>
              <w:snapToGrid w:val="0"/>
              <w:spacing w:before="157" w:beforeLines="50" w:after="157" w:afterLines="50" w:line="240" w:lineRule="auto"/>
              <w:jc w:val="left"/>
              <w:textAlignment w:val="auto"/>
              <w:rPr>
                <w:rFonts w:hint="default" w:ascii="仿宋_GB2312" w:hAnsi="仿宋_GB2312" w:eastAsia="仿宋_GB2312" w:cs="仿宋_GB2312"/>
                <w:sz w:val="32"/>
                <w:szCs w:val="32"/>
                <w:vertAlign w:val="baseline"/>
                <w:lang w:val="en-US" w:eastAsia="zh-CN"/>
              </w:rPr>
            </w:pPr>
          </w:p>
        </w:tc>
      </w:tr>
    </w:tbl>
    <w:p>
      <w:pPr>
        <w:pStyle w:val="2"/>
        <w:spacing w:line="360" w:lineRule="auto"/>
        <w:ind w:firstLine="640" w:firstLineChars="200"/>
        <w:rPr>
          <w:rFonts w:hint="eastAsia" w:ascii="仿宋_GB2312" w:hAnsi="仿宋_GB2312" w:eastAsia="仿宋_GB2312" w:cs="仿宋_GB2312"/>
          <w:sz w:val="32"/>
          <w:szCs w:val="32"/>
          <w:lang w:val="zh-CN" w:eastAsia="zh-CN"/>
        </w:rPr>
      </w:pPr>
    </w:p>
    <w:p>
      <w:pPr>
        <w:numPr>
          <w:ilvl w:val="0"/>
          <w:numId w:val="1"/>
        </w:numPr>
        <w:spacing w:line="560" w:lineRule="exact"/>
        <w:ind w:left="-10" w:leftChars="0" w:firstLine="640" w:firstLine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付款条件及续约安排</w:t>
      </w:r>
    </w:p>
    <w:p>
      <w:pPr>
        <w:widowControl w:val="0"/>
        <w:numPr>
          <w:ilvl w:val="0"/>
          <w:numId w:val="0"/>
        </w:numPr>
        <w:spacing w:line="480" w:lineRule="auto"/>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甲方按月向乙方付款，每次付款前乙方须向甲方出具付款通知书，并出具合法有效的发票。</w:t>
      </w:r>
    </w:p>
    <w:p>
      <w:pPr>
        <w:widowControl w:val="0"/>
        <w:numPr>
          <w:ilvl w:val="0"/>
          <w:numId w:val="0"/>
        </w:numPr>
        <w:spacing w:line="480" w:lineRule="auto"/>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合同生效后，在甲方收到乙方书面付款通知书、足额有效的发票及对项目服务工作成果验收合格后的15个工作日内，甲方支付乙方合同每月服务费用的100%。</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本项服务采购根据我司与南航企补项目的合作而定，确保合作的同时，为了保持项目发展的稳定性和持续性，合同服务到期后，服务双方可根据上年度合同期限内服务质量等方面进行评价考量，且合同内容、金额等未发生实质性变化、市场价格未发生不利变化的，到期后可以续签合同，续签次数为2次，每次续签合同期限不超过1年。</w:t>
      </w:r>
    </w:p>
    <w:p>
      <w:pPr>
        <w:pStyle w:val="2"/>
        <w:rPr>
          <w:rFonts w:hint="eastAsia"/>
          <w:lang w:val="en-US" w:eastAsia="zh-CN"/>
        </w:rPr>
      </w:pPr>
    </w:p>
    <w:p>
      <w:pPr>
        <w:pStyle w:val="2"/>
        <w:ind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该项目最高限价</w:t>
      </w:r>
      <w:r>
        <w:rPr>
          <w:rFonts w:hint="eastAsia" w:ascii="仿宋_GB2312" w:hAnsi="仿宋_GB2312" w:eastAsia="仿宋_GB2312" w:cs="仿宋_GB2312"/>
          <w:b/>
          <w:bCs/>
          <w:sz w:val="32"/>
          <w:szCs w:val="32"/>
          <w:u w:val="single"/>
          <w:lang w:val="en-US" w:eastAsia="zh-CN"/>
        </w:rPr>
        <w:t xml:space="preserve">  29.94  </w:t>
      </w:r>
      <w:r>
        <w:rPr>
          <w:rFonts w:hint="eastAsia" w:ascii="仿宋_GB2312" w:hAnsi="仿宋_GB2312" w:eastAsia="仿宋_GB2312" w:cs="仿宋_GB2312"/>
          <w:b/>
          <w:bCs/>
          <w:sz w:val="32"/>
          <w:szCs w:val="32"/>
          <w:lang w:val="en-US" w:eastAsia="zh-CN"/>
        </w:rPr>
        <w:t>万元</w:t>
      </w:r>
    </w:p>
    <w:p>
      <w:pPr>
        <w:pStyle w:val="3"/>
        <w:numPr>
          <w:ilvl w:val="0"/>
          <w:numId w:val="0"/>
        </w:numPr>
        <w:spacing w:before="120" w:after="0"/>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供应商资格条件（须同时满足）</w:t>
      </w:r>
    </w:p>
    <w:p>
      <w:pPr>
        <w:numPr>
          <w:ilvl w:val="0"/>
          <w:numId w:val="0"/>
        </w:num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1.在中华人民共和国境内依照《中华人民共和国公司法》注册的、具有法人资格、符合本磋商文件的要求并承诺提供本次服务的企业；</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2.具有履行合同所必需的设备和专业技术能力； </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3.参加此项采购活动最近三年没有出现违法违规或失信行为，没有骗取中标和严重违约的行为；</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4.单位负责人为同一人或存在控股、管理关系的不同单位，不得参加同一采购项目；</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5.本项目不接受联合体；</w:t>
      </w:r>
    </w:p>
    <w:p>
      <w:pPr>
        <w:pStyle w:val="2"/>
        <w:rPr>
          <w:rFonts w:hint="eastAsia"/>
          <w:lang w:val="en-US" w:eastAsia="zh-CN"/>
        </w:rPr>
      </w:pPr>
    </w:p>
    <w:p>
      <w:pPr>
        <w:pStyle w:val="3"/>
        <w:numPr>
          <w:ilvl w:val="0"/>
          <w:numId w:val="0"/>
        </w:numPr>
        <w:spacing w:before="120" w:after="0"/>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w:t>
      </w:r>
      <w:r>
        <w:rPr>
          <w:rFonts w:hint="eastAsia" w:ascii="黑体" w:hAnsi="黑体" w:eastAsia="黑体" w:cs="黑体"/>
          <w:sz w:val="32"/>
          <w:szCs w:val="32"/>
          <w:lang w:val="en-US" w:eastAsia="zh-CN"/>
        </w:rPr>
        <w:t>磋商</w:t>
      </w:r>
      <w:r>
        <w:rPr>
          <w:rFonts w:hint="eastAsia" w:ascii="黑体" w:hAnsi="黑体" w:eastAsia="黑体" w:cs="黑体"/>
          <w:sz w:val="32"/>
          <w:szCs w:val="32"/>
        </w:rPr>
        <w:t>文件</w:t>
      </w:r>
    </w:p>
    <w:p>
      <w:pPr>
        <w:rPr>
          <w:rFonts w:hint="eastAsia"/>
        </w:rPr>
      </w:pPr>
    </w:p>
    <w:p>
      <w:pPr>
        <w:autoSpaceDN w:val="0"/>
        <w:snapToGrid w:val="0"/>
        <w:spacing w:line="360" w:lineRule="auto"/>
        <w:ind w:firstLine="640" w:firstLineChars="200"/>
        <w:rPr>
          <w:rFonts w:hint="eastAsia" w:ascii="仿宋_GB2312" w:hAnsi="仿宋_GB2312" w:eastAsia="仿宋_GB2312" w:cs="仿宋_GB2312"/>
          <w:color w:val="000000"/>
          <w:sz w:val="32"/>
          <w:szCs w:val="32"/>
          <w:lang w:val="en-US" w:eastAsia="zh-CN"/>
        </w:rPr>
      </w:pPr>
      <w:r>
        <w:rPr>
          <w:rFonts w:hint="eastAsia" w:ascii="仿宋_GB2312" w:eastAsia="仿宋_GB2312" w:hAnsiTheme="majorEastAsia"/>
          <w:color w:val="000000"/>
          <w:sz w:val="32"/>
          <w:szCs w:val="32"/>
        </w:rPr>
        <w:t>参加磋商的供应商应按一式</w:t>
      </w:r>
      <w:r>
        <w:rPr>
          <w:rFonts w:hint="eastAsia" w:ascii="仿宋_GB2312" w:eastAsia="仿宋_GB2312" w:hAnsiTheme="majorEastAsia"/>
          <w:color w:val="000000"/>
          <w:sz w:val="32"/>
          <w:szCs w:val="32"/>
          <w:lang w:eastAsia="zh-CN"/>
        </w:rPr>
        <w:t>两</w:t>
      </w:r>
      <w:r>
        <w:rPr>
          <w:rFonts w:hint="eastAsia" w:ascii="仿宋_GB2312" w:eastAsia="仿宋_GB2312" w:hAnsiTheme="majorEastAsia"/>
          <w:color w:val="000000"/>
          <w:sz w:val="32"/>
          <w:szCs w:val="32"/>
        </w:rPr>
        <w:t>份（正本</w:t>
      </w:r>
      <w:r>
        <w:rPr>
          <w:rFonts w:hint="eastAsia" w:ascii="仿宋_GB2312" w:eastAsia="仿宋_GB2312" w:hAnsiTheme="majorEastAsia"/>
          <w:color w:val="000000"/>
          <w:sz w:val="32"/>
          <w:szCs w:val="32"/>
          <w:lang w:eastAsia="zh-CN"/>
        </w:rPr>
        <w:t>壹</w:t>
      </w:r>
      <w:r>
        <w:rPr>
          <w:rFonts w:hint="eastAsia" w:ascii="仿宋_GB2312" w:eastAsia="仿宋_GB2312" w:hAnsiTheme="majorEastAsia"/>
          <w:color w:val="000000"/>
          <w:sz w:val="32"/>
          <w:szCs w:val="32"/>
        </w:rPr>
        <w:t>份，副本</w:t>
      </w:r>
      <w:r>
        <w:rPr>
          <w:rFonts w:hint="eastAsia" w:ascii="仿宋_GB2312" w:eastAsia="仿宋_GB2312" w:hAnsiTheme="majorEastAsia"/>
          <w:color w:val="000000"/>
          <w:sz w:val="32"/>
          <w:szCs w:val="32"/>
          <w:lang w:eastAsia="zh-CN"/>
        </w:rPr>
        <w:t>壹</w:t>
      </w:r>
      <w:r>
        <w:rPr>
          <w:rFonts w:hint="eastAsia" w:ascii="仿宋_GB2312" w:eastAsia="仿宋_GB2312" w:hAnsiTheme="majorEastAsia"/>
          <w:color w:val="000000"/>
          <w:sz w:val="32"/>
          <w:szCs w:val="32"/>
        </w:rPr>
        <w:t>份）准备纸质磋商文件</w:t>
      </w:r>
      <w:r>
        <w:rPr>
          <w:rFonts w:hint="eastAsia" w:ascii="仿宋_GB2312" w:eastAsia="仿宋_GB2312" w:hAnsiTheme="majorEastAsia"/>
          <w:color w:val="000000"/>
          <w:sz w:val="32"/>
          <w:szCs w:val="32"/>
          <w:lang w:eastAsia="zh-CN"/>
        </w:rPr>
        <w:t>。</w:t>
      </w:r>
      <w:r>
        <w:rPr>
          <w:rFonts w:hint="eastAsia" w:ascii="仿宋_GB2312" w:eastAsia="仿宋_GB2312" w:hAnsiTheme="majorEastAsia"/>
          <w:color w:val="000000"/>
          <w:sz w:val="32"/>
          <w:szCs w:val="32"/>
        </w:rPr>
        <w:t>若正本与副本有区别则以正本为准。</w:t>
      </w:r>
    </w:p>
    <w:p>
      <w:pPr>
        <w:autoSpaceDN w:val="0"/>
        <w:snapToGrid w:val="0"/>
        <w:spacing w:line="360" w:lineRule="auto"/>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磋商</w:t>
      </w:r>
      <w:r>
        <w:rPr>
          <w:rFonts w:hint="eastAsia" w:ascii="仿宋_GB2312" w:hAnsi="仿宋_GB2312" w:eastAsia="仿宋_GB2312" w:cs="仿宋_GB2312"/>
          <w:color w:val="000000"/>
          <w:sz w:val="32"/>
          <w:szCs w:val="32"/>
        </w:rPr>
        <w:t>文件按以下顺序构成，包含但不限于以下内容：</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供应商承诺与声明（见附件1）</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法定代表人授权委托书（见附件2）</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营业执照</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报价一览表</w:t>
      </w:r>
      <w:r>
        <w:rPr>
          <w:rFonts w:hint="eastAsia" w:ascii="仿宋_GB2312" w:hAnsi="仿宋_GB2312" w:eastAsia="仿宋_GB2312" w:cs="仿宋_GB2312"/>
          <w:color w:val="000000"/>
          <w:sz w:val="32"/>
          <w:szCs w:val="32"/>
        </w:rPr>
        <w:t>（见附件</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，需加盖供应商公章）</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分项报价表（</w:t>
      </w:r>
      <w:r>
        <w:rPr>
          <w:rFonts w:hint="eastAsia" w:ascii="仿宋_GB2312" w:hAnsi="仿宋_GB2312" w:eastAsia="仿宋_GB2312" w:cs="仿宋_GB2312"/>
          <w:color w:val="000000"/>
          <w:sz w:val="32"/>
          <w:szCs w:val="32"/>
        </w:rPr>
        <w:t>见附件</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，需加盖供应商公章）</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商务偏离表（见附件6）</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技术偏离表（见附件7）</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书面声明函 </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见附件8</w:t>
      </w:r>
      <w:r>
        <w:rPr>
          <w:rFonts w:hint="eastAsia" w:ascii="仿宋_GB2312" w:hAnsi="仿宋_GB2312" w:eastAsia="仿宋_GB2312" w:cs="仿宋_GB2312"/>
          <w:color w:val="000000"/>
          <w:sz w:val="32"/>
          <w:szCs w:val="32"/>
          <w:lang w:eastAsia="zh-CN"/>
        </w:rPr>
        <w:t>）</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信息安全采购要求承诺函</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见附件9</w:t>
      </w:r>
      <w:r>
        <w:rPr>
          <w:rFonts w:hint="eastAsia" w:ascii="仿宋_GB2312" w:hAnsi="仿宋_GB2312" w:eastAsia="仿宋_GB2312" w:cs="仿宋_GB2312"/>
          <w:color w:val="000000"/>
          <w:sz w:val="32"/>
          <w:szCs w:val="32"/>
          <w:lang w:eastAsia="zh-CN"/>
        </w:rPr>
        <w:t>）</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供应商基本情况表</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见附件10</w:t>
      </w:r>
      <w:r>
        <w:rPr>
          <w:rFonts w:hint="eastAsia" w:ascii="仿宋_GB2312" w:hAnsi="仿宋_GB2312" w:eastAsia="仿宋_GB2312" w:cs="仿宋_GB2312"/>
          <w:color w:val="000000"/>
          <w:sz w:val="32"/>
          <w:szCs w:val="32"/>
          <w:lang w:eastAsia="zh-CN"/>
        </w:rPr>
        <w:t>）</w:t>
      </w:r>
    </w:p>
    <w:p>
      <w:pPr>
        <w:pStyle w:val="2"/>
        <w:numPr>
          <w:ilvl w:val="0"/>
          <w:numId w:val="3"/>
        </w:numPr>
        <w:spacing w:line="360" w:lineRule="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服务方案</w:t>
      </w:r>
    </w:p>
    <w:p>
      <w:pPr>
        <w:pStyle w:val="3"/>
        <w:spacing w:before="120" w:after="0"/>
        <w:rPr>
          <w:rFonts w:hint="eastAsia" w:ascii="黑体" w:hAnsi="黑体" w:eastAsia="黑体" w:cs="黑体"/>
          <w:sz w:val="32"/>
          <w:szCs w:val="32"/>
        </w:rPr>
      </w:pPr>
      <w:r>
        <w:rPr>
          <w:rFonts w:hint="eastAsia" w:ascii="黑体" w:hAnsi="黑体" w:eastAsia="黑体" w:cs="黑体"/>
          <w:sz w:val="32"/>
          <w:szCs w:val="32"/>
          <w:lang w:val="en-US" w:eastAsia="zh-CN"/>
        </w:rPr>
        <w:t>五</w:t>
      </w:r>
      <w:r>
        <w:rPr>
          <w:rFonts w:hint="eastAsia" w:ascii="黑体" w:hAnsi="黑体" w:eastAsia="黑体" w:cs="黑体"/>
          <w:sz w:val="32"/>
          <w:szCs w:val="32"/>
        </w:rPr>
        <w:t>、磋商流程</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（一）供应商按时到达现场并签到；</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（二）供应商按签到顺序进行方案陈述，每位供应商陈述时间均限定在20分钟内（请供应商做好方案陈述的准备工作，包括准备方案陈述词及多媒体演示文档等，陈述用电脑由供应商自备）；</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（三）评审小组与供应商进行交流沟通；</w:t>
      </w:r>
    </w:p>
    <w:p>
      <w:pPr>
        <w:spacing w:line="60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（四）磋商结束，评审小组进行综合评分。</w:t>
      </w:r>
    </w:p>
    <w:p>
      <w:pPr>
        <w:pStyle w:val="3"/>
        <w:spacing w:before="120" w:after="0"/>
        <w:rPr>
          <w:rFonts w:hint="eastAsia" w:ascii="黑体" w:hAnsi="黑体" w:eastAsia="黑体" w:cs="黑体"/>
          <w:sz w:val="28"/>
          <w:szCs w:val="28"/>
        </w:rPr>
      </w:pPr>
      <w:r>
        <w:rPr>
          <w:rFonts w:hint="eastAsia" w:ascii="黑体" w:hAnsi="黑体" w:eastAsia="黑体" w:cs="黑体"/>
          <w:sz w:val="28"/>
          <w:szCs w:val="28"/>
          <w:lang w:val="en-US" w:eastAsia="zh-CN"/>
        </w:rPr>
        <w:t>六</w:t>
      </w:r>
      <w:r>
        <w:rPr>
          <w:rFonts w:hint="eastAsia" w:ascii="黑体" w:hAnsi="黑体" w:eastAsia="黑体" w:cs="黑体"/>
          <w:sz w:val="28"/>
          <w:szCs w:val="28"/>
        </w:rPr>
        <w:t>、联系人</w:t>
      </w:r>
    </w:p>
    <w:p>
      <w:pPr>
        <w:autoSpaceDN w:val="0"/>
        <w:snapToGrid w:val="0"/>
        <w:spacing w:line="600" w:lineRule="exact"/>
        <w:ind w:firstLine="64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联系人姓名：马志刚</w:t>
      </w:r>
    </w:p>
    <w:p>
      <w:pPr>
        <w:autoSpaceDN w:val="0"/>
        <w:snapToGrid w:val="0"/>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联系电话：</w:t>
      </w:r>
      <w:r>
        <w:rPr>
          <w:rFonts w:hint="eastAsia" w:ascii="仿宋_GB2312" w:hAnsi="仿宋_GB2312" w:eastAsia="仿宋_GB2312" w:cs="仿宋_GB2312"/>
          <w:sz w:val="32"/>
          <w:szCs w:val="32"/>
        </w:rPr>
        <w:t>13500019848</w:t>
      </w:r>
    </w:p>
    <w:p>
      <w:pPr>
        <w:pStyle w:val="2"/>
        <w:rPr>
          <w:rFonts w:hint="eastAsia" w:ascii="仿宋_GB2312" w:hAnsi="仿宋_GB2312" w:eastAsia="仿宋_GB2312" w:cs="仿宋_GB2312"/>
          <w:color w:val="000000"/>
          <w:sz w:val="32"/>
          <w:szCs w:val="32"/>
          <w:lang w:val="en-US" w:eastAsia="zh-CN"/>
        </w:rPr>
      </w:pPr>
    </w:p>
    <w:p>
      <w:pPr>
        <w:autoSpaceDN w:val="0"/>
        <w:snapToGrid w:val="0"/>
        <w:spacing w:line="600" w:lineRule="exact"/>
        <w:rPr>
          <w:rFonts w:hint="eastAsia" w:ascii="仿宋_GB2312" w:hAnsi="仿宋_GB2312" w:eastAsia="仿宋_GB2312" w:cs="仿宋_GB2312"/>
          <w:color w:val="000000"/>
          <w:kern w:val="2"/>
          <w:sz w:val="32"/>
          <w:szCs w:val="32"/>
          <w:lang w:val="en-US" w:eastAsia="zh-CN" w:bidi="ar-SA"/>
        </w:rPr>
      </w:pPr>
    </w:p>
    <w:p>
      <w:pPr>
        <w:autoSpaceDN w:val="0"/>
        <w:snapToGrid w:val="0"/>
        <w:spacing w:line="600" w:lineRule="exact"/>
        <w:rPr>
          <w:rFonts w:hint="eastAsia" w:ascii="仿宋_GB2312" w:hAnsi="仿宋_GB2312" w:eastAsia="仿宋_GB2312" w:cs="仿宋_GB2312"/>
          <w:color w:val="000000"/>
          <w:sz w:val="32"/>
          <w:szCs w:val="32"/>
          <w:lang w:eastAsia="zh-CN"/>
        </w:rPr>
      </w:pPr>
    </w:p>
    <w:p>
      <w:pPr>
        <w:autoSpaceDN w:val="0"/>
        <w:snapToGrid w:val="0"/>
        <w:spacing w:line="600" w:lineRule="exact"/>
        <w:jc w:val="righ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中国人民财产保险股份有限公司</w:t>
      </w:r>
    </w:p>
    <w:p>
      <w:pPr>
        <w:autoSpaceDN w:val="0"/>
        <w:snapToGrid w:val="0"/>
        <w:spacing w:line="600" w:lineRule="exact"/>
        <w:jc w:val="righ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  广州</w:t>
      </w:r>
      <w:r>
        <w:rPr>
          <w:rFonts w:hint="eastAsia" w:ascii="仿宋_GB2312" w:hAnsi="仿宋_GB2312" w:eastAsia="仿宋_GB2312" w:cs="仿宋_GB2312"/>
          <w:color w:val="000000"/>
          <w:sz w:val="32"/>
          <w:szCs w:val="32"/>
        </w:rPr>
        <w:t>分公司</w:t>
      </w:r>
      <w:r>
        <w:rPr>
          <w:rFonts w:hint="eastAsia" w:ascii="仿宋_GB2312" w:hAnsi="仿宋_GB2312" w:eastAsia="仿宋_GB2312" w:cs="仿宋_GB2312"/>
          <w:color w:val="000000"/>
          <w:sz w:val="32"/>
          <w:szCs w:val="32"/>
          <w:lang w:val="en-US" w:eastAsia="zh-CN"/>
        </w:rPr>
        <w:t>珠江支公司</w:t>
      </w:r>
    </w:p>
    <w:p>
      <w:pPr>
        <w:autoSpaceDN w:val="0"/>
        <w:snapToGrid w:val="0"/>
        <w:spacing w:line="600" w:lineRule="exact"/>
        <w:jc w:val="right"/>
        <w:rPr>
          <w:rFonts w:hint="eastAsia" w:ascii="仿宋_GB2312" w:hAnsi="仿宋_GB2312" w:eastAsia="仿宋_GB2312" w:cs="仿宋_GB2312"/>
          <w:color w:val="000000"/>
          <w:sz w:val="32"/>
          <w:szCs w:val="32"/>
          <w:lang w:val="en-US" w:eastAsia="zh-CN"/>
        </w:rPr>
        <w:sectPr>
          <w:headerReference r:id="rId3" w:type="default"/>
          <w:footerReference r:id="rId4" w:type="default"/>
          <w:pgSz w:w="11906" w:h="16838"/>
          <w:pgMar w:top="1418" w:right="1418" w:bottom="1418" w:left="1701" w:header="851" w:footer="992" w:gutter="0"/>
          <w:cols w:space="425" w:num="1"/>
          <w:docGrid w:type="lines" w:linePitch="312" w:charSpace="0"/>
        </w:sectPr>
      </w:pPr>
      <w:r>
        <w:rPr>
          <w:rFonts w:hint="eastAsia" w:ascii="仿宋_GB2312" w:hAnsi="仿宋_GB2312" w:eastAsia="仿宋_GB2312" w:cs="仿宋_GB2312"/>
          <w:color w:val="000000"/>
          <w:sz w:val="32"/>
          <w:szCs w:val="32"/>
          <w:lang w:val="en-US" w:eastAsia="zh-CN"/>
        </w:rPr>
        <w:t xml:space="preserve">  2024年05月23</w:t>
      </w:r>
      <w:bookmarkStart w:id="3" w:name="_GoBack"/>
      <w:bookmarkEnd w:id="3"/>
      <w:r>
        <w:rPr>
          <w:rFonts w:hint="eastAsia" w:ascii="仿宋_GB2312" w:hAnsi="仿宋_GB2312" w:eastAsia="仿宋_GB2312" w:cs="仿宋_GB2312"/>
          <w:color w:val="000000"/>
          <w:sz w:val="32"/>
          <w:szCs w:val="32"/>
          <w:lang w:val="en-US" w:eastAsia="zh-CN"/>
        </w:rPr>
        <w:t>日</w:t>
      </w:r>
    </w:p>
    <w:p>
      <w:pPr>
        <w:pStyle w:val="3"/>
        <w:rPr>
          <w:rFonts w:asciiTheme="majorEastAsia" w:hAnsiTheme="majorEastAsia" w:eastAsiaTheme="majorEastAsia"/>
          <w:sz w:val="28"/>
          <w:szCs w:val="28"/>
        </w:rPr>
      </w:pPr>
      <w:r>
        <w:rPr>
          <w:rFonts w:asciiTheme="majorEastAsia" w:hAnsiTheme="majorEastAsia" w:eastAsiaTheme="majorEastAsia"/>
          <w:sz w:val="28"/>
          <w:szCs w:val="28"/>
        </w:rPr>
        <w:t>附件1</w:t>
      </w:r>
      <w:r>
        <w:rPr>
          <w:rFonts w:hint="eastAsia" w:asciiTheme="majorEastAsia" w:hAnsiTheme="majorEastAsia" w:eastAsiaTheme="majorEastAsia"/>
          <w:sz w:val="28"/>
          <w:szCs w:val="28"/>
        </w:rPr>
        <w:t>：供应商承诺与声明</w:t>
      </w:r>
    </w:p>
    <w:p>
      <w:pPr>
        <w:jc w:val="center"/>
        <w:rPr>
          <w:rFonts w:hint="eastAsia" w:ascii="宋体" w:hAnsi="宋体" w:eastAsia="宋体" w:cs="宋体"/>
          <w:color w:val="333333"/>
          <w:kern w:val="0"/>
          <w:sz w:val="8"/>
          <w:szCs w:val="8"/>
        </w:rPr>
      </w:pPr>
      <w:r>
        <w:rPr>
          <w:rFonts w:hint="eastAsia" w:ascii="宋体" w:hAnsi="宋体" w:eastAsia="宋体" w:cs="宋体"/>
          <w:b/>
          <w:bCs/>
          <w:snapToGrid w:val="0"/>
          <w:color w:val="333333"/>
          <w:kern w:val="0"/>
          <w:sz w:val="40"/>
          <w:szCs w:val="40"/>
        </w:rPr>
        <w:t>供应商承诺与声明</w:t>
      </w:r>
    </w:p>
    <w:p>
      <w:pPr>
        <w:widowControl/>
        <w:adjustRightInd w:val="0"/>
        <w:snapToGrid w:val="0"/>
        <w:spacing w:line="329" w:lineRule="auto"/>
        <w:rPr>
          <w:rFonts w:hint="eastAsia" w:ascii="仿宋_GB2312" w:hAnsi="仿宋_GB2312" w:eastAsia="仿宋_GB2312" w:cs="仿宋_GB2312"/>
          <w:color w:val="333333"/>
          <w:kern w:val="0"/>
          <w:sz w:val="32"/>
          <w:szCs w:val="32"/>
          <w:lang w:eastAsia="zh-CN"/>
        </w:rPr>
      </w:pPr>
      <w:r>
        <w:rPr>
          <w:rFonts w:hint="eastAsia" w:ascii="仿宋_GB2312" w:hAnsi="仿宋_GB2312" w:eastAsia="仿宋_GB2312" w:cs="仿宋_GB2312"/>
          <w:b/>
          <w:color w:val="333333"/>
          <w:kern w:val="0"/>
          <w:sz w:val="32"/>
          <w:szCs w:val="32"/>
        </w:rPr>
        <w:t>致：中国人民财产保险股份有限公司</w:t>
      </w:r>
      <w:r>
        <w:rPr>
          <w:rFonts w:hint="eastAsia" w:ascii="仿宋_GB2312" w:hAnsi="仿宋_GB2312" w:eastAsia="仿宋_GB2312" w:cs="仿宋_GB2312"/>
          <w:b/>
          <w:color w:val="333333"/>
          <w:kern w:val="0"/>
          <w:sz w:val="32"/>
          <w:szCs w:val="32"/>
          <w:lang w:val="en-US" w:eastAsia="zh-CN"/>
        </w:rPr>
        <w:t>广州市</w:t>
      </w:r>
      <w:r>
        <w:rPr>
          <w:rFonts w:hint="eastAsia" w:ascii="仿宋_GB2312" w:hAnsi="仿宋_GB2312" w:eastAsia="仿宋_GB2312" w:cs="仿宋_GB2312"/>
          <w:b/>
          <w:color w:val="333333"/>
          <w:kern w:val="0"/>
          <w:sz w:val="32"/>
          <w:szCs w:val="32"/>
          <w:lang w:eastAsia="zh-CN"/>
        </w:rPr>
        <w:t>分公司</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一、_______________________(以下简称我方)认识到中国人民财产保险股份有限公司</w:t>
      </w:r>
      <w:r>
        <w:rPr>
          <w:rFonts w:hint="eastAsia" w:ascii="仿宋_GB2312" w:hAnsi="仿宋_GB2312" w:eastAsia="仿宋_GB2312" w:cs="仿宋_GB2312"/>
          <w:color w:val="333333"/>
          <w:kern w:val="0"/>
          <w:sz w:val="32"/>
          <w:szCs w:val="32"/>
          <w:lang w:val="en-US" w:eastAsia="zh-CN"/>
        </w:rPr>
        <w:t>广州市</w:t>
      </w:r>
      <w:r>
        <w:rPr>
          <w:rFonts w:hint="eastAsia" w:ascii="仿宋_GB2312" w:hAnsi="仿宋_GB2312" w:eastAsia="仿宋_GB2312" w:cs="仿宋_GB2312"/>
          <w:color w:val="333333"/>
          <w:kern w:val="0"/>
          <w:sz w:val="32"/>
          <w:szCs w:val="32"/>
          <w:lang w:eastAsia="zh-CN"/>
        </w:rPr>
        <w:t>分公司</w:t>
      </w:r>
      <w:r>
        <w:rPr>
          <w:rFonts w:hint="eastAsia" w:ascii="仿宋_GB2312" w:hAnsi="仿宋_GB2312" w:eastAsia="仿宋_GB2312" w:cs="仿宋_GB2312"/>
          <w:color w:val="333333"/>
          <w:kern w:val="0"/>
          <w:sz w:val="32"/>
          <w:szCs w:val="32"/>
        </w:rPr>
        <w:t>采购（以下简称贵方）为企业采购，非政府采购。</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二、我方承诺遵守贵方有关集中采购管理和供应商管理的相关规定、履行相应义务。</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三、在采购过程中，我方将认真阅读贵方邀请文件，完全理解邀请文件的内容，并保证严格保密文件内容，不泄露贵方任何信息。</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本承诺文件所称“保密信息”特指在“采购过程中”由贵方以任何形式向我方提供的在披露之时不为公众所知晓的商业、技术及管理信息，包括但不限于：专有技术、保密资料、商业秘密、商业计划、投资信息、财务信息、营销策略、产品信息、技术资料等。在提供“保密信息”时，该等“保密信息”已经为公众所知的不在此列。</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我方承诺不以任何方式将 贵方“保密信息”发布或披露给任何人，除了那些因为参与“采购”有必要知道该“保密信息”的我方或我方的雇员、咨询顾问；当且仅当我方、其雇员及咨询顾问受到雇用协议或其他书面协议所规定的不低于本协议保密义务的约束。</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四、我方保证所递交的投标文件、资格证明、产品资料、合同等文件内容的真实性、有效性；愿意承担虚构信息及伪造资格证明、合同等违背诚实信用原则导致的一切不利后果。我方所提交的投标文件构成要约，经贵方承诺，我方即受上述文件中意思表示的约束；贵方所发出的邀请文件等行为不被视为要约。</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五、未经贵方书面许可，我方承诺不在市场宣传中使用与贵方的合作案例，不将贵方作为业务合作伙伴进行宣传，不使用贵方的商标、标志语、徽标等。</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六、在采购过程中，我方承诺不做任何可能影响正当交易的行为。</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七、我方承诺根据贵方的要求提供我方供应产品的市场参考价格，并保证该数据的真实性与时效性；我方提供不实或虚假数据的，自愿接受录入贵方供应商诚信档案记录的不利后果。</w:t>
      </w:r>
    </w:p>
    <w:p>
      <w:pPr>
        <w:autoSpaceDE w:val="0"/>
        <w:autoSpaceDN w:val="0"/>
        <w:adjustRightIn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八、如果我方（包括咨询顾问、董事、雇员、代理人和代表）违反或未履行本承诺与声明书下的任何规定、保证及陈述，我方将对因违反或未履行承诺书的规定而对贵方造成的直接损失进行赔偿。</w:t>
      </w:r>
    </w:p>
    <w:p>
      <w:pPr>
        <w:autoSpaceDE w:val="0"/>
        <w:autoSpaceDN w:val="0"/>
        <w:adjustRightIn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九、我方承诺</w:t>
      </w:r>
      <w:r>
        <w:rPr>
          <w:rFonts w:hint="eastAsia" w:ascii="仿宋_GB2312" w:hAnsi="仿宋_GB2312" w:eastAsia="仿宋_GB2312" w:cs="仿宋_GB2312"/>
          <w:color w:val="333333"/>
          <w:kern w:val="0"/>
          <w:sz w:val="32"/>
          <w:szCs w:val="32"/>
          <w:lang w:eastAsia="zh-CN"/>
        </w:rPr>
        <w:t>不将本项目全部或部分工作分包或转包第三方承担。</w:t>
      </w:r>
    </w:p>
    <w:p>
      <w:pPr>
        <w:widowControl/>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lang w:eastAsia="zh-CN"/>
        </w:rPr>
        <w:t>十</w:t>
      </w:r>
      <w:r>
        <w:rPr>
          <w:rFonts w:hint="eastAsia" w:ascii="仿宋_GB2312" w:hAnsi="仿宋_GB2312" w:eastAsia="仿宋_GB2312" w:cs="仿宋_GB2312"/>
          <w:color w:val="333333"/>
          <w:kern w:val="0"/>
          <w:sz w:val="32"/>
          <w:szCs w:val="32"/>
        </w:rPr>
        <w:t>、采购过程中涉及函件往来的，请使用我方以下地址及联系方式：</w:t>
      </w:r>
    </w:p>
    <w:p>
      <w:pPr>
        <w:widowControl/>
        <w:adjustRightInd w:val="0"/>
        <w:snapToGrid w:val="0"/>
        <w:spacing w:line="329" w:lineRule="auto"/>
        <w:ind w:firstLine="640" w:firstLineChars="200"/>
        <w:jc w:val="left"/>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公司名称（全称、盖章）：________________</w:t>
      </w:r>
    </w:p>
    <w:p>
      <w:pPr>
        <w:widowControl/>
        <w:adjustRightInd w:val="0"/>
        <w:snapToGrid w:val="0"/>
        <w:spacing w:line="329" w:lineRule="auto"/>
        <w:ind w:right="640"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法定代表人姓名、职务：__________________</w:t>
      </w:r>
    </w:p>
    <w:p>
      <w:pPr>
        <w:widowControl/>
        <w:adjustRightInd w:val="0"/>
        <w:snapToGrid w:val="0"/>
        <w:spacing w:line="329" w:lineRule="auto"/>
        <w:ind w:right="640"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邮编：__________地址：__________________</w:t>
      </w:r>
    </w:p>
    <w:p>
      <w:pPr>
        <w:widowControl/>
        <w:adjustRightInd w:val="0"/>
        <w:snapToGrid w:val="0"/>
        <w:spacing w:line="329" w:lineRule="auto"/>
        <w:ind w:right="640"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电话：__________传真：__________________</w:t>
      </w:r>
    </w:p>
    <w:p>
      <w:pPr>
        <w:adjustRightInd w:val="0"/>
        <w:snapToGrid w:val="0"/>
        <w:spacing w:line="329" w:lineRule="auto"/>
        <w:ind w:firstLine="640" w:firstLineChars="200"/>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color w:val="333333"/>
          <w:kern w:val="0"/>
          <w:sz w:val="32"/>
          <w:szCs w:val="32"/>
        </w:rPr>
        <w:t>法定代表人或授权代表签字：______________</w:t>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pStyle w:val="3"/>
        <w:rPr>
          <w:rFonts w:hint="eastAsia" w:ascii="宋体" w:hAnsi="宋体" w:eastAsia="宋体" w:cs="宋体"/>
          <w:sz w:val="28"/>
          <w:szCs w:val="28"/>
        </w:rPr>
      </w:pPr>
      <w:r>
        <w:rPr>
          <w:rFonts w:hint="eastAsia" w:ascii="宋体" w:hAnsi="宋体" w:eastAsia="宋体" w:cs="宋体"/>
          <w:sz w:val="28"/>
          <w:szCs w:val="28"/>
        </w:rPr>
        <w:t>附件2：法定代表人授权委托书</w:t>
      </w:r>
    </w:p>
    <w:p>
      <w:pPr>
        <w:spacing w:line="420" w:lineRule="exact"/>
        <w:jc w:val="center"/>
        <w:rPr>
          <w:rFonts w:hint="eastAsia" w:ascii="宋体" w:hAnsi="宋体" w:eastAsia="宋体" w:cs="宋体"/>
          <w:b/>
          <w:bCs/>
          <w:sz w:val="40"/>
          <w:szCs w:val="40"/>
        </w:rPr>
      </w:pPr>
      <w:r>
        <w:rPr>
          <w:rFonts w:hint="eastAsia" w:ascii="宋体" w:hAnsi="宋体" w:eastAsia="宋体" w:cs="宋体"/>
          <w:b/>
          <w:bCs/>
          <w:sz w:val="40"/>
          <w:szCs w:val="40"/>
        </w:rPr>
        <w:t>法定代表人授权委托书</w:t>
      </w:r>
    </w:p>
    <w:p>
      <w:pPr>
        <w:spacing w:line="420" w:lineRule="exact"/>
        <w:rPr>
          <w:rFonts w:hint="eastAsia" w:ascii="宋体" w:hAnsi="宋体" w:eastAsia="宋体" w:cs="宋体"/>
          <w:sz w:val="28"/>
          <w:szCs w:val="21"/>
        </w:rPr>
      </w:pPr>
    </w:p>
    <w:p>
      <w:pPr>
        <w:spacing w:line="420" w:lineRule="exact"/>
        <w:ind w:firstLine="688" w:firstLineChars="200"/>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本人作为</w:t>
      </w:r>
      <w:r>
        <w:rPr>
          <w:rFonts w:hint="eastAsia" w:ascii="仿宋_GB2312" w:hAnsi="仿宋_GB2312" w:eastAsia="仿宋_GB2312" w:cs="仿宋_GB2312"/>
          <w:spacing w:val="32"/>
          <w:sz w:val="28"/>
          <w:szCs w:val="21"/>
          <w:u w:val="single"/>
        </w:rPr>
        <w:t xml:space="preserve">   （投标人名称）   </w:t>
      </w:r>
      <w:r>
        <w:rPr>
          <w:rFonts w:hint="eastAsia" w:ascii="仿宋_GB2312" w:hAnsi="仿宋_GB2312" w:eastAsia="仿宋_GB2312" w:cs="仿宋_GB2312"/>
          <w:spacing w:val="32"/>
          <w:sz w:val="28"/>
          <w:szCs w:val="21"/>
        </w:rPr>
        <w:t>的法定代表人，在此授权我企业的</w:t>
      </w:r>
      <w:r>
        <w:rPr>
          <w:rFonts w:hint="eastAsia" w:ascii="仿宋_GB2312" w:hAnsi="仿宋_GB2312" w:eastAsia="仿宋_GB2312" w:cs="仿宋_GB2312"/>
          <w:spacing w:val="32"/>
          <w:sz w:val="28"/>
          <w:szCs w:val="21"/>
          <w:u w:val="single"/>
        </w:rPr>
        <w:t xml:space="preserve">      </w:t>
      </w:r>
      <w:r>
        <w:rPr>
          <w:rFonts w:hint="eastAsia" w:ascii="仿宋_GB2312" w:hAnsi="仿宋_GB2312" w:eastAsia="仿宋_GB2312" w:cs="仿宋_GB2312"/>
          <w:spacing w:val="32"/>
          <w:sz w:val="28"/>
          <w:szCs w:val="21"/>
        </w:rPr>
        <w:t>，作为我的合法的代理人，以我的名义并代表我企业全权处理</w:t>
      </w:r>
      <w:r>
        <w:rPr>
          <w:rFonts w:hint="eastAsia" w:ascii="仿宋_GB2312" w:hAnsi="仿宋_GB2312" w:eastAsia="仿宋_GB2312" w:cs="仿宋_GB2312"/>
          <w:spacing w:val="32"/>
          <w:sz w:val="28"/>
          <w:szCs w:val="21"/>
          <w:u w:val="single"/>
        </w:rPr>
        <w:t xml:space="preserve">（项目名称）  </w:t>
      </w:r>
      <w:r>
        <w:rPr>
          <w:rFonts w:hint="eastAsia" w:ascii="仿宋_GB2312" w:hAnsi="仿宋_GB2312" w:eastAsia="仿宋_GB2312" w:cs="仿宋_GB2312"/>
          <w:spacing w:val="32"/>
          <w:sz w:val="28"/>
          <w:szCs w:val="21"/>
        </w:rPr>
        <w:t>项目竞争性</w:t>
      </w:r>
      <w:r>
        <w:rPr>
          <w:rFonts w:hint="eastAsia" w:ascii="仿宋_GB2312" w:hAnsi="仿宋_GB2312" w:eastAsia="仿宋_GB2312" w:cs="仿宋_GB2312"/>
          <w:spacing w:val="32"/>
          <w:sz w:val="28"/>
          <w:szCs w:val="21"/>
          <w:lang w:val="en-US" w:eastAsia="zh-CN"/>
        </w:rPr>
        <w:t>磋商</w:t>
      </w:r>
      <w:r>
        <w:rPr>
          <w:rFonts w:hint="eastAsia" w:ascii="仿宋_GB2312" w:hAnsi="仿宋_GB2312" w:eastAsia="仿宋_GB2312" w:cs="仿宋_GB2312"/>
          <w:spacing w:val="32"/>
          <w:sz w:val="28"/>
          <w:szCs w:val="21"/>
        </w:rPr>
        <w:t>的以下事宜：</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   1、                                                            </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   2、                                                           </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   3、                                                            </w:t>
      </w:r>
    </w:p>
    <w:p>
      <w:pPr>
        <w:spacing w:line="420" w:lineRule="exact"/>
        <w:rPr>
          <w:rFonts w:hint="eastAsia" w:ascii="仿宋_GB2312" w:hAnsi="仿宋_GB2312" w:eastAsia="仿宋_GB2312" w:cs="仿宋_GB2312"/>
          <w:spacing w:val="32"/>
          <w:sz w:val="28"/>
          <w:szCs w:val="21"/>
        </w:rPr>
      </w:pPr>
    </w:p>
    <w:p>
      <w:pPr>
        <w:spacing w:line="420" w:lineRule="exact"/>
        <w:ind w:firstLine="688" w:firstLineChars="200"/>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在此授权范围和期限内，被授权人所实施的行为具有法律效力，授权人予以认可。</w:t>
      </w:r>
    </w:p>
    <w:p>
      <w:pPr>
        <w:spacing w:line="420" w:lineRule="exact"/>
        <w:rPr>
          <w:rFonts w:hint="eastAsia" w:ascii="仿宋_GB2312" w:hAnsi="仿宋_GB2312" w:eastAsia="仿宋_GB2312" w:cs="仿宋_GB2312"/>
          <w:spacing w:val="32"/>
          <w:sz w:val="28"/>
          <w:szCs w:val="21"/>
        </w:rPr>
      </w:pPr>
    </w:p>
    <w:p>
      <w:pPr>
        <w:spacing w:line="420" w:lineRule="exact"/>
        <w:rPr>
          <w:rFonts w:hint="eastAsia" w:ascii="仿宋_GB2312" w:hAnsi="仿宋_GB2312" w:eastAsia="仿宋_GB2312" w:cs="仿宋_GB2312"/>
          <w:spacing w:val="32"/>
          <w:sz w:val="28"/>
          <w:szCs w:val="21"/>
        </w:rPr>
      </w:pPr>
    </w:p>
    <w:p>
      <w:pPr>
        <w:spacing w:line="420" w:lineRule="exact"/>
        <w:rPr>
          <w:rFonts w:hint="eastAsia" w:ascii="仿宋_GB2312" w:hAnsi="仿宋_GB2312" w:eastAsia="仿宋_GB2312" w:cs="仿宋_GB2312"/>
          <w:spacing w:val="32"/>
          <w:sz w:val="28"/>
          <w:szCs w:val="21"/>
        </w:rPr>
      </w:pP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投标人名称：                  （盖章）</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                       </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                                                    </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法定代表人：   </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（盖章或签字）                     </w:t>
      </w:r>
    </w:p>
    <w:p>
      <w:pPr>
        <w:spacing w:line="420" w:lineRule="exact"/>
        <w:ind w:firstLine="8885" w:firstLineChars="2583"/>
        <w:rPr>
          <w:rFonts w:hint="eastAsia" w:ascii="仿宋_GB2312" w:hAnsi="仿宋_GB2312" w:eastAsia="仿宋_GB2312" w:cs="仿宋_GB2312"/>
          <w:spacing w:val="32"/>
          <w:sz w:val="28"/>
          <w:szCs w:val="21"/>
        </w:rPr>
      </w:pPr>
    </w:p>
    <w:p>
      <w:pPr>
        <w:spacing w:line="420" w:lineRule="exact"/>
        <w:rPr>
          <w:rFonts w:hint="eastAsia" w:ascii="仿宋_GB2312" w:hAnsi="仿宋_GB2312" w:eastAsia="仿宋_GB2312" w:cs="仿宋_GB2312"/>
          <w:spacing w:val="32"/>
          <w:sz w:val="28"/>
          <w:szCs w:val="21"/>
        </w:rPr>
      </w:pPr>
    </w:p>
    <w:p>
      <w:pPr>
        <w:spacing w:line="420" w:lineRule="exact"/>
        <w:rPr>
          <w:rFonts w:hint="eastAsia" w:ascii="仿宋_GB2312" w:hAnsi="仿宋_GB2312" w:eastAsia="仿宋_GB2312" w:cs="仿宋_GB2312"/>
          <w:spacing w:val="32"/>
          <w:sz w:val="28"/>
          <w:szCs w:val="21"/>
        </w:rPr>
      </w:pP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 xml:space="preserve"> 被授权代理人：                     </w:t>
      </w: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（盖章或签字）</w:t>
      </w:r>
    </w:p>
    <w:p>
      <w:pPr>
        <w:spacing w:line="420" w:lineRule="exact"/>
        <w:rPr>
          <w:rFonts w:hint="eastAsia" w:ascii="仿宋_GB2312" w:hAnsi="仿宋_GB2312" w:eastAsia="仿宋_GB2312" w:cs="仿宋_GB2312"/>
          <w:spacing w:val="32"/>
          <w:sz w:val="28"/>
          <w:szCs w:val="21"/>
        </w:rPr>
      </w:pPr>
    </w:p>
    <w:p>
      <w:pPr>
        <w:spacing w:line="420" w:lineRule="exact"/>
        <w:rPr>
          <w:rFonts w:hint="eastAsia" w:ascii="仿宋_GB2312" w:hAnsi="仿宋_GB2312" w:eastAsia="仿宋_GB2312" w:cs="仿宋_GB2312"/>
          <w:spacing w:val="32"/>
          <w:sz w:val="28"/>
          <w:szCs w:val="21"/>
        </w:rPr>
      </w:pPr>
      <w:r>
        <w:rPr>
          <w:rFonts w:hint="eastAsia" w:ascii="仿宋_GB2312" w:hAnsi="仿宋_GB2312" w:eastAsia="仿宋_GB2312" w:cs="仿宋_GB2312"/>
          <w:spacing w:val="32"/>
          <w:sz w:val="28"/>
          <w:szCs w:val="21"/>
        </w:rPr>
        <w:t>日 期：    年    月    日</w:t>
      </w:r>
    </w:p>
    <w:p>
      <w:pPr>
        <w:pStyle w:val="2"/>
        <w:rPr>
          <w:b/>
          <w:bCs/>
          <w:sz w:val="28"/>
          <w:szCs w:val="32"/>
        </w:rPr>
      </w:pPr>
      <w:r>
        <w:rPr>
          <w:rFonts w:hint="eastAsia" w:ascii="仿宋_GB2312" w:hAnsi="仿宋_GB2312" w:eastAsia="仿宋_GB2312" w:cs="仿宋_GB2312"/>
          <w:spacing w:val="32"/>
          <w:sz w:val="28"/>
          <w:szCs w:val="18"/>
        </w:rPr>
        <w:br w:type="page"/>
      </w:r>
      <w:r>
        <w:rPr>
          <w:rFonts w:hint="eastAsia"/>
          <w:b/>
          <w:bCs/>
          <w:sz w:val="28"/>
          <w:szCs w:val="32"/>
        </w:rPr>
        <w:t>附件</w:t>
      </w:r>
      <w:r>
        <w:rPr>
          <w:rFonts w:hint="eastAsia"/>
          <w:b/>
          <w:bCs/>
          <w:sz w:val="28"/>
          <w:szCs w:val="32"/>
          <w:lang w:val="en-US" w:eastAsia="zh-CN"/>
        </w:rPr>
        <w:t>3</w:t>
      </w:r>
      <w:r>
        <w:rPr>
          <w:rFonts w:hint="eastAsia"/>
          <w:b/>
          <w:bCs/>
          <w:sz w:val="28"/>
          <w:szCs w:val="32"/>
        </w:rPr>
        <w:t>：评分标准</w:t>
      </w:r>
    </w:p>
    <w:p>
      <w:pPr>
        <w:pStyle w:val="2"/>
        <w:rPr>
          <w:sz w:val="21"/>
          <w:szCs w:val="22"/>
        </w:rPr>
      </w:pPr>
    </w:p>
    <w:p>
      <w:pPr>
        <w:widowControl/>
        <w:adjustRightInd w:val="0"/>
        <w:snapToGrid w:val="0"/>
        <w:spacing w:line="360" w:lineRule="auto"/>
        <w:ind w:firstLine="480"/>
        <w:rPr>
          <w:rFonts w:hint="eastAsia" w:ascii="仿宋_GB2312" w:hAnsi="仿宋_GB2312" w:eastAsia="仿宋_GB2312" w:cs="仿宋_GB2312"/>
          <w:b/>
          <w:color w:val="000000" w:themeColor="text1"/>
          <w:kern w:val="0"/>
          <w:sz w:val="22"/>
          <w14:textFill>
            <w14:solidFill>
              <w14:schemeClr w14:val="tx1"/>
            </w14:solidFill>
          </w14:textFill>
        </w:rPr>
      </w:pPr>
      <w:r>
        <w:rPr>
          <w:rFonts w:hint="eastAsia" w:ascii="仿宋_GB2312" w:hAnsi="仿宋_GB2312" w:eastAsia="仿宋_GB2312" w:cs="仿宋_GB2312"/>
          <w:color w:val="000000" w:themeColor="text1"/>
          <w:kern w:val="0"/>
          <w:sz w:val="22"/>
          <w14:textFill>
            <w14:solidFill>
              <w14:schemeClr w14:val="tx1"/>
            </w14:solidFill>
          </w14:textFill>
        </w:rPr>
        <w:t>采购评审标准由项目</w:t>
      </w:r>
      <w:r>
        <w:rPr>
          <w:rFonts w:hint="eastAsia" w:ascii="仿宋_GB2312" w:hAnsi="仿宋_GB2312" w:eastAsia="仿宋_GB2312" w:cs="仿宋_GB2312"/>
          <w:color w:val="FF0000"/>
          <w:kern w:val="0"/>
          <w:sz w:val="22"/>
        </w:rPr>
        <w:t>价格部分、商务部分和技术部分三项标准</w:t>
      </w:r>
      <w:r>
        <w:rPr>
          <w:rFonts w:hint="eastAsia" w:ascii="仿宋_GB2312" w:hAnsi="仿宋_GB2312" w:eastAsia="仿宋_GB2312" w:cs="仿宋_GB2312"/>
          <w:color w:val="000000" w:themeColor="text1"/>
          <w:kern w:val="0"/>
          <w:sz w:val="22"/>
          <w14:textFill>
            <w14:solidFill>
              <w14:schemeClr w14:val="tx1"/>
            </w14:solidFill>
          </w14:textFill>
        </w:rPr>
        <w:t>构成，评审专家将依据磋商邀请文件要求，结合项目</w:t>
      </w:r>
      <w:r>
        <w:rPr>
          <w:rFonts w:hint="eastAsia" w:ascii="仿宋_GB2312" w:hAnsi="仿宋_GB2312" w:eastAsia="仿宋_GB2312" w:cs="仿宋_GB2312"/>
          <w:color w:val="FF0000"/>
          <w:kern w:val="0"/>
          <w:sz w:val="22"/>
        </w:rPr>
        <w:t>价格部分、商务部分和技术部分等情况</w:t>
      </w:r>
      <w:r>
        <w:rPr>
          <w:rFonts w:hint="eastAsia" w:ascii="仿宋_GB2312" w:hAnsi="仿宋_GB2312" w:eastAsia="仿宋_GB2312" w:cs="仿宋_GB2312"/>
          <w:color w:val="000000" w:themeColor="text1"/>
          <w:kern w:val="0"/>
          <w:sz w:val="22"/>
          <w14:textFill>
            <w14:solidFill>
              <w14:schemeClr w14:val="tx1"/>
            </w14:solidFill>
          </w14:textFill>
        </w:rPr>
        <w:t>进行评分。各有效供应商的综合得分为各评审专家所评分值的算术平均值，若总得分相同，以价格得分高者排序在先。</w:t>
      </w:r>
      <w:r>
        <w:rPr>
          <w:rFonts w:hint="eastAsia" w:ascii="仿宋_GB2312" w:hAnsi="仿宋_GB2312" w:eastAsia="仿宋_GB2312" w:cs="仿宋_GB2312"/>
          <w:b/>
          <w:color w:val="000000" w:themeColor="text1"/>
          <w:kern w:val="0"/>
          <w:sz w:val="22"/>
          <w14:textFill>
            <w14:solidFill>
              <w14:schemeClr w14:val="tx1"/>
            </w14:solidFill>
          </w14:textFill>
        </w:rPr>
        <w:t>将把合同授予被确定为实质上响应磋商文件要求且评标得分最高的供应商。</w:t>
      </w:r>
    </w:p>
    <w:p>
      <w:pPr>
        <w:pStyle w:val="2"/>
        <w:rPr>
          <w:rFonts w:hint="eastAsia"/>
        </w:rPr>
      </w:pPr>
    </w:p>
    <w:p>
      <w:pPr>
        <w:widowControl/>
        <w:adjustRightInd w:val="0"/>
        <w:snapToGrid w:val="0"/>
        <w:spacing w:line="360" w:lineRule="auto"/>
        <w:ind w:firstLine="480"/>
        <w:rPr>
          <w:rFonts w:hint="eastAsia" w:ascii="仿宋_GB2312" w:hAnsi="仿宋_GB2312" w:eastAsia="仿宋_GB2312" w:cs="仿宋_GB2312"/>
          <w:color w:val="000000" w:themeColor="text1"/>
          <w:kern w:val="0"/>
          <w:sz w:val="22"/>
          <w14:textFill>
            <w14:solidFill>
              <w14:schemeClr w14:val="tx1"/>
            </w14:solidFill>
          </w14:textFill>
        </w:rPr>
      </w:pPr>
      <w:r>
        <w:rPr>
          <w:rFonts w:hint="eastAsia" w:ascii="仿宋_GB2312" w:hAnsi="仿宋_GB2312" w:eastAsia="仿宋_GB2312" w:cs="仿宋_GB2312"/>
          <w:color w:val="000000" w:themeColor="text1"/>
          <w:kern w:val="0"/>
          <w:sz w:val="22"/>
          <w14:textFill>
            <w14:solidFill>
              <w14:schemeClr w14:val="tx1"/>
            </w14:solidFill>
          </w14:textFill>
        </w:rPr>
        <w:t>评审标准如下：</w:t>
      </w:r>
    </w:p>
    <w:p>
      <w:pPr>
        <w:pStyle w:val="2"/>
        <w:rPr>
          <w:rFonts w:hint="eastAsia"/>
        </w:rPr>
      </w:pPr>
    </w:p>
    <w:tbl>
      <w:tblPr>
        <w:tblStyle w:val="21"/>
        <w:tblW w:w="9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98"/>
        <w:gridCol w:w="6500"/>
        <w:gridCol w:w="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blHeader/>
          <w:jc w:val="center"/>
        </w:trPr>
        <w:tc>
          <w:tcPr>
            <w:tcW w:w="900" w:type="dxa"/>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r>
              <w:rPr>
                <w:rFonts w:hint="eastAsia" w:ascii="仿宋_GB2312" w:hAnsi="仿宋_GB2312" w:eastAsia="仿宋_GB2312" w:cs="仿宋_GB2312"/>
                <w:b/>
                <w:color w:val="000000"/>
                <w:w w:val="99"/>
                <w:sz w:val="22"/>
                <w:szCs w:val="22"/>
              </w:rPr>
              <w:t>内容</w:t>
            </w:r>
          </w:p>
        </w:tc>
        <w:tc>
          <w:tcPr>
            <w:tcW w:w="1198" w:type="dxa"/>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r>
              <w:rPr>
                <w:rFonts w:hint="eastAsia" w:ascii="仿宋_GB2312" w:hAnsi="仿宋_GB2312" w:eastAsia="仿宋_GB2312" w:cs="仿宋_GB2312"/>
                <w:b/>
                <w:color w:val="000000"/>
                <w:w w:val="99"/>
                <w:sz w:val="22"/>
                <w:szCs w:val="22"/>
              </w:rPr>
              <w:t>评</w:t>
            </w:r>
            <w:r>
              <w:rPr>
                <w:rFonts w:hint="eastAsia" w:ascii="仿宋_GB2312" w:hAnsi="仿宋_GB2312" w:eastAsia="仿宋_GB2312" w:cs="仿宋_GB2312"/>
                <w:b/>
                <w:color w:val="000000"/>
                <w:w w:val="99"/>
                <w:sz w:val="22"/>
                <w:szCs w:val="22"/>
                <w:lang w:val="en-US" w:eastAsia="zh-CN"/>
              </w:rPr>
              <w:t>审</w:t>
            </w:r>
            <w:r>
              <w:rPr>
                <w:rFonts w:hint="eastAsia" w:ascii="仿宋_GB2312" w:hAnsi="仿宋_GB2312" w:eastAsia="仿宋_GB2312" w:cs="仿宋_GB2312"/>
                <w:b/>
                <w:color w:val="000000"/>
                <w:w w:val="99"/>
                <w:sz w:val="22"/>
                <w:szCs w:val="22"/>
              </w:rPr>
              <w:t>因素</w:t>
            </w:r>
          </w:p>
        </w:tc>
        <w:tc>
          <w:tcPr>
            <w:tcW w:w="6500" w:type="dxa"/>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r>
              <w:rPr>
                <w:rFonts w:hint="eastAsia" w:ascii="仿宋_GB2312" w:hAnsi="仿宋_GB2312" w:eastAsia="仿宋_GB2312" w:cs="仿宋_GB2312"/>
                <w:b/>
                <w:color w:val="000000"/>
                <w:w w:val="99"/>
                <w:sz w:val="22"/>
                <w:szCs w:val="22"/>
              </w:rPr>
              <w:t>评分说明</w:t>
            </w:r>
          </w:p>
        </w:tc>
        <w:tc>
          <w:tcPr>
            <w:tcW w:w="728" w:type="dxa"/>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r>
              <w:rPr>
                <w:rFonts w:hint="eastAsia" w:ascii="仿宋_GB2312" w:hAnsi="仿宋_GB2312" w:eastAsia="仿宋_GB2312" w:cs="仿宋_GB2312"/>
                <w:b/>
                <w:color w:val="000000"/>
                <w:w w:val="99"/>
                <w:sz w:val="22"/>
                <w:szCs w:val="2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4" w:hRule="atLeast"/>
          <w:jc w:val="center"/>
        </w:trPr>
        <w:tc>
          <w:tcPr>
            <w:tcW w:w="900" w:type="dxa"/>
            <w:vMerge w:val="restart"/>
            <w:vAlign w:val="center"/>
          </w:tcPr>
          <w:p>
            <w:pPr>
              <w:keepNext w:val="0"/>
              <w:keepLines w:val="0"/>
              <w:suppressLineNumbers w:val="0"/>
              <w:spacing w:before="0" w:beforeAutospacing="0" w:after="0" w:afterAutospacing="0"/>
              <w:ind w:left="0" w:right="0"/>
              <w:jc w:val="center"/>
              <w:rPr>
                <w:rStyle w:val="56"/>
                <w:rFonts w:hint="eastAsia" w:ascii="仿宋_GB2312" w:hAnsi="仿宋_GB2312" w:eastAsia="仿宋_GB2312" w:cs="仿宋_GB2312"/>
                <w:color w:val="000000"/>
                <w:kern w:val="2"/>
                <w:sz w:val="22"/>
                <w:szCs w:val="22"/>
                <w:lang w:bidi="ar"/>
              </w:rPr>
            </w:pPr>
            <w:r>
              <w:rPr>
                <w:rStyle w:val="56"/>
                <w:rFonts w:hint="eastAsia" w:ascii="仿宋_GB2312" w:hAnsi="仿宋_GB2312" w:eastAsia="仿宋_GB2312" w:cs="仿宋_GB2312"/>
                <w:color w:val="000000"/>
                <w:kern w:val="2"/>
                <w:sz w:val="22"/>
                <w:szCs w:val="22"/>
                <w:lang w:bidi="ar"/>
              </w:rPr>
              <w:t>价格部分</w:t>
            </w:r>
          </w:p>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bidi="ar"/>
              </w:rPr>
              <w:t>（</w:t>
            </w:r>
            <w:r>
              <w:rPr>
                <w:rStyle w:val="56"/>
                <w:rFonts w:hint="eastAsia" w:ascii="仿宋_GB2312" w:hAnsi="仿宋_GB2312" w:eastAsia="仿宋_GB2312" w:cs="仿宋_GB2312"/>
                <w:color w:val="000000"/>
                <w:kern w:val="2"/>
                <w:sz w:val="22"/>
                <w:szCs w:val="22"/>
                <w:lang w:val="en-US" w:eastAsia="zh-CN" w:bidi="ar"/>
              </w:rPr>
              <w:t>60</w:t>
            </w:r>
            <w:r>
              <w:rPr>
                <w:rStyle w:val="56"/>
                <w:rFonts w:hint="eastAsia" w:ascii="仿宋_GB2312" w:hAnsi="仿宋_GB2312" w:eastAsia="仿宋_GB2312" w:cs="仿宋_GB2312"/>
                <w:color w:val="000000"/>
                <w:kern w:val="2"/>
                <w:sz w:val="22"/>
                <w:szCs w:val="22"/>
                <w:lang w:bidi="ar"/>
              </w:rPr>
              <w:t>分）</w:t>
            </w:r>
          </w:p>
        </w:tc>
        <w:tc>
          <w:tcPr>
            <w:tcW w:w="1198" w:type="dxa"/>
            <w:vAlign w:val="center"/>
          </w:tcPr>
          <w:p>
            <w:pPr>
              <w:keepNext w:val="0"/>
              <w:keepLines w:val="0"/>
              <w:suppressLineNumbers w:val="0"/>
              <w:spacing w:before="0" w:beforeAutospacing="0" w:after="0" w:afterAutospacing="0"/>
              <w:ind w:left="0" w:leftChars="0" w:right="0" w:rightChars="0"/>
              <w:jc w:val="center"/>
              <w:rPr>
                <w:rStyle w:val="56"/>
                <w:rFonts w:hint="default" w:ascii="仿宋_GB2312" w:hAnsi="仿宋_GB2312" w:eastAsia="仿宋_GB2312" w:cs="仿宋_GB2312"/>
                <w:color w:val="000000"/>
                <w:sz w:val="22"/>
                <w:szCs w:val="22"/>
                <w:lang w:val="en-US" w:bidi="ar"/>
              </w:rPr>
            </w:pPr>
            <w:r>
              <w:rPr>
                <w:rStyle w:val="56"/>
                <w:rFonts w:hint="eastAsia" w:ascii="仿宋_GB2312" w:hAnsi="仿宋_GB2312" w:eastAsia="仿宋_GB2312" w:cs="仿宋_GB2312"/>
                <w:color w:val="000000"/>
                <w:kern w:val="2"/>
                <w:sz w:val="22"/>
                <w:szCs w:val="22"/>
                <w:lang w:val="en-US" w:eastAsia="zh-CN" w:bidi="ar"/>
              </w:rPr>
              <w:t>模块一</w:t>
            </w:r>
          </w:p>
        </w:tc>
        <w:tc>
          <w:tcPr>
            <w:tcW w:w="6500" w:type="dxa"/>
            <w:vAlign w:val="center"/>
          </w:tcPr>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b/>
                <w:color w:val="000000"/>
                <w:kern w:val="2"/>
                <w:sz w:val="22"/>
                <w:szCs w:val="22"/>
                <w:lang w:bidi="ar"/>
              </w:rPr>
            </w:pPr>
            <w:r>
              <w:rPr>
                <w:rFonts w:hint="eastAsia" w:ascii="仿宋_GB2312" w:hAnsi="仿宋_GB2312" w:eastAsia="仿宋_GB2312" w:cs="仿宋_GB2312"/>
                <w:b/>
                <w:color w:val="000000"/>
                <w:kern w:val="2"/>
                <w:sz w:val="22"/>
                <w:szCs w:val="22"/>
                <w:lang w:bidi="ar"/>
              </w:rPr>
              <w:t>1、</w:t>
            </w:r>
            <w:r>
              <w:rPr>
                <w:rFonts w:hint="eastAsia" w:ascii="仿宋_GB2312" w:hAnsi="仿宋_GB2312" w:eastAsia="仿宋_GB2312" w:cs="仿宋_GB2312"/>
                <w:b/>
                <w:color w:val="000000"/>
                <w:kern w:val="2"/>
                <w:sz w:val="22"/>
                <w:szCs w:val="22"/>
                <w:lang w:val="en-US" w:eastAsia="zh-CN" w:bidi="ar"/>
              </w:rPr>
              <w:t>一站式结算服务</w:t>
            </w:r>
            <w:r>
              <w:rPr>
                <w:rFonts w:hint="eastAsia" w:ascii="仿宋_GB2312" w:hAnsi="仿宋_GB2312" w:eastAsia="仿宋_GB2312" w:cs="仿宋_GB2312"/>
                <w:b/>
                <w:color w:val="000000"/>
                <w:kern w:val="2"/>
                <w:sz w:val="22"/>
                <w:szCs w:val="22"/>
                <w:lang w:bidi="ar"/>
              </w:rPr>
              <w:t>项目价格分采用低价优先法</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val="en-US" w:eastAsia="zh-CN" w:bidi="ar"/>
              </w:rPr>
              <w:t>1</w:t>
            </w:r>
            <w:r>
              <w:rPr>
                <w:rFonts w:hint="eastAsia" w:ascii="仿宋_GB2312" w:hAnsi="仿宋_GB2312" w:eastAsia="仿宋_GB2312" w:cs="仿宋_GB2312"/>
                <w:color w:val="000000"/>
                <w:kern w:val="2"/>
                <w:sz w:val="22"/>
                <w:szCs w:val="22"/>
                <w:lang w:bidi="ar"/>
              </w:rPr>
              <w:t>）评标价：各有效投标人的含税投标总价。</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val="en-US" w:eastAsia="zh-CN" w:bidi="ar"/>
              </w:rPr>
              <w:t>2</w:t>
            </w:r>
            <w:r>
              <w:rPr>
                <w:rFonts w:hint="eastAsia" w:ascii="仿宋_GB2312" w:hAnsi="仿宋_GB2312" w:eastAsia="仿宋_GB2312" w:cs="仿宋_GB2312"/>
                <w:color w:val="000000"/>
                <w:kern w:val="2"/>
                <w:sz w:val="22"/>
                <w:szCs w:val="22"/>
                <w:lang w:bidi="ar"/>
              </w:rPr>
              <w:t>）评标基准价：满足招标文件要求且最低的有效评标价。</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val="en-US" w:eastAsia="zh-CN" w:bidi="ar"/>
              </w:rPr>
              <w:t>3</w:t>
            </w:r>
            <w:r>
              <w:rPr>
                <w:rFonts w:hint="eastAsia" w:ascii="仿宋_GB2312" w:hAnsi="仿宋_GB2312" w:eastAsia="仿宋_GB2312" w:cs="仿宋_GB2312"/>
                <w:color w:val="000000"/>
                <w:kern w:val="2"/>
                <w:sz w:val="22"/>
                <w:szCs w:val="22"/>
                <w:lang w:bidi="ar"/>
              </w:rPr>
              <w:t>）价格分计算：评标价=评标基准价的投标人，得价格分的满分；其他投标人的价格分按照以下公式计算，并精确到小数点后两位：</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bidi="ar"/>
              </w:rPr>
              <w:t>价格得分＝（评标基准价/该投标人的评标价）*</w:t>
            </w:r>
            <w:r>
              <w:rPr>
                <w:rFonts w:hint="eastAsia" w:ascii="仿宋_GB2312" w:hAnsi="仿宋_GB2312" w:eastAsia="仿宋_GB2312" w:cs="仿宋_GB2312"/>
                <w:color w:val="000000"/>
                <w:kern w:val="2"/>
                <w:sz w:val="22"/>
                <w:szCs w:val="22"/>
                <w:lang w:val="en-US" w:eastAsia="zh-CN" w:bidi="ar"/>
              </w:rPr>
              <w:t>30</w:t>
            </w:r>
            <w:r>
              <w:rPr>
                <w:rFonts w:hint="eastAsia" w:ascii="仿宋_GB2312" w:hAnsi="仿宋_GB2312" w:eastAsia="仿宋_GB2312" w:cs="仿宋_GB2312"/>
                <w:color w:val="000000"/>
                <w:kern w:val="2"/>
                <w:sz w:val="22"/>
                <w:szCs w:val="22"/>
                <w:lang w:bidi="ar"/>
              </w:rPr>
              <w:t>；</w:t>
            </w:r>
          </w:p>
          <w:p>
            <w:pPr>
              <w:pStyle w:val="7"/>
              <w:keepNext w:val="0"/>
              <w:keepLines w:val="0"/>
              <w:suppressLineNumbers w:val="0"/>
              <w:spacing w:before="0" w:beforeAutospacing="0" w:after="0" w:afterAutospacing="0"/>
              <w:ind w:left="0" w:leftChars="0" w:right="0" w:rightChars="0" w:firstLine="0" w:firstLineChars="0"/>
              <w:rPr>
                <w:rStyle w:val="56"/>
                <w:rFonts w:hint="eastAsia" w:ascii="仿宋_GB2312" w:hAnsi="仿宋_GB2312" w:eastAsia="仿宋_GB2312" w:cs="仿宋_GB2312"/>
                <w:color w:val="000000"/>
                <w:sz w:val="22"/>
                <w:szCs w:val="22"/>
                <w:lang w:bidi="ar"/>
              </w:rPr>
            </w:pP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val="en-US" w:bidi="ar"/>
              </w:rPr>
            </w:pPr>
            <w:r>
              <w:rPr>
                <w:rStyle w:val="56"/>
                <w:rFonts w:hint="eastAsia" w:ascii="仿宋_GB2312" w:hAnsi="仿宋_GB2312" w:eastAsia="仿宋_GB2312" w:cs="仿宋_GB2312"/>
                <w:color w:val="000000"/>
                <w:kern w:val="2"/>
                <w:sz w:val="22"/>
                <w:szCs w:val="22"/>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9" w:hRule="atLeast"/>
          <w:jc w:val="center"/>
        </w:trPr>
        <w:tc>
          <w:tcPr>
            <w:tcW w:w="900" w:type="dxa"/>
            <w:vMerge w:val="continue"/>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kern w:val="2"/>
                <w:sz w:val="22"/>
                <w:szCs w:val="22"/>
                <w:lang w:bidi="ar"/>
              </w:rPr>
            </w:pPr>
          </w:p>
        </w:tc>
        <w:tc>
          <w:tcPr>
            <w:tcW w:w="1198" w:type="dxa"/>
            <w:vAlign w:val="center"/>
          </w:tcPr>
          <w:p>
            <w:pPr>
              <w:keepNext w:val="0"/>
              <w:keepLines w:val="0"/>
              <w:suppressLineNumbers w:val="0"/>
              <w:spacing w:before="0" w:beforeAutospacing="0" w:after="0" w:afterAutospacing="0"/>
              <w:ind w:left="0" w:leftChars="0" w:right="0" w:rightChars="0"/>
              <w:jc w:val="center"/>
              <w:rPr>
                <w:rFonts w:hint="default"/>
                <w:lang w:val="en-US" w:eastAsia="zh-CN"/>
              </w:rPr>
            </w:pPr>
            <w:r>
              <w:rPr>
                <w:rFonts w:hint="eastAsia"/>
                <w:lang w:val="en-US" w:eastAsia="zh-CN"/>
              </w:rPr>
              <w:t>模块二</w:t>
            </w:r>
          </w:p>
        </w:tc>
        <w:tc>
          <w:tcPr>
            <w:tcW w:w="6500" w:type="dxa"/>
            <w:vAlign w:val="center"/>
          </w:tcPr>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b/>
                <w:color w:val="000000"/>
                <w:kern w:val="2"/>
                <w:sz w:val="22"/>
                <w:szCs w:val="22"/>
                <w:lang w:bidi="ar"/>
              </w:rPr>
            </w:pPr>
            <w:r>
              <w:rPr>
                <w:rFonts w:hint="eastAsia" w:ascii="仿宋_GB2312" w:hAnsi="仿宋_GB2312" w:eastAsia="仿宋_GB2312" w:cs="仿宋_GB2312"/>
                <w:b/>
                <w:color w:val="000000"/>
                <w:kern w:val="2"/>
                <w:sz w:val="22"/>
                <w:szCs w:val="22"/>
                <w:lang w:val="en-US" w:eastAsia="zh-CN" w:bidi="ar"/>
              </w:rPr>
              <w:t>2</w:t>
            </w:r>
            <w:r>
              <w:rPr>
                <w:rFonts w:hint="eastAsia" w:ascii="仿宋_GB2312" w:hAnsi="仿宋_GB2312" w:eastAsia="仿宋_GB2312" w:cs="仿宋_GB2312"/>
                <w:b/>
                <w:color w:val="000000"/>
                <w:kern w:val="2"/>
                <w:sz w:val="22"/>
                <w:szCs w:val="22"/>
                <w:lang w:bidi="ar"/>
              </w:rPr>
              <w:t>、</w:t>
            </w:r>
            <w:r>
              <w:rPr>
                <w:rFonts w:hint="eastAsia" w:ascii="仿宋_GB2312" w:hAnsi="仿宋_GB2312" w:eastAsia="仿宋_GB2312" w:cs="仿宋_GB2312"/>
                <w:b/>
                <w:color w:val="000000"/>
                <w:kern w:val="2"/>
                <w:sz w:val="22"/>
                <w:szCs w:val="22"/>
                <w:lang w:val="en-US" w:eastAsia="zh-CN" w:bidi="ar"/>
              </w:rPr>
              <w:t>就业绿色通道服务</w:t>
            </w:r>
            <w:r>
              <w:rPr>
                <w:rFonts w:hint="eastAsia" w:ascii="仿宋_GB2312" w:hAnsi="仿宋_GB2312" w:eastAsia="仿宋_GB2312" w:cs="仿宋_GB2312"/>
                <w:b/>
                <w:color w:val="000000"/>
                <w:kern w:val="2"/>
                <w:sz w:val="22"/>
                <w:szCs w:val="22"/>
                <w:lang w:bidi="ar"/>
              </w:rPr>
              <w:t>项目价格分采用低价优先法</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val="en-US" w:eastAsia="zh-CN" w:bidi="ar"/>
              </w:rPr>
              <w:t>1</w:t>
            </w:r>
            <w:r>
              <w:rPr>
                <w:rFonts w:hint="eastAsia" w:ascii="仿宋_GB2312" w:hAnsi="仿宋_GB2312" w:eastAsia="仿宋_GB2312" w:cs="仿宋_GB2312"/>
                <w:color w:val="000000"/>
                <w:kern w:val="2"/>
                <w:sz w:val="22"/>
                <w:szCs w:val="22"/>
                <w:lang w:bidi="ar"/>
              </w:rPr>
              <w:t>）评标价：各有效投标人的含税投标总价。</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val="en-US" w:eastAsia="zh-CN" w:bidi="ar"/>
              </w:rPr>
              <w:t>2</w:t>
            </w:r>
            <w:r>
              <w:rPr>
                <w:rFonts w:hint="eastAsia" w:ascii="仿宋_GB2312" w:hAnsi="仿宋_GB2312" w:eastAsia="仿宋_GB2312" w:cs="仿宋_GB2312"/>
                <w:color w:val="000000"/>
                <w:kern w:val="2"/>
                <w:sz w:val="22"/>
                <w:szCs w:val="22"/>
                <w:lang w:bidi="ar"/>
              </w:rPr>
              <w:t>）评标基准价：满足招标文件要求且最低的有效评标价。</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val="en-US" w:eastAsia="zh-CN" w:bidi="ar"/>
              </w:rPr>
              <w:t>3</w:t>
            </w:r>
            <w:r>
              <w:rPr>
                <w:rFonts w:hint="eastAsia" w:ascii="仿宋_GB2312" w:hAnsi="仿宋_GB2312" w:eastAsia="仿宋_GB2312" w:cs="仿宋_GB2312"/>
                <w:color w:val="000000"/>
                <w:kern w:val="2"/>
                <w:sz w:val="22"/>
                <w:szCs w:val="22"/>
                <w:lang w:bidi="ar"/>
              </w:rPr>
              <w:t>）价格分计算：评标价=评标基准价的投标人，得价格分的满分；其他投标人的价格分按照以下公式计算，并精确到小数点后两位：</w:t>
            </w:r>
          </w:p>
          <w:p>
            <w:pPr>
              <w:keepNext w:val="0"/>
              <w:keepLines w:val="0"/>
              <w:widowControl w:val="0"/>
              <w:suppressLineNumbers w:val="0"/>
              <w:spacing w:before="0" w:beforeAutospacing="0" w:after="0" w:afterAutospacing="0" w:line="240" w:lineRule="auto"/>
              <w:ind w:left="0" w:right="0"/>
              <w:jc w:val="both"/>
              <w:rPr>
                <w:rFonts w:hint="eastAsia" w:ascii="仿宋_GB2312" w:hAnsi="仿宋_GB2312" w:eastAsia="仿宋_GB2312" w:cs="仿宋_GB2312"/>
                <w:color w:val="000000"/>
                <w:kern w:val="2"/>
                <w:sz w:val="22"/>
                <w:szCs w:val="22"/>
                <w:lang w:bidi="ar"/>
              </w:rPr>
            </w:pPr>
            <w:r>
              <w:rPr>
                <w:rFonts w:hint="eastAsia" w:ascii="仿宋_GB2312" w:hAnsi="仿宋_GB2312" w:eastAsia="仿宋_GB2312" w:cs="仿宋_GB2312"/>
                <w:color w:val="000000"/>
                <w:kern w:val="2"/>
                <w:sz w:val="22"/>
                <w:szCs w:val="22"/>
                <w:lang w:bidi="ar"/>
              </w:rPr>
              <w:t>价格得分＝（评标基准价/该投标人的评标价）*</w:t>
            </w:r>
            <w:r>
              <w:rPr>
                <w:rFonts w:hint="eastAsia" w:ascii="仿宋_GB2312" w:hAnsi="仿宋_GB2312" w:eastAsia="仿宋_GB2312" w:cs="仿宋_GB2312"/>
                <w:color w:val="000000"/>
                <w:kern w:val="2"/>
                <w:sz w:val="22"/>
                <w:szCs w:val="22"/>
                <w:lang w:val="en-US" w:eastAsia="zh-CN" w:bidi="ar"/>
              </w:rPr>
              <w:t>30</w:t>
            </w:r>
            <w:r>
              <w:rPr>
                <w:rFonts w:hint="eastAsia" w:ascii="仿宋_GB2312" w:hAnsi="仿宋_GB2312" w:eastAsia="仿宋_GB2312" w:cs="仿宋_GB2312"/>
                <w:color w:val="000000"/>
                <w:kern w:val="2"/>
                <w:sz w:val="22"/>
                <w:szCs w:val="22"/>
                <w:lang w:bidi="ar"/>
              </w:rPr>
              <w:t>；</w:t>
            </w:r>
          </w:p>
          <w:p>
            <w:pPr>
              <w:pStyle w:val="7"/>
              <w:keepNext w:val="0"/>
              <w:keepLines w:val="0"/>
              <w:suppressLineNumbers w:val="0"/>
              <w:spacing w:before="0" w:beforeAutospacing="0" w:after="0" w:afterAutospacing="0"/>
              <w:ind w:left="0" w:leftChars="0" w:right="0" w:rightChars="0" w:firstLine="0" w:firstLineChars="0"/>
              <w:rPr>
                <w:rStyle w:val="56"/>
                <w:rFonts w:hint="eastAsia" w:ascii="仿宋_GB2312" w:hAnsi="仿宋_GB2312" w:eastAsia="仿宋_GB2312" w:cs="仿宋_GB2312"/>
                <w:color w:val="000000"/>
                <w:sz w:val="22"/>
                <w:szCs w:val="22"/>
                <w:lang w:bidi="ar"/>
              </w:rPr>
            </w:pP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default"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3" w:hRule="atLeast"/>
          <w:jc w:val="center"/>
        </w:trPr>
        <w:tc>
          <w:tcPr>
            <w:tcW w:w="900" w:type="dxa"/>
            <w:vAlign w:val="center"/>
          </w:tcPr>
          <w:p>
            <w:pPr>
              <w:keepNext w:val="0"/>
              <w:keepLines w:val="0"/>
              <w:suppressLineNumbers w:val="0"/>
              <w:spacing w:before="0" w:beforeAutospacing="0" w:after="0" w:afterAutospacing="0"/>
              <w:ind w:left="0" w:right="0"/>
              <w:jc w:val="center"/>
              <w:rPr>
                <w:rStyle w:val="56"/>
                <w:rFonts w:hint="eastAsia" w:ascii="仿宋_GB2312" w:hAnsi="仿宋_GB2312" w:eastAsia="仿宋_GB2312" w:cs="仿宋_GB2312"/>
                <w:color w:val="000000"/>
                <w:kern w:val="2"/>
                <w:sz w:val="22"/>
                <w:szCs w:val="22"/>
                <w:lang w:bidi="ar"/>
              </w:rPr>
            </w:pPr>
            <w:r>
              <w:rPr>
                <w:rStyle w:val="56"/>
                <w:rFonts w:hint="eastAsia" w:ascii="仿宋_GB2312" w:hAnsi="仿宋_GB2312" w:eastAsia="仿宋_GB2312" w:cs="仿宋_GB2312"/>
                <w:color w:val="000000"/>
                <w:kern w:val="2"/>
                <w:sz w:val="22"/>
                <w:szCs w:val="22"/>
                <w:lang w:bidi="ar"/>
              </w:rPr>
              <w:t>商务部分</w:t>
            </w:r>
          </w:p>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bidi="ar"/>
              </w:rPr>
              <w:t>（</w:t>
            </w:r>
            <w:r>
              <w:rPr>
                <w:rStyle w:val="56"/>
                <w:rFonts w:hint="eastAsia" w:ascii="仿宋_GB2312" w:hAnsi="仿宋_GB2312" w:eastAsia="仿宋_GB2312" w:cs="仿宋_GB2312"/>
                <w:color w:val="000000"/>
                <w:kern w:val="2"/>
                <w:sz w:val="22"/>
                <w:szCs w:val="22"/>
                <w:lang w:val="en-US" w:eastAsia="zh-CN" w:bidi="ar"/>
              </w:rPr>
              <w:t>5</w:t>
            </w:r>
            <w:r>
              <w:rPr>
                <w:rStyle w:val="56"/>
                <w:rFonts w:hint="eastAsia" w:ascii="仿宋_GB2312" w:hAnsi="仿宋_GB2312" w:eastAsia="仿宋_GB2312" w:cs="仿宋_GB2312"/>
                <w:color w:val="000000"/>
                <w:kern w:val="2"/>
                <w:sz w:val="22"/>
                <w:szCs w:val="22"/>
                <w:lang w:bidi="ar"/>
              </w:rPr>
              <w:t>分）</w:t>
            </w:r>
          </w:p>
        </w:tc>
        <w:tc>
          <w:tcPr>
            <w:tcW w:w="119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企业综合实力</w:t>
            </w:r>
          </w:p>
        </w:tc>
        <w:tc>
          <w:tcPr>
            <w:tcW w:w="6500" w:type="dxa"/>
            <w:vAlign w:val="center"/>
          </w:tcPr>
          <w:p>
            <w:pPr>
              <w:pStyle w:val="7"/>
              <w:keepNext w:val="0"/>
              <w:keepLines w:val="0"/>
              <w:suppressLineNumbers w:val="0"/>
              <w:spacing w:before="0" w:beforeAutospacing="0" w:after="0" w:afterAutospacing="0" w:line="240" w:lineRule="auto"/>
              <w:ind w:left="0" w:right="0" w:firstLine="0"/>
              <w:rPr>
                <w:rStyle w:val="56"/>
                <w:rFonts w:hint="eastAsia" w:ascii="仿宋_GB2312" w:hAnsi="仿宋_GB2312" w:eastAsia="仿宋_GB2312" w:cs="仿宋_GB2312"/>
                <w:color w:val="000000"/>
                <w:kern w:val="2"/>
                <w:sz w:val="22"/>
                <w:szCs w:val="22"/>
                <w:lang w:bidi="ar"/>
              </w:rPr>
            </w:pPr>
            <w:r>
              <w:rPr>
                <w:rStyle w:val="56"/>
                <w:rFonts w:hint="eastAsia" w:ascii="仿宋_GB2312" w:hAnsi="仿宋_GB2312" w:eastAsia="仿宋_GB2312" w:cs="仿宋_GB2312"/>
                <w:color w:val="000000"/>
                <w:kern w:val="2"/>
                <w:sz w:val="22"/>
                <w:szCs w:val="22"/>
                <w:lang w:bidi="ar"/>
              </w:rPr>
              <w:t>根据投标人财务状况、信誉状况、管理体系等情况进行横向比较评分，较强得5分；一般得3-4分；较差得0-2分。</w:t>
            </w:r>
          </w:p>
          <w:p>
            <w:pPr>
              <w:keepNext w:val="0"/>
              <w:keepLines w:val="0"/>
              <w:suppressLineNumbers w:val="0"/>
              <w:spacing w:before="0" w:beforeAutospacing="0" w:after="0" w:afterAutospacing="0"/>
              <w:ind w:left="0" w:leftChars="0" w:right="0" w:rightChars="0"/>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bidi="ar"/>
              </w:rPr>
              <w:t>注：需提供相应证明材料。</w:t>
            </w: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jc w:val="center"/>
        </w:trPr>
        <w:tc>
          <w:tcPr>
            <w:tcW w:w="900" w:type="dxa"/>
            <w:vMerge w:val="restart"/>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r>
              <w:rPr>
                <w:rStyle w:val="56"/>
                <w:rFonts w:hint="eastAsia" w:ascii="仿宋_GB2312" w:hAnsi="仿宋_GB2312" w:eastAsia="仿宋_GB2312" w:cs="仿宋_GB2312"/>
                <w:color w:val="000000"/>
                <w:kern w:val="2"/>
                <w:sz w:val="22"/>
                <w:szCs w:val="22"/>
                <w:lang w:val="en-US" w:eastAsia="zh-CN" w:bidi="ar"/>
              </w:rPr>
              <w:t>技术部分（35分）</w:t>
            </w:r>
          </w:p>
        </w:tc>
        <w:tc>
          <w:tcPr>
            <w:tcW w:w="119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服务方案</w:t>
            </w:r>
          </w:p>
        </w:tc>
        <w:tc>
          <w:tcPr>
            <w:tcW w:w="6500"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根据投标人针对本项目制定的服务方案完整性、全面性、对需求响应的契合度等方面的理解程度及解决办法、服务计划、应急方案等方面进行综合评审。优良8-10分，较好5-7分，一般0-4分。</w:t>
            </w: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 w:hRule="atLeast"/>
          <w:jc w:val="center"/>
        </w:trPr>
        <w:tc>
          <w:tcPr>
            <w:tcW w:w="900"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p>
        </w:tc>
        <w:tc>
          <w:tcPr>
            <w:tcW w:w="1198" w:type="dxa"/>
            <w:vMerge w:val="restart"/>
            <w:vAlign w:val="center"/>
          </w:tcPr>
          <w:p>
            <w:pPr>
              <w:keepNext w:val="0"/>
              <w:keepLines w:val="0"/>
              <w:suppressLineNumbers w:val="0"/>
              <w:spacing w:before="0" w:beforeAutospacing="0" w:after="0" w:afterAutospacing="0"/>
              <w:ind w:left="0" w:right="0"/>
              <w:jc w:val="center"/>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团队配备</w:t>
            </w:r>
          </w:p>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p>
        </w:tc>
        <w:tc>
          <w:tcPr>
            <w:tcW w:w="6500" w:type="dxa"/>
            <w:vAlign w:val="center"/>
          </w:tcPr>
          <w:p>
            <w:pPr>
              <w:keepNext w:val="0"/>
              <w:keepLines w:val="0"/>
              <w:suppressLineNumbers w:val="0"/>
              <w:spacing w:before="0" w:beforeAutospacing="0" w:after="0" w:afterAutospacing="0"/>
              <w:ind w:left="0" w:right="0"/>
              <w:jc w:val="left"/>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投标人需对本项目配置一名项目负责人，提供项目负责人相关专业资格证书，工作履历等有关资料，对项目负责人资质条件评审赋分：</w:t>
            </w:r>
          </w:p>
          <w:p>
            <w:pPr>
              <w:keepNext w:val="0"/>
              <w:keepLines w:val="0"/>
              <w:suppressLineNumbers w:val="0"/>
              <w:spacing w:before="0" w:beforeAutospacing="0" w:after="0" w:afterAutospacing="0"/>
              <w:ind w:left="0" w:right="0"/>
              <w:jc w:val="left"/>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具备具备大学本科学历得1分，硕士研究生及以上学历得2分。</w:t>
            </w:r>
          </w:p>
          <w:p>
            <w:pPr>
              <w:keepNext w:val="0"/>
              <w:keepLines w:val="0"/>
              <w:suppressLineNumbers w:val="0"/>
              <w:spacing w:before="0" w:beforeAutospacing="0" w:after="0" w:afterAutospacing="0"/>
              <w:ind w:left="0" w:right="0"/>
              <w:jc w:val="left"/>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行业工作年限在1年以上得1分，2年以上得2分。</w:t>
            </w:r>
          </w:p>
          <w:p>
            <w:pPr>
              <w:keepNext w:val="0"/>
              <w:keepLines w:val="0"/>
              <w:suppressLineNumbers w:val="0"/>
              <w:spacing w:before="0" w:beforeAutospacing="0" w:after="0" w:afterAutospacing="0"/>
              <w:ind w:left="0" w:leftChars="0" w:right="0" w:rightChars="0"/>
              <w:jc w:val="both"/>
              <w:rPr>
                <w:rFonts w:hint="eastAsia" w:ascii="仿宋_GB2312" w:hAnsi="仿宋_GB2312" w:eastAsia="仿宋_GB2312" w:cs="仿宋_GB2312"/>
                <w:sz w:val="22"/>
              </w:rPr>
            </w:pPr>
            <w:r>
              <w:rPr>
                <w:rStyle w:val="56"/>
                <w:rFonts w:hint="eastAsia" w:ascii="仿宋_GB2312" w:hAnsi="仿宋_GB2312" w:eastAsia="仿宋_GB2312" w:cs="仿宋_GB2312"/>
                <w:color w:val="000000"/>
                <w:kern w:val="2"/>
                <w:sz w:val="22"/>
                <w:szCs w:val="22"/>
                <w:lang w:val="en-US" w:eastAsia="zh-CN" w:bidi="ar"/>
              </w:rPr>
              <w:t>具有医疗专业资格证书得3分。</w:t>
            </w: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 w:hRule="atLeast"/>
          <w:jc w:val="center"/>
        </w:trPr>
        <w:tc>
          <w:tcPr>
            <w:tcW w:w="900"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p>
        </w:tc>
        <w:tc>
          <w:tcPr>
            <w:tcW w:w="1198" w:type="dxa"/>
            <w:vMerge w:val="continue"/>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p>
        </w:tc>
        <w:tc>
          <w:tcPr>
            <w:tcW w:w="6500"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根据投标人所提供项目团队人员配备，职责分工，教育背景、工作经验、技术能力与技术需求书中人员级别、岗位相匹配，横向对比，评价为优得6-8分，较好3-5分，一般0-2分。</w:t>
            </w: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val="en-US" w:bidi="ar"/>
              </w:rPr>
            </w:pPr>
            <w:r>
              <w:rPr>
                <w:rStyle w:val="56"/>
                <w:rFonts w:hint="eastAsia" w:ascii="仿宋_GB2312" w:hAnsi="仿宋_GB2312" w:eastAsia="仿宋_GB2312" w:cs="仿宋_GB2312"/>
                <w:color w:val="000000"/>
                <w:sz w:val="22"/>
                <w:szCs w:val="22"/>
                <w:lang w:val="en-US"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 w:hRule="atLeast"/>
          <w:jc w:val="center"/>
        </w:trPr>
        <w:tc>
          <w:tcPr>
            <w:tcW w:w="900"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p>
        </w:tc>
        <w:tc>
          <w:tcPr>
            <w:tcW w:w="1198" w:type="dxa"/>
            <w:vAlign w:val="center"/>
          </w:tcPr>
          <w:p>
            <w:pPr>
              <w:keepNext w:val="0"/>
              <w:keepLines w:val="0"/>
              <w:suppressLineNumbers w:val="0"/>
              <w:spacing w:before="0" w:beforeAutospacing="0" w:after="0" w:afterAutospacing="0"/>
              <w:ind w:left="0" w:right="0"/>
              <w:jc w:val="center"/>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增值服务</w:t>
            </w:r>
          </w:p>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p>
        </w:tc>
        <w:tc>
          <w:tcPr>
            <w:tcW w:w="6500"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投标人根据对项目需求的理解，提供增值服务方案，对增值服务与本项目需求契合度，方案完整性等方面进行评价，优良4-5分，较好2-3分，一般0-1分。</w:t>
            </w: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 w:hRule="atLeast"/>
          <w:jc w:val="center"/>
        </w:trPr>
        <w:tc>
          <w:tcPr>
            <w:tcW w:w="900" w:type="dxa"/>
            <w:vMerge w:val="continue"/>
            <w:vAlign w:val="center"/>
          </w:tcPr>
          <w:p>
            <w:pPr>
              <w:keepNext w:val="0"/>
              <w:keepLines w:val="0"/>
              <w:suppressLineNumbers w:val="0"/>
              <w:spacing w:before="0" w:beforeAutospacing="0" w:after="0" w:afterAutospacing="0"/>
              <w:ind w:left="0" w:leftChars="0" w:right="0" w:rightChars="0"/>
              <w:jc w:val="center"/>
              <w:rPr>
                <w:rFonts w:hint="eastAsia" w:ascii="仿宋_GB2312" w:hAnsi="仿宋_GB2312" w:eastAsia="仿宋_GB2312" w:cs="仿宋_GB2312"/>
                <w:color w:val="000000"/>
                <w:sz w:val="22"/>
              </w:rPr>
            </w:pPr>
          </w:p>
        </w:tc>
        <w:tc>
          <w:tcPr>
            <w:tcW w:w="1198" w:type="dxa"/>
            <w:vAlign w:val="center"/>
          </w:tcPr>
          <w:p>
            <w:pPr>
              <w:keepNext w:val="0"/>
              <w:keepLines w:val="0"/>
              <w:suppressLineNumbers w:val="0"/>
              <w:spacing w:before="0" w:beforeAutospacing="0" w:after="0" w:afterAutospacing="0"/>
              <w:ind w:left="0" w:right="0"/>
              <w:jc w:val="center"/>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服务水平</w:t>
            </w:r>
          </w:p>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highlight w:val="yellow"/>
                <w:lang w:bidi="ar"/>
              </w:rPr>
            </w:pPr>
          </w:p>
        </w:tc>
        <w:tc>
          <w:tcPr>
            <w:tcW w:w="6500" w:type="dxa"/>
            <w:vAlign w:val="center"/>
          </w:tcPr>
          <w:p>
            <w:pPr>
              <w:keepNext w:val="0"/>
              <w:keepLines w:val="0"/>
              <w:suppressLineNumbers w:val="0"/>
              <w:spacing w:before="0" w:beforeAutospacing="0" w:after="0" w:afterAutospacing="0"/>
              <w:ind w:left="0" w:right="0"/>
              <w:jc w:val="left"/>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供应商具有完善的人员服务体系，服务团队人员稳定、离职率低，得4-5分；</w:t>
            </w:r>
          </w:p>
          <w:p>
            <w:pPr>
              <w:keepNext w:val="0"/>
              <w:keepLines w:val="0"/>
              <w:suppressLineNumbers w:val="0"/>
              <w:spacing w:before="0" w:beforeAutospacing="0" w:after="0" w:afterAutospacing="0"/>
              <w:ind w:left="0" w:right="0"/>
              <w:jc w:val="left"/>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供应商人员服务体系较完善，服务团队人员较稳定、离职率较低，得2-3分；</w:t>
            </w:r>
          </w:p>
          <w:p>
            <w:pPr>
              <w:keepNext w:val="0"/>
              <w:keepLines w:val="0"/>
              <w:suppressLineNumbers w:val="0"/>
              <w:spacing w:before="0" w:beforeAutospacing="0" w:after="0" w:afterAutospacing="0"/>
              <w:ind w:left="0" w:leftChars="0" w:right="0" w:rightChars="0"/>
              <w:jc w:val="left"/>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供应商人员服务体系较差，服务团队人员稳定性差、离职率高，得0-1分。</w:t>
            </w: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sz w:val="22"/>
                <w:szCs w:val="22"/>
                <w:lang w:bidi="ar"/>
              </w:rPr>
            </w:pPr>
            <w:r>
              <w:rPr>
                <w:rStyle w:val="56"/>
                <w:rFonts w:hint="eastAsia" w:ascii="仿宋_GB2312" w:hAnsi="仿宋_GB2312" w:eastAsia="仿宋_GB2312" w:cs="仿宋_GB2312"/>
                <w:color w:val="000000"/>
                <w:kern w:val="2"/>
                <w:sz w:val="22"/>
                <w:szCs w:val="22"/>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8598" w:type="dxa"/>
            <w:gridSpan w:val="3"/>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合计</w:t>
            </w:r>
          </w:p>
        </w:tc>
        <w:tc>
          <w:tcPr>
            <w:tcW w:w="728" w:type="dxa"/>
            <w:vAlign w:val="center"/>
          </w:tcPr>
          <w:p>
            <w:pPr>
              <w:keepNext w:val="0"/>
              <w:keepLines w:val="0"/>
              <w:suppressLineNumbers w:val="0"/>
              <w:spacing w:before="0" w:beforeAutospacing="0" w:after="0" w:afterAutospacing="0"/>
              <w:ind w:left="0" w:leftChars="0" w:right="0" w:rightChars="0"/>
              <w:jc w:val="center"/>
              <w:rPr>
                <w:rStyle w:val="56"/>
                <w:rFonts w:hint="eastAsia" w:ascii="仿宋_GB2312" w:hAnsi="仿宋_GB2312" w:eastAsia="仿宋_GB2312" w:cs="仿宋_GB2312"/>
                <w:color w:val="000000"/>
                <w:kern w:val="2"/>
                <w:sz w:val="22"/>
                <w:szCs w:val="22"/>
                <w:lang w:val="en-US" w:eastAsia="zh-CN" w:bidi="ar"/>
              </w:rPr>
            </w:pPr>
            <w:r>
              <w:rPr>
                <w:rStyle w:val="56"/>
                <w:rFonts w:hint="eastAsia" w:ascii="仿宋_GB2312" w:hAnsi="仿宋_GB2312" w:eastAsia="仿宋_GB2312" w:cs="仿宋_GB2312"/>
                <w:color w:val="000000"/>
                <w:kern w:val="2"/>
                <w:sz w:val="22"/>
                <w:szCs w:val="22"/>
                <w:lang w:val="en-US" w:eastAsia="zh-CN" w:bidi="ar"/>
              </w:rPr>
              <w:t>100</w:t>
            </w:r>
          </w:p>
        </w:tc>
      </w:tr>
    </w:tbl>
    <w:p>
      <w:pPr>
        <w:pStyle w:val="2"/>
        <w:rPr>
          <w:rFonts w:hint="eastAsia" w:asciiTheme="majorEastAsia" w:hAnsiTheme="majorEastAsia" w:eastAsiaTheme="majorEastAsia"/>
          <w:b/>
          <w:bCs/>
          <w:kern w:val="44"/>
          <w:sz w:val="28"/>
          <w:szCs w:val="28"/>
        </w:rPr>
        <w:sectPr>
          <w:pgSz w:w="11906" w:h="16838"/>
          <w:pgMar w:top="1418" w:right="1418" w:bottom="1418" w:left="1701" w:header="851" w:footer="992" w:gutter="0"/>
          <w:cols w:space="425" w:num="1"/>
          <w:docGrid w:type="lines" w:linePitch="312" w:charSpace="0"/>
        </w:sectPr>
      </w:pPr>
    </w:p>
    <w:p>
      <w:pPr>
        <w:pStyle w:val="2"/>
        <w:rPr>
          <w:rFonts w:hint="default" w:eastAsiaTheme="majorEastAsia"/>
          <w:sz w:val="21"/>
          <w:szCs w:val="22"/>
          <w:lang w:val="en-US" w:eastAsia="zh-CN"/>
        </w:rPr>
      </w:pPr>
      <w:r>
        <w:rPr>
          <w:rFonts w:hint="eastAsia" w:asciiTheme="majorEastAsia" w:hAnsiTheme="majorEastAsia" w:eastAsiaTheme="majorEastAsia"/>
          <w:b/>
          <w:bCs/>
          <w:kern w:val="44"/>
          <w:sz w:val="28"/>
          <w:szCs w:val="28"/>
        </w:rPr>
        <w:t>附件</w:t>
      </w:r>
      <w:r>
        <w:rPr>
          <w:rFonts w:hint="eastAsia" w:asciiTheme="majorEastAsia" w:hAnsiTheme="majorEastAsia" w:eastAsiaTheme="majorEastAsia"/>
          <w:b/>
          <w:bCs/>
          <w:kern w:val="44"/>
          <w:sz w:val="28"/>
          <w:szCs w:val="28"/>
          <w:lang w:val="en-US" w:eastAsia="zh-CN"/>
        </w:rPr>
        <w:t>4</w:t>
      </w:r>
      <w:r>
        <w:rPr>
          <w:rFonts w:hint="eastAsia" w:asciiTheme="majorEastAsia" w:hAnsiTheme="majorEastAsia" w:eastAsiaTheme="majorEastAsia"/>
          <w:b/>
          <w:bCs/>
          <w:kern w:val="44"/>
          <w:sz w:val="28"/>
          <w:szCs w:val="28"/>
        </w:rPr>
        <w:t>：</w:t>
      </w:r>
      <w:r>
        <w:rPr>
          <w:rFonts w:hint="eastAsia" w:asciiTheme="majorEastAsia" w:hAnsiTheme="majorEastAsia" w:eastAsiaTheme="majorEastAsia"/>
          <w:b/>
          <w:bCs/>
          <w:kern w:val="44"/>
          <w:sz w:val="28"/>
          <w:szCs w:val="28"/>
          <w:lang w:val="en-US" w:eastAsia="zh-CN"/>
        </w:rPr>
        <w:t>报价一览表</w:t>
      </w:r>
    </w:p>
    <w:p>
      <w:pPr>
        <w:pStyle w:val="2"/>
        <w:rPr>
          <w:sz w:val="21"/>
          <w:szCs w:val="22"/>
        </w:rPr>
      </w:pPr>
    </w:p>
    <w:p>
      <w:pPr>
        <w:pStyle w:val="2"/>
        <w:rPr>
          <w:sz w:val="21"/>
          <w:szCs w:val="22"/>
        </w:rPr>
      </w:pPr>
    </w:p>
    <w:p>
      <w:pPr>
        <w:widowControl/>
        <w:adjustRightInd w:val="0"/>
        <w:snapToGrid w:val="0"/>
        <w:spacing w:line="360" w:lineRule="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供应商名称：</w:t>
      </w:r>
      <w:r>
        <w:rPr>
          <w:rFonts w:hint="eastAsia" w:ascii="仿宋_GB2312" w:hAnsi="仿宋_GB2312" w:eastAsia="仿宋_GB2312" w:cs="仿宋_GB2312"/>
          <w:color w:val="auto"/>
          <w:kern w:val="0"/>
          <w:sz w:val="24"/>
          <w:szCs w:val="24"/>
          <w:u w:val="single"/>
        </w:rPr>
        <w:t xml:space="preserve"> </w:t>
      </w:r>
    </w:p>
    <w:p>
      <w:pPr>
        <w:widowControl/>
        <w:adjustRightInd w:val="0"/>
        <w:snapToGrid w:val="0"/>
        <w:spacing w:line="360" w:lineRule="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24"/>
          <w:szCs w:val="24"/>
        </w:rPr>
        <w:t>项目名称：</w:t>
      </w:r>
    </w:p>
    <w:tbl>
      <w:tblPr>
        <w:tblStyle w:val="21"/>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bidi="ar"/>
              </w:rPr>
              <w:t>（小写人民币元）</w:t>
            </w:r>
          </w:p>
          <w:p>
            <w:pPr>
              <w:adjustRightInd w:val="0"/>
              <w:snapToGrid w:val="0"/>
              <w:spacing w:line="360" w:lineRule="auto"/>
              <w:ind w:firstLine="480"/>
              <w:rPr>
                <w:rFonts w:hint="eastAsia" w:ascii="仿宋_GB2312" w:hAnsi="仿宋_GB2312" w:eastAsia="仿宋_GB2312" w:cs="仿宋_GB2312"/>
                <w:color w:val="auto"/>
                <w:sz w:val="24"/>
                <w:szCs w:val="24"/>
              </w:rPr>
            </w:pPr>
          </w:p>
          <w:p>
            <w:pPr>
              <w:adjustRightInd w:val="0"/>
              <w:snapToGrid w:val="0"/>
              <w:spacing w:line="360" w:lineRule="auto"/>
              <w:ind w:firstLine="480"/>
              <w:rPr>
                <w:rFonts w:hint="eastAsia" w:ascii="仿宋_GB2312" w:hAnsi="仿宋_GB2312" w:eastAsia="仿宋_GB2312" w:cs="仿宋_GB2312"/>
                <w:color w:val="auto"/>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color w:val="auto"/>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color w:val="auto"/>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bidi="ar"/>
              </w:rPr>
              <w:t>（小写人民币元）</w:t>
            </w:r>
          </w:p>
          <w:p>
            <w:pPr>
              <w:adjustRightInd w:val="0"/>
              <w:snapToGrid w:val="0"/>
              <w:spacing w:line="360" w:lineRule="auto"/>
              <w:jc w:val="center"/>
              <w:rPr>
                <w:rFonts w:hint="eastAsia" w:ascii="仿宋_GB2312" w:hAnsi="仿宋_GB2312" w:eastAsia="仿宋_GB2312" w:cs="仿宋_GB2312"/>
                <w:color w:val="auto"/>
                <w:sz w:val="24"/>
                <w:szCs w:val="24"/>
              </w:rPr>
            </w:pPr>
          </w:p>
          <w:p>
            <w:pPr>
              <w:adjustRightInd w:val="0"/>
              <w:snapToGrid w:val="0"/>
              <w:spacing w:line="360" w:lineRule="auto"/>
              <w:rPr>
                <w:rFonts w:hint="eastAsia" w:ascii="仿宋_GB2312" w:hAnsi="仿宋_GB2312" w:eastAsia="仿宋_GB2312" w:cs="仿宋_GB2312"/>
                <w:color w:val="auto"/>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hint="eastAsia" w:ascii="仿宋_GB2312" w:hAnsi="仿宋_GB2312" w:eastAsia="仿宋_GB2312" w:cs="仿宋_GB2312"/>
                <w:color w:val="auto"/>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bidi="ar"/>
              </w:rPr>
              <w:t>（大写人民币元）</w:t>
            </w:r>
          </w:p>
          <w:p>
            <w:pPr>
              <w:adjustRightInd w:val="0"/>
              <w:snapToGrid w:val="0"/>
              <w:spacing w:line="360" w:lineRule="auto"/>
              <w:jc w:val="center"/>
              <w:rPr>
                <w:rFonts w:hint="eastAsia" w:ascii="仿宋_GB2312" w:hAnsi="仿宋_GB2312" w:eastAsia="仿宋_GB2312" w:cs="仿宋_GB2312"/>
                <w:color w:val="auto"/>
                <w:sz w:val="24"/>
                <w:szCs w:val="24"/>
              </w:rPr>
            </w:pPr>
          </w:p>
          <w:p>
            <w:pPr>
              <w:adjustRightInd w:val="0"/>
              <w:snapToGrid w:val="0"/>
              <w:spacing w:line="360" w:lineRule="auto"/>
              <w:jc w:val="center"/>
              <w:rPr>
                <w:rFonts w:hint="eastAsia" w:ascii="仿宋_GB2312" w:hAnsi="仿宋_GB2312" w:eastAsia="仿宋_GB2312" w:cs="仿宋_GB2312"/>
                <w:color w:val="auto"/>
                <w:sz w:val="24"/>
                <w:szCs w:val="24"/>
              </w:rPr>
            </w:pPr>
          </w:p>
          <w:p>
            <w:pPr>
              <w:adjustRightInd w:val="0"/>
              <w:snapToGrid w:val="0"/>
              <w:spacing w:line="360" w:lineRule="auto"/>
              <w:jc w:val="center"/>
              <w:rPr>
                <w:rFonts w:hint="eastAsia" w:ascii="仿宋_GB2312" w:hAnsi="仿宋_GB2312" w:eastAsia="仿宋_GB2312" w:cs="仿宋_GB2312"/>
                <w:color w:val="auto"/>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hint="eastAsia" w:ascii="仿宋_GB2312" w:hAnsi="仿宋_GB2312" w:eastAsia="仿宋_GB2312" w:cs="仿宋_GB2312"/>
                <w:color w:val="auto"/>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rFonts w:hint="eastAsia" w:ascii="仿宋_GB2312" w:hAnsi="仿宋_GB2312" w:eastAsia="仿宋_GB2312" w:cs="仿宋_GB2312"/>
                <w:color w:val="auto"/>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bidi="ar"/>
              </w:rPr>
              <w:t>（大写人民币元）</w:t>
            </w:r>
          </w:p>
          <w:p>
            <w:pPr>
              <w:adjustRightInd w:val="0"/>
              <w:snapToGrid w:val="0"/>
              <w:spacing w:line="360" w:lineRule="auto"/>
              <w:jc w:val="center"/>
              <w:rPr>
                <w:rFonts w:hint="eastAsia" w:ascii="仿宋_GB2312" w:hAnsi="仿宋_GB2312" w:eastAsia="仿宋_GB2312" w:cs="仿宋_GB2312"/>
                <w:color w:val="auto"/>
                <w:sz w:val="24"/>
                <w:szCs w:val="24"/>
              </w:rPr>
            </w:pPr>
          </w:p>
          <w:p>
            <w:pPr>
              <w:adjustRightInd w:val="0"/>
              <w:snapToGrid w:val="0"/>
              <w:spacing w:line="360" w:lineRule="auto"/>
              <w:jc w:val="center"/>
              <w:rPr>
                <w:rFonts w:hint="eastAsia" w:ascii="仿宋_GB2312" w:hAnsi="仿宋_GB2312" w:eastAsia="仿宋_GB2312" w:cs="仿宋_GB2312"/>
                <w:color w:val="auto"/>
                <w:sz w:val="24"/>
                <w:szCs w:val="24"/>
              </w:rPr>
            </w:pPr>
          </w:p>
          <w:p>
            <w:pPr>
              <w:adjustRightInd w:val="0"/>
              <w:snapToGrid w:val="0"/>
              <w:spacing w:line="360" w:lineRule="auto"/>
              <w:jc w:val="center"/>
              <w:rPr>
                <w:rFonts w:hint="eastAsia" w:ascii="仿宋_GB2312" w:hAnsi="仿宋_GB2312" w:eastAsia="仿宋_GB2312" w:cs="仿宋_GB2312"/>
                <w:color w:val="auto"/>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rFonts w:hint="eastAsia" w:ascii="仿宋_GB2312" w:hAnsi="仿宋_GB2312" w:eastAsia="仿宋_GB2312" w:cs="仿宋_GB2312"/>
                <w:color w:val="auto"/>
                <w:sz w:val="20"/>
              </w:rPr>
            </w:pPr>
          </w:p>
        </w:tc>
      </w:tr>
    </w:tbl>
    <w:p>
      <w:pPr>
        <w:widowControl/>
        <w:adjustRightInd w:val="0"/>
        <w:snapToGrid w:val="0"/>
        <w:spacing w:line="360" w:lineRule="auto"/>
        <w:rPr>
          <w:rFonts w:hint="eastAsia" w:ascii="仿宋_GB2312" w:hAnsi="仿宋_GB2312" w:eastAsia="仿宋_GB2312" w:cs="仿宋_GB2312"/>
          <w:color w:val="auto"/>
          <w:kern w:val="0"/>
          <w:sz w:val="24"/>
          <w:szCs w:val="24"/>
        </w:rPr>
      </w:pPr>
    </w:p>
    <w:p>
      <w:pPr>
        <w:widowControl/>
        <w:adjustRightInd w:val="0"/>
        <w:snapToGrid w:val="0"/>
        <w:spacing w:line="360" w:lineRule="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注：</w:t>
      </w:r>
    </w:p>
    <w:p>
      <w:pPr>
        <w:adjustRightInd w:val="0"/>
        <w:snapToGrid w:val="0"/>
        <w:spacing w:line="360" w:lineRule="auto"/>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1、报价一览表及分项报价表一起单独密封提交。</w:t>
      </w:r>
    </w:p>
    <w:p>
      <w:pPr>
        <w:adjustRightInd w:val="0"/>
        <w:snapToGrid w:val="0"/>
        <w:spacing w:line="360" w:lineRule="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bidi="ar"/>
        </w:rPr>
        <w:t>3、“发票类型”应注明“营业税发票”、“增值税专用发票”或“增值税普通发票”。</w:t>
      </w:r>
    </w:p>
    <w:p>
      <w:pPr>
        <w:widowControl/>
        <w:adjustRightInd w:val="0"/>
        <w:snapToGrid w:val="0"/>
        <w:spacing w:line="360" w:lineRule="auto"/>
        <w:rPr>
          <w:rFonts w:hint="eastAsia" w:ascii="仿宋_GB2312" w:hAnsi="仿宋_GB2312" w:eastAsia="仿宋_GB2312" w:cs="仿宋_GB2312"/>
          <w:color w:val="auto"/>
          <w:sz w:val="24"/>
          <w:szCs w:val="24"/>
          <w:lang w:bidi="ar"/>
        </w:rPr>
      </w:pPr>
      <w:r>
        <w:rPr>
          <w:rFonts w:hint="eastAsia" w:ascii="仿宋_GB2312" w:hAnsi="仿宋_GB2312" w:eastAsia="仿宋_GB2312" w:cs="仿宋_GB2312"/>
          <w:color w:val="auto"/>
          <w:sz w:val="24"/>
          <w:szCs w:val="24"/>
          <w:lang w:bidi="ar"/>
        </w:rPr>
        <w:t>4、有关价格及服务声明可填入备注栏内。</w:t>
      </w:r>
    </w:p>
    <w:p>
      <w:pPr>
        <w:widowControl/>
        <w:adjustRightInd w:val="0"/>
        <w:snapToGrid w:val="0"/>
        <w:spacing w:line="360" w:lineRule="auto"/>
        <w:rPr>
          <w:rFonts w:hint="eastAsia" w:ascii="仿宋_GB2312" w:hAnsi="仿宋_GB2312" w:eastAsia="仿宋_GB2312" w:cs="仿宋_GB2312"/>
          <w:color w:val="000000" w:themeColor="text1"/>
          <w:kern w:val="0"/>
          <w:sz w:val="24"/>
          <w:szCs w:val="24"/>
          <w14:textFill>
            <w14:solidFill>
              <w14:schemeClr w14:val="tx1"/>
            </w14:solidFill>
          </w14:textFill>
        </w:rPr>
      </w:pPr>
    </w:p>
    <w:p>
      <w:pPr>
        <w:widowControl/>
        <w:adjustRightInd w:val="0"/>
        <w:snapToGrid w:val="0"/>
        <w:spacing w:line="360" w:lineRule="auto"/>
        <w:rPr>
          <w:rFonts w:hint="eastAsia" w:ascii="仿宋_GB2312" w:hAnsi="仿宋_GB2312" w:eastAsia="仿宋_GB2312" w:cs="仿宋_GB2312"/>
          <w:color w:val="000000" w:themeColor="text1"/>
          <w:kern w:val="0"/>
          <w:sz w:val="24"/>
          <w:szCs w:val="24"/>
          <w:u w:val="single"/>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授权代表签字并加盖公章</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仿宋_GB2312" w:hAnsi="仿宋_GB2312" w:eastAsia="仿宋_GB2312" w:cs="仿宋_GB2312"/>
          <w:color w:val="000000" w:themeColor="text1"/>
          <w:kern w:val="0"/>
          <w:sz w:val="24"/>
          <w:szCs w:val="24"/>
          <w:u w:val="single"/>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日期：</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 xml:space="preserve"> </w:t>
      </w:r>
    </w:p>
    <w:p>
      <w:pPr>
        <w:rPr>
          <w:rFonts w:hint="eastAsia" w:ascii="仿宋_GB2312" w:hAnsi="仿宋_GB2312" w:eastAsia="仿宋_GB2312" w:cs="仿宋_GB2312"/>
          <w:b/>
          <w:bCs/>
          <w:sz w:val="28"/>
          <w:szCs w:val="32"/>
        </w:rPr>
      </w:pPr>
      <w:r>
        <w:rPr>
          <w:rFonts w:hint="eastAsia" w:ascii="仿宋_GB2312" w:hAnsi="仿宋_GB2312" w:eastAsia="仿宋_GB2312" w:cs="仿宋_GB2312"/>
          <w:b/>
          <w:bCs/>
          <w:sz w:val="28"/>
          <w:szCs w:val="32"/>
        </w:rPr>
        <w:br w:type="page"/>
      </w:r>
    </w:p>
    <w:p>
      <w:pPr>
        <w:pStyle w:val="2"/>
        <w:rPr>
          <w:rFonts w:hint="eastAsia" w:ascii="仿宋_GB2312" w:hAnsi="仿宋_GB2312" w:eastAsia="仿宋_GB2312" w:cs="仿宋_GB2312"/>
          <w:b/>
          <w:bCs/>
          <w:sz w:val="28"/>
          <w:szCs w:val="32"/>
        </w:rPr>
        <w:sectPr>
          <w:pgSz w:w="11906" w:h="16838"/>
          <w:pgMar w:top="1418" w:right="1418" w:bottom="1418" w:left="1701" w:header="851" w:footer="992" w:gutter="0"/>
          <w:cols w:space="425" w:num="1"/>
          <w:docGrid w:type="lines" w:linePitch="312" w:charSpace="0"/>
        </w:sectPr>
      </w:pPr>
    </w:p>
    <w:p>
      <w:pPr>
        <w:pStyle w:val="2"/>
        <w:rPr>
          <w:b/>
          <w:bCs/>
          <w:sz w:val="28"/>
          <w:szCs w:val="32"/>
        </w:rPr>
      </w:pPr>
      <w:r>
        <w:rPr>
          <w:rFonts w:hint="eastAsia"/>
          <w:b/>
          <w:bCs/>
          <w:sz w:val="28"/>
          <w:szCs w:val="32"/>
        </w:rPr>
        <w:t>附件</w:t>
      </w:r>
      <w:r>
        <w:rPr>
          <w:rFonts w:hint="eastAsia"/>
          <w:b/>
          <w:bCs/>
          <w:sz w:val="28"/>
          <w:szCs w:val="32"/>
          <w:lang w:val="en-US" w:eastAsia="zh-CN"/>
        </w:rPr>
        <w:t>5</w:t>
      </w:r>
      <w:r>
        <w:rPr>
          <w:rFonts w:hint="eastAsia"/>
          <w:b/>
          <w:bCs/>
          <w:sz w:val="28"/>
          <w:szCs w:val="32"/>
        </w:rPr>
        <w:t>：分项报价表</w:t>
      </w:r>
    </w:p>
    <w:p>
      <w:pPr>
        <w:pStyle w:val="2"/>
        <w:rPr>
          <w:rFonts w:hint="eastAsia"/>
          <w:b/>
          <w:bCs/>
          <w:sz w:val="28"/>
          <w:szCs w:val="32"/>
        </w:rPr>
      </w:pPr>
    </w:p>
    <w:p>
      <w:pPr>
        <w:widowControl/>
        <w:adjustRightInd w:val="0"/>
        <w:snapToGrid w:val="0"/>
        <w:spacing w:line="360" w:lineRule="auto"/>
        <w:jc w:val="center"/>
        <w:rPr>
          <w:rFonts w:ascii="宋体" w:hAnsi="宋体" w:cs="宋体"/>
          <w:b/>
          <w:bCs/>
          <w:color w:val="auto"/>
          <w:kern w:val="0"/>
          <w:sz w:val="24"/>
          <w:szCs w:val="24"/>
        </w:rPr>
      </w:pPr>
      <w:r>
        <w:rPr>
          <w:rFonts w:hint="eastAsia" w:ascii="宋体" w:hAnsi="宋体" w:cs="宋体"/>
          <w:b/>
          <w:bCs/>
          <w:color w:val="auto"/>
          <w:kern w:val="0"/>
          <w:sz w:val="24"/>
          <w:szCs w:val="24"/>
        </w:rPr>
        <w:t>分项报价表</w:t>
      </w:r>
    </w:p>
    <w:p>
      <w:pPr>
        <w:widowControl/>
        <w:adjustRightInd w:val="0"/>
        <w:snapToGrid w:val="0"/>
        <w:spacing w:line="360" w:lineRule="auto"/>
        <w:jc w:val="center"/>
        <w:rPr>
          <w:rFonts w:ascii="宋体" w:hAnsi="宋体" w:cs="宋体"/>
          <w:color w:val="auto"/>
          <w:kern w:val="0"/>
          <w:sz w:val="24"/>
          <w:szCs w:val="24"/>
        </w:rPr>
      </w:pPr>
    </w:p>
    <w:p>
      <w:pPr>
        <w:widowControl/>
        <w:adjustRightInd w:val="0"/>
        <w:snapToGrid w:val="0"/>
        <w:spacing w:line="360" w:lineRule="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供应商名称：</w:t>
      </w:r>
      <w:r>
        <w:rPr>
          <w:rFonts w:hint="eastAsia" w:ascii="仿宋_GB2312" w:hAnsi="仿宋_GB2312" w:eastAsia="仿宋_GB2312" w:cs="仿宋_GB2312"/>
          <w:color w:val="auto"/>
          <w:kern w:val="0"/>
          <w:sz w:val="24"/>
          <w:szCs w:val="24"/>
          <w:u w:val="single"/>
        </w:rPr>
        <w:t xml:space="preserve"> </w:t>
      </w:r>
    </w:p>
    <w:p>
      <w:pPr>
        <w:widowControl/>
        <w:adjustRightInd w:val="0"/>
        <w:snapToGrid w:val="0"/>
        <w:spacing w:line="360" w:lineRule="auto"/>
        <w:rPr>
          <w:rFonts w:hint="eastAsia" w:ascii="仿宋_GB2312" w:hAnsi="仿宋_GB2312" w:eastAsia="仿宋_GB2312" w:cs="仿宋_GB2312"/>
          <w:color w:val="auto"/>
          <w:kern w:val="0"/>
          <w:sz w:val="24"/>
          <w:szCs w:val="24"/>
          <w:u w:val="single"/>
        </w:rPr>
      </w:pPr>
      <w:r>
        <w:rPr>
          <w:rFonts w:hint="eastAsia" w:ascii="仿宋_GB2312" w:hAnsi="仿宋_GB2312" w:eastAsia="仿宋_GB2312" w:cs="仿宋_GB2312"/>
          <w:color w:val="auto"/>
          <w:kern w:val="0"/>
          <w:sz w:val="24"/>
          <w:szCs w:val="24"/>
        </w:rPr>
        <w:t>项目名称：</w:t>
      </w:r>
    </w:p>
    <w:tbl>
      <w:tblPr>
        <w:tblStyle w:val="21"/>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hint="eastAsia" w:ascii="仿宋_GB2312" w:hAnsi="仿宋_GB2312" w:eastAsia="仿宋_GB2312" w:cs="仿宋_GB2312"/>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hint="eastAsia" w:ascii="仿宋_GB2312" w:hAnsi="仿宋_GB2312" w:eastAsia="仿宋_GB2312" w:cs="仿宋_GB2312"/>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hint="eastAsia" w:ascii="仿宋_GB2312" w:hAnsi="仿宋_GB2312" w:eastAsia="仿宋_GB2312" w:cs="仿宋_GB2312"/>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hint="eastAsia" w:ascii="仿宋_GB2312" w:hAnsi="仿宋_GB2312" w:eastAsia="仿宋_GB2312" w:cs="仿宋_GB2312"/>
                <w:color w:val="auto"/>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hint="eastAsia" w:ascii="仿宋_GB2312" w:hAnsi="仿宋_GB2312" w:eastAsia="仿宋_GB2312" w:cs="仿宋_GB2312"/>
                <w:color w:val="auto"/>
                <w:sz w:val="20"/>
              </w:rPr>
            </w:pPr>
            <w:r>
              <w:rPr>
                <w:rFonts w:hint="eastAsia" w:ascii="仿宋_GB2312" w:hAnsi="仿宋_GB2312" w:eastAsia="仿宋_GB2312" w:cs="仿宋_GB2312"/>
                <w:color w:val="auto"/>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hint="eastAsia" w:ascii="仿宋_GB2312" w:hAnsi="仿宋_GB2312" w:eastAsia="仿宋_GB2312" w:cs="仿宋_GB2312"/>
                <w:color w:val="auto"/>
                <w:sz w:val="20"/>
              </w:rPr>
            </w:pPr>
          </w:p>
        </w:tc>
      </w:tr>
    </w:tbl>
    <w:p>
      <w:pPr>
        <w:widowControl/>
        <w:adjustRightInd w:val="0"/>
        <w:snapToGrid w:val="0"/>
        <w:spacing w:line="360" w:lineRule="auto"/>
        <w:rPr>
          <w:rFonts w:hint="eastAsia" w:ascii="仿宋_GB2312" w:hAnsi="仿宋_GB2312" w:eastAsia="仿宋_GB2312" w:cs="仿宋_GB2312"/>
          <w:color w:val="auto"/>
          <w:kern w:val="0"/>
          <w:sz w:val="24"/>
          <w:szCs w:val="24"/>
        </w:rPr>
      </w:pPr>
    </w:p>
    <w:p>
      <w:pPr>
        <w:widowControl/>
        <w:adjustRightInd w:val="0"/>
        <w:snapToGrid w:val="0"/>
        <w:spacing w:line="360" w:lineRule="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注：</w:t>
      </w:r>
    </w:p>
    <w:p>
      <w:pPr>
        <w:adjustRightInd w:val="0"/>
        <w:snapToGrid w:val="0"/>
        <w:spacing w:line="360" w:lineRule="auto"/>
        <w:ind w:firstLine="480" w:firstLineChars="200"/>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1.报价一览表及分项报价表一起单独密封提交。</w:t>
      </w:r>
    </w:p>
    <w:p>
      <w:pPr>
        <w:widowControl/>
        <w:adjustRightInd w:val="0"/>
        <w:snapToGrid w:val="0"/>
        <w:spacing w:line="360" w:lineRule="auto"/>
        <w:ind w:firstLine="48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3.如果按单价计算的结果与总价不一致，以单价为准修正总价。</w:t>
      </w:r>
    </w:p>
    <w:p>
      <w:pPr>
        <w:widowControl/>
        <w:adjustRightInd w:val="0"/>
        <w:snapToGrid w:val="0"/>
        <w:spacing w:line="360" w:lineRule="auto"/>
        <w:ind w:firstLine="480" w:firstLineChars="200"/>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4.供应商可根据实际情况自行扩展表格细项。</w:t>
      </w:r>
    </w:p>
    <w:p>
      <w:pPr>
        <w:widowControl/>
        <w:adjustRightInd w:val="0"/>
        <w:snapToGrid w:val="0"/>
        <w:spacing w:line="360" w:lineRule="auto"/>
        <w:rPr>
          <w:rFonts w:hint="eastAsia" w:ascii="仿宋_GB2312" w:hAnsi="仿宋_GB2312" w:eastAsia="仿宋_GB2312" w:cs="仿宋_GB2312"/>
          <w:color w:val="FF0000"/>
          <w:kern w:val="0"/>
          <w:sz w:val="24"/>
          <w:szCs w:val="24"/>
        </w:rPr>
      </w:pPr>
    </w:p>
    <w:p>
      <w:pPr>
        <w:widowControl/>
        <w:adjustRightInd w:val="0"/>
        <w:snapToGrid w:val="0"/>
        <w:spacing w:line="360" w:lineRule="auto"/>
        <w:rPr>
          <w:rFonts w:hint="eastAsia" w:ascii="仿宋_GB2312" w:hAnsi="仿宋_GB2312" w:eastAsia="仿宋_GB2312" w:cs="仿宋_GB2312"/>
          <w:color w:val="FF0000"/>
          <w:kern w:val="0"/>
          <w:sz w:val="24"/>
          <w:szCs w:val="24"/>
        </w:rPr>
      </w:pPr>
    </w:p>
    <w:p>
      <w:pPr>
        <w:widowControl/>
        <w:adjustRightInd w:val="0"/>
        <w:snapToGrid w:val="0"/>
        <w:spacing w:line="360" w:lineRule="auto"/>
        <w:rPr>
          <w:rFonts w:hint="eastAsia" w:ascii="仿宋_GB2312" w:hAnsi="仿宋_GB2312" w:eastAsia="仿宋_GB2312" w:cs="仿宋_GB2312"/>
          <w:color w:val="000000" w:themeColor="text1"/>
          <w:kern w:val="0"/>
          <w:sz w:val="24"/>
          <w:szCs w:val="24"/>
          <w:u w:val="single"/>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授权代表签字并加盖公章</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仿宋_GB2312" w:hAnsi="仿宋_GB2312" w:eastAsia="仿宋_GB2312" w:cs="仿宋_GB2312"/>
          <w:b/>
          <w:bCs/>
          <w:color w:val="000000" w:themeColor="text1"/>
          <w:kern w:val="0"/>
          <w:sz w:val="24"/>
          <w:szCs w:val="24"/>
          <w14:textFill>
            <w14:solidFill>
              <w14:schemeClr w14:val="tx1"/>
            </w14:solidFill>
          </w14:textFill>
        </w:rPr>
      </w:pPr>
      <w:r>
        <w:rPr>
          <w:rFonts w:hint="eastAsia" w:ascii="仿宋_GB2312" w:hAnsi="仿宋_GB2312" w:eastAsia="仿宋_GB2312" w:cs="仿宋_GB2312"/>
          <w:color w:val="000000" w:themeColor="text1"/>
          <w:kern w:val="0"/>
          <w:sz w:val="24"/>
          <w:szCs w:val="24"/>
          <w14:textFill>
            <w14:solidFill>
              <w14:schemeClr w14:val="tx1"/>
            </w14:solidFill>
          </w14:textFill>
        </w:rPr>
        <w:t>日期：</w:t>
      </w:r>
      <w:r>
        <w:rPr>
          <w:rFonts w:hint="eastAsia" w:ascii="仿宋_GB2312" w:hAnsi="仿宋_GB2312" w:eastAsia="仿宋_GB2312" w:cs="仿宋_GB2312"/>
          <w:color w:val="000000" w:themeColor="text1"/>
          <w:kern w:val="0"/>
          <w:sz w:val="24"/>
          <w:szCs w:val="24"/>
          <w:u w:val="single"/>
          <w14:textFill>
            <w14:solidFill>
              <w14:schemeClr w14:val="tx1"/>
            </w14:solidFill>
          </w14:textFill>
        </w:rPr>
        <w:t xml:space="preserve"> </w:t>
      </w:r>
      <w:bookmarkStart w:id="0" w:name="_Toc127761806"/>
      <w:bookmarkEnd w:id="0"/>
      <w:bookmarkStart w:id="1" w:name="_Toc125183170"/>
      <w:bookmarkEnd w:id="1"/>
      <w:bookmarkStart w:id="2" w:name="_Toc104714659"/>
      <w:bookmarkEnd w:id="2"/>
    </w:p>
    <w:p>
      <w:pPr>
        <w:widowControl/>
        <w:adjustRightInd w:val="0"/>
        <w:snapToGrid w:val="0"/>
        <w:spacing w:line="360" w:lineRule="auto"/>
        <w:rPr>
          <w:rFonts w:hint="eastAsia" w:ascii="仿宋_GB2312" w:hAnsi="仿宋_GB2312" w:eastAsia="仿宋_GB2312" w:cs="仿宋_GB2312"/>
          <w:color w:val="FF0000"/>
          <w:kern w:val="0"/>
          <w:sz w:val="24"/>
          <w:szCs w:val="24"/>
        </w:rPr>
      </w:pPr>
      <w:r>
        <w:rPr>
          <w:rFonts w:hint="eastAsia" w:ascii="仿宋_GB2312" w:hAnsi="仿宋_GB2312" w:eastAsia="仿宋_GB2312" w:cs="仿宋_GB2312"/>
          <w:color w:val="FF0000"/>
          <w:kern w:val="0"/>
          <w:sz w:val="24"/>
          <w:szCs w:val="24"/>
        </w:rPr>
        <w:br w:type="page"/>
      </w:r>
    </w:p>
    <w:p>
      <w:pPr>
        <w:pStyle w:val="2"/>
        <w:rPr>
          <w:rFonts w:hint="eastAsia" w:ascii="仿宋_GB2312" w:hAnsi="仿宋_GB2312" w:eastAsia="仿宋_GB2312" w:cs="仿宋_GB2312"/>
          <w:b/>
          <w:bCs/>
          <w:sz w:val="28"/>
          <w:szCs w:val="32"/>
        </w:rPr>
        <w:sectPr>
          <w:pgSz w:w="11906" w:h="16838"/>
          <w:pgMar w:top="1418" w:right="1418" w:bottom="1418" w:left="1701" w:header="851" w:footer="992" w:gutter="0"/>
          <w:cols w:space="425" w:num="1"/>
          <w:docGrid w:type="lines" w:linePitch="312" w:charSpace="0"/>
        </w:sectPr>
      </w:pPr>
    </w:p>
    <w:p>
      <w:pPr>
        <w:pStyle w:val="2"/>
        <w:rPr>
          <w:rFonts w:hint="eastAsia"/>
          <w:b/>
          <w:bCs/>
          <w:sz w:val="28"/>
          <w:szCs w:val="32"/>
          <w:lang w:val="en-US" w:eastAsia="zh-CN"/>
        </w:rPr>
      </w:pPr>
      <w:r>
        <w:rPr>
          <w:rFonts w:hint="eastAsia"/>
          <w:b/>
          <w:bCs/>
          <w:sz w:val="28"/>
          <w:szCs w:val="32"/>
        </w:rPr>
        <w:t>附件</w:t>
      </w:r>
      <w:r>
        <w:rPr>
          <w:rFonts w:hint="eastAsia"/>
          <w:b/>
          <w:bCs/>
          <w:sz w:val="28"/>
          <w:szCs w:val="32"/>
          <w:lang w:val="en-US" w:eastAsia="zh-CN"/>
        </w:rPr>
        <w:t>6</w:t>
      </w:r>
      <w:r>
        <w:rPr>
          <w:rFonts w:hint="eastAsia"/>
          <w:b/>
          <w:bCs/>
          <w:sz w:val="28"/>
          <w:szCs w:val="32"/>
        </w:rPr>
        <w:t>：</w:t>
      </w:r>
      <w:r>
        <w:rPr>
          <w:rFonts w:hint="eastAsia"/>
          <w:b/>
          <w:bCs/>
          <w:sz w:val="28"/>
          <w:szCs w:val="32"/>
          <w:lang w:val="en-US" w:eastAsia="zh-CN"/>
        </w:rPr>
        <w:t>商务偏离表</w:t>
      </w:r>
    </w:p>
    <w:p>
      <w:pPr>
        <w:widowControl/>
        <w:adjustRightInd w:val="0"/>
        <w:snapToGrid w:val="0"/>
        <w:spacing w:line="360" w:lineRule="auto"/>
        <w:jc w:val="left"/>
        <w:rPr>
          <w:rFonts w:ascii="宋体" w:hAnsi="宋体" w:cs="宋体"/>
          <w:kern w:val="0"/>
          <w:sz w:val="24"/>
          <w:szCs w:val="24"/>
        </w:rPr>
      </w:pPr>
    </w:p>
    <w:p>
      <w:pPr>
        <w:pStyle w:val="2"/>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供应商名称:</w:t>
      </w:r>
      <w:r>
        <w:rPr>
          <w:rFonts w:hint="eastAsia" w:ascii="仿宋_GB2312" w:hAnsi="仿宋_GB2312" w:eastAsia="仿宋_GB2312" w:cs="仿宋_GB2312"/>
          <w:kern w:val="0"/>
          <w:sz w:val="24"/>
          <w:szCs w:val="24"/>
          <w:u w:val="single"/>
        </w:rPr>
        <w:t xml:space="preserve"> </w:t>
      </w:r>
    </w:p>
    <w:p>
      <w:pPr>
        <w:widowControl/>
        <w:adjustRightInd w:val="0"/>
        <w:snapToGrid w:val="0"/>
        <w:spacing w:line="360" w:lineRule="auto"/>
        <w:ind w:hanging="119"/>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项目名称：</w:t>
      </w:r>
      <w:r>
        <w:rPr>
          <w:rFonts w:hint="eastAsia" w:ascii="仿宋_GB2312" w:hAnsi="仿宋_GB2312" w:eastAsia="仿宋_GB2312" w:cs="仿宋_GB2312"/>
          <w:kern w:val="0"/>
          <w:sz w:val="24"/>
          <w:szCs w:val="24"/>
          <w:u w:val="single"/>
        </w:rPr>
        <w:t xml:space="preserve"> </w:t>
      </w:r>
    </w:p>
    <w:tbl>
      <w:tblPr>
        <w:tblStyle w:val="21"/>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磋商文件条款号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磋商文件的合同条款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bl>
    <w:p>
      <w:pPr>
        <w:widowControl/>
        <w:adjustRightInd w:val="0"/>
        <w:snapToGrid w:val="0"/>
        <w:spacing w:line="360" w:lineRule="auto"/>
        <w:rPr>
          <w:rFonts w:hint="eastAsia" w:ascii="仿宋_GB2312" w:hAnsi="仿宋_GB2312" w:eastAsia="仿宋_GB2312" w:cs="仿宋_GB2312"/>
          <w:kern w:val="0"/>
          <w:sz w:val="24"/>
          <w:szCs w:val="24"/>
        </w:rPr>
      </w:pPr>
    </w:p>
    <w:p>
      <w:pPr>
        <w:widowControl/>
        <w:adjustRightInd w:val="0"/>
        <w:snapToGrid w:val="0"/>
        <w:spacing w:line="360" w:lineRule="auto"/>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授权代表签字并加盖公章：</w:t>
      </w:r>
      <w:r>
        <w:rPr>
          <w:rFonts w:hint="eastAsia" w:ascii="仿宋_GB2312" w:hAnsi="仿宋_GB2312" w:eastAsia="仿宋_GB2312" w:cs="仿宋_GB2312"/>
          <w:kern w:val="0"/>
          <w:sz w:val="24"/>
          <w:szCs w:val="24"/>
          <w:u w:val="single"/>
        </w:rPr>
        <w:t xml:space="preserve"> </w:t>
      </w:r>
    </w:p>
    <w:p>
      <w:pPr>
        <w:widowControl/>
        <w:adjustRightInd w:val="0"/>
        <w:snapToGrid w:val="0"/>
        <w:spacing w:line="360" w:lineRule="auto"/>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日期：</w:t>
      </w:r>
      <w:r>
        <w:rPr>
          <w:rFonts w:hint="eastAsia" w:ascii="仿宋_GB2312" w:hAnsi="仿宋_GB2312" w:eastAsia="仿宋_GB2312" w:cs="仿宋_GB2312"/>
          <w:kern w:val="0"/>
          <w:sz w:val="24"/>
          <w:szCs w:val="24"/>
          <w:u w:val="single"/>
        </w:rPr>
        <w:t xml:space="preserve"> </w:t>
      </w:r>
    </w:p>
    <w:p>
      <w:pPr>
        <w:pStyle w:val="2"/>
        <w:rPr>
          <w:rFonts w:hint="eastAsia" w:ascii="仿宋_GB2312" w:hAnsi="仿宋_GB2312" w:eastAsia="仿宋_GB2312" w:cs="仿宋_GB2312"/>
          <w:b/>
          <w:bCs/>
          <w:sz w:val="28"/>
          <w:szCs w:val="32"/>
        </w:rPr>
        <w:sectPr>
          <w:pgSz w:w="11906" w:h="16838"/>
          <w:pgMar w:top="1418" w:right="1418" w:bottom="1418" w:left="1701" w:header="851" w:footer="992" w:gutter="0"/>
          <w:cols w:space="425" w:num="1"/>
          <w:docGrid w:type="lines" w:linePitch="312" w:charSpace="0"/>
        </w:sectPr>
      </w:pPr>
    </w:p>
    <w:p>
      <w:pPr>
        <w:pStyle w:val="2"/>
        <w:rPr>
          <w:rFonts w:hint="eastAsia"/>
          <w:b/>
          <w:bCs/>
          <w:sz w:val="28"/>
          <w:szCs w:val="32"/>
          <w:lang w:val="en-US" w:eastAsia="zh-CN"/>
        </w:rPr>
      </w:pPr>
      <w:r>
        <w:rPr>
          <w:rFonts w:hint="eastAsia"/>
          <w:b/>
          <w:bCs/>
          <w:sz w:val="28"/>
          <w:szCs w:val="32"/>
        </w:rPr>
        <w:t>附件</w:t>
      </w:r>
      <w:r>
        <w:rPr>
          <w:rFonts w:hint="eastAsia"/>
          <w:b/>
          <w:bCs/>
          <w:sz w:val="28"/>
          <w:szCs w:val="32"/>
          <w:lang w:val="en-US" w:eastAsia="zh-CN"/>
        </w:rPr>
        <w:t>7</w:t>
      </w:r>
      <w:r>
        <w:rPr>
          <w:rFonts w:hint="eastAsia"/>
          <w:b/>
          <w:bCs/>
          <w:sz w:val="28"/>
          <w:szCs w:val="32"/>
        </w:rPr>
        <w:t>：</w:t>
      </w:r>
      <w:r>
        <w:rPr>
          <w:rFonts w:hint="eastAsia"/>
          <w:b/>
          <w:bCs/>
          <w:sz w:val="28"/>
          <w:szCs w:val="32"/>
          <w:lang w:val="en-US" w:eastAsia="zh-CN"/>
        </w:rPr>
        <w:t>技术偏离表</w:t>
      </w:r>
    </w:p>
    <w:p>
      <w:pPr>
        <w:pStyle w:val="2"/>
        <w:rPr>
          <w:rFonts w:hint="eastAsia"/>
          <w:b/>
          <w:bCs/>
          <w:sz w:val="28"/>
          <w:szCs w:val="32"/>
          <w:lang w:val="en-US" w:eastAsia="zh-CN"/>
        </w:rPr>
      </w:pPr>
    </w:p>
    <w:p>
      <w:pPr>
        <w:pStyle w:val="2"/>
        <w:rPr>
          <w:rFonts w:hint="eastAsia"/>
          <w:b/>
          <w:bCs/>
          <w:sz w:val="28"/>
          <w:szCs w:val="32"/>
          <w:lang w:val="en-US" w:eastAsia="zh-CN"/>
        </w:rPr>
      </w:pP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供应商名称：</w:t>
      </w:r>
      <w:r>
        <w:rPr>
          <w:rFonts w:hint="eastAsia" w:ascii="仿宋_GB2312" w:hAnsi="仿宋_GB2312" w:eastAsia="仿宋_GB2312" w:cs="仿宋_GB2312"/>
          <w:kern w:val="0"/>
          <w:sz w:val="24"/>
          <w:szCs w:val="24"/>
          <w:u w:val="single"/>
        </w:rPr>
        <w:t xml:space="preserve"> </w:t>
      </w:r>
    </w:p>
    <w:p>
      <w:pPr>
        <w:widowControl/>
        <w:adjustRightInd w:val="0"/>
        <w:snapToGrid w:val="0"/>
        <w:spacing w:line="360" w:lineRule="auto"/>
        <w:ind w:hanging="119"/>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项目名称：</w:t>
      </w:r>
      <w:r>
        <w:rPr>
          <w:rFonts w:hint="eastAsia" w:ascii="仿宋_GB2312" w:hAnsi="仿宋_GB2312" w:eastAsia="仿宋_GB2312" w:cs="仿宋_GB2312"/>
          <w:kern w:val="0"/>
          <w:sz w:val="24"/>
          <w:szCs w:val="24"/>
          <w:u w:val="single"/>
        </w:rPr>
        <w:t xml:space="preserve"> </w:t>
      </w:r>
    </w:p>
    <w:tbl>
      <w:tblPr>
        <w:tblStyle w:val="21"/>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磋商文件条目号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磋商文件的技术条目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bl>
    <w:p>
      <w:pPr>
        <w:widowControl/>
        <w:adjustRightInd w:val="0"/>
        <w:snapToGrid w:val="0"/>
        <w:spacing w:line="360" w:lineRule="auto"/>
        <w:rPr>
          <w:rFonts w:hint="eastAsia" w:ascii="仿宋_GB2312" w:hAnsi="仿宋_GB2312" w:eastAsia="仿宋_GB2312" w:cs="仿宋_GB2312"/>
          <w:kern w:val="0"/>
          <w:sz w:val="24"/>
          <w:szCs w:val="24"/>
        </w:rPr>
      </w:pPr>
    </w:p>
    <w:p>
      <w:pPr>
        <w:widowControl/>
        <w:adjustRightInd w:val="0"/>
        <w:snapToGrid w:val="0"/>
        <w:spacing w:line="360" w:lineRule="auto"/>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授权代表签字并加盖公章：</w:t>
      </w:r>
      <w:r>
        <w:rPr>
          <w:rFonts w:hint="eastAsia" w:ascii="仿宋_GB2312" w:hAnsi="仿宋_GB2312" w:eastAsia="仿宋_GB2312" w:cs="仿宋_GB2312"/>
          <w:kern w:val="0"/>
          <w:sz w:val="24"/>
          <w:szCs w:val="24"/>
          <w:u w:val="single"/>
        </w:rPr>
        <w:t xml:space="preserve"> </w:t>
      </w:r>
    </w:p>
    <w:p>
      <w:pPr>
        <w:widowControl/>
        <w:adjustRightInd w:val="0"/>
        <w:snapToGrid w:val="0"/>
        <w:spacing w:line="360" w:lineRule="auto"/>
        <w:rPr>
          <w:rFonts w:hint="eastAsia" w:ascii="仿宋_GB2312" w:hAnsi="仿宋_GB2312" w:eastAsia="仿宋_GB2312" w:cs="仿宋_GB2312"/>
          <w:kern w:val="0"/>
          <w:sz w:val="24"/>
          <w:szCs w:val="24"/>
          <w:u w:val="single"/>
        </w:rPr>
      </w:pPr>
      <w:r>
        <w:rPr>
          <w:rFonts w:hint="eastAsia" w:ascii="仿宋_GB2312" w:hAnsi="仿宋_GB2312" w:eastAsia="仿宋_GB2312" w:cs="仿宋_GB2312"/>
          <w:kern w:val="0"/>
          <w:sz w:val="24"/>
          <w:szCs w:val="24"/>
        </w:rPr>
        <w:t>日期：</w:t>
      </w:r>
      <w:r>
        <w:rPr>
          <w:rFonts w:hint="eastAsia" w:ascii="仿宋_GB2312" w:hAnsi="仿宋_GB2312" w:eastAsia="仿宋_GB2312" w:cs="仿宋_GB2312"/>
          <w:kern w:val="0"/>
          <w:sz w:val="24"/>
          <w:szCs w:val="24"/>
          <w:u w:val="single"/>
        </w:rPr>
        <w:t xml:space="preserve"> </w:t>
      </w:r>
    </w:p>
    <w:p>
      <w:pPr>
        <w:pStyle w:val="2"/>
        <w:rPr>
          <w:rFonts w:hint="eastAsia" w:ascii="仿宋_GB2312" w:hAnsi="仿宋_GB2312" w:eastAsia="仿宋_GB2312" w:cs="仿宋_GB2312"/>
          <w:b/>
          <w:bCs/>
          <w:sz w:val="28"/>
          <w:szCs w:val="32"/>
          <w:lang w:val="en-US" w:eastAsia="zh-CN"/>
        </w:rPr>
        <w:sectPr>
          <w:pgSz w:w="11906" w:h="16838"/>
          <w:pgMar w:top="1418" w:right="1418" w:bottom="1418" w:left="1701" w:header="851" w:footer="992" w:gutter="0"/>
          <w:cols w:space="425" w:num="1"/>
          <w:docGrid w:type="lines" w:linePitch="312" w:charSpace="0"/>
        </w:sectPr>
      </w:pPr>
    </w:p>
    <w:p>
      <w:pPr>
        <w:pStyle w:val="2"/>
        <w:rPr>
          <w:rFonts w:hint="eastAsia"/>
          <w:b/>
          <w:bCs/>
          <w:sz w:val="28"/>
          <w:szCs w:val="32"/>
        </w:rPr>
      </w:pPr>
      <w:r>
        <w:rPr>
          <w:rFonts w:hint="eastAsia"/>
          <w:b/>
          <w:bCs/>
          <w:sz w:val="28"/>
          <w:szCs w:val="32"/>
        </w:rPr>
        <w:t>附件</w:t>
      </w:r>
      <w:r>
        <w:rPr>
          <w:rFonts w:hint="eastAsia"/>
          <w:b/>
          <w:bCs/>
          <w:sz w:val="28"/>
          <w:szCs w:val="32"/>
          <w:lang w:val="en-US" w:eastAsia="zh-CN"/>
        </w:rPr>
        <w:t>8</w:t>
      </w:r>
      <w:r>
        <w:rPr>
          <w:rFonts w:hint="eastAsia"/>
          <w:b/>
          <w:bCs/>
          <w:sz w:val="28"/>
          <w:szCs w:val="32"/>
        </w:rPr>
        <w:t xml:space="preserve">：提供书面声明函 </w:t>
      </w:r>
    </w:p>
    <w:p>
      <w:pPr>
        <w:pStyle w:val="2"/>
        <w:rPr>
          <w:rFonts w:hint="eastAsia"/>
          <w:b/>
          <w:bCs/>
          <w:sz w:val="28"/>
          <w:szCs w:val="32"/>
        </w:rPr>
      </w:pP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eastAsia" w:ascii="仿宋_GB2312" w:hAnsi="仿宋_GB2312" w:eastAsia="仿宋_GB2312" w:cs="仿宋_GB2312"/>
          <w:sz w:val="24"/>
          <w:u w:val="single"/>
          <w:lang w:eastAsia="zh-CN"/>
        </w:rPr>
      </w:pPr>
      <w:r>
        <w:rPr>
          <w:rFonts w:hint="eastAsia" w:ascii="仿宋_GB2312" w:hAnsi="仿宋_GB2312" w:eastAsia="仿宋_GB2312" w:cs="仿宋_GB2312"/>
          <w:sz w:val="24"/>
        </w:rPr>
        <w:t>致：</w:t>
      </w:r>
      <w:r>
        <w:rPr>
          <w:rFonts w:hint="eastAsia" w:ascii="仿宋_GB2312" w:hAnsi="仿宋_GB2312" w:eastAsia="仿宋_GB2312" w:cs="仿宋_GB2312"/>
          <w:sz w:val="24"/>
          <w:u w:val="single"/>
        </w:rPr>
        <w:t>中国人民财产保险股份有限公司</w:t>
      </w:r>
      <w:r>
        <w:rPr>
          <w:rFonts w:hint="eastAsia" w:ascii="仿宋_GB2312" w:hAnsi="仿宋_GB2312" w:eastAsia="仿宋_GB2312" w:cs="仿宋_GB2312"/>
          <w:sz w:val="24"/>
          <w:u w:val="single"/>
          <w:lang w:val="en-US" w:eastAsia="zh-CN"/>
        </w:rPr>
        <w:t>广州市</w:t>
      </w:r>
      <w:r>
        <w:rPr>
          <w:rFonts w:hint="eastAsia" w:ascii="仿宋_GB2312" w:hAnsi="仿宋_GB2312" w:eastAsia="仿宋_GB2312" w:cs="仿宋_GB2312"/>
          <w:sz w:val="24"/>
          <w:u w:val="single"/>
          <w:lang w:eastAsia="zh-CN"/>
        </w:rPr>
        <w:t>分公司</w:t>
      </w:r>
    </w:p>
    <w:p>
      <w:pPr>
        <w:tabs>
          <w:tab w:val="left" w:pos="1197"/>
        </w:tabs>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ab/>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我公司声明如下：</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1、我公司具备具有履行合同所必需的设备和专业技术能力；</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若我公司不符合上诉要求，我公司将无条件地退出本项目，并承担因此引起的一切后果。特此声明。</w:t>
      </w:r>
    </w:p>
    <w:p>
      <w:pPr>
        <w:spacing w:line="360" w:lineRule="auto"/>
        <w:rPr>
          <w:rFonts w:hint="eastAsia" w:ascii="仿宋_GB2312" w:hAnsi="仿宋_GB2312" w:eastAsia="仿宋_GB2312" w:cs="仿宋_GB2312"/>
          <w:sz w:val="24"/>
        </w:rPr>
      </w:pPr>
    </w:p>
    <w:p>
      <w:pPr>
        <w:spacing w:line="360" w:lineRule="auto"/>
        <w:rPr>
          <w:rFonts w:hint="eastAsia" w:ascii="仿宋_GB2312" w:hAnsi="仿宋_GB2312" w:eastAsia="仿宋_GB2312" w:cs="仿宋_GB2312"/>
          <w:sz w:val="24"/>
        </w:rPr>
      </w:pPr>
    </w:p>
    <w:p>
      <w:pPr>
        <w:pStyle w:val="57"/>
        <w:adjustRightInd/>
        <w:snapToGrid/>
        <w:spacing w:after="0"/>
        <w:rPr>
          <w:rFonts w:hint="eastAsia" w:ascii="仿宋_GB2312" w:hAnsi="仿宋_GB2312" w:eastAsia="仿宋_GB2312" w:cs="仿宋_GB2312"/>
          <w:u w:val="single"/>
        </w:rPr>
      </w:pPr>
      <w:r>
        <w:rPr>
          <w:rFonts w:hint="eastAsia" w:ascii="仿宋_GB2312" w:hAnsi="仿宋_GB2312" w:eastAsia="仿宋_GB2312" w:cs="仿宋_GB2312"/>
        </w:rPr>
        <w:t>供应商名称：</w:t>
      </w:r>
      <w:r>
        <w:rPr>
          <w:rFonts w:hint="eastAsia" w:ascii="仿宋_GB2312" w:hAnsi="仿宋_GB2312" w:eastAsia="仿宋_GB2312" w:cs="仿宋_GB2312"/>
          <w:u w:val="single"/>
        </w:rPr>
        <w:t>公章</w:t>
      </w:r>
    </w:p>
    <w:p>
      <w:pPr>
        <w:spacing w:line="360" w:lineRule="auto"/>
        <w:rPr>
          <w:rFonts w:hint="eastAsia" w:ascii="仿宋_GB2312" w:hAnsi="仿宋_GB2312" w:eastAsia="仿宋_GB2312" w:cs="仿宋_GB2312"/>
          <w:sz w:val="24"/>
          <w:u w:val="single"/>
        </w:rPr>
      </w:pPr>
      <w:r>
        <w:rPr>
          <w:rFonts w:hint="eastAsia" w:ascii="仿宋_GB2312" w:hAnsi="仿宋_GB2312" w:eastAsia="仿宋_GB2312" w:cs="仿宋_GB2312"/>
          <w:sz w:val="24"/>
        </w:rPr>
        <w:t xml:space="preserve">法定代表人或其授权代表签字或签章：       </w:t>
      </w:r>
    </w:p>
    <w:p>
      <w:pPr>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日期：</w:t>
      </w:r>
    </w:p>
    <w:p>
      <w:pPr>
        <w:pStyle w:val="2"/>
        <w:rPr>
          <w:rFonts w:hint="eastAsia" w:ascii="仿宋_GB2312" w:hAnsi="仿宋_GB2312" w:eastAsia="仿宋_GB2312" w:cs="仿宋_GB2312"/>
          <w:b/>
          <w:bCs/>
          <w:sz w:val="28"/>
          <w:szCs w:val="32"/>
        </w:rPr>
        <w:sectPr>
          <w:pgSz w:w="11906" w:h="16838"/>
          <w:pgMar w:top="1418" w:right="1418" w:bottom="1418" w:left="1701" w:header="851" w:footer="992" w:gutter="0"/>
          <w:cols w:space="425" w:num="1"/>
          <w:docGrid w:type="lines" w:linePitch="312" w:charSpace="0"/>
        </w:sectPr>
      </w:pPr>
    </w:p>
    <w:p>
      <w:pPr>
        <w:pStyle w:val="2"/>
        <w:rPr>
          <w:rFonts w:hint="eastAsia"/>
          <w:b/>
          <w:bCs/>
          <w:sz w:val="28"/>
          <w:szCs w:val="32"/>
        </w:rPr>
      </w:pPr>
      <w:r>
        <w:rPr>
          <w:rFonts w:hint="eastAsia"/>
          <w:b/>
          <w:bCs/>
          <w:sz w:val="28"/>
          <w:szCs w:val="32"/>
        </w:rPr>
        <w:t>附件</w:t>
      </w:r>
      <w:r>
        <w:rPr>
          <w:rFonts w:hint="eastAsia"/>
          <w:b/>
          <w:bCs/>
          <w:sz w:val="28"/>
          <w:szCs w:val="32"/>
          <w:lang w:val="en-US" w:eastAsia="zh-CN"/>
        </w:rPr>
        <w:t>9</w:t>
      </w:r>
      <w:r>
        <w:rPr>
          <w:rFonts w:hint="eastAsia"/>
          <w:b/>
          <w:bCs/>
          <w:sz w:val="28"/>
          <w:szCs w:val="32"/>
        </w:rPr>
        <w:t>：信息安全采购要求承诺函</w:t>
      </w:r>
    </w:p>
    <w:p>
      <w:pPr>
        <w:pStyle w:val="2"/>
        <w:rPr>
          <w:rFonts w:hint="eastAsia"/>
          <w:b/>
          <w:bCs/>
          <w:sz w:val="28"/>
          <w:szCs w:val="32"/>
        </w:rPr>
      </w:pPr>
    </w:p>
    <w:p>
      <w:pPr>
        <w:pStyle w:val="2"/>
        <w:rPr>
          <w:rFonts w:hint="eastAsia"/>
          <w:b/>
          <w:bCs/>
          <w:sz w:val="28"/>
          <w:szCs w:val="32"/>
        </w:rPr>
      </w:pP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广州市分公司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pStyle w:val="2"/>
        <w:rPr>
          <w:rFonts w:hint="eastAsia"/>
          <w:b/>
          <w:bCs/>
          <w:sz w:val="28"/>
          <w:szCs w:val="32"/>
        </w:rPr>
        <w:sectPr>
          <w:pgSz w:w="11906" w:h="16838"/>
          <w:pgMar w:top="1418" w:right="1418" w:bottom="1418" w:left="1701" w:header="851" w:footer="992" w:gutter="0"/>
          <w:cols w:space="425" w:num="1"/>
          <w:docGrid w:type="lines" w:linePitch="312" w:charSpace="0"/>
        </w:sectPr>
      </w:pPr>
    </w:p>
    <w:p>
      <w:pPr>
        <w:pStyle w:val="2"/>
        <w:rPr>
          <w:rFonts w:hint="eastAsia"/>
          <w:b/>
          <w:bCs/>
          <w:sz w:val="28"/>
          <w:szCs w:val="32"/>
        </w:rPr>
      </w:pPr>
      <w:r>
        <w:rPr>
          <w:rFonts w:hint="eastAsia"/>
          <w:b/>
          <w:bCs/>
          <w:sz w:val="28"/>
          <w:szCs w:val="32"/>
        </w:rPr>
        <w:t>附件</w:t>
      </w:r>
      <w:r>
        <w:rPr>
          <w:rFonts w:hint="eastAsia"/>
          <w:b/>
          <w:bCs/>
          <w:sz w:val="28"/>
          <w:szCs w:val="32"/>
          <w:lang w:val="en-US" w:eastAsia="zh-CN"/>
        </w:rPr>
        <w:t>10</w:t>
      </w:r>
      <w:r>
        <w:rPr>
          <w:rFonts w:hint="eastAsia"/>
          <w:b/>
          <w:bCs/>
          <w:sz w:val="28"/>
          <w:szCs w:val="32"/>
        </w:rPr>
        <w:t>：供应商基本情况表</w:t>
      </w:r>
    </w:p>
    <w:p>
      <w:pPr>
        <w:pStyle w:val="2"/>
        <w:rPr>
          <w:rFonts w:hint="eastAsia"/>
          <w:b/>
          <w:bCs/>
          <w:sz w:val="28"/>
          <w:szCs w:val="32"/>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供应商名称：（公章） 填表日期：</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仿宋_GB2312" w:hAnsi="仿宋_GB2312" w:eastAsia="仿宋_GB2312" w:cs="仿宋_GB2312"/>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仿宋_GB2312" w:hAnsi="仿宋_GB2312" w:eastAsia="仿宋_GB2312" w:cs="仿宋_GB2312"/>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仿宋_GB2312" w:hAnsi="仿宋_GB2312" w:eastAsia="仿宋_GB2312" w:cs="仿宋_GB2312"/>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hint="eastAsia" w:ascii="仿宋_GB2312" w:hAnsi="仿宋_GB2312" w:eastAsia="仿宋_GB2312" w:cs="仿宋_GB2312"/>
                <w:kern w:val="0"/>
                <w:sz w:val="24"/>
                <w:szCs w:val="24"/>
              </w:rPr>
            </w:pPr>
          </w:p>
          <w:p>
            <w:pPr>
              <w:widowControl/>
              <w:adjustRightInd w:val="0"/>
              <w:snapToGrid w:val="0"/>
              <w:spacing w:line="360" w:lineRule="auto"/>
              <w:jc w:val="center"/>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仿宋_GB2312" w:hAnsi="仿宋_GB2312" w:eastAsia="仿宋_GB2312" w:cs="仿宋_GB2312"/>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近3年内介入</w:t>
            </w:r>
          </w:p>
          <w:p>
            <w:pPr>
              <w:widowControl/>
              <w:adjustRightInd w:val="0"/>
              <w:snapToGrid w:val="0"/>
              <w:spacing w:line="360" w:lineRule="auto"/>
              <w:jc w:val="center"/>
              <w:rPr>
                <w:rFonts w:hint="eastAsia" w:ascii="仿宋_GB2312" w:hAnsi="仿宋_GB2312" w:eastAsia="仿宋_GB2312" w:cs="仿宋_GB2312"/>
                <w:kern w:val="0"/>
                <w:sz w:val="24"/>
                <w:szCs w:val="24"/>
              </w:rPr>
            </w:pPr>
            <w:r>
              <w:rPr>
                <w:rFonts w:hint="eastAsia" w:ascii="仿宋_GB2312" w:hAnsi="仿宋_GB2312" w:eastAsia="仿宋_GB2312" w:cs="仿宋_GB2312"/>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仿宋_GB2312" w:hAnsi="仿宋_GB2312" w:eastAsia="仿宋_GB2312" w:cs="仿宋_GB2312"/>
                <w:kern w:val="0"/>
                <w:sz w:val="24"/>
                <w:szCs w:val="24"/>
              </w:rPr>
            </w:pPr>
          </w:p>
        </w:tc>
      </w:tr>
    </w:tbl>
    <w:p>
      <w:pPr>
        <w:pStyle w:val="2"/>
        <w:rPr>
          <w:rFonts w:hint="eastAsia" w:ascii="仿宋_GB2312" w:hAnsi="仿宋_GB2312" w:eastAsia="仿宋_GB2312" w:cs="仿宋_GB2312"/>
          <w:b/>
          <w:bCs/>
          <w:sz w:val="28"/>
          <w:szCs w:val="32"/>
        </w:rPr>
        <w:sectPr>
          <w:pgSz w:w="11906" w:h="16838"/>
          <w:pgMar w:top="1418" w:right="1418" w:bottom="1418" w:left="1701" w:header="851" w:footer="992" w:gutter="0"/>
          <w:cols w:space="425" w:num="1"/>
          <w:docGrid w:type="lines" w:linePitch="312" w:charSpace="0"/>
        </w:sectPr>
      </w:pPr>
    </w:p>
    <w:p>
      <w:pPr>
        <w:pStyle w:val="2"/>
        <w:rPr>
          <w:b/>
          <w:bCs/>
          <w:sz w:val="28"/>
          <w:szCs w:val="32"/>
        </w:rPr>
      </w:pPr>
      <w:r>
        <w:rPr>
          <w:rFonts w:hint="eastAsia"/>
          <w:b/>
          <w:bCs/>
          <w:sz w:val="28"/>
          <w:szCs w:val="32"/>
        </w:rPr>
        <w:t>附件</w:t>
      </w:r>
      <w:r>
        <w:rPr>
          <w:rFonts w:hint="eastAsia"/>
          <w:b/>
          <w:bCs/>
          <w:sz w:val="28"/>
          <w:szCs w:val="32"/>
          <w:lang w:val="en-US" w:eastAsia="zh-CN"/>
        </w:rPr>
        <w:t>11</w:t>
      </w:r>
      <w:r>
        <w:rPr>
          <w:rFonts w:hint="eastAsia"/>
          <w:b/>
          <w:bCs/>
          <w:sz w:val="28"/>
          <w:szCs w:val="32"/>
        </w:rPr>
        <w:t>：合同模板</w:t>
      </w:r>
    </w:p>
    <w:p>
      <w:pPr>
        <w:pStyle w:val="2"/>
        <w:rPr>
          <w:rFonts w:hint="eastAsia"/>
          <w:sz w:val="28"/>
          <w:szCs w:val="28"/>
          <w:lang w:val="en-US" w:eastAsia="zh-CN"/>
        </w:rPr>
      </w:pP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第一条 项目内容及要求</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项目内容及要求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本合同项下甲乙双方约定的项目内容及要求见本合同【附件</w:t>
      </w:r>
      <w:r>
        <w:rPr>
          <w:rFonts w:hint="eastAsia" w:ascii="仿宋_GB2312" w:hAnsi="宋体" w:eastAsia="仿宋_GB2312" w:cs="仿宋_GB2312"/>
          <w:kern w:val="0"/>
          <w:sz w:val="24"/>
          <w:szCs w:val="24"/>
          <w:lang w:val="en-US" w:eastAsia="zh-CN"/>
        </w:rPr>
        <w:t>一</w:t>
      </w:r>
      <w:r>
        <w:rPr>
          <w:rFonts w:hint="eastAsia" w:ascii="仿宋_GB2312" w:hAnsi="宋体" w:eastAsia="仿宋_GB2312" w:cs="仿宋_GB2312"/>
          <w:kern w:val="0"/>
          <w:sz w:val="24"/>
          <w:szCs w:val="24"/>
        </w:rPr>
        <w:t>】。</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第二条 合同价格</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本合同总价款为RMB</w:t>
      </w:r>
      <w:r>
        <w:rPr>
          <w:rFonts w:hint="eastAsia" w:ascii="仿宋_GB2312" w:hAnsi="宋体" w:eastAsia="仿宋_GB2312" w:cs="仿宋_GB2312"/>
          <w:kern w:val="0"/>
          <w:sz w:val="24"/>
          <w:szCs w:val="24"/>
          <w:lang w:val="en-US" w:eastAsia="zh-CN"/>
        </w:rPr>
        <w:t xml:space="preserve">   299400  </w:t>
      </w:r>
      <w:r>
        <w:rPr>
          <w:rFonts w:hint="eastAsia" w:ascii="仿宋_GB2312" w:hAnsi="宋体" w:eastAsia="仿宋_GB2312" w:cs="仿宋_GB2312"/>
          <w:kern w:val="0"/>
          <w:sz w:val="24"/>
          <w:szCs w:val="24"/>
        </w:rPr>
        <w:t>元（大写</w:t>
      </w:r>
      <w:r>
        <w:rPr>
          <w:rFonts w:hint="eastAsia" w:ascii="仿宋_GB2312" w:hAnsi="宋体" w:eastAsia="仿宋_GB2312" w:cs="仿宋_GB2312"/>
          <w:kern w:val="0"/>
          <w:sz w:val="24"/>
          <w:szCs w:val="24"/>
          <w:lang w:val="en-US" w:eastAsia="zh-CN"/>
        </w:rPr>
        <w:t xml:space="preserve"> 贰拾玖万玖仟肆佰元 整 </w:t>
      </w:r>
      <w:r>
        <w:rPr>
          <w:rFonts w:hint="eastAsia" w:ascii="仿宋_GB2312" w:hAnsi="宋体" w:eastAsia="仿宋_GB2312" w:cs="仿宋_GB2312"/>
          <w:kern w:val="0"/>
          <w:sz w:val="24"/>
          <w:szCs w:val="24"/>
        </w:rPr>
        <w:t>）。合同价格明细见【附件</w:t>
      </w:r>
      <w:r>
        <w:rPr>
          <w:rFonts w:hint="eastAsia" w:ascii="仿宋_GB2312" w:hAnsi="宋体" w:eastAsia="仿宋_GB2312" w:cs="仿宋_GB2312"/>
          <w:kern w:val="0"/>
          <w:sz w:val="24"/>
          <w:szCs w:val="24"/>
          <w:lang w:val="en-US" w:eastAsia="zh-CN"/>
        </w:rPr>
        <w:t>二</w:t>
      </w:r>
      <w:r>
        <w:rPr>
          <w:rFonts w:hint="eastAsia" w:ascii="仿宋_GB2312" w:hAnsi="宋体" w:eastAsia="仿宋_GB2312" w:cs="仿宋_GB2312"/>
          <w:kern w:val="0"/>
          <w:sz w:val="24"/>
          <w:szCs w:val="24"/>
        </w:rPr>
        <w:t>】。</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（三） 本合同付款安排见【附件</w:t>
      </w:r>
      <w:r>
        <w:rPr>
          <w:rFonts w:hint="eastAsia" w:ascii="仿宋_GB2312" w:hAnsi="宋体" w:eastAsia="仿宋_GB2312" w:cs="仿宋_GB2312"/>
          <w:kern w:val="0"/>
          <w:sz w:val="24"/>
          <w:szCs w:val="24"/>
          <w:lang w:val="en-US" w:eastAsia="zh-CN"/>
        </w:rPr>
        <w:t>二</w:t>
      </w:r>
      <w:r>
        <w:rPr>
          <w:rFonts w:hint="eastAsia" w:ascii="仿宋_GB2312" w:hAnsi="宋体" w:eastAsia="仿宋_GB2312" w:cs="仿宋_GB2312"/>
          <w:kern w:val="0"/>
          <w:sz w:val="24"/>
          <w:szCs w:val="24"/>
        </w:rPr>
        <w:t>】。</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通用部分</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w:t>
      </w:r>
      <w:r>
        <w:rPr>
          <w:rFonts w:hint="eastAsia" w:ascii="仿宋_GB2312" w:hAnsi="宋体" w:eastAsia="仿宋_GB2312" w:cs="仿宋_GB2312"/>
          <w:kern w:val="0"/>
          <w:sz w:val="24"/>
          <w:szCs w:val="24"/>
          <w:lang w:val="en-US" w:eastAsia="zh-CN"/>
        </w:rPr>
        <w:t>三</w:t>
      </w:r>
      <w:r>
        <w:rPr>
          <w:rFonts w:hint="eastAsia" w:ascii="仿宋_GB2312" w:hAnsi="宋体" w:eastAsia="仿宋_GB2312" w:cs="仿宋_GB2312"/>
          <w:kern w:val="0"/>
          <w:sz w:val="24"/>
          <w:szCs w:val="24"/>
        </w:rPr>
        <w:t>条 双方的权利和义务</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甲方的权利和义务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（1）甲方有权获得本合同项下乙方应提供的全部合格的服务；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（2）甲方有权在合同期内对乙方的产品及服务进行监督；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（3）乙方未按照合同约定履行义务的，甲方有权采取相应的措施；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（4）甲方应按照合同约定向乙方支付合同价款；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（5）甲方享有其它双方约定的权利、承担其它双方约定的义务。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乙方的权利和义务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（1）乙方有权获得甲方支付的合同价款；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（2）乙方应按照合同约定向甲方提供全部合格的服务；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（3）乙方应当按照合同约定的期限及要求完成项目内容；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（5）乙方享有其它双方约定的权利、承担其它双方约定的义务。</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w:t>
      </w:r>
      <w:r>
        <w:rPr>
          <w:rFonts w:hint="eastAsia" w:ascii="仿宋_GB2312" w:hAnsi="宋体" w:eastAsia="仿宋_GB2312" w:cs="仿宋_GB2312"/>
          <w:kern w:val="0"/>
          <w:sz w:val="24"/>
          <w:szCs w:val="24"/>
          <w:lang w:val="en-US" w:eastAsia="zh-CN"/>
        </w:rPr>
        <w:t>四</w:t>
      </w:r>
      <w:r>
        <w:rPr>
          <w:rFonts w:hint="eastAsia" w:ascii="仿宋_GB2312" w:hAnsi="宋体" w:eastAsia="仿宋_GB2312" w:cs="仿宋_GB2312"/>
          <w:kern w:val="0"/>
          <w:sz w:val="24"/>
          <w:szCs w:val="24"/>
        </w:rPr>
        <w:t>条 禁止转让</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禁止转让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w:t>
      </w:r>
      <w:r>
        <w:rPr>
          <w:rFonts w:hint="eastAsia" w:ascii="仿宋_GB2312" w:hAnsi="宋体" w:eastAsia="仿宋_GB2312" w:cs="仿宋_GB2312"/>
          <w:kern w:val="0"/>
          <w:sz w:val="24"/>
          <w:szCs w:val="24"/>
          <w:lang w:val="en-US" w:eastAsia="zh-CN"/>
        </w:rPr>
        <w:t>五</w:t>
      </w:r>
      <w:r>
        <w:rPr>
          <w:rFonts w:hint="eastAsia" w:ascii="仿宋_GB2312" w:hAnsi="宋体" w:eastAsia="仿宋_GB2312" w:cs="仿宋_GB2312"/>
          <w:kern w:val="0"/>
          <w:sz w:val="24"/>
          <w:szCs w:val="24"/>
        </w:rPr>
        <w:t>条</w:t>
      </w:r>
      <w:r>
        <w:rPr>
          <w:rFonts w:hint="eastAsia" w:ascii="仿宋_GB2312" w:hAnsi="宋体" w:eastAsia="仿宋_GB2312" w:cs="仿宋_GB2312"/>
          <w:kern w:val="0"/>
          <w:sz w:val="24"/>
          <w:szCs w:val="24"/>
          <w:lang w:val="en-US" w:eastAsia="zh-CN"/>
        </w:rPr>
        <w:t xml:space="preserve"> </w:t>
      </w:r>
      <w:r>
        <w:rPr>
          <w:rFonts w:hint="eastAsia" w:ascii="仿宋_GB2312" w:hAnsi="宋体" w:eastAsia="仿宋_GB2312" w:cs="仿宋_GB2312"/>
          <w:kern w:val="0"/>
          <w:sz w:val="24"/>
          <w:szCs w:val="24"/>
        </w:rPr>
        <w:t>权利保证</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权利保证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w:t>
      </w:r>
      <w:r>
        <w:rPr>
          <w:rFonts w:hint="eastAsia" w:ascii="仿宋_GB2312" w:hAnsi="宋体" w:eastAsia="仿宋_GB2312" w:cs="仿宋_GB2312"/>
          <w:kern w:val="0"/>
          <w:sz w:val="24"/>
          <w:szCs w:val="24"/>
          <w:lang w:val="en-US" w:eastAsia="zh-CN"/>
        </w:rPr>
        <w:t>六</w:t>
      </w:r>
      <w:r>
        <w:rPr>
          <w:rFonts w:hint="eastAsia" w:ascii="仿宋_GB2312" w:hAnsi="宋体" w:eastAsia="仿宋_GB2312" w:cs="仿宋_GB2312"/>
          <w:kern w:val="0"/>
          <w:sz w:val="24"/>
          <w:szCs w:val="24"/>
        </w:rPr>
        <w:t>条 违约责任</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由于甲方原因不能按合同约定时间付款的，每延迟10个工作日，甲方按合同应付金额的</w:t>
      </w:r>
      <w:r>
        <w:rPr>
          <w:rFonts w:hint="eastAsia" w:ascii="仿宋_GB2312" w:hAnsi="宋体" w:eastAsia="仿宋_GB2312" w:cs="仿宋_GB2312"/>
          <w:kern w:val="0"/>
          <w:sz w:val="24"/>
          <w:szCs w:val="24"/>
          <w:lang w:val="en-US" w:eastAsia="zh-CN"/>
        </w:rPr>
        <w:t xml:space="preserve">  0.05  </w:t>
      </w:r>
      <w:r>
        <w:rPr>
          <w:rFonts w:hint="eastAsia" w:ascii="仿宋_GB2312" w:hAnsi="宋体" w:eastAsia="仿宋_GB2312" w:cs="仿宋_GB2312"/>
          <w:kern w:val="0"/>
          <w:sz w:val="24"/>
          <w:szCs w:val="24"/>
        </w:rPr>
        <w:t>%向乙方支付违约金。</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（二） 乙方延迟交付的违约责任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（1）由于乙方原因造成项目延迟的，每延迟10个工作日，乙方向甲方支付违约金为合同服务费用总额的</w:t>
      </w:r>
      <w:r>
        <w:rPr>
          <w:rFonts w:hint="eastAsia" w:ascii="仿宋_GB2312" w:hAnsi="宋体" w:eastAsia="仿宋_GB2312" w:cs="仿宋_GB2312"/>
          <w:kern w:val="0"/>
          <w:sz w:val="24"/>
          <w:szCs w:val="24"/>
          <w:lang w:val="en-US" w:eastAsia="zh-CN"/>
        </w:rPr>
        <w:t xml:space="preserve">  0.05  </w:t>
      </w:r>
      <w:r>
        <w:rPr>
          <w:rFonts w:hint="eastAsia" w:ascii="仿宋_GB2312" w:hAnsi="宋体" w:eastAsia="仿宋_GB2312" w:cs="仿宋_GB2312"/>
          <w:kern w:val="0"/>
          <w:sz w:val="24"/>
          <w:szCs w:val="24"/>
        </w:rPr>
        <w:t xml:space="preserve">%。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（2）由于乙方原因造成项目迟延，经甲方催促后乙方继续延误的，甲方有权单方面解除合同，乙方应按照合同服务费用总额的</w:t>
      </w:r>
      <w:r>
        <w:rPr>
          <w:rFonts w:hint="eastAsia" w:ascii="仿宋_GB2312" w:hAnsi="宋体" w:eastAsia="仿宋_GB2312" w:cs="仿宋_GB2312"/>
          <w:kern w:val="0"/>
          <w:sz w:val="24"/>
          <w:szCs w:val="24"/>
          <w:lang w:val="en-US" w:eastAsia="zh-CN"/>
        </w:rPr>
        <w:t xml:space="preserve">  20  </w:t>
      </w:r>
      <w:r>
        <w:rPr>
          <w:rFonts w:hint="eastAsia" w:ascii="仿宋_GB2312" w:hAnsi="宋体" w:eastAsia="仿宋_GB2312" w:cs="仿宋_GB2312"/>
          <w:kern w:val="0"/>
          <w:sz w:val="24"/>
          <w:szCs w:val="24"/>
        </w:rPr>
        <w:t>%向甲方支付违约金，并赔偿由此引起的甲方的直接经济损失。</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（三） 验收不合格并且乙方在甲方指定期限内无法完成整改、提交合格的工作成果的，乙方应向甲方支付合同服务费用总额</w:t>
      </w:r>
      <w:r>
        <w:rPr>
          <w:rFonts w:hint="eastAsia" w:ascii="仿宋_GB2312" w:hAnsi="宋体" w:eastAsia="仿宋_GB2312" w:cs="仿宋_GB2312"/>
          <w:kern w:val="0"/>
          <w:sz w:val="24"/>
          <w:szCs w:val="24"/>
          <w:lang w:val="en-US" w:eastAsia="zh-CN"/>
        </w:rPr>
        <w:t xml:space="preserve">  20  </w:t>
      </w:r>
      <w:r>
        <w:rPr>
          <w:rFonts w:hint="eastAsia" w:ascii="仿宋_GB2312" w:hAnsi="宋体" w:eastAsia="仿宋_GB2312" w:cs="仿宋_GB2312"/>
          <w:kern w:val="0"/>
          <w:sz w:val="24"/>
          <w:szCs w:val="24"/>
        </w:rPr>
        <w:t>%的违约金，并赔偿由此引起的甲方的直接经济损失。</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（四） 如果乙方违反本合同约定的保密义务，乙方应向甲方支付合同服务费用总额</w:t>
      </w:r>
      <w:r>
        <w:rPr>
          <w:rFonts w:hint="eastAsia" w:ascii="仿宋_GB2312" w:hAnsi="宋体" w:eastAsia="仿宋_GB2312" w:cs="仿宋_GB2312"/>
          <w:kern w:val="0"/>
          <w:sz w:val="24"/>
          <w:szCs w:val="24"/>
          <w:lang w:val="en-US" w:eastAsia="zh-CN"/>
        </w:rPr>
        <w:t xml:space="preserve">  20  </w:t>
      </w:r>
      <w:r>
        <w:rPr>
          <w:rFonts w:hint="eastAsia" w:ascii="仿宋_GB2312" w:hAnsi="宋体" w:eastAsia="仿宋_GB2312" w:cs="仿宋_GB2312"/>
          <w:kern w:val="0"/>
          <w:sz w:val="24"/>
          <w:szCs w:val="24"/>
        </w:rPr>
        <w:t>%的违约金，甲方受到的损失超出违约金的部分，由乙方继续承担赔偿责任。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（五） 除本合同的约定外，因乙方的违约行为给甲方造成损失的，乙方应向甲方支付合同服务费用总额</w:t>
      </w:r>
      <w:r>
        <w:rPr>
          <w:rFonts w:hint="eastAsia" w:ascii="仿宋_GB2312" w:hAnsi="宋体" w:eastAsia="仿宋_GB2312" w:cs="仿宋_GB2312"/>
          <w:kern w:val="0"/>
          <w:sz w:val="24"/>
          <w:szCs w:val="24"/>
          <w:lang w:val="en-US" w:eastAsia="zh-CN"/>
        </w:rPr>
        <w:t xml:space="preserve">  20  </w:t>
      </w:r>
      <w:r>
        <w:rPr>
          <w:rFonts w:hint="eastAsia" w:ascii="仿宋_GB2312" w:hAnsi="宋体" w:eastAsia="仿宋_GB2312" w:cs="仿宋_GB2312"/>
          <w:kern w:val="0"/>
          <w:sz w:val="24"/>
          <w:szCs w:val="24"/>
        </w:rPr>
        <w:t>%的违约金，如甲方受到的损失超过违约金的，超出部分由乙方继续承担赔偿责任。</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w:t>
      </w:r>
      <w:r>
        <w:rPr>
          <w:rFonts w:hint="eastAsia" w:ascii="仿宋_GB2312" w:hAnsi="宋体" w:eastAsia="仿宋_GB2312" w:cs="仿宋_GB2312"/>
          <w:kern w:val="0"/>
          <w:sz w:val="24"/>
          <w:szCs w:val="24"/>
          <w:lang w:val="en-US" w:eastAsia="zh-CN"/>
        </w:rPr>
        <w:t>七</w:t>
      </w:r>
      <w:r>
        <w:rPr>
          <w:rFonts w:hint="eastAsia" w:ascii="仿宋_GB2312" w:hAnsi="宋体" w:eastAsia="仿宋_GB2312" w:cs="仿宋_GB2312"/>
          <w:kern w:val="0"/>
          <w:sz w:val="24"/>
          <w:szCs w:val="24"/>
        </w:rPr>
        <w:t>条 保密义务</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（三） 无论本合同因何种原因终止，本保密条款依然有效。</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w:t>
      </w:r>
      <w:r>
        <w:rPr>
          <w:rFonts w:hint="eastAsia" w:ascii="仿宋_GB2312" w:hAnsi="宋体" w:eastAsia="仿宋_GB2312" w:cs="仿宋_GB2312"/>
          <w:kern w:val="0"/>
          <w:sz w:val="24"/>
          <w:szCs w:val="24"/>
          <w:lang w:val="en-US" w:eastAsia="zh-CN"/>
        </w:rPr>
        <w:t>八</w:t>
      </w:r>
      <w:r>
        <w:rPr>
          <w:rFonts w:hint="eastAsia" w:ascii="仿宋_GB2312" w:hAnsi="宋体" w:eastAsia="仿宋_GB2312" w:cs="仿宋_GB2312"/>
          <w:kern w:val="0"/>
          <w:sz w:val="24"/>
          <w:szCs w:val="24"/>
        </w:rPr>
        <w:t>条 不可抗力</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（三） 合同一方迟延履行后发生不可抗力的，不能免除其责任。</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w:t>
      </w:r>
      <w:r>
        <w:rPr>
          <w:rFonts w:hint="eastAsia" w:ascii="仿宋_GB2312" w:hAnsi="宋体" w:eastAsia="仿宋_GB2312" w:cs="仿宋_GB2312"/>
          <w:kern w:val="0"/>
          <w:sz w:val="24"/>
          <w:szCs w:val="24"/>
          <w:lang w:val="en-US" w:eastAsia="zh-CN"/>
        </w:rPr>
        <w:t>九</w:t>
      </w:r>
      <w:r>
        <w:rPr>
          <w:rFonts w:hint="eastAsia" w:ascii="仿宋_GB2312" w:hAnsi="宋体" w:eastAsia="仿宋_GB2312" w:cs="仿宋_GB2312"/>
          <w:kern w:val="0"/>
          <w:sz w:val="24"/>
          <w:szCs w:val="24"/>
        </w:rPr>
        <w:t>条 合同变更</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合同变更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第十条 合同特别终止</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甲乙双方同意在乙方出现下列情形时，甲方可以书面形式通知乙方（或者乙方的破产清算组或相关管理人）提出终止合同而不向其提供任何补偿：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（1）乙方破产、解散（包括但不限于乙方股东会决议解散、乙方被吊销营业执照、被责令关闭、被撤销、被司法机关裁决解散等情形）；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第十</w:t>
      </w:r>
      <w:r>
        <w:rPr>
          <w:rFonts w:hint="eastAsia" w:ascii="仿宋_GB2312" w:hAnsi="宋体" w:eastAsia="仿宋_GB2312" w:cs="仿宋_GB2312"/>
          <w:kern w:val="0"/>
          <w:sz w:val="24"/>
          <w:szCs w:val="24"/>
          <w:lang w:val="en-US" w:eastAsia="zh-CN"/>
        </w:rPr>
        <w:t>一</w:t>
      </w:r>
      <w:r>
        <w:rPr>
          <w:rFonts w:hint="eastAsia" w:ascii="仿宋_GB2312" w:hAnsi="宋体" w:eastAsia="仿宋_GB2312" w:cs="仿宋_GB2312"/>
          <w:kern w:val="0"/>
          <w:sz w:val="24"/>
          <w:szCs w:val="24"/>
        </w:rPr>
        <w:t>条 法律适用与争议解决</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（二） 凡因本合同引起的或与本合同有关的任何争议，双方首先应友好协商解决。协商不成的，任何一方均有权将争议提交中国广州仲裁委员会，按照申请仲裁时该会现行有效的仲裁规则在广州进行仲裁。仲裁裁决是终局的，对双方均有约束力。</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第十</w:t>
      </w:r>
      <w:r>
        <w:rPr>
          <w:rFonts w:hint="eastAsia" w:ascii="仿宋_GB2312" w:hAnsi="宋体" w:eastAsia="仿宋_GB2312" w:cs="仿宋_GB2312"/>
          <w:kern w:val="0"/>
          <w:sz w:val="24"/>
          <w:szCs w:val="24"/>
          <w:lang w:val="en-US" w:eastAsia="zh-CN"/>
        </w:rPr>
        <w:t>二</w:t>
      </w:r>
      <w:r>
        <w:rPr>
          <w:rFonts w:hint="eastAsia" w:ascii="仿宋_GB2312" w:hAnsi="宋体" w:eastAsia="仿宋_GB2312" w:cs="仿宋_GB2312"/>
          <w:kern w:val="0"/>
          <w:sz w:val="24"/>
          <w:szCs w:val="24"/>
        </w:rPr>
        <w:t>条 合同生效及其他</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（一） 本合同经甲乙双方盖公章后生效，服务期限自</w:t>
      </w:r>
      <w:r>
        <w:rPr>
          <w:rFonts w:hint="eastAsia" w:ascii="仿宋_GB2312" w:hAnsi="宋体" w:eastAsia="仿宋_GB2312" w:cs="仿宋_GB2312"/>
          <w:kern w:val="0"/>
          <w:sz w:val="24"/>
          <w:szCs w:val="24"/>
          <w:lang w:val="en-US" w:eastAsia="zh-CN"/>
        </w:rPr>
        <w:t xml:space="preserve">  2024  </w:t>
      </w:r>
      <w:r>
        <w:rPr>
          <w:rFonts w:hint="eastAsia" w:ascii="仿宋_GB2312" w:hAnsi="宋体" w:eastAsia="仿宋_GB2312" w:cs="仿宋_GB2312"/>
          <w:kern w:val="0"/>
          <w:sz w:val="24"/>
          <w:szCs w:val="24"/>
        </w:rPr>
        <w:t>年</w:t>
      </w:r>
      <w:r>
        <w:rPr>
          <w:rFonts w:hint="eastAsia" w:ascii="仿宋_GB2312" w:hAnsi="宋体" w:eastAsia="仿宋_GB2312" w:cs="仿宋_GB2312"/>
          <w:kern w:val="0"/>
          <w:sz w:val="24"/>
          <w:szCs w:val="24"/>
          <w:lang w:val="en-US" w:eastAsia="zh-CN"/>
        </w:rPr>
        <w:t xml:space="preserve">  06 </w:t>
      </w:r>
      <w:r>
        <w:rPr>
          <w:rFonts w:hint="eastAsia" w:ascii="仿宋_GB2312" w:hAnsi="宋体" w:eastAsia="仿宋_GB2312" w:cs="仿宋_GB2312"/>
          <w:kern w:val="0"/>
          <w:sz w:val="24"/>
          <w:szCs w:val="24"/>
        </w:rPr>
        <w:t>月</w:t>
      </w:r>
      <w:r>
        <w:rPr>
          <w:rFonts w:hint="eastAsia" w:ascii="仿宋_GB2312" w:hAnsi="宋体" w:eastAsia="仿宋_GB2312" w:cs="仿宋_GB2312"/>
          <w:kern w:val="0"/>
          <w:sz w:val="24"/>
          <w:szCs w:val="24"/>
          <w:lang w:val="en-US" w:eastAsia="zh-CN"/>
        </w:rPr>
        <w:t xml:space="preserve">  23  </w:t>
      </w:r>
      <w:r>
        <w:rPr>
          <w:rFonts w:hint="eastAsia" w:ascii="仿宋_GB2312" w:hAnsi="宋体" w:eastAsia="仿宋_GB2312" w:cs="仿宋_GB2312"/>
          <w:kern w:val="0"/>
          <w:sz w:val="24"/>
          <w:szCs w:val="24"/>
        </w:rPr>
        <w:t>日始，至</w:t>
      </w:r>
      <w:r>
        <w:rPr>
          <w:rFonts w:hint="eastAsia" w:ascii="仿宋_GB2312" w:hAnsi="宋体" w:eastAsia="仿宋_GB2312" w:cs="仿宋_GB2312"/>
          <w:kern w:val="0"/>
          <w:sz w:val="24"/>
          <w:szCs w:val="24"/>
          <w:lang w:val="en-US" w:eastAsia="zh-CN"/>
        </w:rPr>
        <w:t xml:space="preserve"> 2025  </w:t>
      </w:r>
      <w:r>
        <w:rPr>
          <w:rFonts w:hint="eastAsia" w:ascii="仿宋_GB2312" w:hAnsi="宋体" w:eastAsia="仿宋_GB2312" w:cs="仿宋_GB2312"/>
          <w:kern w:val="0"/>
          <w:sz w:val="24"/>
          <w:szCs w:val="24"/>
        </w:rPr>
        <w:t>年</w:t>
      </w:r>
      <w:r>
        <w:rPr>
          <w:rFonts w:hint="eastAsia" w:ascii="仿宋_GB2312" w:hAnsi="宋体" w:eastAsia="仿宋_GB2312" w:cs="仿宋_GB2312"/>
          <w:kern w:val="0"/>
          <w:sz w:val="24"/>
          <w:szCs w:val="24"/>
          <w:lang w:val="en-US" w:eastAsia="zh-CN"/>
        </w:rPr>
        <w:t xml:space="preserve">  06 </w:t>
      </w:r>
      <w:r>
        <w:rPr>
          <w:rFonts w:hint="eastAsia" w:ascii="仿宋_GB2312" w:hAnsi="宋体" w:eastAsia="仿宋_GB2312" w:cs="仿宋_GB2312"/>
          <w:kern w:val="0"/>
          <w:sz w:val="24"/>
          <w:szCs w:val="24"/>
        </w:rPr>
        <w:t>月</w:t>
      </w:r>
      <w:r>
        <w:rPr>
          <w:rFonts w:hint="eastAsia" w:ascii="仿宋_GB2312" w:hAnsi="宋体" w:eastAsia="仿宋_GB2312" w:cs="仿宋_GB2312"/>
          <w:kern w:val="0"/>
          <w:sz w:val="24"/>
          <w:szCs w:val="24"/>
          <w:lang w:val="en-US" w:eastAsia="zh-CN"/>
        </w:rPr>
        <w:t xml:space="preserve"> 22  </w:t>
      </w:r>
      <w:r>
        <w:rPr>
          <w:rFonts w:hint="eastAsia" w:ascii="仿宋_GB2312" w:hAnsi="宋体" w:eastAsia="仿宋_GB2312" w:cs="仿宋_GB2312"/>
          <w:kern w:val="0"/>
          <w:sz w:val="24"/>
          <w:szCs w:val="24"/>
        </w:rPr>
        <w:t>日止</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w:t>
      </w:r>
      <w:r>
        <w:rPr>
          <w:rFonts w:hint="eastAsia" w:ascii="仿宋_GB2312" w:hAnsi="宋体" w:eastAsia="仿宋_GB2312" w:cs="仿宋_GB2312"/>
          <w:kern w:val="0"/>
          <w:sz w:val="24"/>
          <w:szCs w:val="24"/>
          <w:lang w:val="en-US" w:eastAsia="zh-CN"/>
        </w:rPr>
        <w:t>二</w:t>
      </w:r>
      <w:r>
        <w:rPr>
          <w:rFonts w:hint="eastAsia" w:ascii="仿宋_GB2312" w:hAnsi="宋体" w:eastAsia="仿宋_GB2312" w:cs="仿宋_GB2312"/>
          <w:kern w:val="0"/>
          <w:sz w:val="24"/>
          <w:szCs w:val="24"/>
        </w:rPr>
        <w:t>） 本合同一式</w:t>
      </w:r>
      <w:r>
        <w:rPr>
          <w:rFonts w:hint="eastAsia" w:ascii="仿宋_GB2312" w:hAnsi="宋体" w:eastAsia="仿宋_GB2312" w:cs="仿宋_GB2312"/>
          <w:kern w:val="0"/>
          <w:sz w:val="24"/>
          <w:szCs w:val="24"/>
          <w:lang w:val="en-US" w:eastAsia="zh-CN"/>
        </w:rPr>
        <w:t xml:space="preserve">  四  </w:t>
      </w:r>
      <w:r>
        <w:rPr>
          <w:rFonts w:hint="eastAsia" w:ascii="仿宋_GB2312" w:hAnsi="宋体" w:eastAsia="仿宋_GB2312" w:cs="仿宋_GB2312"/>
          <w:kern w:val="0"/>
          <w:sz w:val="24"/>
          <w:szCs w:val="24"/>
        </w:rPr>
        <w:t>份，其中正本</w:t>
      </w:r>
      <w:r>
        <w:rPr>
          <w:rFonts w:hint="eastAsia" w:ascii="仿宋_GB2312" w:hAnsi="宋体" w:eastAsia="仿宋_GB2312" w:cs="仿宋_GB2312"/>
          <w:kern w:val="0"/>
          <w:sz w:val="24"/>
          <w:szCs w:val="24"/>
          <w:lang w:val="en-US" w:eastAsia="zh-CN"/>
        </w:rPr>
        <w:t xml:space="preserve">  两  </w:t>
      </w:r>
      <w:r>
        <w:rPr>
          <w:rFonts w:hint="eastAsia" w:ascii="仿宋_GB2312" w:hAnsi="宋体" w:eastAsia="仿宋_GB2312" w:cs="仿宋_GB2312"/>
          <w:kern w:val="0"/>
          <w:sz w:val="24"/>
          <w:szCs w:val="24"/>
        </w:rPr>
        <w:t>份，副本</w:t>
      </w:r>
      <w:r>
        <w:rPr>
          <w:rFonts w:hint="eastAsia" w:ascii="仿宋_GB2312" w:hAnsi="宋体" w:eastAsia="仿宋_GB2312" w:cs="仿宋_GB2312"/>
          <w:kern w:val="0"/>
          <w:sz w:val="24"/>
          <w:szCs w:val="24"/>
          <w:lang w:val="en-US" w:eastAsia="zh-CN"/>
        </w:rPr>
        <w:t xml:space="preserve">  两  </w:t>
      </w:r>
      <w:r>
        <w:rPr>
          <w:rFonts w:hint="eastAsia" w:ascii="仿宋_GB2312" w:hAnsi="宋体" w:eastAsia="仿宋_GB2312" w:cs="仿宋_GB2312"/>
          <w:kern w:val="0"/>
          <w:sz w:val="24"/>
          <w:szCs w:val="24"/>
        </w:rPr>
        <w:t>份。甲方执</w:t>
      </w:r>
      <w:r>
        <w:rPr>
          <w:rFonts w:hint="eastAsia" w:ascii="仿宋_GB2312" w:hAnsi="宋体" w:eastAsia="仿宋_GB2312" w:cs="仿宋_GB2312"/>
          <w:kern w:val="0"/>
          <w:sz w:val="24"/>
          <w:szCs w:val="24"/>
          <w:lang w:val="en-US" w:eastAsia="zh-CN"/>
        </w:rPr>
        <w:t xml:space="preserve">  一  </w:t>
      </w:r>
      <w:r>
        <w:rPr>
          <w:rFonts w:hint="eastAsia" w:ascii="仿宋_GB2312" w:hAnsi="宋体" w:eastAsia="仿宋_GB2312" w:cs="仿宋_GB2312"/>
          <w:kern w:val="0"/>
          <w:sz w:val="24"/>
          <w:szCs w:val="24"/>
        </w:rPr>
        <w:t>份正本，</w:t>
      </w:r>
      <w:r>
        <w:rPr>
          <w:rFonts w:hint="eastAsia" w:ascii="仿宋_GB2312" w:hAnsi="宋体" w:eastAsia="仿宋_GB2312" w:cs="仿宋_GB2312"/>
          <w:kern w:val="0"/>
          <w:sz w:val="24"/>
          <w:szCs w:val="24"/>
          <w:lang w:val="en-US" w:eastAsia="zh-CN"/>
        </w:rPr>
        <w:t xml:space="preserve">  一  </w:t>
      </w:r>
      <w:r>
        <w:rPr>
          <w:rFonts w:hint="eastAsia" w:ascii="仿宋_GB2312" w:hAnsi="宋体" w:eastAsia="仿宋_GB2312" w:cs="仿宋_GB2312"/>
          <w:kern w:val="0"/>
          <w:sz w:val="24"/>
          <w:szCs w:val="24"/>
        </w:rPr>
        <w:t>份副本；乙方执</w:t>
      </w:r>
      <w:r>
        <w:rPr>
          <w:rFonts w:hint="eastAsia" w:ascii="仿宋_GB2312" w:hAnsi="宋体" w:eastAsia="仿宋_GB2312" w:cs="仿宋_GB2312"/>
          <w:kern w:val="0"/>
          <w:sz w:val="24"/>
          <w:szCs w:val="24"/>
          <w:lang w:val="en-US" w:eastAsia="zh-CN"/>
        </w:rPr>
        <w:t xml:space="preserve">  一  </w:t>
      </w:r>
      <w:r>
        <w:rPr>
          <w:rFonts w:hint="eastAsia" w:ascii="仿宋_GB2312" w:hAnsi="宋体" w:eastAsia="仿宋_GB2312" w:cs="仿宋_GB2312"/>
          <w:kern w:val="0"/>
          <w:sz w:val="24"/>
          <w:szCs w:val="24"/>
        </w:rPr>
        <w:t>份正本，</w:t>
      </w:r>
      <w:r>
        <w:rPr>
          <w:rFonts w:hint="eastAsia" w:ascii="仿宋_GB2312" w:hAnsi="宋体" w:eastAsia="仿宋_GB2312" w:cs="仿宋_GB2312"/>
          <w:kern w:val="0"/>
          <w:sz w:val="24"/>
          <w:szCs w:val="24"/>
          <w:lang w:val="en-US" w:eastAsia="zh-CN"/>
        </w:rPr>
        <w:t xml:space="preserve">  一  </w:t>
      </w:r>
      <w:r>
        <w:rPr>
          <w:rFonts w:hint="eastAsia" w:ascii="仿宋_GB2312" w:hAnsi="宋体" w:eastAsia="仿宋_GB2312" w:cs="仿宋_GB2312"/>
          <w:kern w:val="0"/>
          <w:sz w:val="24"/>
          <w:szCs w:val="24"/>
        </w:rPr>
        <w:t>份副本。</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（三）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   （五）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600" w:lineRule="exact"/>
        <w:ind w:left="0" w:right="0" w:firstLine="48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第十</w:t>
      </w:r>
      <w:r>
        <w:rPr>
          <w:rFonts w:hint="eastAsia" w:ascii="仿宋_GB2312" w:hAnsi="宋体" w:eastAsia="仿宋_GB2312" w:cs="仿宋_GB2312"/>
          <w:kern w:val="0"/>
          <w:sz w:val="24"/>
          <w:szCs w:val="24"/>
          <w:lang w:val="en-US" w:eastAsia="zh-CN"/>
        </w:rPr>
        <w:t>三</w:t>
      </w:r>
      <w:r>
        <w:rPr>
          <w:rFonts w:hint="eastAsia" w:ascii="仿宋_GB2312" w:hAnsi="宋体" w:eastAsia="仿宋_GB2312" w:cs="仿宋_GB2312"/>
          <w:kern w:val="0"/>
          <w:sz w:val="24"/>
          <w:szCs w:val="24"/>
        </w:rPr>
        <w:t>条 附件的组成（适用于咨询服务采购合同）</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附件的组成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附件一、服务内容及要求 </w:t>
      </w:r>
      <w:r>
        <w:rPr>
          <w:rFonts w:hint="eastAsia" w:ascii="仿宋_GB2312" w:hAnsi="宋体" w:eastAsia="仿宋_GB2312" w:cs="仿宋_GB2312"/>
          <w:kern w:val="0"/>
          <w:sz w:val="24"/>
          <w:szCs w:val="24"/>
        </w:rPr>
        <w:br w:type="textWrapping"/>
      </w:r>
      <w:r>
        <w:rPr>
          <w:rFonts w:hint="eastAsia" w:ascii="仿宋_GB2312" w:hAnsi="宋体" w:eastAsia="仿宋_GB2312" w:cs="仿宋_GB2312"/>
          <w:kern w:val="0"/>
          <w:sz w:val="24"/>
          <w:szCs w:val="24"/>
        </w:rPr>
        <w:t xml:space="preserve">附件二、付款 </w:t>
      </w:r>
    </w:p>
    <w:p>
      <w:pPr>
        <w:keepNext w:val="0"/>
        <w:keepLines w:val="0"/>
        <w:widowControl/>
        <w:suppressLineNumbers w:val="0"/>
        <w:spacing w:before="0" w:beforeAutospacing="1" w:after="0" w:afterAutospacing="1" w:line="600" w:lineRule="exact"/>
        <w:ind w:left="0" w:right="0" w:firstLine="480"/>
        <w:jc w:val="left"/>
        <w:rPr>
          <w:rFonts w:hint="eastAsia" w:ascii="宋体" w:hAnsi="宋体" w:eastAsia="宋体" w:cs="宋体"/>
          <w:kern w:val="0"/>
          <w:sz w:val="24"/>
          <w:szCs w:val="24"/>
        </w:rPr>
      </w:pPr>
      <w:r>
        <w:rPr>
          <w:rFonts w:hint="eastAsia" w:ascii="仿宋_GB2312" w:hAnsi="宋体" w:eastAsia="仿宋_GB2312" w:cs="仿宋_GB2312"/>
          <w:kern w:val="0"/>
          <w:sz w:val="24"/>
          <w:szCs w:val="24"/>
        </w:rPr>
        <w:t>附件三、续约条约</w:t>
      </w:r>
      <w:r>
        <w:rPr>
          <w:rFonts w:hint="eastAsia" w:ascii="仿宋_GB2312" w:hAnsi="宋体" w:eastAsia="仿宋_GB2312" w:cs="仿宋_GB2312"/>
          <w:kern w:val="0"/>
          <w:sz w:val="24"/>
          <w:szCs w:val="24"/>
        </w:rPr>
        <w:br w:type="textWrapping"/>
      </w:r>
    </w:p>
    <w:p>
      <w:pPr>
        <w:pStyle w:val="3"/>
        <w:tabs>
          <w:tab w:val="left" w:pos="2190"/>
        </w:tabs>
        <w:ind w:firstLine="482"/>
        <w:rPr>
          <w:sz w:val="24"/>
          <w:szCs w:val="24"/>
        </w:rPr>
      </w:pPr>
      <w:r>
        <w:rPr>
          <w:rFonts w:hint="eastAsia"/>
          <w:sz w:val="24"/>
          <w:szCs w:val="24"/>
        </w:rPr>
        <w:t>附件一</w:t>
      </w:r>
      <w:r>
        <w:rPr>
          <w:sz w:val="24"/>
          <w:szCs w:val="24"/>
        </w:rPr>
        <w:tab/>
      </w:r>
    </w:p>
    <w:p>
      <w:pPr>
        <w:spacing w:line="360" w:lineRule="auto"/>
        <w:jc w:val="center"/>
        <w:rPr>
          <w:rFonts w:ascii="楷体" w:hAnsi="楷体" w:eastAsia="楷体" w:cs="楷体"/>
          <w:b/>
          <w:sz w:val="24"/>
          <w:szCs w:val="24"/>
        </w:rPr>
      </w:pPr>
      <w:r>
        <w:rPr>
          <w:rFonts w:hint="eastAsia" w:ascii="楷体" w:hAnsi="楷体" w:eastAsia="楷体" w:cs="楷体"/>
          <w:b/>
          <w:sz w:val="24"/>
          <w:szCs w:val="24"/>
        </w:rPr>
        <w:t>服务内容及要求</w:t>
      </w:r>
    </w:p>
    <w:p>
      <w:pPr>
        <w:tabs>
          <w:tab w:val="left" w:pos="165"/>
          <w:tab w:val="left" w:pos="315"/>
        </w:tabs>
        <w:autoSpaceDE w:val="0"/>
        <w:autoSpaceDN w:val="0"/>
        <w:adjustRightInd/>
        <w:spacing w:line="360" w:lineRule="auto"/>
        <w:ind w:firstLine="470"/>
        <w:jc w:val="both"/>
        <w:textAlignment w:val="auto"/>
        <w:rPr>
          <w:rFonts w:ascii="楷体" w:hAnsi="楷体" w:eastAsia="楷体" w:cs="Arial"/>
          <w:sz w:val="24"/>
          <w:szCs w:val="24"/>
        </w:rPr>
      </w:pP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1.项目名称</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lang w:val="en-US" w:eastAsia="zh-CN"/>
        </w:rPr>
      </w:pPr>
      <w:r>
        <w:rPr>
          <w:rFonts w:hint="eastAsia" w:ascii="仿宋_GB2312" w:hAnsi="宋体" w:eastAsia="仿宋_GB2312" w:cs="仿宋_GB2312"/>
          <w:kern w:val="0"/>
          <w:sz w:val="24"/>
          <w:szCs w:val="24"/>
        </w:rPr>
        <w:t>项目名称：南航员工企补医疗项目高端医疗服务采购</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2. 项目内容</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1）乙方向甲方提供的服务的内容：提高客户的健康保险服务质量，提高客户全体员工的健康意识，使员工自觉地采纳有益于健康的行为和生活方式，促进身体健康，提高生活质量。将为客户提供一站式结算、就医绿通等医疗健康管理服务。                                 </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（2）服务期限：2024年</w:t>
      </w:r>
      <w:r>
        <w:rPr>
          <w:rFonts w:hint="eastAsia" w:ascii="仿宋_GB2312" w:hAnsi="宋体" w:eastAsia="仿宋_GB2312" w:cs="仿宋_GB2312"/>
          <w:kern w:val="0"/>
          <w:sz w:val="24"/>
          <w:szCs w:val="24"/>
          <w:lang w:val="en-US" w:eastAsia="zh-CN"/>
        </w:rPr>
        <w:t>06</w:t>
      </w:r>
      <w:r>
        <w:rPr>
          <w:rFonts w:hint="eastAsia" w:ascii="仿宋_GB2312" w:hAnsi="宋体" w:eastAsia="仿宋_GB2312" w:cs="仿宋_GB2312"/>
          <w:kern w:val="0"/>
          <w:sz w:val="24"/>
          <w:szCs w:val="24"/>
        </w:rPr>
        <w:t>月</w:t>
      </w:r>
      <w:r>
        <w:rPr>
          <w:rFonts w:hint="eastAsia" w:ascii="仿宋_GB2312" w:hAnsi="宋体" w:eastAsia="仿宋_GB2312" w:cs="仿宋_GB2312"/>
          <w:kern w:val="0"/>
          <w:sz w:val="24"/>
          <w:szCs w:val="24"/>
          <w:lang w:val="en-US" w:eastAsia="zh-CN"/>
        </w:rPr>
        <w:t>23</w:t>
      </w:r>
      <w:r>
        <w:rPr>
          <w:rFonts w:hint="eastAsia" w:ascii="仿宋_GB2312" w:hAnsi="宋体" w:eastAsia="仿宋_GB2312" w:cs="仿宋_GB2312"/>
          <w:kern w:val="0"/>
          <w:sz w:val="24"/>
          <w:szCs w:val="24"/>
        </w:rPr>
        <w:t>日至2025年0</w:t>
      </w:r>
      <w:r>
        <w:rPr>
          <w:rFonts w:hint="eastAsia" w:ascii="仿宋_GB2312" w:hAnsi="宋体" w:eastAsia="仿宋_GB2312" w:cs="仿宋_GB2312"/>
          <w:kern w:val="0"/>
          <w:sz w:val="24"/>
          <w:szCs w:val="24"/>
          <w:lang w:val="en-US" w:eastAsia="zh-CN"/>
        </w:rPr>
        <w:t>6</w:t>
      </w:r>
      <w:r>
        <w:rPr>
          <w:rFonts w:hint="eastAsia" w:ascii="仿宋_GB2312" w:hAnsi="宋体" w:eastAsia="仿宋_GB2312" w:cs="仿宋_GB2312"/>
          <w:kern w:val="0"/>
          <w:sz w:val="24"/>
          <w:szCs w:val="24"/>
        </w:rPr>
        <w:t>月</w:t>
      </w:r>
      <w:r>
        <w:rPr>
          <w:rFonts w:hint="eastAsia" w:ascii="仿宋_GB2312" w:hAnsi="宋体" w:eastAsia="仿宋_GB2312" w:cs="仿宋_GB2312"/>
          <w:kern w:val="0"/>
          <w:sz w:val="24"/>
          <w:szCs w:val="24"/>
          <w:lang w:val="en-US" w:eastAsia="zh-CN"/>
        </w:rPr>
        <w:t>22</w:t>
      </w:r>
      <w:r>
        <w:rPr>
          <w:rFonts w:hint="eastAsia" w:ascii="仿宋_GB2312" w:hAnsi="宋体" w:eastAsia="仿宋_GB2312" w:cs="仿宋_GB2312"/>
          <w:kern w:val="0"/>
          <w:sz w:val="24"/>
          <w:szCs w:val="24"/>
        </w:rPr>
        <w:t>日</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（3）甲方向乙方支付的合同服务费用总计</w:t>
      </w:r>
      <w:r>
        <w:rPr>
          <w:rFonts w:hint="eastAsia" w:ascii="仿宋_GB2312" w:hAnsi="宋体" w:eastAsia="仿宋_GB2312" w:cs="仿宋_GB2312"/>
          <w:kern w:val="0"/>
          <w:sz w:val="24"/>
          <w:szCs w:val="24"/>
          <w:lang w:val="en-US" w:eastAsia="zh-CN"/>
        </w:rPr>
        <w:t>不超过</w:t>
      </w:r>
      <w:r>
        <w:rPr>
          <w:rFonts w:hint="eastAsia" w:ascii="仿宋_GB2312" w:hAnsi="宋体" w:eastAsia="仿宋_GB2312" w:cs="仿宋_GB2312"/>
          <w:kern w:val="0"/>
          <w:sz w:val="24"/>
          <w:szCs w:val="24"/>
        </w:rPr>
        <w:t xml:space="preserve">人民币  </w:t>
      </w:r>
      <w:r>
        <w:rPr>
          <w:rFonts w:hint="eastAsia" w:ascii="仿宋_GB2312" w:hAnsi="宋体" w:eastAsia="仿宋_GB2312" w:cs="仿宋_GB2312"/>
          <w:kern w:val="0"/>
          <w:sz w:val="24"/>
          <w:szCs w:val="24"/>
          <w:lang w:val="en-US" w:eastAsia="zh-CN"/>
        </w:rPr>
        <w:t>24950</w:t>
      </w:r>
      <w:r>
        <w:rPr>
          <w:rFonts w:hint="eastAsia" w:ascii="仿宋_GB2312" w:hAnsi="宋体" w:eastAsia="仿宋_GB2312" w:cs="仿宋_GB2312"/>
          <w:kern w:val="0"/>
          <w:sz w:val="24"/>
          <w:szCs w:val="24"/>
        </w:rPr>
        <w:t xml:space="preserve">  元</w:t>
      </w:r>
      <w:r>
        <w:rPr>
          <w:rFonts w:hint="eastAsia" w:ascii="仿宋_GB2312" w:hAnsi="宋体" w:eastAsia="仿宋_GB2312" w:cs="仿宋_GB2312"/>
          <w:kern w:val="0"/>
          <w:sz w:val="24"/>
          <w:szCs w:val="24"/>
          <w:lang w:val="en-US" w:eastAsia="zh-CN"/>
        </w:rPr>
        <w:t>/月</w:t>
      </w:r>
      <w:r>
        <w:rPr>
          <w:rFonts w:hint="eastAsia" w:ascii="仿宋_GB2312" w:hAnsi="宋体" w:eastAsia="仿宋_GB2312" w:cs="仿宋_GB2312"/>
          <w:kern w:val="0"/>
          <w:sz w:val="24"/>
          <w:szCs w:val="24"/>
        </w:rPr>
        <w:t>（大写：</w:t>
      </w:r>
      <w:r>
        <w:rPr>
          <w:rFonts w:hint="eastAsia" w:ascii="仿宋_GB2312" w:hAnsi="宋体" w:eastAsia="仿宋_GB2312" w:cs="仿宋_GB2312"/>
          <w:kern w:val="0"/>
          <w:sz w:val="24"/>
          <w:szCs w:val="24"/>
          <w:lang w:val="en-US" w:eastAsia="zh-CN"/>
        </w:rPr>
        <w:t>贰万肆仟玖佰伍拾元</w:t>
      </w:r>
      <w:r>
        <w:rPr>
          <w:rFonts w:hint="eastAsia" w:ascii="仿宋_GB2312" w:hAnsi="宋体" w:eastAsia="仿宋_GB2312" w:cs="仿宋_GB2312"/>
          <w:kern w:val="0"/>
          <w:sz w:val="24"/>
          <w:szCs w:val="24"/>
        </w:rPr>
        <w:t>整）。费用包括如下项目：</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lang w:val="en-US" w:eastAsia="zh-CN"/>
        </w:rPr>
        <w:t>1.</w:t>
      </w:r>
      <w:r>
        <w:rPr>
          <w:rFonts w:hint="eastAsia" w:ascii="仿宋_GB2312" w:hAnsi="宋体" w:eastAsia="仿宋_GB2312" w:cs="仿宋_GB2312"/>
          <w:kern w:val="0"/>
          <w:sz w:val="24"/>
          <w:szCs w:val="24"/>
        </w:rPr>
        <w:t>一站式结算   服务，24小时内响应甲方客户要求，由乙方先行代甲方客户全程垫付挂号、治疗、诊疗服务费用，每月提供1</w:t>
      </w:r>
      <w:r>
        <w:rPr>
          <w:rFonts w:hint="eastAsia" w:ascii="仿宋_GB2312" w:hAnsi="宋体" w:eastAsia="仿宋_GB2312" w:cs="仿宋_GB2312"/>
          <w:kern w:val="0"/>
          <w:sz w:val="24"/>
          <w:szCs w:val="24"/>
          <w:lang w:val="en-US" w:eastAsia="zh-CN"/>
        </w:rPr>
        <w:t>0</w:t>
      </w:r>
      <w:r>
        <w:rPr>
          <w:rFonts w:hint="eastAsia" w:ascii="仿宋_GB2312" w:hAnsi="宋体" w:eastAsia="仿宋_GB2312" w:cs="仿宋_GB2312"/>
          <w:kern w:val="0"/>
          <w:sz w:val="24"/>
          <w:szCs w:val="24"/>
        </w:rPr>
        <w:t>次，合同期内总计</w:t>
      </w:r>
      <w:r>
        <w:rPr>
          <w:rFonts w:hint="eastAsia" w:ascii="仿宋_GB2312" w:hAnsi="宋体" w:eastAsia="仿宋_GB2312" w:cs="仿宋_GB2312"/>
          <w:kern w:val="0"/>
          <w:sz w:val="24"/>
          <w:szCs w:val="24"/>
          <w:lang w:val="en-US" w:eastAsia="zh-CN"/>
        </w:rPr>
        <w:t>12</w:t>
      </w:r>
      <w:r>
        <w:rPr>
          <w:rFonts w:hint="eastAsia" w:ascii="仿宋_GB2312" w:hAnsi="宋体" w:eastAsia="仿宋_GB2312" w:cs="仿宋_GB2312"/>
          <w:kern w:val="0"/>
          <w:sz w:val="24"/>
          <w:szCs w:val="24"/>
        </w:rPr>
        <w:t>0次；</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lang w:val="en-US" w:eastAsia="zh-CN"/>
        </w:rPr>
        <w:t>2.</w:t>
      </w:r>
      <w:r>
        <w:rPr>
          <w:rFonts w:hint="eastAsia" w:ascii="仿宋_GB2312" w:hAnsi="宋体" w:eastAsia="仿宋_GB2312" w:cs="仿宋_GB2312"/>
          <w:kern w:val="0"/>
          <w:sz w:val="24"/>
          <w:szCs w:val="24"/>
        </w:rPr>
        <w:t>就医绿色通道   服务，36小时内完成预约门诊挂号服务（含导医导诊），以及48小时内完成预约住院/手术安排，每月提供</w:t>
      </w:r>
      <w:r>
        <w:rPr>
          <w:rFonts w:hint="eastAsia" w:ascii="仿宋_GB2312" w:hAnsi="宋体" w:eastAsia="仿宋_GB2312" w:cs="仿宋_GB2312"/>
          <w:kern w:val="0"/>
          <w:sz w:val="24"/>
          <w:szCs w:val="24"/>
          <w:lang w:val="en-US" w:eastAsia="zh-CN"/>
        </w:rPr>
        <w:t>2</w:t>
      </w:r>
      <w:r>
        <w:rPr>
          <w:rFonts w:hint="eastAsia" w:ascii="仿宋_GB2312" w:hAnsi="宋体" w:eastAsia="仿宋_GB2312" w:cs="仿宋_GB2312"/>
          <w:kern w:val="0"/>
          <w:sz w:val="24"/>
          <w:szCs w:val="24"/>
        </w:rPr>
        <w:t>次，合同期内总计</w:t>
      </w:r>
      <w:r>
        <w:rPr>
          <w:rFonts w:hint="eastAsia" w:ascii="仿宋_GB2312" w:hAnsi="宋体" w:eastAsia="仿宋_GB2312" w:cs="仿宋_GB2312"/>
          <w:kern w:val="0"/>
          <w:sz w:val="24"/>
          <w:szCs w:val="24"/>
          <w:lang w:val="en-US" w:eastAsia="zh-CN"/>
        </w:rPr>
        <w:t>24</w:t>
      </w:r>
      <w:r>
        <w:rPr>
          <w:rFonts w:hint="eastAsia" w:ascii="仿宋_GB2312" w:hAnsi="宋体" w:eastAsia="仿宋_GB2312" w:cs="仿宋_GB2312"/>
          <w:kern w:val="0"/>
          <w:sz w:val="24"/>
          <w:szCs w:val="24"/>
        </w:rPr>
        <w:t xml:space="preserve">次。                                       </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3.告知</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甲乙双方同意涉及本合同的一切事宜均以书面形式提交，双方应及时响应。</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lang w:val="en-US" w:eastAsia="zh-CN"/>
        </w:rPr>
      </w:pPr>
      <w:r>
        <w:rPr>
          <w:rFonts w:hint="eastAsia" w:ascii="仿宋_GB2312" w:hAnsi="宋体" w:eastAsia="仿宋_GB2312" w:cs="仿宋_GB2312"/>
          <w:kern w:val="0"/>
          <w:sz w:val="24"/>
          <w:szCs w:val="24"/>
          <w:lang w:val="en-US" w:eastAsia="zh-CN"/>
        </w:rPr>
        <w:t>技术转移</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（1） 乙方应保证在项目实施过程向甲方进行技术和知识的转移。技术转移必须有完整的文档说明（包括但不限于总体设计、详细设计、培训材料等）；</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（2）乙方向甲方提供的所有项目资料应使用中文；</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（3）乙方提供的文档和资料均应以磁介质（或光盘）和纸张为载体，文件格式为Word文档或PDF文档或其他可视化文件；</w:t>
      </w:r>
    </w:p>
    <w:p>
      <w:pPr>
        <w:keepNext w:val="0"/>
        <w:keepLines w:val="0"/>
        <w:widowControl/>
        <w:suppressLineNumbers w:val="0"/>
        <w:spacing w:before="0" w:beforeAutospacing="1" w:after="0" w:afterAutospacing="1" w:line="600" w:lineRule="exact"/>
        <w:ind w:left="0" w:right="0"/>
        <w:jc w:val="left"/>
        <w:rPr>
          <w:rFonts w:hint="default" w:ascii="仿宋_GB2312" w:hAnsi="宋体" w:eastAsia="仿宋_GB2312" w:cs="仿宋_GB2312"/>
          <w:kern w:val="0"/>
          <w:sz w:val="24"/>
          <w:szCs w:val="24"/>
          <w:lang w:val="en-US" w:eastAsia="zh-CN"/>
        </w:rPr>
      </w:pPr>
      <w:r>
        <w:rPr>
          <w:rFonts w:hint="eastAsia" w:ascii="仿宋_GB2312" w:hAnsi="宋体" w:eastAsia="仿宋_GB2312" w:cs="仿宋_GB2312"/>
          <w:kern w:val="0"/>
          <w:sz w:val="24"/>
          <w:szCs w:val="24"/>
        </w:rPr>
        <w:t>（4）乙方应就技术转移中涉及知识产权的内容给予说明，并提出相应的方案；</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lang w:val="en-US" w:eastAsia="zh-CN"/>
        </w:rPr>
      </w:pPr>
      <w:r>
        <w:rPr>
          <w:rFonts w:hint="eastAsia" w:ascii="仿宋_GB2312" w:hAnsi="宋体" w:eastAsia="仿宋_GB2312" w:cs="仿宋_GB2312"/>
          <w:kern w:val="0"/>
          <w:sz w:val="24"/>
          <w:szCs w:val="24"/>
          <w:lang w:val="en-US" w:eastAsia="zh-CN"/>
        </w:rPr>
        <w:t xml:space="preserve"> 问题项目处理</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lang w:val="en-US" w:eastAsia="zh-CN"/>
        </w:rPr>
      </w:pPr>
      <w:r>
        <w:rPr>
          <w:rFonts w:hint="eastAsia" w:ascii="仿宋_GB2312" w:hAnsi="宋体" w:eastAsia="仿宋_GB2312" w:cs="仿宋_GB2312"/>
          <w:kern w:val="0"/>
          <w:sz w:val="24"/>
          <w:szCs w:val="24"/>
          <w:lang w:val="en-US" w:eastAsia="zh-CN"/>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rPr>
          <w:rFonts w:hint="eastAsia" w:ascii="楷体" w:hAnsi="楷体" w:eastAsia="楷体" w:cs="Arial"/>
          <w:color w:val="auto"/>
          <w:szCs w:val="24"/>
          <w:lang w:val="en-US" w:eastAsia="zh-CN"/>
        </w:rPr>
      </w:pPr>
    </w:p>
    <w:p>
      <w:pPr>
        <w:rPr>
          <w:rFonts w:hint="eastAsia" w:ascii="楷体" w:hAnsi="楷体" w:eastAsia="楷体" w:cs="Arial"/>
          <w:color w:val="auto"/>
          <w:szCs w:val="24"/>
          <w:lang w:val="en-US" w:eastAsia="zh-CN"/>
        </w:rPr>
      </w:pPr>
    </w:p>
    <w:p>
      <w:pPr>
        <w:rPr>
          <w:rFonts w:hint="eastAsia" w:ascii="楷体" w:hAnsi="楷体" w:eastAsia="楷体" w:cs="Arial"/>
          <w:color w:val="auto"/>
          <w:szCs w:val="24"/>
          <w:lang w:val="en-US" w:eastAsia="zh-CN"/>
        </w:rPr>
      </w:pPr>
    </w:p>
    <w:p>
      <w:pPr>
        <w:rPr>
          <w:rFonts w:hint="eastAsia" w:ascii="楷体" w:hAnsi="楷体" w:eastAsia="楷体" w:cs="Arial"/>
          <w:color w:val="auto"/>
          <w:szCs w:val="24"/>
          <w:lang w:val="en-US" w:eastAsia="zh-CN"/>
        </w:rPr>
      </w:pPr>
    </w:p>
    <w:p>
      <w:pPr>
        <w:rPr>
          <w:rFonts w:hint="eastAsia" w:ascii="楷体" w:hAnsi="楷体" w:eastAsia="楷体" w:cs="Arial"/>
          <w:color w:val="auto"/>
          <w:szCs w:val="24"/>
          <w:lang w:val="en-US" w:eastAsia="zh-CN"/>
        </w:rPr>
      </w:pPr>
    </w:p>
    <w:p>
      <w:pPr>
        <w:pStyle w:val="3"/>
        <w:tabs>
          <w:tab w:val="left" w:pos="2190"/>
        </w:tabs>
        <w:ind w:firstLine="482"/>
        <w:rPr>
          <w:rFonts w:hint="eastAsia"/>
          <w:sz w:val="24"/>
          <w:szCs w:val="24"/>
        </w:rPr>
      </w:pPr>
      <w:r>
        <w:rPr>
          <w:rFonts w:hint="eastAsia"/>
          <w:sz w:val="24"/>
          <w:szCs w:val="24"/>
        </w:rPr>
        <w:t>附件二</w:t>
      </w:r>
    </w:p>
    <w:p>
      <w:pPr>
        <w:spacing w:line="360" w:lineRule="auto"/>
        <w:jc w:val="center"/>
        <w:rPr>
          <w:rFonts w:ascii="楷体" w:hAnsi="楷体" w:eastAsia="楷体" w:cs="楷体"/>
          <w:b/>
        </w:rPr>
      </w:pPr>
      <w:r>
        <w:rPr>
          <w:rFonts w:hint="eastAsia" w:ascii="楷体" w:hAnsi="楷体" w:eastAsia="楷体" w:cs="楷体"/>
          <w:b/>
        </w:rPr>
        <w:t>付款</w:t>
      </w:r>
    </w:p>
    <w:p>
      <w:pPr>
        <w:autoSpaceDE w:val="0"/>
        <w:autoSpaceDN w:val="0"/>
        <w:spacing w:line="360" w:lineRule="auto"/>
        <w:ind w:left="482"/>
        <w:rPr>
          <w:rFonts w:ascii="楷体" w:hAnsi="楷体" w:eastAsia="楷体" w:cs="楷体"/>
        </w:rPr>
      </w:pP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1.本合同使用货币种类为人民币。</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2.付款方式：转账[现金/支票]双方采用转账方式付款的，甲方应向乙方以下账户进行支付：</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ab/>
      </w:r>
      <w:r>
        <w:rPr>
          <w:rFonts w:hint="eastAsia" w:ascii="仿宋_GB2312" w:hAnsi="宋体" w:eastAsia="仿宋_GB2312" w:cs="仿宋_GB2312"/>
          <w:kern w:val="0"/>
          <w:sz w:val="24"/>
          <w:szCs w:val="24"/>
        </w:rPr>
        <w:t>乙方：</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ab/>
      </w:r>
      <w:r>
        <w:rPr>
          <w:rFonts w:hint="eastAsia" w:ascii="仿宋_GB2312" w:hAnsi="宋体" w:eastAsia="仿宋_GB2312" w:cs="仿宋_GB2312"/>
          <w:kern w:val="0"/>
          <w:sz w:val="24"/>
          <w:szCs w:val="24"/>
        </w:rPr>
        <w:t>开户行：</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ab/>
      </w:r>
      <w:r>
        <w:rPr>
          <w:rFonts w:hint="eastAsia" w:ascii="仿宋_GB2312" w:hAnsi="宋体" w:eastAsia="仿宋_GB2312" w:cs="仿宋_GB2312"/>
          <w:kern w:val="0"/>
          <w:sz w:val="24"/>
          <w:szCs w:val="24"/>
        </w:rPr>
        <w:t>账户名称：</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ab/>
      </w:r>
      <w:r>
        <w:rPr>
          <w:rFonts w:hint="eastAsia" w:ascii="仿宋_GB2312" w:hAnsi="宋体" w:eastAsia="仿宋_GB2312" w:cs="仿宋_GB2312"/>
          <w:kern w:val="0"/>
          <w:sz w:val="24"/>
          <w:szCs w:val="24"/>
        </w:rPr>
        <w:t>账号：</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乙方如需改变上述账户，应提前10日以书面通知甲方。</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3.付款安排</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甲方分[ </w:t>
      </w:r>
      <w:r>
        <w:rPr>
          <w:rFonts w:hint="eastAsia" w:ascii="仿宋_GB2312" w:hAnsi="宋体" w:eastAsia="仿宋_GB2312" w:cs="仿宋_GB2312"/>
          <w:kern w:val="0"/>
          <w:sz w:val="24"/>
          <w:szCs w:val="24"/>
          <w:lang w:val="en-US" w:eastAsia="zh-CN"/>
        </w:rPr>
        <w:t xml:space="preserve">12 </w:t>
      </w:r>
      <w:r>
        <w:rPr>
          <w:rFonts w:hint="eastAsia" w:ascii="仿宋_GB2312" w:hAnsi="宋体" w:eastAsia="仿宋_GB2312" w:cs="仿宋_GB2312"/>
          <w:kern w:val="0"/>
          <w:sz w:val="24"/>
          <w:szCs w:val="24"/>
        </w:rPr>
        <w:t>]次向乙方付款，每次付款前乙方须向甲方出具付款通知书，并出具合法有效的增值税专用发票:</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（1）本合同生效后，在甲方收到乙方书面付款通知书后15个工作日内，甲方支付乙方合同</w:t>
      </w:r>
      <w:r>
        <w:rPr>
          <w:rFonts w:hint="eastAsia" w:ascii="仿宋_GB2312" w:hAnsi="宋体" w:eastAsia="仿宋_GB2312" w:cs="仿宋_GB2312"/>
          <w:kern w:val="0"/>
          <w:sz w:val="24"/>
          <w:szCs w:val="24"/>
          <w:lang w:val="en-US" w:eastAsia="zh-CN"/>
        </w:rPr>
        <w:t>当月</w:t>
      </w:r>
      <w:r>
        <w:rPr>
          <w:rFonts w:hint="eastAsia" w:ascii="仿宋_GB2312" w:hAnsi="宋体" w:eastAsia="仿宋_GB2312" w:cs="仿宋_GB2312"/>
          <w:kern w:val="0"/>
          <w:sz w:val="24"/>
          <w:szCs w:val="24"/>
        </w:rPr>
        <w:t>服务费用总额的</w:t>
      </w:r>
      <w:r>
        <w:rPr>
          <w:rFonts w:hint="eastAsia" w:ascii="仿宋_GB2312" w:hAnsi="宋体" w:eastAsia="仿宋_GB2312" w:cs="仿宋_GB2312"/>
          <w:kern w:val="0"/>
          <w:sz w:val="24"/>
          <w:szCs w:val="24"/>
          <w:lang w:val="en-US" w:eastAsia="zh-CN"/>
        </w:rPr>
        <w:t>100</w:t>
      </w:r>
      <w:r>
        <w:rPr>
          <w:rFonts w:hint="eastAsia" w:ascii="仿宋_GB2312" w:hAnsi="宋体" w:eastAsia="仿宋_GB2312" w:cs="仿宋_GB2312"/>
          <w:kern w:val="0"/>
          <w:sz w:val="24"/>
          <w:szCs w:val="24"/>
        </w:rPr>
        <w:t xml:space="preserve">%,即人民币  </w:t>
      </w:r>
      <w:r>
        <w:rPr>
          <w:rFonts w:hint="eastAsia" w:ascii="仿宋_GB2312" w:hAnsi="宋体" w:eastAsia="仿宋_GB2312" w:cs="仿宋_GB2312"/>
          <w:kern w:val="0"/>
          <w:sz w:val="24"/>
          <w:szCs w:val="24"/>
          <w:lang w:val="en-US" w:eastAsia="zh-CN"/>
        </w:rPr>
        <w:t>24950</w:t>
      </w:r>
      <w:r>
        <w:rPr>
          <w:rFonts w:hint="eastAsia" w:ascii="仿宋_GB2312" w:hAnsi="宋体" w:eastAsia="仿宋_GB2312" w:cs="仿宋_GB2312"/>
          <w:kern w:val="0"/>
          <w:sz w:val="24"/>
          <w:szCs w:val="24"/>
        </w:rPr>
        <w:t xml:space="preserve">  元</w:t>
      </w:r>
      <w:r>
        <w:rPr>
          <w:rFonts w:hint="eastAsia" w:ascii="仿宋_GB2312" w:hAnsi="宋体" w:eastAsia="仿宋_GB2312" w:cs="仿宋_GB2312"/>
          <w:kern w:val="0"/>
          <w:sz w:val="24"/>
          <w:szCs w:val="24"/>
          <w:lang w:val="en-US" w:eastAsia="zh-CN"/>
        </w:rPr>
        <w:t>/月</w:t>
      </w:r>
      <w:r>
        <w:rPr>
          <w:rFonts w:hint="eastAsia" w:ascii="仿宋_GB2312" w:hAnsi="宋体" w:eastAsia="仿宋_GB2312" w:cs="仿宋_GB2312"/>
          <w:kern w:val="0"/>
          <w:sz w:val="24"/>
          <w:szCs w:val="24"/>
        </w:rPr>
        <w:t>（大写：</w:t>
      </w:r>
      <w:r>
        <w:rPr>
          <w:rFonts w:hint="eastAsia" w:ascii="仿宋_GB2312" w:hAnsi="宋体" w:eastAsia="仿宋_GB2312" w:cs="仿宋_GB2312"/>
          <w:kern w:val="0"/>
          <w:sz w:val="24"/>
          <w:szCs w:val="24"/>
          <w:lang w:val="en-US" w:eastAsia="zh-CN"/>
        </w:rPr>
        <w:t>贰万肆仟玖佰伍拾元</w:t>
      </w:r>
      <w:r>
        <w:rPr>
          <w:rFonts w:hint="eastAsia" w:ascii="仿宋_GB2312" w:hAnsi="宋体" w:eastAsia="仿宋_GB2312" w:cs="仿宋_GB2312"/>
          <w:kern w:val="0"/>
          <w:sz w:val="24"/>
          <w:szCs w:val="24"/>
        </w:rPr>
        <w:t>整）；</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4.增值税专用发票的相关约定</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（1）乙方应向甲方开具增值税专用发票，甲方开票信息如下： </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公司名称： __中国人民财产保险股份有限公司广州市分公司__</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纳税识别号： __91440101712412249C_</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银行账号： ___3602000109001050402____</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开户银行： ___中国工商银行广州市第一支行_________</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开票地址： _广州市越秀区广州大道中303，305号101房、201房、301房、601房、701房、801房、1401房、2201房__</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开票电话： ____020-87355729____</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pPr>
      <w:r>
        <w:rPr>
          <w:rFonts w:hint="eastAsia" w:ascii="仿宋_GB2312" w:hAnsi="宋体" w:eastAsia="仿宋_GB2312" w:cs="仿宋_GB2312"/>
          <w:kern w:val="0"/>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widowControl/>
        <w:suppressLineNumbers w:val="0"/>
        <w:spacing w:before="0" w:beforeAutospacing="1" w:after="0" w:afterAutospacing="1" w:line="600" w:lineRule="exact"/>
        <w:ind w:left="0" w:right="0"/>
        <w:jc w:val="left"/>
        <w:rPr>
          <w:rFonts w:hint="eastAsia" w:ascii="仿宋_GB2312" w:hAnsi="宋体" w:eastAsia="仿宋_GB2312" w:cs="仿宋_GB2312"/>
          <w:kern w:val="0"/>
          <w:sz w:val="24"/>
          <w:szCs w:val="24"/>
        </w:rPr>
        <w:sectPr>
          <w:pgSz w:w="11906" w:h="16838"/>
          <w:pgMar w:top="1418" w:right="1418" w:bottom="1418" w:left="1701" w:header="851" w:footer="992" w:gutter="0"/>
          <w:cols w:space="425" w:num="1"/>
          <w:docGrid w:type="lines" w:linePitch="312" w:charSpace="0"/>
        </w:sectPr>
      </w:pPr>
      <w:r>
        <w:rPr>
          <w:rFonts w:hint="eastAsia" w:ascii="仿宋_GB2312" w:hAnsi="宋体" w:eastAsia="仿宋_GB2312" w:cs="仿宋_GB2312"/>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
        <w:tabs>
          <w:tab w:val="left" w:pos="2190"/>
        </w:tabs>
        <w:ind w:firstLine="482"/>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附件三、续约条约</w:t>
      </w:r>
    </w:p>
    <w:p>
      <w:pPr>
        <w:tabs>
          <w:tab w:val="left" w:pos="3826"/>
        </w:tabs>
        <w:bidi w:val="0"/>
        <w:spacing w:line="480" w:lineRule="auto"/>
        <w:ind w:firstLine="480" w:firstLineChars="200"/>
        <w:jc w:val="left"/>
        <w:rPr>
          <w:rFonts w:hint="eastAsia" w:ascii="仿宋_GB2312" w:hAnsi="仿宋_GB2312" w:eastAsia="仿宋_GB2312" w:cs="仿宋_GB2312"/>
          <w:lang w:val="en-US" w:eastAsia="zh-CN"/>
        </w:rPr>
      </w:pPr>
      <w:r>
        <w:rPr>
          <w:rFonts w:hint="eastAsia" w:ascii="仿宋_GB2312" w:hAnsi="仿宋_GB2312" w:eastAsia="仿宋_GB2312" w:cs="仿宋_GB2312"/>
          <w:b w:val="0"/>
          <w:bCs w:val="0"/>
          <w:sz w:val="24"/>
          <w:szCs w:val="24"/>
          <w:lang w:val="en-US" w:eastAsia="zh-CN"/>
        </w:rPr>
        <w:t>本项服务采购根据我司与南航企补项目的合作而定，确保合作的同时，为了保持项目发展的稳定性和持续性，合同服务到期后，服务双方可根据上年度合同期限内服务质量等方面进行评价考量，且合同内容、金额等未发生实质性变化、市场价格未发生不利变化的，到期后可以续签合同，续签次数为2次，每次续签合同期限不超过1年。</w:t>
      </w:r>
    </w:p>
    <w:p>
      <w:pPr>
        <w:rPr>
          <w:rFonts w:hint="default"/>
          <w:lang w:val="en-US" w:eastAsia="zh-CN"/>
        </w:rPr>
      </w:pPr>
    </w:p>
    <w:sectPr>
      <w:pgSz w:w="11906" w:h="16838"/>
      <w:pgMar w:top="1418" w:right="1418"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華康中楷體">
    <w:altName w:val="Arial Unicode MS"/>
    <w:panose1 w:val="00000000000000000000"/>
    <w:charset w:val="88"/>
    <w:family w:val="modern"/>
    <w:pitch w:val="default"/>
    <w:sig w:usb0="00000000" w:usb1="00000000" w:usb2="00000010" w:usb3="00000000" w:csb0="0010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CDED5D"/>
    <w:multiLevelType w:val="singleLevel"/>
    <w:tmpl w:val="F5CDED5D"/>
    <w:lvl w:ilvl="0" w:tentative="0">
      <w:start w:val="5"/>
      <w:numFmt w:val="upperLetter"/>
      <w:suff w:val="nothing"/>
      <w:lvlText w:val="%1-"/>
      <w:lvlJc w:val="left"/>
    </w:lvl>
  </w:abstractNum>
  <w:abstractNum w:abstractNumId="1">
    <w:nsid w:val="10AB0F0E"/>
    <w:multiLevelType w:val="singleLevel"/>
    <w:tmpl w:val="10AB0F0E"/>
    <w:lvl w:ilvl="0" w:tentative="0">
      <w:start w:val="1"/>
      <w:numFmt w:val="chineseCounting"/>
      <w:suff w:val="nothing"/>
      <w:lvlText w:val="（%1）"/>
      <w:lvlJc w:val="left"/>
      <w:pPr>
        <w:ind w:left="0" w:firstLine="420"/>
      </w:pPr>
      <w:rPr>
        <w:rFonts w:hint="eastAsia" w:ascii="仿宋_GB2312" w:hAnsi="仿宋_GB2312" w:eastAsia="仿宋_GB2312" w:cs="仿宋_GB2312"/>
        <w:sz w:val="32"/>
        <w:szCs w:val="32"/>
      </w:rPr>
    </w:lvl>
  </w:abstractNum>
  <w:abstractNum w:abstractNumId="2">
    <w:nsid w:val="6AA72524"/>
    <w:multiLevelType w:val="singleLevel"/>
    <w:tmpl w:val="6AA72524"/>
    <w:lvl w:ilvl="0" w:tentative="0">
      <w:start w:val="2"/>
      <w:numFmt w:val="decimal"/>
      <w:lvlText w:val="(%1)"/>
      <w:lvlJc w:val="left"/>
      <w:pPr>
        <w:tabs>
          <w:tab w:val="left" w:pos="312"/>
        </w:tabs>
        <w:ind w:left="-10"/>
      </w:pPr>
      <w:rPr>
        <w:rFonts w:hint="default" w:ascii="仿宋_GB2312" w:hAnsi="仿宋_GB2312" w:eastAsia="仿宋_GB2312" w:cs="仿宋_GB2312"/>
        <w:sz w:val="32"/>
        <w:szCs w:val="32"/>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C55"/>
    <w:rsid w:val="000011BE"/>
    <w:rsid w:val="00001DB7"/>
    <w:rsid w:val="00002B94"/>
    <w:rsid w:val="00014D6B"/>
    <w:rsid w:val="0002493D"/>
    <w:rsid w:val="0002523D"/>
    <w:rsid w:val="00035901"/>
    <w:rsid w:val="00050D3F"/>
    <w:rsid w:val="000516BA"/>
    <w:rsid w:val="000546F6"/>
    <w:rsid w:val="000667E9"/>
    <w:rsid w:val="0007040E"/>
    <w:rsid w:val="00070884"/>
    <w:rsid w:val="000708AB"/>
    <w:rsid w:val="000722AA"/>
    <w:rsid w:val="00081D84"/>
    <w:rsid w:val="00083CE8"/>
    <w:rsid w:val="00085C1C"/>
    <w:rsid w:val="000931E3"/>
    <w:rsid w:val="000B1662"/>
    <w:rsid w:val="000B2664"/>
    <w:rsid w:val="000C36AB"/>
    <w:rsid w:val="000C5CE2"/>
    <w:rsid w:val="000C6114"/>
    <w:rsid w:val="000D086E"/>
    <w:rsid w:val="000D2794"/>
    <w:rsid w:val="000E07E3"/>
    <w:rsid w:val="00102E17"/>
    <w:rsid w:val="001074E6"/>
    <w:rsid w:val="001129A4"/>
    <w:rsid w:val="00112CBB"/>
    <w:rsid w:val="00122C69"/>
    <w:rsid w:val="001239EA"/>
    <w:rsid w:val="001250CF"/>
    <w:rsid w:val="0013002A"/>
    <w:rsid w:val="00134814"/>
    <w:rsid w:val="001369D1"/>
    <w:rsid w:val="00143322"/>
    <w:rsid w:val="00163F6A"/>
    <w:rsid w:val="0017156B"/>
    <w:rsid w:val="0017673B"/>
    <w:rsid w:val="00183F93"/>
    <w:rsid w:val="001907B7"/>
    <w:rsid w:val="001914AF"/>
    <w:rsid w:val="001971A8"/>
    <w:rsid w:val="001A0BD3"/>
    <w:rsid w:val="001A50B0"/>
    <w:rsid w:val="001B1863"/>
    <w:rsid w:val="001C28A0"/>
    <w:rsid w:val="001E3ABD"/>
    <w:rsid w:val="001F1BC1"/>
    <w:rsid w:val="001F5B74"/>
    <w:rsid w:val="00204D22"/>
    <w:rsid w:val="002059BB"/>
    <w:rsid w:val="00223E2E"/>
    <w:rsid w:val="0022630E"/>
    <w:rsid w:val="002352DB"/>
    <w:rsid w:val="002451B9"/>
    <w:rsid w:val="002454E0"/>
    <w:rsid w:val="00247388"/>
    <w:rsid w:val="00275DFC"/>
    <w:rsid w:val="002837CA"/>
    <w:rsid w:val="00284D5C"/>
    <w:rsid w:val="00291970"/>
    <w:rsid w:val="002A4211"/>
    <w:rsid w:val="002A7EA8"/>
    <w:rsid w:val="002B1C7C"/>
    <w:rsid w:val="002B5454"/>
    <w:rsid w:val="002B5A4E"/>
    <w:rsid w:val="002C60D2"/>
    <w:rsid w:val="002D1909"/>
    <w:rsid w:val="002D52AA"/>
    <w:rsid w:val="002D6E8A"/>
    <w:rsid w:val="002E1175"/>
    <w:rsid w:val="002F5E1F"/>
    <w:rsid w:val="002F664B"/>
    <w:rsid w:val="0030215D"/>
    <w:rsid w:val="00315CF5"/>
    <w:rsid w:val="00320F32"/>
    <w:rsid w:val="00326277"/>
    <w:rsid w:val="00327618"/>
    <w:rsid w:val="00335ACD"/>
    <w:rsid w:val="00336BCC"/>
    <w:rsid w:val="00345B9E"/>
    <w:rsid w:val="00346AC6"/>
    <w:rsid w:val="00347645"/>
    <w:rsid w:val="0035723D"/>
    <w:rsid w:val="00376C75"/>
    <w:rsid w:val="00381D42"/>
    <w:rsid w:val="003827B0"/>
    <w:rsid w:val="003A4705"/>
    <w:rsid w:val="003A63D9"/>
    <w:rsid w:val="003A6E69"/>
    <w:rsid w:val="003D23D8"/>
    <w:rsid w:val="003D70B5"/>
    <w:rsid w:val="003E0E70"/>
    <w:rsid w:val="003E5CC1"/>
    <w:rsid w:val="003E77E1"/>
    <w:rsid w:val="003F2951"/>
    <w:rsid w:val="003F4BAA"/>
    <w:rsid w:val="00400F8E"/>
    <w:rsid w:val="004142BC"/>
    <w:rsid w:val="00423B96"/>
    <w:rsid w:val="0043173E"/>
    <w:rsid w:val="00450EA8"/>
    <w:rsid w:val="00466F5A"/>
    <w:rsid w:val="00481F26"/>
    <w:rsid w:val="0048321F"/>
    <w:rsid w:val="004834F7"/>
    <w:rsid w:val="00485E8B"/>
    <w:rsid w:val="004921B9"/>
    <w:rsid w:val="0049657A"/>
    <w:rsid w:val="004A4916"/>
    <w:rsid w:val="004A7DB0"/>
    <w:rsid w:val="004C763D"/>
    <w:rsid w:val="004D079B"/>
    <w:rsid w:val="004D1208"/>
    <w:rsid w:val="004D497D"/>
    <w:rsid w:val="004E1415"/>
    <w:rsid w:val="004E2357"/>
    <w:rsid w:val="004E5D78"/>
    <w:rsid w:val="004F65A9"/>
    <w:rsid w:val="00500900"/>
    <w:rsid w:val="005009C6"/>
    <w:rsid w:val="00501013"/>
    <w:rsid w:val="0051056B"/>
    <w:rsid w:val="005178A7"/>
    <w:rsid w:val="00523349"/>
    <w:rsid w:val="00541EB7"/>
    <w:rsid w:val="0055004F"/>
    <w:rsid w:val="00552777"/>
    <w:rsid w:val="005613FB"/>
    <w:rsid w:val="00573025"/>
    <w:rsid w:val="00574B36"/>
    <w:rsid w:val="00582D5D"/>
    <w:rsid w:val="005917C5"/>
    <w:rsid w:val="005965B4"/>
    <w:rsid w:val="005A527A"/>
    <w:rsid w:val="005C0BCD"/>
    <w:rsid w:val="005C2FC6"/>
    <w:rsid w:val="005D2E3B"/>
    <w:rsid w:val="005F3893"/>
    <w:rsid w:val="0061460F"/>
    <w:rsid w:val="00616CD4"/>
    <w:rsid w:val="00637970"/>
    <w:rsid w:val="00660A10"/>
    <w:rsid w:val="00667E63"/>
    <w:rsid w:val="0067552D"/>
    <w:rsid w:val="00680FD5"/>
    <w:rsid w:val="00684938"/>
    <w:rsid w:val="00685F34"/>
    <w:rsid w:val="006954F0"/>
    <w:rsid w:val="006A2991"/>
    <w:rsid w:val="006A591C"/>
    <w:rsid w:val="006A5E52"/>
    <w:rsid w:val="006A69FB"/>
    <w:rsid w:val="006A795D"/>
    <w:rsid w:val="006B1DF3"/>
    <w:rsid w:val="006B35BE"/>
    <w:rsid w:val="006C6785"/>
    <w:rsid w:val="006D4F4F"/>
    <w:rsid w:val="006E2289"/>
    <w:rsid w:val="006E3B24"/>
    <w:rsid w:val="006F1386"/>
    <w:rsid w:val="006F6B16"/>
    <w:rsid w:val="00705066"/>
    <w:rsid w:val="00712F50"/>
    <w:rsid w:val="0071545C"/>
    <w:rsid w:val="007455A2"/>
    <w:rsid w:val="00745B0A"/>
    <w:rsid w:val="00751947"/>
    <w:rsid w:val="00765817"/>
    <w:rsid w:val="00775BA4"/>
    <w:rsid w:val="00784F25"/>
    <w:rsid w:val="00785AC4"/>
    <w:rsid w:val="00785DF2"/>
    <w:rsid w:val="00797A0D"/>
    <w:rsid w:val="007A65AB"/>
    <w:rsid w:val="007C2784"/>
    <w:rsid w:val="007C3989"/>
    <w:rsid w:val="007C6754"/>
    <w:rsid w:val="007D7576"/>
    <w:rsid w:val="007E5A3F"/>
    <w:rsid w:val="00802199"/>
    <w:rsid w:val="008141F1"/>
    <w:rsid w:val="00814249"/>
    <w:rsid w:val="00817D79"/>
    <w:rsid w:val="00827507"/>
    <w:rsid w:val="00831F81"/>
    <w:rsid w:val="00835A4C"/>
    <w:rsid w:val="00836A25"/>
    <w:rsid w:val="008511A8"/>
    <w:rsid w:val="0085466C"/>
    <w:rsid w:val="008646F0"/>
    <w:rsid w:val="0086797E"/>
    <w:rsid w:val="008715F8"/>
    <w:rsid w:val="00873D22"/>
    <w:rsid w:val="008818FB"/>
    <w:rsid w:val="0089244D"/>
    <w:rsid w:val="008B13E7"/>
    <w:rsid w:val="008B32DE"/>
    <w:rsid w:val="008C3164"/>
    <w:rsid w:val="008F67A5"/>
    <w:rsid w:val="009017E8"/>
    <w:rsid w:val="0090704C"/>
    <w:rsid w:val="0090769F"/>
    <w:rsid w:val="009235F6"/>
    <w:rsid w:val="00930D5C"/>
    <w:rsid w:val="00947234"/>
    <w:rsid w:val="00950388"/>
    <w:rsid w:val="0095059F"/>
    <w:rsid w:val="0095625A"/>
    <w:rsid w:val="00956FDD"/>
    <w:rsid w:val="009633CC"/>
    <w:rsid w:val="00965207"/>
    <w:rsid w:val="009747D0"/>
    <w:rsid w:val="00980DDF"/>
    <w:rsid w:val="00992A31"/>
    <w:rsid w:val="00995BFA"/>
    <w:rsid w:val="00996184"/>
    <w:rsid w:val="009A7CA0"/>
    <w:rsid w:val="009A7D79"/>
    <w:rsid w:val="009E0266"/>
    <w:rsid w:val="009F3998"/>
    <w:rsid w:val="00A121A5"/>
    <w:rsid w:val="00A1598E"/>
    <w:rsid w:val="00A2300F"/>
    <w:rsid w:val="00A303E0"/>
    <w:rsid w:val="00A36342"/>
    <w:rsid w:val="00A42C48"/>
    <w:rsid w:val="00A4381E"/>
    <w:rsid w:val="00A44C4C"/>
    <w:rsid w:val="00A52E79"/>
    <w:rsid w:val="00A53979"/>
    <w:rsid w:val="00A61D60"/>
    <w:rsid w:val="00A64BF1"/>
    <w:rsid w:val="00A76507"/>
    <w:rsid w:val="00A76DC8"/>
    <w:rsid w:val="00A87AFD"/>
    <w:rsid w:val="00A90412"/>
    <w:rsid w:val="00A948BC"/>
    <w:rsid w:val="00A96F07"/>
    <w:rsid w:val="00A97038"/>
    <w:rsid w:val="00AB2D49"/>
    <w:rsid w:val="00AB6CF5"/>
    <w:rsid w:val="00AC378C"/>
    <w:rsid w:val="00AD2283"/>
    <w:rsid w:val="00AD2C91"/>
    <w:rsid w:val="00AD362A"/>
    <w:rsid w:val="00AD3ACF"/>
    <w:rsid w:val="00AD44D1"/>
    <w:rsid w:val="00AD6167"/>
    <w:rsid w:val="00AD63E6"/>
    <w:rsid w:val="00AD7C4E"/>
    <w:rsid w:val="00AE3977"/>
    <w:rsid w:val="00AE6387"/>
    <w:rsid w:val="00B12D12"/>
    <w:rsid w:val="00B34915"/>
    <w:rsid w:val="00B371AB"/>
    <w:rsid w:val="00B41E60"/>
    <w:rsid w:val="00B420DB"/>
    <w:rsid w:val="00B43DB2"/>
    <w:rsid w:val="00B52641"/>
    <w:rsid w:val="00B531BE"/>
    <w:rsid w:val="00B576F3"/>
    <w:rsid w:val="00B70230"/>
    <w:rsid w:val="00B72277"/>
    <w:rsid w:val="00B95342"/>
    <w:rsid w:val="00B97D12"/>
    <w:rsid w:val="00BA4CD9"/>
    <w:rsid w:val="00BA4E3D"/>
    <w:rsid w:val="00BB4D4D"/>
    <w:rsid w:val="00BD0ECA"/>
    <w:rsid w:val="00BD5697"/>
    <w:rsid w:val="00BD6901"/>
    <w:rsid w:val="00BE6A75"/>
    <w:rsid w:val="00BF5631"/>
    <w:rsid w:val="00BF6982"/>
    <w:rsid w:val="00C0152E"/>
    <w:rsid w:val="00C1637E"/>
    <w:rsid w:val="00C41223"/>
    <w:rsid w:val="00C4306D"/>
    <w:rsid w:val="00C67534"/>
    <w:rsid w:val="00C73CDD"/>
    <w:rsid w:val="00C85E2F"/>
    <w:rsid w:val="00C90A8C"/>
    <w:rsid w:val="00C928E1"/>
    <w:rsid w:val="00C95C8C"/>
    <w:rsid w:val="00CA3283"/>
    <w:rsid w:val="00CA5BBA"/>
    <w:rsid w:val="00CB20AA"/>
    <w:rsid w:val="00CD7345"/>
    <w:rsid w:val="00CE3355"/>
    <w:rsid w:val="00CF78F6"/>
    <w:rsid w:val="00CF7BA1"/>
    <w:rsid w:val="00D003D7"/>
    <w:rsid w:val="00D00EE7"/>
    <w:rsid w:val="00D079A1"/>
    <w:rsid w:val="00D13244"/>
    <w:rsid w:val="00D141D2"/>
    <w:rsid w:val="00D226AB"/>
    <w:rsid w:val="00D22BBB"/>
    <w:rsid w:val="00D25A50"/>
    <w:rsid w:val="00D3522C"/>
    <w:rsid w:val="00D358E3"/>
    <w:rsid w:val="00D3630D"/>
    <w:rsid w:val="00D467BE"/>
    <w:rsid w:val="00D50742"/>
    <w:rsid w:val="00D50AE8"/>
    <w:rsid w:val="00D56BA7"/>
    <w:rsid w:val="00D56F8A"/>
    <w:rsid w:val="00D7049D"/>
    <w:rsid w:val="00D91873"/>
    <w:rsid w:val="00D91F65"/>
    <w:rsid w:val="00D93892"/>
    <w:rsid w:val="00D93F25"/>
    <w:rsid w:val="00D95190"/>
    <w:rsid w:val="00D95FAA"/>
    <w:rsid w:val="00DB05A5"/>
    <w:rsid w:val="00DB4438"/>
    <w:rsid w:val="00DC0C0C"/>
    <w:rsid w:val="00DC350B"/>
    <w:rsid w:val="00DD6632"/>
    <w:rsid w:val="00DD79BF"/>
    <w:rsid w:val="00DE3698"/>
    <w:rsid w:val="00DF3C55"/>
    <w:rsid w:val="00E00BB2"/>
    <w:rsid w:val="00E011C1"/>
    <w:rsid w:val="00E03A5A"/>
    <w:rsid w:val="00E17DF1"/>
    <w:rsid w:val="00E21731"/>
    <w:rsid w:val="00E405F1"/>
    <w:rsid w:val="00E42CB8"/>
    <w:rsid w:val="00E4716A"/>
    <w:rsid w:val="00E4776B"/>
    <w:rsid w:val="00E5447E"/>
    <w:rsid w:val="00E56F4E"/>
    <w:rsid w:val="00E864EE"/>
    <w:rsid w:val="00E90520"/>
    <w:rsid w:val="00E9630B"/>
    <w:rsid w:val="00EA216C"/>
    <w:rsid w:val="00EA7454"/>
    <w:rsid w:val="00EB1082"/>
    <w:rsid w:val="00EB7D74"/>
    <w:rsid w:val="00EC483A"/>
    <w:rsid w:val="00ED0C34"/>
    <w:rsid w:val="00ED4F78"/>
    <w:rsid w:val="00ED7CC1"/>
    <w:rsid w:val="00EE16EA"/>
    <w:rsid w:val="00EE4076"/>
    <w:rsid w:val="00EE76CD"/>
    <w:rsid w:val="00EF13B7"/>
    <w:rsid w:val="00EF2F40"/>
    <w:rsid w:val="00EF555C"/>
    <w:rsid w:val="00F1028F"/>
    <w:rsid w:val="00F131A0"/>
    <w:rsid w:val="00F2270F"/>
    <w:rsid w:val="00F23A3D"/>
    <w:rsid w:val="00F23BAA"/>
    <w:rsid w:val="00F2686D"/>
    <w:rsid w:val="00F36D4E"/>
    <w:rsid w:val="00F413A1"/>
    <w:rsid w:val="00F46B54"/>
    <w:rsid w:val="00F53761"/>
    <w:rsid w:val="00F63994"/>
    <w:rsid w:val="00F63D84"/>
    <w:rsid w:val="00FA4994"/>
    <w:rsid w:val="00FA4EBA"/>
    <w:rsid w:val="00FA7AE1"/>
    <w:rsid w:val="00FB0103"/>
    <w:rsid w:val="00FB09FC"/>
    <w:rsid w:val="00FB619F"/>
    <w:rsid w:val="00FC1826"/>
    <w:rsid w:val="00FC1DBA"/>
    <w:rsid w:val="00FD12A7"/>
    <w:rsid w:val="00FD30FC"/>
    <w:rsid w:val="00FD52E8"/>
    <w:rsid w:val="00FD5754"/>
    <w:rsid w:val="00FE4425"/>
    <w:rsid w:val="01FD0564"/>
    <w:rsid w:val="04AC7914"/>
    <w:rsid w:val="061A3190"/>
    <w:rsid w:val="09F67FB1"/>
    <w:rsid w:val="0F7301AD"/>
    <w:rsid w:val="100B14D5"/>
    <w:rsid w:val="101A1275"/>
    <w:rsid w:val="10AD3CC0"/>
    <w:rsid w:val="112935C0"/>
    <w:rsid w:val="12386C77"/>
    <w:rsid w:val="13C556E4"/>
    <w:rsid w:val="150030BB"/>
    <w:rsid w:val="172D6EAA"/>
    <w:rsid w:val="17A44193"/>
    <w:rsid w:val="1A083F92"/>
    <w:rsid w:val="1A0C6DF6"/>
    <w:rsid w:val="1A3F270D"/>
    <w:rsid w:val="1B4B1205"/>
    <w:rsid w:val="1BAB24C0"/>
    <w:rsid w:val="1BEA5226"/>
    <w:rsid w:val="1C5D6CE2"/>
    <w:rsid w:val="1DFF7EEC"/>
    <w:rsid w:val="1F993570"/>
    <w:rsid w:val="1FBA5176"/>
    <w:rsid w:val="22B42978"/>
    <w:rsid w:val="236373EA"/>
    <w:rsid w:val="23AB301D"/>
    <w:rsid w:val="23FB0A5B"/>
    <w:rsid w:val="24DE0117"/>
    <w:rsid w:val="25076754"/>
    <w:rsid w:val="264F14BF"/>
    <w:rsid w:val="27655C3C"/>
    <w:rsid w:val="27FC54F2"/>
    <w:rsid w:val="28AC0D84"/>
    <w:rsid w:val="29627257"/>
    <w:rsid w:val="2AC9434F"/>
    <w:rsid w:val="2AF22207"/>
    <w:rsid w:val="2C402844"/>
    <w:rsid w:val="2C737A68"/>
    <w:rsid w:val="2D9561D7"/>
    <w:rsid w:val="2DC04FBD"/>
    <w:rsid w:val="2DC361CD"/>
    <w:rsid w:val="2F0D085B"/>
    <w:rsid w:val="31A27A59"/>
    <w:rsid w:val="31BD4499"/>
    <w:rsid w:val="31E466F9"/>
    <w:rsid w:val="32412F39"/>
    <w:rsid w:val="33407993"/>
    <w:rsid w:val="347E748C"/>
    <w:rsid w:val="361769E5"/>
    <w:rsid w:val="368665D5"/>
    <w:rsid w:val="373232DC"/>
    <w:rsid w:val="38D37CF6"/>
    <w:rsid w:val="3AAC21FE"/>
    <w:rsid w:val="3AE263A9"/>
    <w:rsid w:val="3C3406F7"/>
    <w:rsid w:val="3E1677F2"/>
    <w:rsid w:val="3E285A69"/>
    <w:rsid w:val="3FED2FEE"/>
    <w:rsid w:val="437F1B95"/>
    <w:rsid w:val="441C41A1"/>
    <w:rsid w:val="44A3369A"/>
    <w:rsid w:val="47A459A3"/>
    <w:rsid w:val="48CC4598"/>
    <w:rsid w:val="49F85835"/>
    <w:rsid w:val="4D516BF5"/>
    <w:rsid w:val="4D8F31D3"/>
    <w:rsid w:val="4DC97795"/>
    <w:rsid w:val="4ECD16F7"/>
    <w:rsid w:val="523F7B45"/>
    <w:rsid w:val="557477C3"/>
    <w:rsid w:val="56A80039"/>
    <w:rsid w:val="57016EC7"/>
    <w:rsid w:val="5815307E"/>
    <w:rsid w:val="595B24F9"/>
    <w:rsid w:val="597F2101"/>
    <w:rsid w:val="5EEC3BF4"/>
    <w:rsid w:val="5FE0382B"/>
    <w:rsid w:val="605A3264"/>
    <w:rsid w:val="614D7723"/>
    <w:rsid w:val="63AB3B58"/>
    <w:rsid w:val="63C208A8"/>
    <w:rsid w:val="645842F7"/>
    <w:rsid w:val="64CB2994"/>
    <w:rsid w:val="64E15F6C"/>
    <w:rsid w:val="65861C0C"/>
    <w:rsid w:val="6BDB16CB"/>
    <w:rsid w:val="6C663E30"/>
    <w:rsid w:val="6D0D6542"/>
    <w:rsid w:val="6DF02BC2"/>
    <w:rsid w:val="6F6463EF"/>
    <w:rsid w:val="74337D22"/>
    <w:rsid w:val="7748241B"/>
    <w:rsid w:val="7A890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nhideWhenUsed="0"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1"/>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3"/>
    <w:unhideWhenUsed/>
    <w:qFormat/>
    <w:uiPriority w:val="9"/>
    <w:pPr>
      <w:keepNext/>
      <w:keepLines/>
      <w:spacing w:before="260" w:after="260" w:line="416" w:lineRule="auto"/>
      <w:outlineLvl w:val="1"/>
    </w:pPr>
    <w:rPr>
      <w:rFonts w:ascii="仿宋_GB2312" w:hAnsi="仿宋_GB2312" w:eastAsia="仿宋_GB2312" w:cs="仿宋_GB2312"/>
      <w:b/>
      <w:bCs/>
      <w:sz w:val="32"/>
      <w:szCs w:val="32"/>
    </w:rPr>
  </w:style>
  <w:style w:type="paragraph" w:styleId="5">
    <w:name w:val="heading 3"/>
    <w:basedOn w:val="1"/>
    <w:next w:val="1"/>
    <w:link w:val="42"/>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3"/>
    <w:unhideWhenUsed/>
    <w:qFormat/>
    <w:uiPriority w:val="9"/>
    <w:pPr>
      <w:keepNext/>
      <w:keepLines/>
      <w:spacing w:before="120" w:after="120" w:line="240" w:lineRule="atLeast"/>
      <w:outlineLvl w:val="3"/>
    </w:pPr>
    <w:rPr>
      <w:rFonts w:ascii="Cambria" w:hAnsi="Cambria" w:eastAsia="宋体" w:cs="Times New Roman"/>
      <w:b/>
      <w:bCs/>
      <w:kern w:val="0"/>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8"/>
    <w:qFormat/>
    <w:uiPriority w:val="99"/>
    <w:pPr>
      <w:tabs>
        <w:tab w:val="center" w:pos="4153"/>
        <w:tab w:val="right" w:pos="8306"/>
      </w:tabs>
      <w:snapToGrid w:val="0"/>
      <w:jc w:val="left"/>
    </w:pPr>
    <w:rPr>
      <w:rFonts w:ascii="Times New Roman" w:hAnsi="Times New Roman" w:eastAsia="宋体" w:cs="Times New Roman"/>
      <w:sz w:val="18"/>
      <w:szCs w:val="20"/>
    </w:rPr>
  </w:style>
  <w:style w:type="paragraph" w:styleId="7">
    <w:name w:val="Normal Indent"/>
    <w:basedOn w:val="1"/>
    <w:qFormat/>
    <w:uiPriority w:val="0"/>
    <w:pPr>
      <w:ind w:firstLine="420" w:firstLineChars="200"/>
    </w:pPr>
    <w:rPr>
      <w:rFonts w:ascii="Times New Roman" w:hAnsi="Times New Roman" w:eastAsia="宋体" w:cs="Times New Roman"/>
      <w:szCs w:val="24"/>
    </w:r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link w:val="47"/>
    <w:semiHidden/>
    <w:unhideWhenUsed/>
    <w:qFormat/>
    <w:uiPriority w:val="99"/>
    <w:rPr>
      <w:rFonts w:ascii="宋体" w:hAnsi="Calibri" w:eastAsia="宋体" w:cs="Times New Roman"/>
      <w:kern w:val="0"/>
      <w:sz w:val="18"/>
      <w:szCs w:val="18"/>
    </w:rPr>
  </w:style>
  <w:style w:type="paragraph" w:styleId="10">
    <w:name w:val="annotation text"/>
    <w:basedOn w:val="1"/>
    <w:link w:val="35"/>
    <w:semiHidden/>
    <w:unhideWhenUsed/>
    <w:qFormat/>
    <w:uiPriority w:val="99"/>
    <w:pPr>
      <w:jc w:val="left"/>
    </w:pPr>
  </w:style>
  <w:style w:type="paragraph" w:styleId="11">
    <w:name w:val="toc 3"/>
    <w:basedOn w:val="1"/>
    <w:next w:val="1"/>
    <w:unhideWhenUsed/>
    <w:qFormat/>
    <w:uiPriority w:val="39"/>
    <w:pPr>
      <w:ind w:left="840" w:leftChars="400"/>
    </w:pPr>
    <w:rPr>
      <w:rFonts w:ascii="Calibri" w:hAnsi="Calibri" w:eastAsia="宋体" w:cs="Times New Roman"/>
    </w:rPr>
  </w:style>
  <w:style w:type="paragraph" w:styleId="12">
    <w:name w:val="Plain Text"/>
    <w:basedOn w:val="1"/>
    <w:link w:val="41"/>
    <w:qFormat/>
    <w:uiPriority w:val="0"/>
    <w:rPr>
      <w:rFonts w:ascii="宋体" w:hAnsi="Courier New" w:eastAsia="宋体" w:cs="Times New Roman"/>
      <w:szCs w:val="20"/>
    </w:rPr>
  </w:style>
  <w:style w:type="paragraph" w:styleId="13">
    <w:name w:val="Body Text Indent 2"/>
    <w:basedOn w:val="1"/>
    <w:link w:val="39"/>
    <w:unhideWhenUsed/>
    <w:qFormat/>
    <w:uiPriority w:val="99"/>
    <w:pPr>
      <w:ind w:firstLine="480" w:firstLineChars="160"/>
    </w:pPr>
    <w:rPr>
      <w:rFonts w:ascii="仿宋_GB2312" w:eastAsia="仿宋_GB2312"/>
      <w:sz w:val="30"/>
      <w:szCs w:val="30"/>
    </w:rPr>
  </w:style>
  <w:style w:type="paragraph" w:styleId="14">
    <w:name w:val="Balloon Text"/>
    <w:basedOn w:val="1"/>
    <w:link w:val="37"/>
    <w:semiHidden/>
    <w:unhideWhenUsed/>
    <w:qFormat/>
    <w:uiPriority w:val="99"/>
    <w:rPr>
      <w:sz w:val="18"/>
      <w:szCs w:val="18"/>
    </w:rPr>
  </w:style>
  <w:style w:type="paragraph" w:styleId="15">
    <w:name w:val="header"/>
    <w:basedOn w:val="1"/>
    <w:link w:val="30"/>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line="360" w:lineRule="auto"/>
    </w:pPr>
    <w:rPr>
      <w:rFonts w:ascii="宋体" w:hAnsi="Times New Roman" w:eastAsia="宋体" w:cs="Times New Roman"/>
      <w:b/>
      <w:sz w:val="24"/>
      <w:szCs w:val="20"/>
    </w:rPr>
  </w:style>
  <w:style w:type="paragraph" w:styleId="17">
    <w:name w:val="toc 4"/>
    <w:basedOn w:val="1"/>
    <w:next w:val="1"/>
    <w:unhideWhenUsed/>
    <w:qFormat/>
    <w:uiPriority w:val="39"/>
    <w:pPr>
      <w:ind w:left="1260" w:leftChars="600"/>
    </w:pPr>
    <w:rPr>
      <w:rFonts w:ascii="Calibri" w:hAnsi="Calibri" w:eastAsia="宋体" w:cs="Times New Roman"/>
    </w:rPr>
  </w:style>
  <w:style w:type="paragraph" w:styleId="18">
    <w:name w:val="toc 2"/>
    <w:basedOn w:val="1"/>
    <w:next w:val="1"/>
    <w:unhideWhenUsed/>
    <w:qFormat/>
    <w:uiPriority w:val="39"/>
    <w:pPr>
      <w:ind w:left="420" w:leftChars="200"/>
    </w:pPr>
    <w:rPr>
      <w:rFonts w:ascii="Calibri" w:hAnsi="Calibri" w:eastAsia="宋体" w:cs="Times New Roman"/>
    </w:rPr>
  </w:style>
  <w:style w:type="paragraph" w:styleId="19">
    <w:name w:val="Title"/>
    <w:basedOn w:val="1"/>
    <w:next w:val="1"/>
    <w:link w:val="45"/>
    <w:qFormat/>
    <w:uiPriority w:val="10"/>
    <w:pPr>
      <w:spacing w:before="240" w:after="60"/>
      <w:jc w:val="center"/>
      <w:outlineLvl w:val="0"/>
    </w:pPr>
    <w:rPr>
      <w:rFonts w:eastAsia="宋体" w:asciiTheme="majorHAnsi" w:hAnsiTheme="majorHAnsi" w:cstheme="majorBidi"/>
      <w:b/>
      <w:bCs/>
      <w:sz w:val="32"/>
      <w:szCs w:val="32"/>
    </w:rPr>
  </w:style>
  <w:style w:type="paragraph" w:styleId="20">
    <w:name w:val="annotation subject"/>
    <w:basedOn w:val="10"/>
    <w:next w:val="10"/>
    <w:link w:val="36"/>
    <w:semiHidden/>
    <w:unhideWhenUsed/>
    <w:qFormat/>
    <w:uiPriority w:val="99"/>
    <w:rPr>
      <w:b/>
      <w:bCs/>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page number"/>
    <w:basedOn w:val="23"/>
    <w:qFormat/>
    <w:uiPriority w:val="0"/>
  </w:style>
  <w:style w:type="character" w:styleId="25">
    <w:name w:val="FollowedHyperlink"/>
    <w:basedOn w:val="23"/>
    <w:semiHidden/>
    <w:unhideWhenUsed/>
    <w:qFormat/>
    <w:uiPriority w:val="99"/>
    <w:rPr>
      <w:color w:val="954F72" w:themeColor="followedHyperlink"/>
      <w:u w:val="single"/>
      <w14:textFill>
        <w14:solidFill>
          <w14:schemeClr w14:val="folHlink"/>
        </w14:solidFill>
      </w14:textFill>
    </w:rPr>
  </w:style>
  <w:style w:type="character" w:styleId="26">
    <w:name w:val="Hyperlink"/>
    <w:basedOn w:val="23"/>
    <w:unhideWhenUsed/>
    <w:qFormat/>
    <w:uiPriority w:val="99"/>
    <w:rPr>
      <w:color w:val="0563C1" w:themeColor="hyperlink"/>
      <w:u w:val="single"/>
      <w14:textFill>
        <w14:solidFill>
          <w14:schemeClr w14:val="hlink"/>
        </w14:solidFill>
      </w14:textFill>
    </w:rPr>
  </w:style>
  <w:style w:type="character" w:styleId="27">
    <w:name w:val="annotation reference"/>
    <w:qFormat/>
    <w:uiPriority w:val="99"/>
    <w:rPr>
      <w:sz w:val="21"/>
      <w:szCs w:val="21"/>
    </w:rPr>
  </w:style>
  <w:style w:type="character" w:customStyle="1" w:styleId="28">
    <w:name w:val="页脚 Char"/>
    <w:basedOn w:val="23"/>
    <w:link w:val="2"/>
    <w:qFormat/>
    <w:uiPriority w:val="99"/>
    <w:rPr>
      <w:rFonts w:ascii="Times New Roman" w:hAnsi="Times New Roman" w:eastAsia="宋体" w:cs="Times New Roman"/>
      <w:sz w:val="18"/>
      <w:szCs w:val="20"/>
    </w:rPr>
  </w:style>
  <w:style w:type="paragraph" w:customStyle="1" w:styleId="29">
    <w:name w:val="p0"/>
    <w:basedOn w:val="1"/>
    <w:qFormat/>
    <w:uiPriority w:val="0"/>
    <w:pPr>
      <w:widowControl/>
    </w:pPr>
    <w:rPr>
      <w:rFonts w:ascii="Times New Roman" w:hAnsi="Times New Roman" w:eastAsia="宋体" w:cs="Times New Roman"/>
      <w:kern w:val="0"/>
      <w:szCs w:val="21"/>
    </w:rPr>
  </w:style>
  <w:style w:type="character" w:customStyle="1" w:styleId="30">
    <w:name w:val="页眉 Char"/>
    <w:basedOn w:val="23"/>
    <w:link w:val="15"/>
    <w:qFormat/>
    <w:uiPriority w:val="0"/>
    <w:rPr>
      <w:sz w:val="18"/>
      <w:szCs w:val="18"/>
    </w:rPr>
  </w:style>
  <w:style w:type="character" w:customStyle="1" w:styleId="31">
    <w:name w:val="标题 1 Char"/>
    <w:basedOn w:val="23"/>
    <w:link w:val="3"/>
    <w:qFormat/>
    <w:uiPriority w:val="9"/>
    <w:rPr>
      <w:rFonts w:ascii="Times New Roman" w:hAnsi="Times New Roman" w:eastAsia="宋体" w:cs="Times New Roman"/>
      <w:b/>
      <w:bCs/>
      <w:kern w:val="44"/>
      <w:sz w:val="44"/>
      <w:szCs w:val="44"/>
    </w:rPr>
  </w:style>
  <w:style w:type="paragraph" w:customStyle="1" w:styleId="32">
    <w:name w:val="灿"/>
    <w:basedOn w:val="1"/>
    <w:qFormat/>
    <w:uiPriority w:val="0"/>
    <w:pPr>
      <w:tabs>
        <w:tab w:val="left" w:pos="2160"/>
        <w:tab w:val="left" w:pos="2520"/>
        <w:tab w:val="left" w:pos="2880"/>
        <w:tab w:val="left" w:pos="3240"/>
      </w:tabs>
      <w:spacing w:line="360" w:lineRule="auto"/>
      <w:ind w:firstLine="200" w:firstLineChars="200"/>
    </w:pPr>
    <w:rPr>
      <w:rFonts w:ascii="華康中楷體" w:hAnsi="Arial" w:eastAsia="華康中楷體" w:cs="Times New Roman"/>
      <w:snapToGrid w:val="0"/>
      <w:kern w:val="0"/>
      <w:sz w:val="24"/>
      <w:szCs w:val="20"/>
      <w:lang w:eastAsia="en-US"/>
    </w:rPr>
  </w:style>
  <w:style w:type="character" w:customStyle="1" w:styleId="33">
    <w:name w:val="标题 2 Char"/>
    <w:basedOn w:val="23"/>
    <w:link w:val="4"/>
    <w:qFormat/>
    <w:uiPriority w:val="9"/>
    <w:rPr>
      <w:rFonts w:ascii="仿宋_GB2312" w:hAnsi="仿宋_GB2312" w:eastAsia="仿宋_GB2312" w:cs="仿宋_GB2312"/>
      <w:b/>
      <w:bCs/>
      <w:sz w:val="32"/>
      <w:szCs w:val="32"/>
    </w:rPr>
  </w:style>
  <w:style w:type="paragraph" w:customStyle="1" w:styleId="34">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35">
    <w:name w:val="批注文字 Char"/>
    <w:basedOn w:val="23"/>
    <w:link w:val="10"/>
    <w:semiHidden/>
    <w:qFormat/>
    <w:uiPriority w:val="99"/>
  </w:style>
  <w:style w:type="character" w:customStyle="1" w:styleId="36">
    <w:name w:val="批注主题 Char"/>
    <w:basedOn w:val="35"/>
    <w:link w:val="20"/>
    <w:semiHidden/>
    <w:qFormat/>
    <w:uiPriority w:val="99"/>
    <w:rPr>
      <w:b/>
      <w:bCs/>
    </w:rPr>
  </w:style>
  <w:style w:type="character" w:customStyle="1" w:styleId="37">
    <w:name w:val="批注框文本 Char"/>
    <w:basedOn w:val="23"/>
    <w:link w:val="14"/>
    <w:semiHidden/>
    <w:qFormat/>
    <w:uiPriority w:val="99"/>
    <w:rPr>
      <w:sz w:val="18"/>
      <w:szCs w:val="18"/>
    </w:rPr>
  </w:style>
  <w:style w:type="paragraph" w:styleId="38">
    <w:name w:val="List Paragraph"/>
    <w:basedOn w:val="1"/>
    <w:link w:val="44"/>
    <w:qFormat/>
    <w:uiPriority w:val="34"/>
    <w:pPr>
      <w:ind w:firstLine="420" w:firstLineChars="200"/>
    </w:pPr>
  </w:style>
  <w:style w:type="character" w:customStyle="1" w:styleId="39">
    <w:name w:val="正文文本缩进 2 Char"/>
    <w:link w:val="13"/>
    <w:qFormat/>
    <w:uiPriority w:val="99"/>
    <w:rPr>
      <w:rFonts w:ascii="仿宋_GB2312" w:eastAsia="仿宋_GB2312"/>
      <w:sz w:val="30"/>
      <w:szCs w:val="30"/>
    </w:rPr>
  </w:style>
  <w:style w:type="character" w:customStyle="1" w:styleId="40">
    <w:name w:val="正文文本缩进 2 Char1"/>
    <w:basedOn w:val="23"/>
    <w:semiHidden/>
    <w:qFormat/>
    <w:uiPriority w:val="99"/>
  </w:style>
  <w:style w:type="character" w:customStyle="1" w:styleId="41">
    <w:name w:val="纯文本 Char"/>
    <w:basedOn w:val="23"/>
    <w:link w:val="12"/>
    <w:qFormat/>
    <w:uiPriority w:val="0"/>
    <w:rPr>
      <w:rFonts w:ascii="宋体" w:hAnsi="Courier New" w:eastAsia="宋体" w:cs="Times New Roman"/>
      <w:szCs w:val="20"/>
    </w:rPr>
  </w:style>
  <w:style w:type="character" w:customStyle="1" w:styleId="42">
    <w:name w:val="标题 3 Char"/>
    <w:basedOn w:val="23"/>
    <w:link w:val="5"/>
    <w:qFormat/>
    <w:uiPriority w:val="9"/>
    <w:rPr>
      <w:b/>
      <w:bCs/>
      <w:sz w:val="32"/>
      <w:szCs w:val="32"/>
    </w:rPr>
  </w:style>
  <w:style w:type="character" w:customStyle="1" w:styleId="43">
    <w:name w:val="标题 4 Char"/>
    <w:basedOn w:val="23"/>
    <w:link w:val="6"/>
    <w:qFormat/>
    <w:uiPriority w:val="9"/>
    <w:rPr>
      <w:rFonts w:ascii="Cambria" w:hAnsi="Cambria" w:eastAsia="宋体" w:cs="Times New Roman"/>
      <w:b/>
      <w:bCs/>
      <w:kern w:val="0"/>
      <w:sz w:val="28"/>
      <w:szCs w:val="28"/>
    </w:rPr>
  </w:style>
  <w:style w:type="character" w:customStyle="1" w:styleId="44">
    <w:name w:val="列出段落 Char"/>
    <w:link w:val="38"/>
    <w:qFormat/>
    <w:locked/>
    <w:uiPriority w:val="34"/>
  </w:style>
  <w:style w:type="character" w:customStyle="1" w:styleId="45">
    <w:name w:val="标题 Char"/>
    <w:basedOn w:val="23"/>
    <w:link w:val="19"/>
    <w:qFormat/>
    <w:uiPriority w:val="10"/>
    <w:rPr>
      <w:rFonts w:eastAsia="宋体" w:asciiTheme="majorHAnsi" w:hAnsiTheme="majorHAnsi" w:cstheme="majorBidi"/>
      <w:b/>
      <w:bCs/>
      <w:sz w:val="32"/>
      <w:szCs w:val="32"/>
    </w:rPr>
  </w:style>
  <w:style w:type="table" w:customStyle="1" w:styleId="46">
    <w:name w:val="网格型1"/>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7">
    <w:name w:val="文档结构图 Char"/>
    <w:basedOn w:val="23"/>
    <w:link w:val="9"/>
    <w:semiHidden/>
    <w:qFormat/>
    <w:uiPriority w:val="99"/>
    <w:rPr>
      <w:rFonts w:ascii="宋体" w:hAnsi="Calibri" w:eastAsia="宋体" w:cs="Times New Roman"/>
      <w:kern w:val="0"/>
      <w:sz w:val="18"/>
      <w:szCs w:val="18"/>
    </w:rPr>
  </w:style>
  <w:style w:type="character" w:customStyle="1" w:styleId="48">
    <w:name w:val="m1"/>
    <w:qFormat/>
    <w:uiPriority w:val="0"/>
    <w:rPr>
      <w:color w:val="0000FF"/>
    </w:rPr>
  </w:style>
  <w:style w:type="character" w:customStyle="1" w:styleId="49">
    <w:name w:val="t1"/>
    <w:qFormat/>
    <w:uiPriority w:val="0"/>
    <w:rPr>
      <w:color w:val="990000"/>
    </w:rPr>
  </w:style>
  <w:style w:type="character" w:customStyle="1" w:styleId="50">
    <w:name w:val="def"/>
    <w:basedOn w:val="23"/>
    <w:qFormat/>
    <w:uiPriority w:val="0"/>
  </w:style>
  <w:style w:type="paragraph" w:customStyle="1" w:styleId="51">
    <w:name w:val="z-窗体底端1"/>
    <w:basedOn w:val="1"/>
    <w:next w:val="1"/>
    <w:link w:val="52"/>
    <w:unhideWhenUsed/>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52">
    <w:name w:val="z-窗体底端 Char"/>
    <w:basedOn w:val="23"/>
    <w:link w:val="51"/>
    <w:qFormat/>
    <w:uiPriority w:val="99"/>
    <w:rPr>
      <w:rFonts w:ascii="Arial" w:hAnsi="Arial" w:eastAsia="宋体" w:cs="Times New Roman"/>
      <w:vanish/>
      <w:kern w:val="0"/>
      <w:sz w:val="16"/>
      <w:szCs w:val="16"/>
    </w:rPr>
  </w:style>
  <w:style w:type="character" w:customStyle="1" w:styleId="53">
    <w:name w:val="keyword"/>
    <w:basedOn w:val="23"/>
    <w:qFormat/>
    <w:uiPriority w:val="0"/>
  </w:style>
  <w:style w:type="character" w:customStyle="1" w:styleId="54">
    <w:name w:val="tx1"/>
    <w:qFormat/>
    <w:uiPriority w:val="0"/>
    <w:rPr>
      <w:b/>
      <w:bCs/>
    </w:rPr>
  </w:style>
  <w:style w:type="paragraph" w:customStyle="1" w:styleId="55">
    <w:name w:val="TOC 标题1"/>
    <w:basedOn w:val="3"/>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2E75B6" w:themeColor="accent1" w:themeShade="BF"/>
      <w:kern w:val="0"/>
      <w:sz w:val="28"/>
      <w:szCs w:val="28"/>
    </w:rPr>
  </w:style>
  <w:style w:type="character" w:customStyle="1" w:styleId="56">
    <w:name w:val="font11"/>
    <w:qFormat/>
    <w:uiPriority w:val="0"/>
    <w:rPr>
      <w:rFonts w:hint="eastAsia" w:ascii="仿宋" w:hAnsi="仿宋" w:eastAsia="仿宋" w:cs="仿宋"/>
      <w:color w:val="FF0000"/>
      <w:sz w:val="20"/>
      <w:szCs w:val="20"/>
      <w:u w:val="none"/>
      <w:lang w:val="en-US" w:eastAsia="zh-CN" w:bidi="ar-SA"/>
    </w:rPr>
  </w:style>
  <w:style w:type="paragraph" w:customStyle="1" w:styleId="57">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6720D-FE99-45D0-AB87-56A70423767F}">
  <ds:schemaRefs/>
</ds:datastoreItem>
</file>

<file path=docProps/app.xml><?xml version="1.0" encoding="utf-8"?>
<Properties xmlns="http://schemas.openxmlformats.org/officeDocument/2006/extended-properties" xmlns:vt="http://schemas.openxmlformats.org/officeDocument/2006/docPropsVTypes">
  <Template>Normal</Template>
  <Pages>1</Pages>
  <Words>277</Words>
  <Characters>296</Characters>
  <Lines>17</Lines>
  <Paragraphs>4</Paragraphs>
  <TotalTime>4</TotalTime>
  <ScaleCrop>false</ScaleCrop>
  <LinksUpToDate>false</LinksUpToDate>
  <CharactersWithSpaces>300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2021-08-11T13:03:00Z</dcterms:created>
  <dc:creator>丁欣</dc:creator>
  <cp:lastModifiedBy>张静</cp:lastModifiedBy>
  <cp:lastPrinted>2022-07-14T08:25:00Z</cp:lastPrinted>
  <dcterms:modified xsi:type="dcterms:W3CDTF">2024-05-23T08:40:49Z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DA1301CA6BE14F96914FDB1DA23C4499</vt:lpwstr>
  </property>
</Properties>
</file>