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方正小标宋简体" w:hAnsi="宋体" w:eastAsia="方正小标宋简体"/>
          <w:b w:val="0"/>
          <w:bCs/>
          <w:color w:val="000000"/>
          <w:sz w:val="36"/>
          <w:szCs w:val="36"/>
          <w:lang w:val="en-US" w:eastAsia="zh-CN"/>
        </w:rPr>
      </w:pPr>
      <w:r>
        <w:rPr>
          <w:rFonts w:hint="eastAsia" w:ascii="方正小标宋简体" w:hAnsi="宋体" w:eastAsia="方正小标宋简体"/>
          <w:b w:val="0"/>
          <w:bCs/>
          <w:color w:val="000000"/>
          <w:sz w:val="36"/>
          <w:szCs w:val="36"/>
          <w:lang w:val="en-US" w:eastAsia="zh-CN"/>
        </w:rPr>
        <w:t>人保财险广东湛江农险、农网及V盟团队劳务服务采购项目</w:t>
      </w:r>
    </w:p>
    <w:p>
      <w:pPr>
        <w:spacing w:line="360" w:lineRule="auto"/>
        <w:jc w:val="center"/>
        <w:rPr>
          <w:rFonts w:hint="default" w:ascii="方正小标宋简体" w:hAnsi="宋体" w:eastAsia="方正小标宋简体"/>
          <w:b w:val="0"/>
          <w:bCs/>
          <w:color w:val="000000"/>
          <w:sz w:val="36"/>
          <w:szCs w:val="36"/>
          <w:lang w:val="en-US" w:eastAsia="zh-CN"/>
        </w:rPr>
      </w:pPr>
      <w:r>
        <w:rPr>
          <w:rFonts w:hint="eastAsia" w:ascii="方正小标宋简体" w:hAnsi="宋体" w:eastAsia="方正小标宋简体"/>
          <w:b w:val="0"/>
          <w:bCs/>
          <w:color w:val="000000"/>
          <w:sz w:val="36"/>
          <w:szCs w:val="36"/>
          <w:lang w:val="en-US" w:eastAsia="zh-CN"/>
        </w:rPr>
        <w:t>竞争性磋商邀请文件</w:t>
      </w:r>
    </w:p>
    <w:p>
      <w:pPr>
        <w:spacing w:line="600" w:lineRule="exact"/>
        <w:ind w:firstLine="510"/>
        <w:rPr>
          <w:rFonts w:ascii="仿宋_GB2312" w:eastAsia="仿宋_GB2312" w:hAnsiTheme="majorEastAsia"/>
          <w:color w:val="000000"/>
          <w:sz w:val="30"/>
          <w:szCs w:val="30"/>
        </w:rPr>
      </w:pPr>
    </w:p>
    <w:p>
      <w:pPr>
        <w:pageBreakBefore w:val="0"/>
        <w:widowControl w:val="0"/>
        <w:kinsoku/>
        <w:wordWrap/>
        <w:overflowPunct/>
        <w:topLinePunct w:val="0"/>
        <w:autoSpaceDE/>
        <w:bidi w:val="0"/>
        <w:adjustRightInd/>
        <w:spacing w:line="600" w:lineRule="exact"/>
        <w:ind w:firstLine="640" w:firstLineChars="200"/>
        <w:textAlignment w:val="auto"/>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湛江市</w:t>
      </w:r>
      <w:r>
        <w:rPr>
          <w:rFonts w:hint="eastAsia" w:ascii="仿宋_GB2312" w:eastAsia="仿宋_GB2312" w:hAnsiTheme="majorEastAsia"/>
          <w:color w:val="000000"/>
          <w:sz w:val="32"/>
          <w:szCs w:val="32"/>
          <w:lang w:eastAsia="zh-CN"/>
        </w:rPr>
        <w:t>分公司</w:t>
      </w:r>
      <w:r>
        <w:rPr>
          <w:rFonts w:hint="eastAsia" w:ascii="仿宋_GB2312" w:eastAsia="仿宋_GB2312" w:hAnsiTheme="majorEastAsia"/>
          <w:color w:val="000000"/>
          <w:sz w:val="32"/>
          <w:szCs w:val="32"/>
        </w:rPr>
        <w:t>拟通过</w:t>
      </w:r>
      <w:r>
        <w:rPr>
          <w:rFonts w:hint="eastAsia" w:ascii="仿宋_GB2312" w:eastAsia="仿宋_GB2312" w:hAnsiTheme="majorEastAsia"/>
          <w:color w:val="000000"/>
          <w:sz w:val="32"/>
          <w:szCs w:val="32"/>
          <w:lang w:val="en-US" w:eastAsia="zh-CN"/>
        </w:rPr>
        <w:t>竞争性磋商</w:t>
      </w:r>
      <w:r>
        <w:rPr>
          <w:rFonts w:hint="eastAsia" w:ascii="仿宋_GB2312" w:eastAsia="仿宋_GB2312" w:hAnsiTheme="majorEastAsia"/>
          <w:color w:val="000000"/>
          <w:sz w:val="32"/>
          <w:szCs w:val="32"/>
        </w:rPr>
        <w:t>方式，选定</w:t>
      </w:r>
      <w:r>
        <w:rPr>
          <w:rFonts w:hint="eastAsia" w:ascii="仿宋_GB2312" w:eastAsia="仿宋_GB2312" w:hAnsiTheme="majorEastAsia"/>
          <w:b/>
          <w:bCs/>
          <w:color w:val="000000"/>
          <w:sz w:val="32"/>
          <w:szCs w:val="32"/>
          <w:lang w:val="en-US" w:eastAsia="zh-CN"/>
        </w:rPr>
        <w:t>人保财险广东湛江农险、农网及V盟团队劳务服务采购项目</w:t>
      </w:r>
      <w:r>
        <w:rPr>
          <w:rFonts w:hint="eastAsia" w:ascii="仿宋_GB2312" w:eastAsia="仿宋_GB2312" w:hAnsiTheme="majorEastAsia"/>
          <w:color w:val="000000"/>
          <w:sz w:val="32"/>
          <w:szCs w:val="32"/>
        </w:rPr>
        <w:t>的服务</w:t>
      </w:r>
      <w:r>
        <w:rPr>
          <w:rFonts w:hint="eastAsia" w:ascii="仿宋_GB2312" w:eastAsia="仿宋_GB2312" w:hAnsiTheme="majorEastAsia"/>
          <w:sz w:val="32"/>
          <w:szCs w:val="32"/>
        </w:rPr>
        <w:t>合作</w:t>
      </w:r>
      <w:r>
        <w:rPr>
          <w:rFonts w:hint="eastAsia" w:ascii="仿宋_GB2312" w:eastAsia="仿宋_GB2312" w:hAnsiTheme="majorEastAsia"/>
          <w:color w:val="000000"/>
          <w:sz w:val="32"/>
          <w:szCs w:val="32"/>
        </w:rPr>
        <w:t>供应商，合同签署主体为中国人民财产保险股份有限公司</w:t>
      </w:r>
      <w:r>
        <w:rPr>
          <w:rFonts w:hint="eastAsia" w:ascii="仿宋_GB2312" w:eastAsia="仿宋_GB2312" w:hAnsiTheme="majorEastAsia"/>
          <w:color w:val="000000"/>
          <w:sz w:val="32"/>
          <w:szCs w:val="32"/>
          <w:lang w:val="en-US" w:eastAsia="zh-CN"/>
        </w:rPr>
        <w:t>湛江市</w:t>
      </w:r>
      <w:r>
        <w:rPr>
          <w:rFonts w:hint="eastAsia" w:ascii="仿宋_GB2312" w:eastAsia="仿宋_GB2312" w:hAnsiTheme="majorEastAsia"/>
          <w:color w:val="000000"/>
          <w:sz w:val="32"/>
          <w:szCs w:val="32"/>
          <w:lang w:eastAsia="zh-CN"/>
        </w:rPr>
        <w:t>分公司</w:t>
      </w:r>
      <w:r>
        <w:rPr>
          <w:rFonts w:hint="eastAsia" w:ascii="仿宋_GB2312" w:eastAsia="仿宋_GB2312" w:hAnsiTheme="majorEastAsia"/>
          <w:color w:val="000000"/>
          <w:sz w:val="32"/>
          <w:szCs w:val="32"/>
        </w:rPr>
        <w:t>。现特邀贵单位参加，请贵单位根据以下内容提供递交报价文件。</w:t>
      </w:r>
    </w:p>
    <w:p>
      <w:pPr>
        <w:pStyle w:val="2"/>
        <w:pageBreakBefore w:val="0"/>
        <w:widowControl w:val="0"/>
        <w:kinsoku/>
        <w:wordWrap/>
        <w:overflowPunct/>
        <w:topLinePunct w:val="0"/>
        <w:autoSpaceDE/>
        <w:bidi w:val="0"/>
        <w:adjustRightInd/>
        <w:spacing w:before="0" w:after="0" w:line="600" w:lineRule="exact"/>
        <w:ind w:firstLine="643" w:firstLineChars="200"/>
        <w:textAlignment w:val="auto"/>
        <w:rPr>
          <w:rFonts w:ascii="黑体" w:hAnsi="黑体" w:eastAsia="黑体"/>
          <w:sz w:val="32"/>
          <w:szCs w:val="32"/>
        </w:rPr>
      </w:pPr>
      <w:bookmarkStart w:id="0" w:name="_GoBack"/>
      <w:bookmarkEnd w:id="0"/>
      <w:r>
        <w:rPr>
          <w:rFonts w:hint="eastAsia" w:ascii="黑体" w:hAnsi="黑体" w:eastAsia="黑体"/>
          <w:sz w:val="32"/>
          <w:szCs w:val="32"/>
        </w:rPr>
        <w:t>一、</w:t>
      </w:r>
      <w:r>
        <w:rPr>
          <w:rFonts w:hint="eastAsia" w:ascii="黑体" w:hAnsi="黑体" w:eastAsia="黑体"/>
          <w:sz w:val="32"/>
          <w:szCs w:val="32"/>
          <w:lang w:val="en-US" w:eastAsia="zh-CN"/>
        </w:rPr>
        <w:t>磋商</w:t>
      </w:r>
      <w:r>
        <w:rPr>
          <w:rFonts w:hint="eastAsia" w:ascii="黑体" w:hAnsi="黑体" w:eastAsia="黑体"/>
          <w:sz w:val="32"/>
          <w:szCs w:val="32"/>
        </w:rPr>
        <w:t>时间及地点</w:t>
      </w:r>
    </w:p>
    <w:p>
      <w:pPr>
        <w:pageBreakBefore w:val="0"/>
        <w:widowControl w:val="0"/>
        <w:kinsoku/>
        <w:wordWrap/>
        <w:overflowPunct/>
        <w:topLinePunct w:val="0"/>
        <w:autoSpaceDE/>
        <w:autoSpaceDN w:val="0"/>
        <w:bidi w:val="0"/>
        <w:adjustRightIn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eastAsia="仿宋_GB2312" w:hAnsiTheme="majorEastAsia"/>
          <w:color w:val="000000"/>
          <w:sz w:val="32"/>
          <w:szCs w:val="32"/>
          <w:lang w:val="en-US" w:eastAsia="zh-CN"/>
        </w:rPr>
        <w:t>磋</w:t>
      </w:r>
      <w:r>
        <w:rPr>
          <w:rFonts w:hint="eastAsia" w:ascii="仿宋_GB2312" w:hAnsi="仿宋_GB2312" w:eastAsia="仿宋_GB2312" w:cs="仿宋_GB2312"/>
          <w:color w:val="000000"/>
          <w:sz w:val="32"/>
          <w:szCs w:val="32"/>
          <w:lang w:val="en-US" w:eastAsia="zh-CN"/>
        </w:rPr>
        <w:t>商</w:t>
      </w:r>
      <w:r>
        <w:rPr>
          <w:rFonts w:hint="eastAsia" w:ascii="仿宋_GB2312" w:hAnsi="仿宋_GB2312" w:eastAsia="仿宋_GB2312" w:cs="仿宋_GB2312"/>
          <w:color w:val="000000"/>
          <w:sz w:val="32"/>
          <w:szCs w:val="32"/>
        </w:rPr>
        <w:t>时间：</w:t>
      </w: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日</w:t>
      </w:r>
      <w:r>
        <w:rPr>
          <w:rFonts w:hint="eastAsia" w:ascii="仿宋_GB2312" w:hAnsi="仿宋_GB2312" w:eastAsia="仿宋_GB2312" w:cs="仿宋_GB2312"/>
          <w:color w:val="000000" w:themeColor="text1"/>
          <w:kern w:val="0"/>
          <w:sz w:val="32"/>
          <w:szCs w:val="32"/>
          <w14:textFill>
            <w14:solidFill>
              <w14:schemeClr w14:val="tx1"/>
            </w14:solidFill>
          </w14:textFill>
        </w:rPr>
        <w:t>（时间、地点如有变化将另行提前通知）</w:t>
      </w:r>
    </w:p>
    <w:p>
      <w:pPr>
        <w:pageBreakBefore w:val="0"/>
        <w:widowControl w:val="0"/>
        <w:kinsoku/>
        <w:wordWrap/>
        <w:overflowPunct/>
        <w:topLinePunct w:val="0"/>
        <w:autoSpaceDE/>
        <w:autoSpaceDN w:val="0"/>
        <w:bidi w:val="0"/>
        <w:adjustRightInd/>
        <w:spacing w:line="600" w:lineRule="exact"/>
        <w:ind w:firstLine="640" w:firstLineChars="200"/>
        <w:textAlignment w:val="auto"/>
        <w:rPr>
          <w:rFonts w:hint="eastAsia" w:ascii="仿宋_GB2312" w:hAnsi="仿宋_GB2312" w:eastAsia="仿宋_GB2312" w:cs="仿宋_GB2312"/>
          <w:color w:val="000000"/>
          <w:sz w:val="32"/>
          <w:szCs w:val="32"/>
          <w:lang w:val="en-US"/>
        </w:rPr>
      </w:pPr>
      <w:r>
        <w:rPr>
          <w:rFonts w:hint="eastAsia" w:ascii="仿宋_GB2312" w:hAnsi="仿宋_GB2312" w:eastAsia="仿宋_GB2312" w:cs="仿宋_GB2312"/>
          <w:color w:val="000000"/>
          <w:sz w:val="32"/>
          <w:szCs w:val="32"/>
          <w:lang w:val="en-US" w:eastAsia="zh-CN"/>
        </w:rPr>
        <w:t>磋商</w:t>
      </w:r>
      <w:r>
        <w:rPr>
          <w:rFonts w:hint="eastAsia" w:ascii="仿宋_GB2312" w:hAnsi="仿宋_GB2312" w:eastAsia="仿宋_GB2312" w:cs="仿宋_GB2312"/>
          <w:color w:val="000000"/>
          <w:sz w:val="32"/>
          <w:szCs w:val="32"/>
        </w:rPr>
        <w:t>地点：</w:t>
      </w:r>
      <w:r>
        <w:rPr>
          <w:rFonts w:hint="eastAsia" w:ascii="仿宋_GB2312" w:hAnsi="仿宋_GB2312" w:eastAsia="仿宋_GB2312" w:cs="仿宋_GB2312"/>
          <w:color w:val="000000"/>
          <w:sz w:val="32"/>
          <w:szCs w:val="32"/>
          <w:lang w:val="en-US" w:eastAsia="zh-CN"/>
        </w:rPr>
        <w:t>广东省湛江市海滨大道南62号（保险大厦）</w:t>
      </w:r>
    </w:p>
    <w:p>
      <w:pPr>
        <w:pStyle w:val="2"/>
        <w:pageBreakBefore w:val="0"/>
        <w:widowControl w:val="0"/>
        <w:numPr>
          <w:ilvl w:val="0"/>
          <w:numId w:val="1"/>
        </w:numPr>
        <w:kinsoku/>
        <w:wordWrap/>
        <w:overflowPunct/>
        <w:topLinePunct w:val="0"/>
        <w:autoSpaceDE/>
        <w:bidi w:val="0"/>
        <w:adjustRightInd/>
        <w:spacing w:before="0" w:after="0" w:line="600" w:lineRule="exact"/>
        <w:ind w:firstLine="643"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项目需求</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选定</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家供应商提供周期为</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年的</w:t>
      </w:r>
      <w:r>
        <w:rPr>
          <w:rFonts w:hint="eastAsia" w:ascii="仿宋_GB2312" w:hAnsi="仿宋_GB2312" w:eastAsia="仿宋_GB2312" w:cs="仿宋_GB2312"/>
          <w:color w:val="000000"/>
          <w:sz w:val="32"/>
          <w:szCs w:val="32"/>
          <w:lang w:val="en-US" w:eastAsia="zh-CN"/>
        </w:rPr>
        <w:t>劳务外包</w:t>
      </w:r>
      <w:r>
        <w:rPr>
          <w:rFonts w:hint="eastAsia" w:ascii="仿宋_GB2312" w:hAnsi="仿宋_GB2312" w:eastAsia="仿宋_GB2312" w:cs="仿宋_GB2312"/>
          <w:color w:val="000000"/>
          <w:sz w:val="32"/>
          <w:szCs w:val="32"/>
          <w:lang w:eastAsia="zh-CN"/>
        </w:rPr>
        <w:t>服务</w:t>
      </w:r>
      <w:r>
        <w:rPr>
          <w:rFonts w:hint="eastAsia" w:ascii="仿宋_GB2312" w:hAnsi="仿宋_GB2312" w:eastAsia="仿宋_GB2312" w:cs="仿宋_GB2312"/>
          <w:color w:val="000000"/>
          <w:sz w:val="32"/>
          <w:szCs w:val="32"/>
        </w:rPr>
        <w:t>，合同签署主体为中国人民财产保险股份有限公司</w:t>
      </w:r>
      <w:r>
        <w:rPr>
          <w:rFonts w:hint="eastAsia" w:ascii="仿宋_GB2312" w:hAnsi="仿宋_GB2312" w:eastAsia="仿宋_GB2312" w:cs="仿宋_GB2312"/>
          <w:color w:val="000000"/>
          <w:sz w:val="32"/>
          <w:szCs w:val="32"/>
          <w:lang w:val="en-US" w:eastAsia="zh-CN"/>
        </w:rPr>
        <w:t>湛江市</w:t>
      </w:r>
      <w:r>
        <w:rPr>
          <w:rFonts w:hint="eastAsia" w:ascii="仿宋_GB2312" w:hAnsi="仿宋_GB2312" w:eastAsia="仿宋_GB2312" w:cs="仿宋_GB2312"/>
          <w:color w:val="000000"/>
          <w:sz w:val="32"/>
          <w:szCs w:val="32"/>
          <w:lang w:eastAsia="zh-CN"/>
        </w:rPr>
        <w:t>分公司</w:t>
      </w:r>
      <w:r>
        <w:rPr>
          <w:rFonts w:hint="eastAsia" w:ascii="仿宋_GB2312" w:hAnsi="仿宋_GB2312" w:eastAsia="仿宋_GB2312" w:cs="仿宋_GB2312"/>
          <w:color w:val="000000"/>
          <w:sz w:val="32"/>
          <w:szCs w:val="32"/>
        </w:rPr>
        <w:t>，相关要求具体如下：</w:t>
      </w:r>
    </w:p>
    <w:p>
      <w:pPr>
        <w:pageBreakBefore w:val="0"/>
        <w:widowControl w:val="0"/>
        <w:numPr>
          <w:ilvl w:val="0"/>
          <w:numId w:val="2"/>
        </w:numPr>
        <w:kinsoku/>
        <w:wordWrap/>
        <w:overflowPunct/>
        <w:topLinePunct w:val="0"/>
        <w:autoSpaceDE/>
        <w:bidi w:val="0"/>
        <w:adjustRightInd/>
        <w:snapToGrid w:val="0"/>
        <w:spacing w:line="600" w:lineRule="exact"/>
        <w:ind w:firstLine="643" w:firstLineChars="200"/>
        <w:jc w:val="left"/>
        <w:textAlignment w:val="auto"/>
        <w:rPr>
          <w:rFonts w:hint="eastAsia" w:ascii="仿宋_GB2312" w:eastAsia="仿宋_GB2312" w:hAnsiTheme="majorEastAsia"/>
          <w:color w:val="000000"/>
          <w:sz w:val="32"/>
          <w:szCs w:val="32"/>
          <w:lang w:val="en-US" w:eastAsia="zh-CN"/>
        </w:rPr>
      </w:pPr>
      <w:r>
        <w:rPr>
          <w:rFonts w:hint="eastAsia" w:ascii="仿宋_GB2312" w:hAnsi="仿宋_GB2312" w:eastAsia="仿宋_GB2312" w:cs="仿宋_GB2312"/>
          <w:b/>
          <w:bCs/>
          <w:sz w:val="32"/>
          <w:szCs w:val="32"/>
        </w:rPr>
        <w:t>项目</w:t>
      </w:r>
      <w:r>
        <w:rPr>
          <w:rFonts w:hint="eastAsia" w:ascii="仿宋_GB2312" w:hAnsi="仿宋_GB2312" w:eastAsia="仿宋_GB2312" w:cs="仿宋_GB2312"/>
          <w:b/>
          <w:bCs/>
          <w:sz w:val="32"/>
          <w:szCs w:val="32"/>
          <w:lang w:val="en-US" w:eastAsia="zh-CN"/>
        </w:rPr>
        <w:t>名称</w:t>
      </w:r>
      <w:r>
        <w:rPr>
          <w:rFonts w:hint="eastAsia" w:ascii="仿宋_GB2312" w:hAnsi="仿宋_GB2312" w:eastAsia="仿宋_GB2312" w:cs="仿宋_GB2312"/>
          <w:b/>
          <w:bCs/>
          <w:sz w:val="32"/>
          <w:szCs w:val="32"/>
        </w:rPr>
        <w:t>：</w:t>
      </w:r>
      <w:r>
        <w:rPr>
          <w:rFonts w:hint="eastAsia" w:ascii="仿宋_GB2312" w:eastAsia="仿宋_GB2312" w:hAnsiTheme="majorEastAsia"/>
          <w:color w:val="000000"/>
          <w:sz w:val="32"/>
          <w:szCs w:val="32"/>
          <w:lang w:val="en-US" w:eastAsia="zh-CN"/>
        </w:rPr>
        <w:t>人保财险广东湛江农险、农网及V盟团队劳务服务采购项目</w:t>
      </w:r>
    </w:p>
    <w:p>
      <w:pPr>
        <w:pageBreakBefore w:val="0"/>
        <w:widowControl w:val="0"/>
        <w:numPr>
          <w:ilvl w:val="0"/>
          <w:numId w:val="2"/>
        </w:numPr>
        <w:kinsoku/>
        <w:wordWrap/>
        <w:overflowPunct/>
        <w:topLinePunct w:val="0"/>
        <w:autoSpaceDE/>
        <w:bidi w:val="0"/>
        <w:adjustRightInd/>
        <w:snapToGrid w:val="0"/>
        <w:spacing w:line="600" w:lineRule="exact"/>
        <w:ind w:left="0" w:leftChars="0" w:firstLine="643" w:firstLineChars="200"/>
        <w:jc w:val="lef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服务内容：</w:t>
      </w:r>
    </w:p>
    <w:p>
      <w:pPr>
        <w:pageBreakBefore w:val="0"/>
        <w:widowControl w:val="0"/>
        <w:numPr>
          <w:ilvl w:val="0"/>
          <w:numId w:val="0"/>
        </w:numPr>
        <w:kinsoku/>
        <w:wordWrap/>
        <w:overflowPunct/>
        <w:topLinePunct w:val="0"/>
        <w:autoSpaceDE/>
        <w:bidi w:val="0"/>
        <w:adjustRightInd/>
        <w:snapToGrid w:val="0"/>
        <w:spacing w:line="600" w:lineRule="exact"/>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1.劳务人数要求及工作要求</w:t>
      </w:r>
    </w:p>
    <w:p>
      <w:pPr>
        <w:pageBreakBefore w:val="0"/>
        <w:widowControl w:val="0"/>
        <w:numPr>
          <w:ilvl w:val="0"/>
          <w:numId w:val="0"/>
        </w:numPr>
        <w:kinsoku/>
        <w:wordWrap/>
        <w:overflowPunct/>
        <w:topLinePunct w:val="0"/>
        <w:autoSpaceDE/>
        <w:bidi w:val="0"/>
        <w:adjustRightInd/>
        <w:snapToGrid w:val="0"/>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拟采购农险、农网及V盟团队劳务服务，劳务人员约55人，包括但不限于服务供应商派遣的劳务人员协助承保、理赔等相关事务，如协助收集承保资料、承保验标、理赔查勘、理赔资料收集，以及合规和风险管理等工作。</w:t>
      </w:r>
    </w:p>
    <w:p>
      <w:pPr>
        <w:pageBreakBefore w:val="0"/>
        <w:widowControl w:val="0"/>
        <w:numPr>
          <w:ilvl w:val="0"/>
          <w:numId w:val="0"/>
        </w:numPr>
        <w:kinsoku/>
        <w:wordWrap/>
        <w:overflowPunct/>
        <w:topLinePunct w:val="0"/>
        <w:autoSpaceDE/>
        <w:bidi w:val="0"/>
        <w:adjustRightInd/>
        <w:snapToGrid w:val="0"/>
        <w:spacing w:line="600" w:lineRule="exact"/>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2.服务要求</w:t>
      </w:r>
    </w:p>
    <w:p>
      <w:pPr>
        <w:pageBreakBefore w:val="0"/>
        <w:widowControl w:val="0"/>
        <w:numPr>
          <w:ilvl w:val="0"/>
          <w:numId w:val="0"/>
        </w:numPr>
        <w:kinsoku/>
        <w:wordWrap/>
        <w:overflowPunct/>
        <w:topLinePunct w:val="0"/>
        <w:autoSpaceDE/>
        <w:bidi w:val="0"/>
        <w:adjustRightInd/>
        <w:snapToGrid w:val="0"/>
        <w:spacing w:line="600" w:lineRule="exact"/>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人才招聘服务</w:t>
      </w:r>
      <w:r>
        <w:rPr>
          <w:rFonts w:hint="eastAsia" w:ascii="仿宋_GB2312" w:hAnsi="仿宋_GB2312" w:eastAsia="仿宋_GB2312" w:cs="仿宋_GB2312"/>
          <w:sz w:val="32"/>
          <w:szCs w:val="32"/>
          <w:lang w:val="en-US" w:eastAsia="zh-CN"/>
        </w:rPr>
        <w:t>，服务供应商通过多渠道招聘具有保险销售经验和专业技能的劳务人员；</w:t>
      </w:r>
    </w:p>
    <w:p>
      <w:pPr>
        <w:pageBreakBefore w:val="0"/>
        <w:widowControl w:val="0"/>
        <w:numPr>
          <w:ilvl w:val="0"/>
          <w:numId w:val="0"/>
        </w:numPr>
        <w:kinsoku/>
        <w:wordWrap/>
        <w:overflowPunct/>
        <w:topLinePunct w:val="0"/>
        <w:autoSpaceDE/>
        <w:bidi w:val="0"/>
        <w:adjustRightInd/>
        <w:snapToGrid w:val="0"/>
        <w:spacing w:line="600" w:lineRule="exact"/>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培训赋能服务</w:t>
      </w:r>
      <w:r>
        <w:rPr>
          <w:rFonts w:hint="eastAsia" w:ascii="仿宋_GB2312" w:hAnsi="仿宋_GB2312" w:eastAsia="仿宋_GB2312" w:cs="仿宋_GB2312"/>
          <w:sz w:val="32"/>
          <w:szCs w:val="32"/>
          <w:lang w:val="en-US" w:eastAsia="zh-CN"/>
        </w:rPr>
        <w:t>，服务供应商为新入职的劳务人员提供全面入职培训，包括保险产品知识、销售技巧、法律法规等方面的培训，以提升劳务人员的专业素养和销售能力；</w:t>
      </w:r>
    </w:p>
    <w:p>
      <w:pPr>
        <w:pageBreakBefore w:val="0"/>
        <w:widowControl w:val="0"/>
        <w:numPr>
          <w:ilvl w:val="0"/>
          <w:numId w:val="0"/>
        </w:numPr>
        <w:kinsoku/>
        <w:wordWrap/>
        <w:overflowPunct/>
        <w:topLinePunct w:val="0"/>
        <w:autoSpaceDE/>
        <w:bidi w:val="0"/>
        <w:adjustRightInd/>
        <w:snapToGrid w:val="0"/>
        <w:spacing w:line="600" w:lineRule="exact"/>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劳务人员管理服务</w:t>
      </w:r>
      <w:r>
        <w:rPr>
          <w:rFonts w:hint="eastAsia" w:ascii="仿宋_GB2312" w:hAnsi="仿宋_GB2312" w:eastAsia="仿宋_GB2312" w:cs="仿宋_GB2312"/>
          <w:sz w:val="32"/>
          <w:szCs w:val="32"/>
          <w:lang w:val="en-US" w:eastAsia="zh-CN"/>
        </w:rPr>
        <w:t>，服务供应商对劳务人员进行日常考勤，工作纪律、销售行为等方面的管理，确保劳务人员保持良好工作状态；定期对劳务人员销售业绩进行考核，激励劳务人员积极工作；</w:t>
      </w:r>
    </w:p>
    <w:p>
      <w:pPr>
        <w:pageBreakBefore w:val="0"/>
        <w:widowControl w:val="0"/>
        <w:numPr>
          <w:ilvl w:val="0"/>
          <w:numId w:val="0"/>
        </w:numPr>
        <w:kinsoku/>
        <w:wordWrap/>
        <w:overflowPunct/>
        <w:topLinePunct w:val="0"/>
        <w:autoSpaceDE/>
        <w:bidi w:val="0"/>
        <w:adjustRightInd/>
        <w:snapToGrid w:val="0"/>
        <w:spacing w:line="600" w:lineRule="exact"/>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销售支持服务，</w:t>
      </w:r>
      <w:r>
        <w:rPr>
          <w:rFonts w:hint="eastAsia" w:ascii="仿宋_GB2312" w:hAnsi="仿宋_GB2312" w:eastAsia="仿宋_GB2312" w:cs="仿宋_GB2312"/>
          <w:sz w:val="32"/>
          <w:szCs w:val="32"/>
          <w:lang w:val="en-US" w:eastAsia="zh-CN"/>
        </w:rPr>
        <w:t>服务供应商为劳务人员提供必要的销售工具，如销售话术、客户案例等，协助劳务人员处理客户咨询、投诉等问题；</w:t>
      </w:r>
    </w:p>
    <w:p>
      <w:pPr>
        <w:pageBreakBefore w:val="0"/>
        <w:widowControl w:val="0"/>
        <w:numPr>
          <w:ilvl w:val="0"/>
          <w:numId w:val="0"/>
        </w:numPr>
        <w:kinsoku/>
        <w:wordWrap/>
        <w:overflowPunct/>
        <w:topLinePunct w:val="0"/>
        <w:autoSpaceDE/>
        <w:bidi w:val="0"/>
        <w:adjustRightInd/>
        <w:snapToGrid w:val="0"/>
        <w:spacing w:line="600" w:lineRule="exact"/>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合规与风险管理服务</w:t>
      </w:r>
      <w:r>
        <w:rPr>
          <w:rFonts w:hint="eastAsia" w:ascii="仿宋_GB2312" w:hAnsi="仿宋_GB2312" w:eastAsia="仿宋_GB2312" w:cs="仿宋_GB2312"/>
          <w:sz w:val="32"/>
          <w:szCs w:val="32"/>
          <w:lang w:val="en-US" w:eastAsia="zh-CN"/>
        </w:rPr>
        <w:t>，服务供应商定期对劳务人员进行合规培训，确保劳务人员了解并尊守保险行业的法律法规和监管要求，防范合规风险，对销售过程中可能出现的风险进行识别和评估，制定相应的风险应对措施，确保销售活动的顺利进行。</w:t>
      </w:r>
    </w:p>
    <w:p>
      <w:pPr>
        <w:pStyle w:val="33"/>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hAnsi="黑体" w:eastAsia="仿宋_GB2312"/>
          <w:b w:val="0"/>
          <w:bCs w:val="0"/>
          <w:sz w:val="32"/>
          <w:szCs w:val="32"/>
          <w:highlight w:val="none"/>
          <w:lang w:eastAsia="zh-CN"/>
        </w:rPr>
      </w:pPr>
      <w:r>
        <w:rPr>
          <w:rFonts w:hint="eastAsia" w:ascii="仿宋_GB2312" w:hAnsi="黑体" w:eastAsia="仿宋_GB2312"/>
          <w:b w:val="0"/>
          <w:bCs w:val="0"/>
          <w:sz w:val="32"/>
          <w:szCs w:val="32"/>
          <w:highlight w:val="none"/>
          <w:lang w:eastAsia="zh-CN"/>
        </w:rPr>
        <w:t>（</w:t>
      </w:r>
      <w:r>
        <w:rPr>
          <w:rFonts w:hint="eastAsia" w:ascii="仿宋_GB2312" w:hAnsi="黑体" w:eastAsia="仿宋_GB2312"/>
          <w:b w:val="0"/>
          <w:bCs w:val="0"/>
          <w:sz w:val="32"/>
          <w:szCs w:val="32"/>
          <w:highlight w:val="none"/>
          <w:lang w:val="en-US" w:eastAsia="zh-CN"/>
        </w:rPr>
        <w:t>三</w:t>
      </w:r>
      <w:r>
        <w:rPr>
          <w:rFonts w:hint="eastAsia" w:ascii="仿宋_GB2312" w:hAnsi="黑体" w:eastAsia="仿宋_GB2312"/>
          <w:b w:val="0"/>
          <w:bCs w:val="0"/>
          <w:sz w:val="32"/>
          <w:szCs w:val="32"/>
          <w:highlight w:val="none"/>
          <w:lang w:eastAsia="zh-CN"/>
        </w:rPr>
        <w:t>）</w:t>
      </w:r>
      <w:r>
        <w:rPr>
          <w:rFonts w:hint="eastAsia" w:ascii="仿宋_GB2312" w:hAnsi="黑体" w:eastAsia="仿宋_GB2312"/>
          <w:b w:val="0"/>
          <w:bCs w:val="0"/>
          <w:sz w:val="32"/>
          <w:szCs w:val="32"/>
          <w:highlight w:val="none"/>
        </w:rPr>
        <w:t>该项目最高限价</w:t>
      </w:r>
      <w:r>
        <w:rPr>
          <w:rFonts w:hint="eastAsia" w:ascii="仿宋_GB2312" w:hAnsi="黑体" w:eastAsia="仿宋_GB2312"/>
          <w:b w:val="0"/>
          <w:bCs w:val="0"/>
          <w:sz w:val="32"/>
          <w:szCs w:val="32"/>
          <w:highlight w:val="none"/>
          <w:u w:val="single"/>
        </w:rPr>
        <w:t xml:space="preserve"> </w:t>
      </w:r>
      <w:r>
        <w:rPr>
          <w:rFonts w:hint="eastAsia" w:ascii="仿宋_GB2312" w:hAnsi="黑体" w:eastAsia="仿宋_GB2312"/>
          <w:b w:val="0"/>
          <w:bCs w:val="0"/>
          <w:sz w:val="32"/>
          <w:szCs w:val="32"/>
          <w:highlight w:val="none"/>
          <w:u w:val="single"/>
          <w:lang w:val="en-US" w:eastAsia="zh-CN"/>
        </w:rPr>
        <w:t>680</w:t>
      </w:r>
      <w:r>
        <w:rPr>
          <w:rFonts w:hint="eastAsia" w:ascii="仿宋_GB2312" w:hAnsi="黑体" w:eastAsia="仿宋_GB2312"/>
          <w:b w:val="0"/>
          <w:bCs w:val="0"/>
          <w:sz w:val="32"/>
          <w:szCs w:val="32"/>
          <w:highlight w:val="none"/>
          <w:u w:val="single"/>
        </w:rPr>
        <w:t xml:space="preserve">  </w:t>
      </w:r>
      <w:r>
        <w:rPr>
          <w:rFonts w:hint="eastAsia" w:ascii="仿宋_GB2312" w:hAnsi="黑体" w:eastAsia="仿宋_GB2312"/>
          <w:b w:val="0"/>
          <w:bCs w:val="0"/>
          <w:sz w:val="32"/>
          <w:szCs w:val="32"/>
          <w:highlight w:val="none"/>
        </w:rPr>
        <w:t>万元</w:t>
      </w:r>
      <w:r>
        <w:rPr>
          <w:rFonts w:hint="eastAsia" w:ascii="仿宋_GB2312" w:hAnsi="黑体" w:eastAsia="仿宋_GB2312"/>
          <w:b w:val="0"/>
          <w:bCs w:val="0"/>
          <w:sz w:val="32"/>
          <w:szCs w:val="32"/>
          <w:highlight w:val="none"/>
          <w:lang w:val="en-US" w:eastAsia="zh-CN"/>
        </w:rPr>
        <w:t>一年，</w:t>
      </w:r>
      <w:r>
        <w:rPr>
          <w:rFonts w:hint="eastAsia" w:ascii="仿宋_GB2312" w:hAnsi="黑体" w:eastAsia="仿宋_GB2312"/>
          <w:b w:val="0"/>
          <w:bCs w:val="0"/>
          <w:sz w:val="32"/>
          <w:szCs w:val="32"/>
          <w:highlight w:val="none"/>
        </w:rPr>
        <w:t>其中管理费预算100元/人/月</w:t>
      </w:r>
      <w:r>
        <w:rPr>
          <w:rFonts w:hint="eastAsia" w:ascii="仿宋_GB2312" w:hAnsi="黑体" w:eastAsia="仿宋_GB2312"/>
          <w:b w:val="0"/>
          <w:bCs w:val="0"/>
          <w:sz w:val="32"/>
          <w:szCs w:val="32"/>
          <w:highlight w:val="none"/>
          <w:lang w:eastAsia="zh-CN"/>
        </w:rPr>
        <w:t>，</w:t>
      </w:r>
      <w:r>
        <w:rPr>
          <w:rFonts w:hint="eastAsia" w:ascii="仿宋_GB2312" w:hAnsi="黑体" w:eastAsia="仿宋_GB2312"/>
          <w:b w:val="0"/>
          <w:bCs w:val="0"/>
          <w:sz w:val="32"/>
          <w:szCs w:val="32"/>
          <w:highlight w:val="none"/>
        </w:rPr>
        <w:t>月预算0.55万元，年预算6.6万元，最终以实际结算为准</w:t>
      </w:r>
      <w:r>
        <w:rPr>
          <w:rFonts w:hint="eastAsia" w:ascii="仿宋_GB2312" w:hAnsi="黑体" w:eastAsia="仿宋_GB2312"/>
          <w:b w:val="0"/>
          <w:bCs w:val="0"/>
          <w:sz w:val="32"/>
          <w:szCs w:val="32"/>
          <w:highlight w:val="none"/>
          <w:lang w:eastAsia="zh-CN"/>
        </w:rPr>
        <w:t>。</w:t>
      </w:r>
    </w:p>
    <w:p>
      <w:pPr>
        <w:pStyle w:val="33"/>
        <w:pageBreakBefore w:val="0"/>
        <w:widowControl w:val="0"/>
        <w:kinsoku/>
        <w:wordWrap/>
        <w:overflowPunct/>
        <w:topLinePunct w:val="0"/>
        <w:autoSpaceDE/>
        <w:bidi w:val="0"/>
        <w:adjustRightInd/>
        <w:spacing w:line="600" w:lineRule="exact"/>
        <w:ind w:firstLine="643" w:firstLineChars="200"/>
        <w:textAlignment w:val="auto"/>
        <w:rPr>
          <w:rFonts w:ascii="黑体" w:hAnsi="黑体" w:eastAsia="黑体"/>
          <w:b/>
          <w:sz w:val="32"/>
          <w:szCs w:val="32"/>
        </w:rPr>
      </w:pPr>
      <w:r>
        <w:rPr>
          <w:rFonts w:hint="eastAsia" w:ascii="黑体" w:hAnsi="黑体" w:eastAsia="黑体"/>
          <w:b/>
          <w:sz w:val="32"/>
          <w:szCs w:val="32"/>
        </w:rPr>
        <w:t>三、供应商资格条件（须同时满足）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lang w:val="en-US" w:eastAsia="zh-CN"/>
        </w:rPr>
      </w:pPr>
      <w:r>
        <w:rPr>
          <w:rFonts w:hint="eastAsia" w:ascii="仿宋_GB2312" w:hAnsi="Calibri" w:eastAsia="仿宋_GB2312" w:cs="Times New Roman"/>
          <w:sz w:val="32"/>
          <w:szCs w:val="32"/>
          <w:lang w:val="en-US" w:eastAsia="zh-CN"/>
        </w:rPr>
        <w:t>（一）在中华人民共和国境内依照《中华人民共和国公司法》注册的、具有法人资格、符合本磋商文件的要求并承诺提供本次服务的企业；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lang w:val="en-US" w:eastAsia="zh-CN"/>
        </w:rPr>
      </w:pPr>
      <w:r>
        <w:rPr>
          <w:rFonts w:hint="eastAsia" w:ascii="仿宋_GB2312" w:hAnsi="Calibri" w:eastAsia="仿宋_GB2312" w:cs="Times New Roman"/>
          <w:sz w:val="32"/>
          <w:szCs w:val="32"/>
          <w:lang w:val="en-US" w:eastAsia="zh-CN"/>
        </w:rPr>
        <w:t>（二）具有良好的商业信誉和健全的财务会计制度；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lang w:val="en-US" w:eastAsia="zh-CN"/>
        </w:rPr>
      </w:pPr>
      <w:r>
        <w:rPr>
          <w:rFonts w:hint="eastAsia" w:ascii="仿宋_GB2312" w:hAnsi="Calibri" w:eastAsia="仿宋_GB2312" w:cs="Times New Roman"/>
          <w:sz w:val="32"/>
          <w:szCs w:val="32"/>
          <w:lang w:val="en-US" w:eastAsia="zh-CN"/>
        </w:rPr>
        <w:t>（三）具有履行合同所必需的设备和专业技术能力；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lang w:val="en-US" w:eastAsia="zh-CN"/>
        </w:rPr>
      </w:pPr>
      <w:r>
        <w:rPr>
          <w:rFonts w:hint="eastAsia" w:ascii="仿宋_GB2312" w:hAnsi="Calibri" w:eastAsia="仿宋_GB2312" w:cs="Times New Roman"/>
          <w:sz w:val="32"/>
          <w:szCs w:val="32"/>
          <w:lang w:val="en-US" w:eastAsia="zh-CN"/>
        </w:rPr>
        <w:t>（四）有依法缴纳税收和社会保障资金的良好记录；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lang w:val="en-US" w:eastAsia="zh-CN"/>
        </w:rPr>
      </w:pPr>
      <w:r>
        <w:rPr>
          <w:rFonts w:hint="eastAsia" w:ascii="仿宋_GB2312" w:hAnsi="Calibri" w:eastAsia="仿宋_GB2312" w:cs="Times New Roman"/>
          <w:sz w:val="32"/>
          <w:szCs w:val="32"/>
          <w:lang w:val="en-US" w:eastAsia="zh-CN"/>
        </w:rPr>
        <w:t>（五）参加此项采购活动最近三年没有出现违法违规或失信行为，没有骗取中标和严重违约的行为；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lang w:val="en-US" w:eastAsia="zh-CN"/>
        </w:rPr>
      </w:pPr>
      <w:r>
        <w:rPr>
          <w:rFonts w:hint="eastAsia" w:ascii="仿宋_GB2312" w:hAnsi="Calibri" w:eastAsia="仿宋_GB2312" w:cs="Times New Roman"/>
          <w:sz w:val="32"/>
          <w:szCs w:val="32"/>
          <w:lang w:val="en-US" w:eastAsia="zh-CN"/>
        </w:rPr>
        <w:t>（六）单位负责人为同一人或存在控股、管理关系的不同单位，不得参加同一采购项目；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lang w:val="en-US" w:eastAsia="zh-CN"/>
        </w:rPr>
      </w:pPr>
      <w:r>
        <w:rPr>
          <w:rFonts w:hint="eastAsia" w:ascii="仿宋_GB2312" w:hAnsi="Calibri" w:eastAsia="仿宋_GB2312" w:cs="Times New Roman"/>
          <w:sz w:val="32"/>
          <w:szCs w:val="32"/>
          <w:lang w:val="en-US" w:eastAsia="zh-CN"/>
        </w:rPr>
        <w:t>（七）本项目不接受联合体；</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lang w:val="en-US" w:eastAsia="zh-CN"/>
        </w:rPr>
      </w:pPr>
      <w:r>
        <w:rPr>
          <w:rFonts w:hint="eastAsia" w:ascii="仿宋_GB2312" w:hAnsi="Calibri" w:eastAsia="仿宋_GB2312" w:cs="Times New Roman"/>
          <w:sz w:val="32"/>
          <w:szCs w:val="32"/>
          <w:lang w:val="en-US" w:eastAsia="zh-CN"/>
        </w:rPr>
        <w:t>（八）具备劳务派遣服务等相关资质；</w:t>
      </w:r>
    </w:p>
    <w:p>
      <w:pPr>
        <w:pStyle w:val="2"/>
        <w:pageBreakBefore w:val="0"/>
        <w:widowControl w:val="0"/>
        <w:kinsoku/>
        <w:wordWrap/>
        <w:overflowPunct/>
        <w:topLinePunct w:val="0"/>
        <w:autoSpaceDE/>
        <w:bidi w:val="0"/>
        <w:adjustRightInd/>
        <w:spacing w:before="0" w:after="0" w:line="600" w:lineRule="exact"/>
        <w:ind w:firstLine="643" w:firstLineChars="200"/>
        <w:textAlignment w:val="auto"/>
        <w:rPr>
          <w:rFonts w:ascii="黑体" w:hAnsi="黑体" w:eastAsia="黑体"/>
          <w:sz w:val="32"/>
          <w:szCs w:val="32"/>
        </w:rPr>
      </w:pPr>
      <w:r>
        <w:rPr>
          <w:rFonts w:hint="eastAsia" w:ascii="黑体" w:hAnsi="黑体" w:eastAsia="黑体"/>
          <w:sz w:val="32"/>
          <w:szCs w:val="32"/>
        </w:rPr>
        <w:t>四、</w:t>
      </w:r>
      <w:r>
        <w:rPr>
          <w:rFonts w:hint="eastAsia" w:ascii="黑体" w:hAnsi="黑体" w:eastAsia="黑体"/>
          <w:sz w:val="32"/>
          <w:szCs w:val="32"/>
          <w:lang w:val="en-US" w:eastAsia="zh-CN"/>
        </w:rPr>
        <w:t>磋商</w:t>
      </w:r>
      <w:r>
        <w:rPr>
          <w:rFonts w:hint="eastAsia" w:ascii="黑体" w:hAnsi="黑体" w:eastAsia="黑体"/>
          <w:sz w:val="32"/>
          <w:szCs w:val="32"/>
        </w:rPr>
        <w:t>文件要求</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参加报价的供应商应按一式</w:t>
      </w:r>
      <w:r>
        <w:rPr>
          <w:rFonts w:hint="eastAsia" w:ascii="仿宋_GB2312" w:hAnsi="仿宋_GB2312" w:eastAsia="仿宋_GB2312" w:cs="仿宋_GB2312"/>
          <w:color w:val="000000"/>
          <w:sz w:val="32"/>
          <w:szCs w:val="32"/>
          <w:lang w:val="en-US" w:eastAsia="zh-CN"/>
        </w:rPr>
        <w:t>二</w:t>
      </w:r>
      <w:r>
        <w:rPr>
          <w:rFonts w:hint="eastAsia" w:ascii="仿宋_GB2312" w:hAnsi="仿宋_GB2312" w:eastAsia="仿宋_GB2312" w:cs="仿宋_GB2312"/>
          <w:color w:val="000000"/>
          <w:sz w:val="32"/>
          <w:szCs w:val="32"/>
        </w:rPr>
        <w:t>份（正本</w:t>
      </w:r>
      <w:r>
        <w:rPr>
          <w:rFonts w:hint="eastAsia" w:ascii="仿宋_GB2312" w:hAnsi="仿宋_GB2312" w:eastAsia="仿宋_GB2312" w:cs="仿宋_GB2312"/>
          <w:color w:val="000000"/>
          <w:sz w:val="32"/>
          <w:szCs w:val="32"/>
          <w:lang w:val="en-US" w:eastAsia="zh-CN"/>
        </w:rPr>
        <w:t>一</w:t>
      </w:r>
      <w:r>
        <w:rPr>
          <w:rFonts w:hint="eastAsia" w:ascii="仿宋_GB2312" w:hAnsi="仿宋_GB2312" w:eastAsia="仿宋_GB2312" w:cs="仿宋_GB2312"/>
          <w:color w:val="000000"/>
          <w:sz w:val="32"/>
          <w:szCs w:val="32"/>
        </w:rPr>
        <w:t>份，副本</w:t>
      </w:r>
      <w:r>
        <w:rPr>
          <w:rFonts w:hint="eastAsia" w:ascii="仿宋_GB2312" w:hAnsi="仿宋_GB2312" w:eastAsia="仿宋_GB2312" w:cs="仿宋_GB2312"/>
          <w:color w:val="000000"/>
          <w:sz w:val="32"/>
          <w:szCs w:val="32"/>
          <w:lang w:val="en-US" w:eastAsia="zh-CN"/>
        </w:rPr>
        <w:t>一</w:t>
      </w:r>
      <w:r>
        <w:rPr>
          <w:rFonts w:hint="eastAsia" w:ascii="仿宋_GB2312" w:hAnsi="仿宋_GB2312" w:eastAsia="仿宋_GB2312" w:cs="仿宋_GB2312"/>
          <w:color w:val="000000"/>
          <w:sz w:val="32"/>
          <w:szCs w:val="32"/>
        </w:rPr>
        <w:t>份，并在响应文件封皮上注明）准备纸质</w:t>
      </w:r>
      <w:r>
        <w:rPr>
          <w:rFonts w:hint="eastAsia" w:ascii="仿宋_GB2312" w:hAnsi="仿宋_GB2312" w:eastAsia="仿宋_GB2312" w:cs="仿宋_GB2312"/>
          <w:color w:val="000000"/>
          <w:sz w:val="32"/>
          <w:szCs w:val="32"/>
          <w:lang w:val="en-US" w:eastAsia="zh-CN"/>
        </w:rPr>
        <w:t>磋商</w:t>
      </w:r>
      <w:r>
        <w:rPr>
          <w:rFonts w:hint="eastAsia" w:ascii="仿宋_GB2312" w:hAnsi="仿宋_GB2312" w:eastAsia="仿宋_GB2312" w:cs="仿宋_GB2312"/>
          <w:color w:val="000000"/>
          <w:sz w:val="32"/>
          <w:szCs w:val="32"/>
        </w:rPr>
        <w:t>文件，采用左侧胶装方式装订，并连续标注页码，加盖企业公章。若正本与副本有区别则以正本为准。</w:t>
      </w:r>
      <w:r>
        <w:rPr>
          <w:rFonts w:hint="eastAsia" w:ascii="仿宋_GB2312" w:hAnsi="仿宋_GB2312" w:eastAsia="仿宋_GB2312" w:cs="仿宋_GB2312"/>
          <w:color w:val="000000"/>
          <w:sz w:val="32"/>
          <w:szCs w:val="32"/>
          <w:lang w:val="en-US" w:eastAsia="zh-CN"/>
        </w:rPr>
        <w:t>另外，需要提供一份电子投标文件（盖章版、U盘拷贝）</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报价文件按以下顺序构成，包含但不限于以下内容：</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（一）供应商承诺与声明（见附件1）；</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（二）法定代表人授权委托书（见附件2）；</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（三）公司资质证明文件，包括不限于：</w:t>
      </w:r>
    </w:p>
    <w:p>
      <w:pPr>
        <w:pStyle w:val="33"/>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1.营业执照(彩印，另附国家企业信用信息公示系统下载的营业执照具体信息)</w:t>
      </w:r>
    </w:p>
    <w:p>
      <w:pPr>
        <w:pStyle w:val="33"/>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银行开户许可证</w:t>
      </w:r>
    </w:p>
    <w:p>
      <w:pPr>
        <w:pStyle w:val="33"/>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3.企业信用报告或</w:t>
      </w:r>
      <w:r>
        <w:rPr>
          <w:rFonts w:hint="eastAsia" w:ascii="仿宋_GB2312" w:hAnsi="仿宋_GB2312" w:eastAsia="仿宋_GB2312" w:cs="仿宋_GB2312"/>
          <w:sz w:val="32"/>
          <w:szCs w:val="32"/>
          <w:highlight w:val="none"/>
        </w:rPr>
        <w:t>银行资信证明</w:t>
      </w:r>
    </w:p>
    <w:p>
      <w:pPr>
        <w:pStyle w:val="33"/>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4.上一年度（2023年）或上一季度</w:t>
      </w:r>
      <w:r>
        <w:rPr>
          <w:rFonts w:hint="eastAsia" w:ascii="仿宋_GB2312" w:hAnsi="仿宋_GB2312" w:eastAsia="仿宋_GB2312" w:cs="仿宋_GB2312"/>
          <w:sz w:val="32"/>
          <w:szCs w:val="32"/>
          <w:highlight w:val="none"/>
        </w:rPr>
        <w:t>财务报表</w:t>
      </w:r>
    </w:p>
    <w:p>
      <w:pPr>
        <w:pStyle w:val="33"/>
        <w:pageBreakBefore w:val="0"/>
        <w:widowControl w:val="0"/>
        <w:kinsoku/>
        <w:wordWrap/>
        <w:overflowPunct/>
        <w:topLinePunct w:val="0"/>
        <w:autoSpaceDE/>
        <w:bidi w:val="0"/>
        <w:adjustRightInd/>
        <w:spacing w:line="60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5.国家企业信用信息</w:t>
      </w:r>
    </w:p>
    <w:p>
      <w:pPr>
        <w:pStyle w:val="33"/>
        <w:pageBreakBefore w:val="0"/>
        <w:widowControl w:val="0"/>
        <w:kinsoku/>
        <w:wordWrap/>
        <w:overflowPunct/>
        <w:topLinePunct w:val="0"/>
        <w:autoSpaceDE/>
        <w:bidi w:val="0"/>
        <w:adjustRightInd/>
        <w:spacing w:line="60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6.纳税</w:t>
      </w:r>
      <w:r>
        <w:rPr>
          <w:rFonts w:hint="eastAsia" w:ascii="仿宋_GB2312" w:hAnsi="仿宋_GB2312" w:eastAsia="仿宋_GB2312" w:cs="仿宋_GB2312"/>
          <w:sz w:val="32"/>
          <w:szCs w:val="32"/>
          <w:highlight w:val="none"/>
        </w:rPr>
        <w:t>证明</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社保缴纳证明</w:t>
      </w:r>
    </w:p>
    <w:p>
      <w:pPr>
        <w:pStyle w:val="33"/>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经营范围的明细项目</w:t>
      </w:r>
    </w:p>
    <w:p>
      <w:pPr>
        <w:pStyle w:val="33"/>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lang w:val="en-US" w:eastAsia="zh-CN"/>
        </w:rPr>
        <w:t>注：以上资质文件需加盖公章</w:t>
      </w:r>
      <w:r>
        <w:rPr>
          <w:rFonts w:hint="eastAsia" w:ascii="仿宋_GB2312" w:hAnsi="仿宋_GB2312" w:eastAsia="仿宋_GB2312" w:cs="仿宋_GB2312"/>
          <w:sz w:val="32"/>
          <w:szCs w:val="32"/>
        </w:rPr>
        <w:t>及加注“与原件一致”字样</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（四）报价单（见附件</w:t>
      </w:r>
      <w:r>
        <w:rPr>
          <w:rFonts w:hint="eastAsia" w:ascii="仿宋_GB2312" w:hAnsi="仿宋_GB2312" w:eastAsia="仿宋_GB2312" w:cs="仿宋_GB2312"/>
          <w:color w:val="000000"/>
          <w:sz w:val="32"/>
          <w:szCs w:val="32"/>
          <w:highlight w:val="none"/>
          <w:lang w:val="en-US" w:eastAsia="zh-CN"/>
        </w:rPr>
        <w:t>3</w:t>
      </w:r>
      <w:r>
        <w:rPr>
          <w:rFonts w:hint="eastAsia" w:ascii="仿宋_GB2312" w:hAnsi="仿宋_GB2312" w:eastAsia="仿宋_GB2312" w:cs="仿宋_GB2312"/>
          <w:color w:val="000000"/>
          <w:sz w:val="32"/>
          <w:szCs w:val="32"/>
          <w:highlight w:val="none"/>
        </w:rPr>
        <w:t>，需加盖供应商公章）。</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rPr>
        <w:t>（五）</w:t>
      </w:r>
      <w:r>
        <w:rPr>
          <w:rFonts w:hint="eastAsia" w:ascii="仿宋_GB2312" w:hAnsi="仿宋_GB2312" w:eastAsia="仿宋_GB2312" w:cs="仿宋_GB2312"/>
          <w:color w:val="000000"/>
          <w:sz w:val="32"/>
          <w:szCs w:val="32"/>
          <w:highlight w:val="none"/>
          <w:lang w:val="en-US" w:eastAsia="zh-CN"/>
        </w:rPr>
        <w:t>磋商</w:t>
      </w:r>
      <w:r>
        <w:rPr>
          <w:rFonts w:hint="eastAsia" w:ascii="仿宋_GB2312" w:hAnsi="仿宋_GB2312" w:eastAsia="仿宋_GB2312" w:cs="仿宋_GB2312"/>
          <w:color w:val="000000"/>
          <w:sz w:val="32"/>
          <w:szCs w:val="32"/>
          <w:highlight w:val="none"/>
        </w:rPr>
        <w:t>邀请文件要求提供/供应商认为应附的其他材料（见附件</w:t>
      </w:r>
      <w:r>
        <w:rPr>
          <w:rFonts w:hint="eastAsia" w:ascii="仿宋_GB2312" w:hAnsi="仿宋_GB2312" w:eastAsia="仿宋_GB2312" w:cs="仿宋_GB2312"/>
          <w:color w:val="000000"/>
          <w:sz w:val="32"/>
          <w:szCs w:val="32"/>
          <w:highlight w:val="none"/>
          <w:lang w:val="en-US" w:eastAsia="zh-CN"/>
        </w:rPr>
        <w:t>4</w:t>
      </w:r>
      <w:r>
        <w:rPr>
          <w:rFonts w:hint="eastAsia" w:ascii="仿宋_GB2312" w:hAnsi="仿宋_GB2312" w:eastAsia="仿宋_GB2312" w:cs="仿宋_GB2312"/>
          <w:color w:val="000000"/>
          <w:sz w:val="32"/>
          <w:szCs w:val="32"/>
          <w:highlight w:val="none"/>
        </w:rPr>
        <w:t>，需加盖供应商公章）</w:t>
      </w:r>
      <w:r>
        <w:rPr>
          <w:rFonts w:hint="eastAsia" w:ascii="仿宋_GB2312" w:hAnsi="仿宋_GB2312" w:eastAsia="仿宋_GB2312" w:cs="仿宋_GB2312"/>
          <w:color w:val="000000"/>
          <w:sz w:val="32"/>
          <w:szCs w:val="32"/>
          <w:highlight w:val="none"/>
          <w:lang w:eastAsia="zh-CN"/>
        </w:rPr>
        <w:t>。</w:t>
      </w:r>
    </w:p>
    <w:p>
      <w:pPr>
        <w:pageBreakBefore w:val="0"/>
        <w:widowControl w:val="0"/>
        <w:numPr>
          <w:ilvl w:val="0"/>
          <w:numId w:val="0"/>
        </w:numPr>
        <w:kinsoku/>
        <w:wordWrap/>
        <w:overflowPunct/>
        <w:topLinePunct w:val="0"/>
        <w:autoSpaceDE/>
        <w:autoSpaceDN w:val="0"/>
        <w:bidi w:val="0"/>
        <w:adjustRightInd/>
        <w:snapToGrid w:val="0"/>
        <w:spacing w:line="600" w:lineRule="exact"/>
        <w:ind w:firstLine="640" w:firstLineChars="200"/>
        <w:textAlignment w:val="auto"/>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lang w:val="en-US" w:eastAsia="zh-CN"/>
        </w:rPr>
        <w:t>六</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保密合规廉洁承诺函（见附件</w:t>
      </w:r>
      <w:r>
        <w:rPr>
          <w:rFonts w:hint="eastAsia" w:ascii="仿宋_GB2312" w:hAnsi="仿宋_GB2312" w:eastAsia="仿宋_GB2312" w:cs="仿宋_GB2312"/>
          <w:color w:val="000000"/>
          <w:sz w:val="32"/>
          <w:szCs w:val="32"/>
          <w:highlight w:val="none"/>
          <w:lang w:val="en-US" w:eastAsia="zh-CN"/>
        </w:rPr>
        <w:t>5</w:t>
      </w:r>
      <w:r>
        <w:rPr>
          <w:rFonts w:hint="eastAsia" w:ascii="仿宋_GB2312" w:hAnsi="仿宋_GB2312" w:eastAsia="仿宋_GB2312" w:cs="仿宋_GB2312"/>
          <w:color w:val="000000"/>
          <w:sz w:val="32"/>
          <w:szCs w:val="32"/>
          <w:highlight w:val="none"/>
        </w:rPr>
        <w:t>，需加盖供应商公章）</w:t>
      </w:r>
      <w:r>
        <w:rPr>
          <w:rFonts w:hint="eastAsia" w:ascii="仿宋_GB2312" w:hAnsi="仿宋_GB2312" w:eastAsia="仿宋_GB2312" w:cs="仿宋_GB2312"/>
          <w:color w:val="000000"/>
          <w:sz w:val="32"/>
          <w:szCs w:val="32"/>
          <w:highlight w:val="none"/>
          <w:lang w:eastAsia="zh-CN"/>
        </w:rPr>
        <w:t>。</w:t>
      </w:r>
    </w:p>
    <w:p>
      <w:pPr>
        <w:pStyle w:val="2"/>
        <w:pageBreakBefore w:val="0"/>
        <w:widowControl w:val="0"/>
        <w:kinsoku/>
        <w:wordWrap/>
        <w:overflowPunct/>
        <w:topLinePunct w:val="0"/>
        <w:autoSpaceDE/>
        <w:bidi w:val="0"/>
        <w:adjustRightInd/>
        <w:spacing w:before="0" w:after="0" w:line="600" w:lineRule="exact"/>
        <w:ind w:firstLine="643" w:firstLineChars="200"/>
        <w:textAlignment w:val="auto"/>
        <w:rPr>
          <w:rFonts w:ascii="黑体" w:hAnsi="黑体" w:eastAsia="黑体"/>
          <w:sz w:val="32"/>
          <w:szCs w:val="32"/>
        </w:rPr>
      </w:pPr>
      <w:r>
        <w:rPr>
          <w:rFonts w:hint="eastAsia" w:ascii="黑体" w:hAnsi="黑体" w:eastAsia="黑体"/>
          <w:sz w:val="32"/>
          <w:szCs w:val="32"/>
          <w:lang w:val="en-US" w:eastAsia="zh-CN"/>
        </w:rPr>
        <w:t>五</w:t>
      </w:r>
      <w:r>
        <w:rPr>
          <w:rFonts w:hint="eastAsia" w:ascii="黑体" w:hAnsi="黑体" w:eastAsia="黑体"/>
          <w:sz w:val="32"/>
          <w:szCs w:val="32"/>
        </w:rPr>
        <w:t>、磋商流程</w:t>
      </w:r>
    </w:p>
    <w:p>
      <w:pPr>
        <w:pageBreakBefore w:val="0"/>
        <w:widowControl w:val="0"/>
        <w:numPr>
          <w:ilvl w:val="0"/>
          <w:numId w:val="3"/>
        </w:numPr>
        <w:kinsoku/>
        <w:wordWrap/>
        <w:overflowPunct/>
        <w:topLinePunct w:val="0"/>
        <w:autoSpaceDE/>
        <w:autoSpaceDN w:val="0"/>
        <w:bidi w:val="0"/>
        <w:adjustRightInd/>
        <w:snapToGrid w:val="0"/>
        <w:spacing w:line="600" w:lineRule="exact"/>
        <w:ind w:firstLine="640" w:firstLineChars="200"/>
        <w:textAlignment w:val="auto"/>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供应商按时到达现场并签到；</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（二）供应商按签到顺序进行方案陈述，每位供应商陈述时间均限定在</w:t>
      </w:r>
      <w:r>
        <w:rPr>
          <w:rFonts w:hint="eastAsia" w:ascii="仿宋_GB2312" w:eastAsia="仿宋_GB2312" w:hAnsiTheme="majorEastAsia"/>
          <w:color w:val="000000"/>
          <w:sz w:val="32"/>
          <w:szCs w:val="32"/>
          <w:lang w:val="en-US" w:eastAsia="zh-CN"/>
        </w:rPr>
        <w:t>5</w:t>
      </w:r>
      <w:r>
        <w:rPr>
          <w:rFonts w:hint="eastAsia" w:ascii="仿宋_GB2312" w:eastAsia="仿宋_GB2312" w:hAnsiTheme="majorEastAsia"/>
          <w:color w:val="000000"/>
          <w:sz w:val="32"/>
          <w:szCs w:val="32"/>
        </w:rPr>
        <w:t>分钟内（请供应商做好方案陈述的准备工作，包括准备方案陈述词及多媒体演示文档等，陈述用电脑由供应商自备）；</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（三）评审小组与供应商进行交流沟通；</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eastAsia="仿宋_GB2312" w:hAnsiTheme="majorEastAsia"/>
          <w:color w:val="000000"/>
          <w:sz w:val="32"/>
          <w:szCs w:val="32"/>
          <w:highlight w:val="none"/>
          <w:lang w:eastAsia="zh-CN"/>
        </w:rPr>
      </w:pPr>
      <w:r>
        <w:rPr>
          <w:rFonts w:hint="eastAsia" w:ascii="仿宋_GB2312" w:eastAsia="仿宋_GB2312" w:hAnsiTheme="majorEastAsia"/>
          <w:color w:val="000000"/>
          <w:sz w:val="32"/>
          <w:szCs w:val="32"/>
        </w:rPr>
        <w:t>（四）磋商结束，评审小组进行综合评分。</w:t>
      </w:r>
    </w:p>
    <w:p>
      <w:pPr>
        <w:pStyle w:val="2"/>
        <w:pageBreakBefore w:val="0"/>
        <w:widowControl w:val="0"/>
        <w:kinsoku/>
        <w:wordWrap/>
        <w:overflowPunct/>
        <w:topLinePunct w:val="0"/>
        <w:autoSpaceDE/>
        <w:bidi w:val="0"/>
        <w:adjustRightInd/>
        <w:spacing w:before="0" w:after="0" w:line="600" w:lineRule="exact"/>
        <w:ind w:firstLine="643" w:firstLineChars="200"/>
        <w:textAlignment w:val="auto"/>
        <w:rPr>
          <w:rFonts w:ascii="黑体" w:hAnsi="黑体" w:eastAsia="黑体"/>
          <w:sz w:val="32"/>
          <w:szCs w:val="32"/>
        </w:rPr>
      </w:pPr>
      <w:r>
        <w:rPr>
          <w:rFonts w:hint="eastAsia" w:ascii="黑体" w:hAnsi="黑体" w:eastAsia="黑体"/>
          <w:sz w:val="32"/>
          <w:szCs w:val="32"/>
          <w:lang w:val="en-US" w:eastAsia="zh-CN"/>
        </w:rPr>
        <w:t>六</w:t>
      </w:r>
      <w:r>
        <w:rPr>
          <w:rFonts w:hint="eastAsia" w:ascii="黑体" w:hAnsi="黑体" w:eastAsia="黑体"/>
          <w:sz w:val="32"/>
          <w:szCs w:val="32"/>
        </w:rPr>
        <w:t>、联系人</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（一）商务部分：</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联系人：李云锋</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联系电话：18022672261/0759-2212559</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 xml:space="preserve"> E-mail：liyunfeng08@guangd.picc.com.cn</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（二）需求部分：</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联系人：李云锋，联系电话：18022672261/0759-2212559</w:t>
      </w:r>
    </w:p>
    <w:p>
      <w:pPr>
        <w:pageBreakBefore w:val="0"/>
        <w:widowControl w:val="0"/>
        <w:kinsoku/>
        <w:wordWrap/>
        <w:overflowPunct/>
        <w:topLinePunct w:val="0"/>
        <w:autoSpaceDE/>
        <w:autoSpaceDN w:val="0"/>
        <w:bidi w:val="0"/>
        <w:adjustRightInd/>
        <w:snapToGrid w:val="0"/>
        <w:spacing w:line="600" w:lineRule="exact"/>
        <w:ind w:firstLine="640" w:firstLineChars="200"/>
        <w:textAlignment w:val="auto"/>
        <w:rPr>
          <w:rFonts w:ascii="仿宋_GB2312" w:eastAsia="仿宋_GB2312" w:hAnsiTheme="majorEastAsia"/>
          <w:color w:val="000000"/>
          <w:sz w:val="32"/>
          <w:szCs w:val="32"/>
        </w:rPr>
      </w:pPr>
      <w:r>
        <w:rPr>
          <w:rFonts w:hint="eastAsia" w:ascii="仿宋_GB2312" w:eastAsia="仿宋_GB2312" w:hAnsiTheme="majorEastAsia"/>
          <w:color w:val="000000"/>
          <w:sz w:val="32"/>
          <w:szCs w:val="32"/>
          <w:lang w:val="en-US" w:eastAsia="zh-CN"/>
        </w:rPr>
        <w:t xml:space="preserve"> E-mail：liyunfeng08@guangd.picc.com.cn</w:t>
      </w:r>
    </w:p>
    <w:p>
      <w:pPr>
        <w:pageBreakBefore w:val="0"/>
        <w:widowControl w:val="0"/>
        <w:kinsoku/>
        <w:wordWrap/>
        <w:overflowPunct/>
        <w:topLinePunct w:val="0"/>
        <w:autoSpaceDE/>
        <w:autoSpaceDN w:val="0"/>
        <w:bidi w:val="0"/>
        <w:adjustRightInd/>
        <w:snapToGrid w:val="0"/>
        <w:spacing w:line="600" w:lineRule="exact"/>
        <w:textAlignment w:val="auto"/>
        <w:rPr>
          <w:rFonts w:ascii="仿宋_GB2312" w:eastAsia="仿宋_GB2312" w:hAnsiTheme="majorEastAsia"/>
          <w:color w:val="000000"/>
          <w:sz w:val="32"/>
          <w:szCs w:val="32"/>
        </w:rPr>
      </w:pPr>
    </w:p>
    <w:p>
      <w:pPr>
        <w:pageBreakBefore w:val="0"/>
        <w:widowControl w:val="0"/>
        <w:kinsoku/>
        <w:wordWrap/>
        <w:overflowPunct/>
        <w:topLinePunct w:val="0"/>
        <w:autoSpaceDE/>
        <w:autoSpaceDN w:val="0"/>
        <w:bidi w:val="0"/>
        <w:adjustRightInd/>
        <w:snapToGrid w:val="0"/>
        <w:spacing w:line="600" w:lineRule="exact"/>
        <w:ind w:firstLine="640" w:firstLineChars="200"/>
        <w:jc w:val="right"/>
        <w:textAlignment w:val="auto"/>
        <w:rPr>
          <w:rFonts w:ascii="仿宋_GB2312" w:eastAsia="仿宋_GB2312" w:hAnsiTheme="majorEastAsia"/>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湛江市</w:t>
      </w:r>
      <w:r>
        <w:rPr>
          <w:rFonts w:hint="eastAsia" w:ascii="仿宋_GB2312" w:eastAsia="仿宋_GB2312" w:hAnsiTheme="majorEastAsia"/>
          <w:color w:val="000000"/>
          <w:sz w:val="32"/>
          <w:szCs w:val="32"/>
        </w:rPr>
        <w:t xml:space="preserve">分公司  </w:t>
      </w:r>
      <w:r>
        <w:rPr>
          <w:rFonts w:hint="eastAsia" w:ascii="仿宋_GB2312" w:eastAsia="仿宋_GB2312" w:hAnsiTheme="majorEastAsia"/>
          <w:sz w:val="32"/>
          <w:szCs w:val="32"/>
        </w:rPr>
        <w:t xml:space="preserve">                                   </w:t>
      </w:r>
    </w:p>
    <w:p>
      <w:pPr>
        <w:pageBreakBefore w:val="0"/>
        <w:widowControl w:val="0"/>
        <w:kinsoku/>
        <w:wordWrap/>
        <w:overflowPunct/>
        <w:topLinePunct w:val="0"/>
        <w:autoSpaceDE/>
        <w:autoSpaceDN w:val="0"/>
        <w:bidi w:val="0"/>
        <w:adjustRightInd/>
        <w:snapToGrid w:val="0"/>
        <w:spacing w:line="600" w:lineRule="exact"/>
        <w:ind w:right="1280" w:firstLine="640" w:firstLineChars="200"/>
        <w:jc w:val="right"/>
        <w:textAlignment w:val="auto"/>
        <w:rPr>
          <w:rFonts w:ascii="仿宋_GB2312" w:eastAsia="仿宋_GB2312" w:hAnsiTheme="majorEastAsia"/>
          <w:sz w:val="32"/>
          <w:szCs w:val="32"/>
          <w:highlight w:val="none"/>
        </w:rPr>
      </w:pPr>
      <w:r>
        <w:rPr>
          <w:rFonts w:hint="eastAsia" w:ascii="仿宋_GB2312" w:eastAsia="仿宋_GB2312" w:hAnsiTheme="majorEastAsia"/>
          <w:sz w:val="32"/>
          <w:szCs w:val="32"/>
          <w:highlight w:val="none"/>
          <w:lang w:val="en-US" w:eastAsia="zh-CN"/>
        </w:rPr>
        <w:t>2024</w:t>
      </w:r>
      <w:r>
        <w:rPr>
          <w:rFonts w:hint="eastAsia" w:ascii="仿宋_GB2312" w:eastAsia="仿宋_GB2312" w:hAnsiTheme="majorEastAsia"/>
          <w:sz w:val="32"/>
          <w:szCs w:val="32"/>
          <w:highlight w:val="none"/>
        </w:rPr>
        <w:t>年</w:t>
      </w:r>
      <w:r>
        <w:rPr>
          <w:rFonts w:hint="eastAsia" w:ascii="仿宋_GB2312" w:eastAsia="仿宋_GB2312" w:hAnsiTheme="majorEastAsia"/>
          <w:sz w:val="32"/>
          <w:szCs w:val="32"/>
          <w:highlight w:val="none"/>
          <w:lang w:val="en-US" w:eastAsia="zh-CN"/>
        </w:rPr>
        <w:t>9</w:t>
      </w:r>
      <w:r>
        <w:rPr>
          <w:rFonts w:hint="eastAsia" w:ascii="仿宋_GB2312" w:eastAsia="仿宋_GB2312" w:hAnsiTheme="majorEastAsia"/>
          <w:sz w:val="32"/>
          <w:szCs w:val="32"/>
          <w:highlight w:val="none"/>
        </w:rPr>
        <w:t>月</w:t>
      </w:r>
      <w:r>
        <w:rPr>
          <w:rFonts w:hint="eastAsia" w:ascii="仿宋_GB2312" w:eastAsia="仿宋_GB2312" w:hAnsiTheme="majorEastAsia"/>
          <w:sz w:val="32"/>
          <w:szCs w:val="32"/>
          <w:highlight w:val="none"/>
          <w:lang w:val="en-US" w:eastAsia="zh-CN"/>
        </w:rPr>
        <w:t>14</w:t>
      </w:r>
      <w:r>
        <w:rPr>
          <w:rFonts w:hint="eastAsia" w:ascii="仿宋_GB2312" w:eastAsia="仿宋_GB2312" w:hAnsiTheme="majorEastAsia"/>
          <w:sz w:val="32"/>
          <w:szCs w:val="32"/>
          <w:highlight w:val="none"/>
        </w:rPr>
        <w:t>日</w:t>
      </w:r>
    </w:p>
    <w:p>
      <w:pPr>
        <w:pStyle w:val="2"/>
        <w:keepNext/>
        <w:keepLines/>
        <w:pageBreakBefore w:val="0"/>
        <w:widowControl w:val="0"/>
        <w:kinsoku/>
        <w:wordWrap/>
        <w:overflowPunct/>
        <w:topLinePunct w:val="0"/>
        <w:autoSpaceDE/>
        <w:autoSpaceDN/>
        <w:bidi w:val="0"/>
        <w:adjustRightInd/>
        <w:snapToGrid/>
        <w:spacing w:line="329" w:lineRule="auto"/>
        <w:textAlignment w:val="auto"/>
        <w:rPr>
          <w:rFonts w:hint="eastAsia" w:ascii="仿宋_GB2312" w:hAnsi="宋体" w:eastAsia="仿宋_GB2312" w:cs="宋体"/>
          <w:b/>
          <w:bCs w:val="0"/>
          <w:color w:val="333333"/>
          <w:kern w:val="0"/>
          <w:sz w:val="30"/>
          <w:szCs w:val="30"/>
          <w:lang w:val="en-US" w:eastAsia="zh-CN" w:bidi="ar-SA"/>
        </w:rPr>
      </w:pPr>
      <w:r>
        <w:rPr>
          <w:rFonts w:asciiTheme="majorEastAsia" w:hAnsiTheme="majorEastAsia" w:eastAsiaTheme="majorEastAsia"/>
          <w:sz w:val="30"/>
          <w:szCs w:val="30"/>
        </w:rPr>
        <w:br w:type="page"/>
      </w:r>
      <w:r>
        <w:rPr>
          <w:rFonts w:ascii="仿宋_GB2312" w:hAnsi="宋体" w:eastAsia="仿宋_GB2312" w:cs="宋体"/>
          <w:b/>
          <w:bCs w:val="0"/>
          <w:color w:val="333333"/>
          <w:kern w:val="0"/>
          <w:sz w:val="30"/>
          <w:szCs w:val="30"/>
          <w:lang w:val="en-US" w:eastAsia="zh-CN" w:bidi="ar-SA"/>
        </w:rPr>
        <w:t>附件1</w:t>
      </w:r>
      <w:r>
        <w:rPr>
          <w:rFonts w:hint="eastAsia" w:ascii="仿宋_GB2312" w:hAnsi="宋体" w:eastAsia="仿宋_GB2312" w:cs="宋体"/>
          <w:b/>
          <w:bCs w:val="0"/>
          <w:color w:val="333333"/>
          <w:kern w:val="0"/>
          <w:sz w:val="30"/>
          <w:szCs w:val="30"/>
          <w:lang w:val="en-US" w:eastAsia="zh-CN" w:bidi="ar-SA"/>
        </w:rPr>
        <w:t>：供应商承诺与声明</w:t>
      </w:r>
    </w:p>
    <w:p>
      <w:pPr>
        <w:widowControl/>
        <w:adjustRightInd w:val="0"/>
        <w:snapToGrid w:val="0"/>
        <w:spacing w:line="329" w:lineRule="auto"/>
        <w:jc w:val="center"/>
        <w:rPr>
          <w:rFonts w:ascii="仿宋_GB2312" w:hAnsi="宋体" w:eastAsia="仿宋_GB2312" w:cs="宋体"/>
          <w:b/>
          <w:color w:val="333333"/>
          <w:kern w:val="0"/>
          <w:sz w:val="32"/>
          <w:szCs w:val="32"/>
        </w:rPr>
      </w:pPr>
      <w:r>
        <w:rPr>
          <w:rFonts w:ascii="仿宋_GB2312" w:hAnsi="宋体" w:eastAsia="仿宋_GB2312" w:cs="宋体"/>
          <w:b/>
          <w:color w:val="333333"/>
          <w:kern w:val="0"/>
          <w:sz w:val="32"/>
          <w:szCs w:val="32"/>
        </w:rPr>
        <w:t>供应商承诺与声明</w:t>
      </w:r>
    </w:p>
    <w:p>
      <w:pPr>
        <w:widowControl/>
        <w:adjustRightInd w:val="0"/>
        <w:snapToGrid w:val="0"/>
        <w:spacing w:line="329" w:lineRule="auto"/>
        <w:rPr>
          <w:rFonts w:ascii="仿宋_GB2312" w:hAnsi="ˎ̥" w:eastAsia="仿宋_GB2312" w:cs="宋体"/>
          <w:color w:val="333333"/>
          <w:kern w:val="0"/>
          <w:sz w:val="30"/>
          <w:szCs w:val="30"/>
        </w:rPr>
      </w:pPr>
      <w:r>
        <w:rPr>
          <w:rFonts w:ascii="仿宋_GB2312" w:hAnsi="宋体" w:eastAsia="仿宋_GB2312" w:cs="宋体"/>
          <w:b/>
          <w:color w:val="333333"/>
          <w:kern w:val="0"/>
          <w:sz w:val="30"/>
          <w:szCs w:val="30"/>
        </w:rPr>
        <w:t>致：中国人民财产保险股份有限公司</w:t>
      </w:r>
      <w:r>
        <w:rPr>
          <w:rFonts w:hint="eastAsia" w:ascii="仿宋_GB2312" w:hAnsi="宋体" w:eastAsia="仿宋_GB2312" w:cs="宋体"/>
          <w:b/>
          <w:color w:val="333333"/>
          <w:kern w:val="0"/>
          <w:sz w:val="30"/>
          <w:szCs w:val="30"/>
          <w:lang w:eastAsia="zh-CN"/>
        </w:rPr>
        <w:t>湛江市</w:t>
      </w:r>
      <w:r>
        <w:rPr>
          <w:rFonts w:hint="eastAsia" w:ascii="仿宋_GB2312" w:hAnsi="宋体" w:eastAsia="仿宋_GB2312" w:cs="宋体"/>
          <w:b/>
          <w:color w:val="333333"/>
          <w:kern w:val="0"/>
          <w:sz w:val="30"/>
          <w:szCs w:val="30"/>
        </w:rPr>
        <w:t>分公司</w:t>
      </w:r>
    </w:p>
    <w:p>
      <w:pPr>
        <w:widowControl/>
        <w:adjustRightInd w:val="0"/>
        <w:snapToGri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一、_______________________(以下简称我方)认识到中国人民财产保险股份有限公司</w:t>
      </w:r>
      <w:r>
        <w:rPr>
          <w:rFonts w:hint="eastAsia" w:ascii="仿宋_GB2312" w:hAnsi="宋体" w:eastAsia="仿宋_GB2312" w:cs="宋体"/>
          <w:color w:val="333333"/>
          <w:kern w:val="0"/>
          <w:sz w:val="30"/>
          <w:szCs w:val="30"/>
          <w:lang w:eastAsia="zh-CN"/>
        </w:rPr>
        <w:t>湛江市</w:t>
      </w:r>
      <w:r>
        <w:rPr>
          <w:rFonts w:hint="eastAsia" w:ascii="仿宋_GB2312" w:hAnsi="宋体" w:eastAsia="仿宋_GB2312" w:cs="宋体"/>
          <w:color w:val="333333"/>
          <w:kern w:val="0"/>
          <w:sz w:val="30"/>
          <w:szCs w:val="30"/>
        </w:rPr>
        <w:t>分公司</w:t>
      </w:r>
      <w:r>
        <w:rPr>
          <w:rFonts w:ascii="仿宋_GB2312" w:hAnsi="宋体" w:eastAsia="仿宋_GB2312" w:cs="宋体"/>
          <w:color w:val="333333"/>
          <w:kern w:val="0"/>
          <w:sz w:val="30"/>
          <w:szCs w:val="30"/>
        </w:rPr>
        <w:t>采购（以下简称贵方）为企业采购，非政府采购。</w:t>
      </w:r>
    </w:p>
    <w:p>
      <w:pPr>
        <w:widowControl/>
        <w:adjustRightInd w:val="0"/>
        <w:snapToGri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二、我方承诺遵守贵方有关集中采购管理和供应商管理的相关规定、履行相应义务。</w:t>
      </w:r>
    </w:p>
    <w:p>
      <w:pPr>
        <w:widowControl/>
        <w:adjustRightInd w:val="0"/>
        <w:snapToGri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三、在采购过程中，我方将认真阅读贵方邀请文件，完全理解邀请文件的内容，并保证严格保密文件内容，不泄露贵方任何信息。</w:t>
      </w:r>
    </w:p>
    <w:p>
      <w:pPr>
        <w:widowControl/>
        <w:adjustRightInd w:val="0"/>
        <w:snapToGri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pPr>
        <w:widowControl/>
        <w:adjustRightInd w:val="0"/>
        <w:snapToGri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六、在采购过程中，我方承诺不做任何可能影响正当交易的行为。</w:t>
      </w:r>
    </w:p>
    <w:p>
      <w:pPr>
        <w:widowControl/>
        <w:adjustRightInd w:val="0"/>
        <w:snapToGri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八、如果我方（包括咨询顾问、董事、雇员、代理人和代表）违反或未履行本承诺与声明书下的任何规定、保证及陈述，我方将对因违反或未履行承诺书的规定而对贵方造成的直接损失进行赔偿。</w:t>
      </w:r>
    </w:p>
    <w:p>
      <w:pPr>
        <w:autoSpaceDE w:val="0"/>
        <w:autoSpaceDN w:val="0"/>
        <w:adjustRightIn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九、</w:t>
      </w:r>
      <w:r>
        <w:rPr>
          <w:rFonts w:hint="eastAsia" w:ascii="仿宋_GB2312" w:hAnsi="宋体" w:eastAsia="仿宋_GB2312" w:cs="宋体"/>
          <w:color w:val="333333"/>
          <w:kern w:val="0"/>
          <w:sz w:val="30"/>
          <w:szCs w:val="30"/>
        </w:rPr>
        <w:t>我方承诺不将本项目全部或部分工作分包或转包第三方承担。</w:t>
      </w:r>
    </w:p>
    <w:p>
      <w:pPr>
        <w:widowControl/>
        <w:adjustRightInd w:val="0"/>
        <w:snapToGrid w:val="0"/>
        <w:spacing w:line="329" w:lineRule="auto"/>
        <w:ind w:firstLine="600" w:firstLineChars="200"/>
        <w:rPr>
          <w:rFonts w:ascii="仿宋_GB2312" w:hAnsi="宋体" w:eastAsia="仿宋_GB2312" w:cs="宋体"/>
          <w:color w:val="333333"/>
          <w:kern w:val="0"/>
          <w:sz w:val="30"/>
          <w:szCs w:val="30"/>
        </w:rPr>
      </w:pPr>
      <w:r>
        <w:rPr>
          <w:rFonts w:hint="eastAsia" w:ascii="仿宋_GB2312" w:hAnsi="宋体" w:eastAsia="仿宋_GB2312" w:cs="宋体"/>
          <w:color w:val="333333"/>
          <w:kern w:val="0"/>
          <w:sz w:val="30"/>
          <w:szCs w:val="30"/>
        </w:rPr>
        <w:t>十</w:t>
      </w:r>
      <w:r>
        <w:rPr>
          <w:rFonts w:ascii="仿宋_GB2312" w:hAnsi="宋体" w:eastAsia="仿宋_GB2312" w:cs="宋体"/>
          <w:color w:val="333333"/>
          <w:kern w:val="0"/>
          <w:sz w:val="30"/>
          <w:szCs w:val="30"/>
        </w:rPr>
        <w:t>、采购过程中涉及函件往来的，请使用我方以下地址及联系方式：</w:t>
      </w:r>
    </w:p>
    <w:p>
      <w:pPr>
        <w:widowControl/>
        <w:adjustRightInd w:val="0"/>
        <w:snapToGrid w:val="0"/>
        <w:spacing w:line="329" w:lineRule="auto"/>
        <w:ind w:firstLine="600" w:firstLineChars="200"/>
        <w:jc w:val="left"/>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公司名称（全称、盖章）：________________</w:t>
      </w:r>
    </w:p>
    <w:p>
      <w:pPr>
        <w:widowControl/>
        <w:adjustRightInd w:val="0"/>
        <w:snapToGrid w:val="0"/>
        <w:spacing w:line="329" w:lineRule="auto"/>
        <w:ind w:right="640"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法定代表人姓名、职务：__________________</w:t>
      </w:r>
    </w:p>
    <w:p>
      <w:pPr>
        <w:widowControl/>
        <w:adjustRightInd w:val="0"/>
        <w:snapToGrid w:val="0"/>
        <w:spacing w:line="329" w:lineRule="auto"/>
        <w:ind w:right="640"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邮编：__________地址：__________________</w:t>
      </w:r>
    </w:p>
    <w:p>
      <w:pPr>
        <w:widowControl/>
        <w:adjustRightInd w:val="0"/>
        <w:snapToGrid w:val="0"/>
        <w:spacing w:line="329" w:lineRule="auto"/>
        <w:ind w:right="640"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电话：__________传真：__________________</w:t>
      </w:r>
    </w:p>
    <w:p>
      <w:pPr>
        <w:adjustRightInd w:val="0"/>
        <w:snapToGrid w:val="0"/>
        <w:spacing w:line="329" w:lineRule="auto"/>
        <w:ind w:firstLine="600" w:firstLineChars="200"/>
        <w:rPr>
          <w:rFonts w:ascii="仿宋_GB2312" w:hAnsi="宋体" w:eastAsia="仿宋_GB2312" w:cs="宋体"/>
          <w:color w:val="333333"/>
          <w:kern w:val="0"/>
          <w:sz w:val="30"/>
          <w:szCs w:val="30"/>
        </w:rPr>
      </w:pPr>
      <w:r>
        <w:rPr>
          <w:rFonts w:ascii="仿宋_GB2312" w:hAnsi="宋体" w:eastAsia="仿宋_GB2312" w:cs="宋体"/>
          <w:color w:val="333333"/>
          <w:kern w:val="0"/>
          <w:sz w:val="30"/>
          <w:szCs w:val="30"/>
        </w:rPr>
        <w:t>法定代表人或授权代表签字：______________</w:t>
      </w:r>
    </w:p>
    <w:p>
      <w:pPr>
        <w:adjustRightInd w:val="0"/>
        <w:snapToGrid w:val="0"/>
        <w:spacing w:line="329" w:lineRule="auto"/>
        <w:ind w:firstLine="600" w:firstLineChars="200"/>
        <w:rPr>
          <w:rFonts w:ascii="仿宋_GB2312" w:hAnsi="宋体" w:eastAsia="仿宋_GB2312" w:cs="宋体"/>
          <w:color w:val="333333"/>
          <w:kern w:val="0"/>
          <w:sz w:val="30"/>
          <w:szCs w:val="30"/>
        </w:rPr>
      </w:pPr>
    </w:p>
    <w:p>
      <w:pPr>
        <w:adjustRightInd w:val="0"/>
        <w:snapToGrid w:val="0"/>
        <w:spacing w:line="329" w:lineRule="auto"/>
        <w:ind w:firstLine="600" w:firstLineChars="200"/>
        <w:rPr>
          <w:rFonts w:ascii="仿宋_GB2312" w:hAnsi="宋体" w:eastAsia="仿宋_GB2312" w:cs="宋体"/>
          <w:color w:val="333333"/>
          <w:kern w:val="0"/>
          <w:sz w:val="30"/>
          <w:szCs w:val="30"/>
        </w:rPr>
      </w:pPr>
    </w:p>
    <w:p>
      <w:pPr>
        <w:adjustRightInd w:val="0"/>
        <w:snapToGrid w:val="0"/>
        <w:spacing w:line="329" w:lineRule="auto"/>
        <w:ind w:firstLine="600" w:firstLineChars="200"/>
        <w:rPr>
          <w:rFonts w:ascii="仿宋_GB2312" w:hAnsi="宋体" w:eastAsia="仿宋_GB2312" w:cs="宋体"/>
          <w:color w:val="333333"/>
          <w:kern w:val="0"/>
          <w:sz w:val="30"/>
          <w:szCs w:val="30"/>
        </w:rPr>
      </w:pPr>
    </w:p>
    <w:p>
      <w:pPr>
        <w:adjustRightInd w:val="0"/>
        <w:snapToGrid w:val="0"/>
        <w:spacing w:line="329" w:lineRule="auto"/>
        <w:ind w:firstLine="600" w:firstLineChars="200"/>
        <w:rPr>
          <w:rFonts w:ascii="仿宋_GB2312" w:hAnsi="宋体" w:eastAsia="仿宋_GB2312" w:cs="宋体"/>
          <w:color w:val="333333"/>
          <w:kern w:val="0"/>
          <w:sz w:val="30"/>
          <w:szCs w:val="30"/>
        </w:rPr>
      </w:pPr>
    </w:p>
    <w:p>
      <w:pPr>
        <w:adjustRightInd w:val="0"/>
        <w:snapToGrid w:val="0"/>
        <w:spacing w:line="329" w:lineRule="auto"/>
        <w:ind w:firstLine="600" w:firstLineChars="200"/>
        <w:rPr>
          <w:rFonts w:ascii="仿宋_GB2312" w:hAnsi="宋体" w:eastAsia="仿宋_GB2312" w:cs="宋体"/>
          <w:color w:val="333333"/>
          <w:kern w:val="0"/>
          <w:sz w:val="30"/>
          <w:szCs w:val="30"/>
        </w:rPr>
      </w:pPr>
    </w:p>
    <w:p>
      <w:pPr>
        <w:adjustRightInd w:val="0"/>
        <w:snapToGrid w:val="0"/>
        <w:spacing w:line="329" w:lineRule="auto"/>
        <w:ind w:firstLine="600" w:firstLineChars="200"/>
        <w:rPr>
          <w:rFonts w:ascii="仿宋_GB2312" w:hAnsi="宋体" w:eastAsia="仿宋_GB2312" w:cs="宋体"/>
          <w:color w:val="333333"/>
          <w:kern w:val="0"/>
          <w:sz w:val="30"/>
          <w:szCs w:val="30"/>
        </w:rPr>
      </w:pPr>
    </w:p>
    <w:p>
      <w:pPr>
        <w:adjustRightInd w:val="0"/>
        <w:snapToGrid w:val="0"/>
        <w:spacing w:line="329" w:lineRule="auto"/>
        <w:ind w:firstLine="600" w:firstLineChars="200"/>
        <w:rPr>
          <w:rFonts w:ascii="仿宋_GB2312" w:hAnsi="宋体" w:eastAsia="仿宋_GB2312" w:cs="宋体"/>
          <w:color w:val="333333"/>
          <w:kern w:val="0"/>
          <w:sz w:val="30"/>
          <w:szCs w:val="30"/>
        </w:rPr>
      </w:pPr>
    </w:p>
    <w:p>
      <w:pPr>
        <w:pStyle w:val="2"/>
        <w:keepNext/>
        <w:keepLines/>
        <w:pageBreakBefore w:val="0"/>
        <w:widowControl w:val="0"/>
        <w:kinsoku/>
        <w:wordWrap/>
        <w:overflowPunct/>
        <w:topLinePunct w:val="0"/>
        <w:autoSpaceDE/>
        <w:autoSpaceDN/>
        <w:bidi w:val="0"/>
        <w:adjustRightInd/>
        <w:snapToGrid/>
        <w:spacing w:line="329" w:lineRule="auto"/>
        <w:textAlignment w:val="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附件2：法定代表人授权委托书</w:t>
      </w:r>
    </w:p>
    <w:p>
      <w:pPr>
        <w:spacing w:line="42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法定代表人授权委托书</w:t>
      </w:r>
    </w:p>
    <w:p>
      <w:pPr>
        <w:spacing w:line="420" w:lineRule="exact"/>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728" w:firstLineChars="200"/>
        <w:textAlignment w:val="auto"/>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本人作为</w:t>
      </w:r>
      <w:r>
        <w:rPr>
          <w:rFonts w:hint="eastAsia" w:ascii="仿宋_GB2312" w:hAnsi="仿宋_GB2312" w:eastAsia="仿宋_GB2312" w:cs="仿宋_GB2312"/>
          <w:spacing w:val="32"/>
          <w:sz w:val="30"/>
          <w:szCs w:val="30"/>
          <w:u w:val="single"/>
        </w:rPr>
        <w:t xml:space="preserve">   （投标人名称）   </w:t>
      </w:r>
      <w:r>
        <w:rPr>
          <w:rFonts w:hint="eastAsia" w:ascii="仿宋_GB2312" w:hAnsi="仿宋_GB2312" w:eastAsia="仿宋_GB2312" w:cs="仿宋_GB2312"/>
          <w:spacing w:val="32"/>
          <w:sz w:val="30"/>
          <w:szCs w:val="30"/>
        </w:rPr>
        <w:t>的法定代表人，在此授权我企业的</w:t>
      </w:r>
      <w:r>
        <w:rPr>
          <w:rFonts w:hint="eastAsia" w:ascii="仿宋_GB2312" w:hAnsi="仿宋_GB2312" w:eastAsia="仿宋_GB2312" w:cs="仿宋_GB2312"/>
          <w:spacing w:val="32"/>
          <w:sz w:val="30"/>
          <w:szCs w:val="30"/>
          <w:u w:val="single"/>
        </w:rPr>
        <w:t xml:space="preserve">   </w:t>
      </w:r>
      <w:r>
        <w:rPr>
          <w:rFonts w:hint="eastAsia" w:ascii="仿宋_GB2312" w:hAnsi="仿宋_GB2312" w:eastAsia="仿宋_GB2312" w:cs="仿宋_GB2312"/>
          <w:spacing w:val="32"/>
          <w:sz w:val="30"/>
          <w:szCs w:val="30"/>
          <w:u w:val="single"/>
          <w:lang w:val="en-US" w:eastAsia="zh-CN"/>
        </w:rPr>
        <w:t xml:space="preserve">   </w:t>
      </w:r>
      <w:r>
        <w:rPr>
          <w:rFonts w:hint="eastAsia" w:ascii="仿宋_GB2312" w:hAnsi="仿宋_GB2312" w:eastAsia="仿宋_GB2312" w:cs="仿宋_GB2312"/>
          <w:spacing w:val="32"/>
          <w:sz w:val="30"/>
          <w:szCs w:val="30"/>
          <w:u w:val="single"/>
        </w:rPr>
        <w:t xml:space="preserve">   </w:t>
      </w:r>
      <w:r>
        <w:rPr>
          <w:rFonts w:hint="eastAsia" w:ascii="仿宋_GB2312" w:hAnsi="仿宋_GB2312" w:eastAsia="仿宋_GB2312" w:cs="仿宋_GB2312"/>
          <w:spacing w:val="32"/>
          <w:sz w:val="30"/>
          <w:szCs w:val="30"/>
        </w:rPr>
        <w:t xml:space="preserve">，作为我的合法的代理人，以我的名义并代表我企业全权处理               </w:t>
      </w:r>
      <w:r>
        <w:rPr>
          <w:rFonts w:hint="eastAsia" w:ascii="仿宋_GB2312" w:hAnsi="仿宋_GB2312" w:eastAsia="仿宋_GB2312" w:cs="仿宋_GB2312"/>
          <w:spacing w:val="32"/>
          <w:sz w:val="30"/>
          <w:szCs w:val="30"/>
          <w:u w:val="single"/>
        </w:rPr>
        <w:t xml:space="preserve">                                                                 （项目名称）</w:t>
      </w:r>
      <w:r>
        <w:rPr>
          <w:rFonts w:hint="eastAsia" w:ascii="仿宋_GB2312" w:hAnsi="仿宋_GB2312" w:eastAsia="仿宋_GB2312" w:cs="仿宋_GB2312"/>
          <w:spacing w:val="32"/>
          <w:sz w:val="30"/>
          <w:szCs w:val="30"/>
          <w:u w:val="single"/>
          <w:lang w:val="en-US" w:eastAsia="zh-CN"/>
        </w:rPr>
        <w:t xml:space="preserve">   </w:t>
      </w:r>
      <w:r>
        <w:rPr>
          <w:rFonts w:hint="eastAsia" w:ascii="仿宋_GB2312" w:hAnsi="仿宋_GB2312" w:eastAsia="仿宋_GB2312" w:cs="仿宋_GB2312"/>
          <w:spacing w:val="32"/>
          <w:sz w:val="30"/>
          <w:szCs w:val="30"/>
          <w:u w:val="single"/>
        </w:rPr>
        <w:t xml:space="preserve">  </w:t>
      </w:r>
      <w:r>
        <w:rPr>
          <w:rFonts w:hint="eastAsia" w:ascii="仿宋_GB2312" w:hAnsi="仿宋_GB2312" w:eastAsia="仿宋_GB2312" w:cs="仿宋_GB2312"/>
          <w:spacing w:val="32"/>
          <w:sz w:val="30"/>
          <w:szCs w:val="30"/>
        </w:rPr>
        <w:t>项目</w:t>
      </w:r>
      <w:r>
        <w:rPr>
          <w:rFonts w:hint="eastAsia" w:ascii="仿宋_GB2312" w:hAnsi="仿宋_GB2312" w:eastAsia="仿宋_GB2312" w:cs="仿宋_GB2312"/>
          <w:spacing w:val="32"/>
          <w:sz w:val="30"/>
          <w:szCs w:val="30"/>
          <w:lang w:eastAsia="zh-CN"/>
        </w:rPr>
        <w:t>竞争性磋商</w:t>
      </w:r>
      <w:r>
        <w:rPr>
          <w:rFonts w:hint="eastAsia" w:ascii="仿宋_GB2312" w:hAnsi="仿宋_GB2312" w:eastAsia="仿宋_GB2312" w:cs="仿宋_GB2312"/>
          <w:spacing w:val="32"/>
          <w:sz w:val="30"/>
          <w:szCs w:val="30"/>
        </w:rPr>
        <w:t>的以下事宜：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 xml:space="preserve">   1、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 xml:space="preserve">   2、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 xml:space="preserve">   3、                                                            </w:t>
      </w:r>
    </w:p>
    <w:p>
      <w:pPr>
        <w:keepNext w:val="0"/>
        <w:keepLines w:val="0"/>
        <w:pageBreakBefore w:val="0"/>
        <w:widowControl w:val="0"/>
        <w:kinsoku/>
        <w:wordWrap/>
        <w:overflowPunct/>
        <w:topLinePunct w:val="0"/>
        <w:autoSpaceDE/>
        <w:autoSpaceDN/>
        <w:bidi w:val="0"/>
        <w:adjustRightInd/>
        <w:snapToGrid/>
        <w:spacing w:line="560" w:lineRule="exact"/>
        <w:ind w:firstLine="728" w:firstLineChars="200"/>
        <w:textAlignment w:val="auto"/>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在此授权范围和期限内，被授权人所实施的行为具有法律效力，授权人予以认可。</w:t>
      </w:r>
    </w:p>
    <w:p>
      <w:pPr>
        <w:spacing w:line="420" w:lineRule="exact"/>
        <w:rPr>
          <w:rFonts w:hint="eastAsia" w:ascii="仿宋_GB2312" w:hAnsi="仿宋_GB2312" w:eastAsia="仿宋_GB2312" w:cs="仿宋_GB2312"/>
          <w:spacing w:val="32"/>
          <w:sz w:val="30"/>
          <w:szCs w:val="30"/>
        </w:rPr>
      </w:pPr>
    </w:p>
    <w:p>
      <w:pPr>
        <w:spacing w:line="420" w:lineRule="exact"/>
        <w:rPr>
          <w:rFonts w:hint="eastAsia" w:ascii="仿宋_GB2312" w:hAnsi="仿宋_GB2312" w:eastAsia="仿宋_GB2312" w:cs="仿宋_GB2312"/>
          <w:spacing w:val="32"/>
          <w:sz w:val="30"/>
          <w:szCs w:val="30"/>
        </w:rPr>
      </w:pPr>
    </w:p>
    <w:p>
      <w:pPr>
        <w:spacing w:line="420" w:lineRule="exact"/>
        <w:rPr>
          <w:rFonts w:hint="eastAsia" w:ascii="仿宋_GB2312" w:hAnsi="仿宋_GB2312" w:eastAsia="仿宋_GB2312" w:cs="仿宋_GB2312"/>
          <w:spacing w:val="32"/>
          <w:sz w:val="30"/>
          <w:szCs w:val="30"/>
        </w:rPr>
      </w:pPr>
    </w:p>
    <w:p>
      <w:pPr>
        <w:spacing w:line="420" w:lineRule="exact"/>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投标人名称：                  （盖章）</w:t>
      </w:r>
    </w:p>
    <w:p>
      <w:pPr>
        <w:spacing w:line="420" w:lineRule="exact"/>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 xml:space="preserve">                       </w:t>
      </w:r>
    </w:p>
    <w:p>
      <w:pPr>
        <w:spacing w:line="420" w:lineRule="exact"/>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 xml:space="preserve">                                                    </w:t>
      </w:r>
    </w:p>
    <w:p>
      <w:pPr>
        <w:spacing w:line="420" w:lineRule="exact"/>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 xml:space="preserve">法定代表人：   </w:t>
      </w:r>
    </w:p>
    <w:p>
      <w:pPr>
        <w:spacing w:line="420" w:lineRule="exact"/>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 xml:space="preserve">（盖章或签字）                     </w:t>
      </w:r>
    </w:p>
    <w:p>
      <w:pPr>
        <w:spacing w:line="420" w:lineRule="exact"/>
        <w:ind w:firstLine="9402" w:firstLineChars="2583"/>
        <w:rPr>
          <w:rFonts w:hint="eastAsia" w:ascii="仿宋_GB2312" w:hAnsi="仿宋_GB2312" w:eastAsia="仿宋_GB2312" w:cs="仿宋_GB2312"/>
          <w:spacing w:val="32"/>
          <w:sz w:val="30"/>
          <w:szCs w:val="30"/>
        </w:rPr>
      </w:pPr>
    </w:p>
    <w:p>
      <w:pPr>
        <w:spacing w:line="420" w:lineRule="exact"/>
        <w:ind w:firstLine="9402" w:firstLineChars="2583"/>
        <w:rPr>
          <w:rFonts w:hint="eastAsia" w:ascii="仿宋_GB2312" w:hAnsi="仿宋_GB2312" w:eastAsia="仿宋_GB2312" w:cs="仿宋_GB2312"/>
          <w:spacing w:val="32"/>
          <w:sz w:val="30"/>
          <w:szCs w:val="30"/>
        </w:rPr>
      </w:pPr>
    </w:p>
    <w:p>
      <w:pPr>
        <w:spacing w:line="420" w:lineRule="exact"/>
        <w:rPr>
          <w:rFonts w:hint="eastAsia" w:ascii="仿宋_GB2312" w:hAnsi="仿宋_GB2312" w:eastAsia="仿宋_GB2312" w:cs="仿宋_GB2312"/>
          <w:spacing w:val="32"/>
          <w:sz w:val="30"/>
          <w:szCs w:val="30"/>
        </w:rPr>
      </w:pPr>
    </w:p>
    <w:p>
      <w:pPr>
        <w:spacing w:line="420" w:lineRule="exact"/>
        <w:rPr>
          <w:rFonts w:hint="eastAsia" w:ascii="仿宋_GB2312" w:hAnsi="仿宋_GB2312" w:eastAsia="仿宋_GB2312" w:cs="仿宋_GB2312"/>
          <w:spacing w:val="32"/>
          <w:sz w:val="30"/>
          <w:szCs w:val="30"/>
        </w:rPr>
      </w:pPr>
    </w:p>
    <w:p>
      <w:pPr>
        <w:spacing w:line="420" w:lineRule="exact"/>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 xml:space="preserve"> 被授权代理人：                     </w:t>
      </w:r>
    </w:p>
    <w:p>
      <w:pPr>
        <w:spacing w:line="420" w:lineRule="exact"/>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（盖章或签字）</w:t>
      </w:r>
    </w:p>
    <w:p>
      <w:pPr>
        <w:spacing w:line="420" w:lineRule="exact"/>
        <w:rPr>
          <w:rFonts w:hint="eastAsia" w:ascii="仿宋_GB2312" w:hAnsi="仿宋_GB2312" w:eastAsia="仿宋_GB2312" w:cs="仿宋_GB2312"/>
          <w:spacing w:val="32"/>
          <w:sz w:val="30"/>
          <w:szCs w:val="30"/>
        </w:rPr>
      </w:pPr>
    </w:p>
    <w:p>
      <w:pPr>
        <w:spacing w:line="420" w:lineRule="exact"/>
        <w:rPr>
          <w:rFonts w:hint="eastAsia" w:ascii="仿宋_GB2312" w:hAnsi="仿宋_GB2312" w:eastAsia="仿宋_GB2312" w:cs="仿宋_GB2312"/>
          <w:spacing w:val="32"/>
          <w:sz w:val="30"/>
          <w:szCs w:val="30"/>
        </w:rPr>
      </w:pPr>
      <w:r>
        <w:rPr>
          <w:rFonts w:hint="eastAsia" w:ascii="仿宋_GB2312" w:hAnsi="仿宋_GB2312" w:eastAsia="仿宋_GB2312" w:cs="仿宋_GB2312"/>
          <w:spacing w:val="32"/>
          <w:sz w:val="30"/>
          <w:szCs w:val="30"/>
        </w:rPr>
        <w:t>日 期：    年    月    日</w:t>
      </w:r>
    </w:p>
    <w:p>
      <w:pPr>
        <w:pStyle w:val="2"/>
        <w:rPr>
          <w:rFonts w:hint="eastAsia" w:ascii="仿宋_GB2312" w:hAnsi="宋体" w:eastAsia="仿宋_GB2312"/>
          <w:sz w:val="30"/>
          <w:szCs w:val="30"/>
        </w:rPr>
      </w:pPr>
      <w:r>
        <w:rPr>
          <w:rFonts w:hint="eastAsia" w:ascii="仿宋" w:hAnsi="仿宋" w:eastAsia="仿宋" w:cs="仿宋"/>
          <w:sz w:val="30"/>
          <w:szCs w:val="30"/>
        </w:rPr>
        <w:t>附件3：报价表</w:t>
      </w:r>
      <w:r>
        <w:rPr>
          <w:rFonts w:hint="eastAsia" w:ascii="仿宋" w:hAnsi="仿宋" w:eastAsia="仿宋" w:cs="仿宋"/>
          <w:i/>
          <w:sz w:val="30"/>
          <w:szCs w:val="30"/>
        </w:rPr>
        <w:t>（供应商的所有报价均以人民币报价并为含税价）</w:t>
      </w:r>
    </w:p>
    <w:tbl>
      <w:tblPr>
        <w:tblStyle w:val="24"/>
        <w:tblW w:w="505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1492"/>
        <w:gridCol w:w="968"/>
        <w:gridCol w:w="1250"/>
        <w:gridCol w:w="1250"/>
        <w:gridCol w:w="1285"/>
        <w:gridCol w:w="1614"/>
        <w:gridCol w:w="13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8"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7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项目</w:t>
            </w:r>
          </w:p>
        </w:tc>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人员来源</w:t>
            </w:r>
          </w:p>
        </w:tc>
        <w:tc>
          <w:tcPr>
            <w:tcW w:w="6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管理费</w:t>
            </w:r>
          </w:p>
          <w:p>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（元/月）</w:t>
            </w:r>
          </w:p>
        </w:tc>
        <w:tc>
          <w:tcPr>
            <w:tcW w:w="6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残疾人保障金</w:t>
            </w: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经济补偿金</w:t>
            </w:r>
          </w:p>
        </w:tc>
        <w:tc>
          <w:tcPr>
            <w:tcW w:w="80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其他费用-请自行注明</w:t>
            </w:r>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3"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1</w:t>
            </w:r>
          </w:p>
        </w:tc>
        <w:tc>
          <w:tcPr>
            <w:tcW w:w="7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人保财险广东湛江农险、农网及V盟团队劳务服务采购项目</w:t>
            </w:r>
          </w:p>
        </w:tc>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自招/转入</w:t>
            </w:r>
          </w:p>
        </w:tc>
        <w:tc>
          <w:tcPr>
            <w:tcW w:w="62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p>
        </w:tc>
        <w:tc>
          <w:tcPr>
            <w:tcW w:w="62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p>
        </w:tc>
        <w:tc>
          <w:tcPr>
            <w:tcW w:w="8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lang w:eastAsia="zh-CN"/>
              </w:rPr>
            </w:pPr>
            <w:r>
              <w:rPr>
                <w:rFonts w:hint="eastAsia" w:ascii="仿宋" w:hAnsi="仿宋" w:eastAsia="仿宋" w:cs="仿宋"/>
                <w:b/>
                <w:bCs/>
                <w:i w:val="0"/>
                <w:iCs w:val="0"/>
                <w:color w:val="000000"/>
                <w:sz w:val="24"/>
                <w:szCs w:val="24"/>
                <w:u w:val="none"/>
              </w:rPr>
              <w:t>劳务外包人员薪酬和五险一金</w:t>
            </w:r>
            <w:r>
              <w:rPr>
                <w:rFonts w:hint="eastAsia" w:ascii="仿宋" w:hAnsi="仿宋" w:eastAsia="仿宋" w:cs="仿宋"/>
                <w:b/>
                <w:bCs/>
                <w:i w:val="0"/>
                <w:iCs w:val="0"/>
                <w:color w:val="000000"/>
                <w:sz w:val="24"/>
                <w:szCs w:val="24"/>
                <w:u w:val="none"/>
                <w:lang w:eastAsia="zh-CN"/>
              </w:rPr>
              <w:t>，最终以实际结算为准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6"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合计</w:t>
            </w:r>
          </w:p>
        </w:tc>
        <w:tc>
          <w:tcPr>
            <w:tcW w:w="7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人保财险广东湛江农险、农网及V盟团队劳务服务采购项目</w:t>
            </w:r>
          </w:p>
        </w:tc>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自招/转入</w:t>
            </w:r>
          </w:p>
        </w:tc>
        <w:tc>
          <w:tcPr>
            <w:tcW w:w="62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p>
        </w:tc>
        <w:tc>
          <w:tcPr>
            <w:tcW w:w="62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p>
        </w:tc>
        <w:tc>
          <w:tcPr>
            <w:tcW w:w="8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t>劳务外包人员薪酬和五险一金</w:t>
            </w:r>
            <w:r>
              <w:rPr>
                <w:rFonts w:hint="eastAsia" w:ascii="仿宋" w:hAnsi="仿宋" w:eastAsia="仿宋" w:cs="仿宋"/>
                <w:b/>
                <w:bCs/>
                <w:i w:val="0"/>
                <w:iCs w:val="0"/>
                <w:color w:val="000000"/>
                <w:sz w:val="24"/>
                <w:szCs w:val="24"/>
                <w:u w:val="none"/>
                <w:lang w:eastAsia="zh-CN"/>
              </w:rPr>
              <w:t>，最终以实际结算为准</w:t>
            </w:r>
          </w:p>
        </w:tc>
      </w:tr>
    </w:tbl>
    <w:p>
      <w:pPr>
        <w:spacing w:line="360" w:lineRule="auto"/>
        <w:jc w:val="left"/>
        <w:rPr>
          <w:rFonts w:hint="eastAsia" w:ascii="仿宋_GB2312" w:hAnsi="宋体" w:eastAsia="仿宋_GB2312"/>
          <w:sz w:val="30"/>
          <w:szCs w:val="30"/>
        </w:rPr>
      </w:pPr>
    </w:p>
    <w:p>
      <w:pPr>
        <w:spacing w:line="360" w:lineRule="auto"/>
        <w:jc w:val="left"/>
        <w:rPr>
          <w:rFonts w:ascii="仿宋_GB2312" w:hAnsi="宋体" w:eastAsia="仿宋_GB2312"/>
          <w:sz w:val="30"/>
          <w:szCs w:val="30"/>
        </w:rPr>
      </w:pPr>
      <w:r>
        <w:rPr>
          <w:rFonts w:hint="eastAsia" w:ascii="仿宋_GB2312" w:hAnsi="宋体" w:eastAsia="仿宋_GB2312"/>
          <w:sz w:val="30"/>
          <w:szCs w:val="30"/>
        </w:rPr>
        <w:t>备注：</w:t>
      </w:r>
    </w:p>
    <w:p>
      <w:pPr>
        <w:spacing w:line="360" w:lineRule="auto"/>
        <w:jc w:val="left"/>
        <w:rPr>
          <w:rFonts w:ascii="仿宋_GB2312" w:hAnsi="宋体" w:eastAsia="仿宋_GB2312"/>
          <w:sz w:val="30"/>
          <w:szCs w:val="30"/>
        </w:rPr>
      </w:pPr>
      <w:r>
        <w:rPr>
          <w:rFonts w:hint="eastAsia" w:ascii="仿宋_GB2312" w:hAnsi="宋体" w:eastAsia="仿宋_GB2312"/>
          <w:sz w:val="30"/>
          <w:szCs w:val="30"/>
        </w:rPr>
        <w:t>1、备注栏可说明在报价基础上其他可给予的优惠等内容。</w:t>
      </w:r>
    </w:p>
    <w:p>
      <w:pPr>
        <w:spacing w:line="360" w:lineRule="auto"/>
        <w:jc w:val="left"/>
        <w:rPr>
          <w:rFonts w:ascii="仿宋_GB2312" w:hAnsi="宋体" w:eastAsia="仿宋_GB2312"/>
          <w:sz w:val="30"/>
          <w:szCs w:val="30"/>
        </w:rPr>
      </w:pPr>
      <w:r>
        <w:rPr>
          <w:rFonts w:hint="eastAsia" w:ascii="仿宋_GB2312" w:hAnsi="宋体" w:eastAsia="仿宋_GB2312"/>
          <w:sz w:val="30"/>
          <w:szCs w:val="30"/>
        </w:rPr>
        <w:t>2、如果表格叙述不下，可另附页说明，加盖骑缝章，但要便于组织人查阅。</w:t>
      </w:r>
    </w:p>
    <w:p>
      <w:pPr>
        <w:spacing w:line="360" w:lineRule="auto"/>
        <w:jc w:val="left"/>
        <w:rPr>
          <w:rFonts w:ascii="仿宋_GB2312" w:hAnsi="宋体" w:eastAsia="仿宋_GB2312"/>
          <w:sz w:val="30"/>
          <w:szCs w:val="30"/>
        </w:rPr>
      </w:pPr>
      <w:r>
        <w:rPr>
          <w:rFonts w:hint="eastAsia" w:ascii="仿宋_GB2312" w:hAnsi="宋体" w:eastAsia="仿宋_GB2312"/>
          <w:sz w:val="30"/>
          <w:szCs w:val="30"/>
        </w:rPr>
        <w:t>3、响应性文件中应含此表，同时应单独准备一份与响应性文件正本一同递交。</w:t>
      </w:r>
    </w:p>
    <w:p>
      <w:pPr>
        <w:pBdr>
          <w:bottom w:val="single" w:color="auto" w:sz="6" w:space="11"/>
        </w:pBdr>
        <w:tabs>
          <w:tab w:val="center" w:pos="4153"/>
          <w:tab w:val="right" w:pos="8306"/>
        </w:tabs>
        <w:adjustRightInd w:val="0"/>
        <w:snapToGrid w:val="0"/>
        <w:spacing w:line="360" w:lineRule="auto"/>
        <w:jc w:val="center"/>
        <w:textAlignment w:val="baseline"/>
        <w:rPr>
          <w:rFonts w:ascii="仿宋_GB2312" w:hAnsi="Times New Roman" w:eastAsia="仿宋_GB2312" w:cs="Times New Roman"/>
          <w:b/>
          <w:kern w:val="0"/>
          <w:sz w:val="30"/>
          <w:szCs w:val="30"/>
        </w:rPr>
      </w:pPr>
    </w:p>
    <w:p>
      <w:pPr>
        <w:spacing w:line="360" w:lineRule="auto"/>
        <w:jc w:val="left"/>
        <w:rPr>
          <w:rFonts w:ascii="仿宋_GB2312" w:hAnsi="宋体" w:eastAsia="仿宋_GB2312" w:cs="Times New Roman"/>
          <w:sz w:val="30"/>
          <w:szCs w:val="30"/>
        </w:rPr>
      </w:pPr>
      <w:r>
        <w:rPr>
          <w:rFonts w:hint="eastAsia" w:ascii="仿宋_GB2312" w:hAnsi="宋体" w:eastAsia="仿宋_GB2312" w:cs="Times New Roman"/>
          <w:sz w:val="30"/>
          <w:szCs w:val="30"/>
        </w:rPr>
        <w:t>单位（盖章）：</w:t>
      </w:r>
    </w:p>
    <w:p>
      <w:pPr>
        <w:spacing w:line="360" w:lineRule="auto"/>
        <w:jc w:val="left"/>
        <w:rPr>
          <w:rFonts w:ascii="仿宋_GB2312" w:hAnsi="Times New Roman" w:eastAsia="仿宋_GB2312" w:cs="Times New Roman"/>
          <w:sz w:val="30"/>
          <w:szCs w:val="30"/>
        </w:rPr>
      </w:pPr>
      <w:r>
        <w:rPr>
          <w:rFonts w:hint="eastAsia" w:ascii="仿宋_GB2312" w:hAnsi="宋体" w:eastAsia="仿宋_GB2312" w:cs="Times New Roman"/>
          <w:sz w:val="30"/>
          <w:szCs w:val="30"/>
        </w:rPr>
        <w:t>法定代表人（或法定代表人授权委托人）：</w:t>
      </w:r>
      <w:r>
        <w:rPr>
          <w:rFonts w:hint="eastAsia" w:ascii="仿宋_GB2312" w:hAnsi="Times New Roman" w:eastAsia="仿宋_GB2312" w:cs="Times New Roman"/>
          <w:sz w:val="30"/>
          <w:szCs w:val="30"/>
        </w:rPr>
        <w:t xml:space="preserve"> （</w:t>
      </w:r>
      <w:r>
        <w:rPr>
          <w:rFonts w:hint="eastAsia" w:ascii="仿宋_GB2312" w:hAnsi="宋体" w:eastAsia="仿宋_GB2312" w:cs="Times New Roman"/>
          <w:sz w:val="30"/>
          <w:szCs w:val="30"/>
        </w:rPr>
        <w:t>签字或盖章</w:t>
      </w:r>
      <w:r>
        <w:rPr>
          <w:rFonts w:hint="eastAsia" w:ascii="仿宋_GB2312" w:hAnsi="Times New Roman" w:eastAsia="仿宋_GB2312" w:cs="Times New Roman"/>
          <w:sz w:val="30"/>
          <w:szCs w:val="30"/>
        </w:rPr>
        <w:t>）</w:t>
      </w:r>
    </w:p>
    <w:p>
      <w:pPr>
        <w:jc w:val="left"/>
        <w:rPr>
          <w:rFonts w:hint="eastAsia" w:ascii="仿宋" w:hAnsi="仿宋" w:eastAsia="仿宋" w:cs="仿宋"/>
          <w:b/>
          <w:bCs/>
          <w:kern w:val="44"/>
          <w:sz w:val="30"/>
          <w:szCs w:val="30"/>
          <w:lang w:val="en-US" w:eastAsia="zh-CN"/>
        </w:rPr>
      </w:pPr>
    </w:p>
    <w:p>
      <w:pPr>
        <w:jc w:val="left"/>
        <w:rPr>
          <w:rFonts w:hint="eastAsia" w:ascii="仿宋" w:hAnsi="仿宋" w:eastAsia="仿宋" w:cs="仿宋"/>
          <w:b/>
          <w:bCs/>
          <w:kern w:val="44"/>
          <w:sz w:val="30"/>
          <w:szCs w:val="30"/>
          <w:lang w:val="en-US" w:eastAsia="zh-CN"/>
        </w:rPr>
      </w:pPr>
    </w:p>
    <w:p>
      <w:pPr>
        <w:jc w:val="left"/>
        <w:rPr>
          <w:rFonts w:hint="eastAsia" w:ascii="仿宋" w:hAnsi="仿宋" w:eastAsia="仿宋" w:cs="仿宋"/>
          <w:b/>
          <w:bCs/>
          <w:kern w:val="44"/>
          <w:sz w:val="30"/>
          <w:szCs w:val="30"/>
          <w:lang w:val="en-US" w:eastAsia="zh-CN"/>
        </w:rPr>
      </w:pPr>
    </w:p>
    <w:p>
      <w:pPr>
        <w:pStyle w:val="2"/>
        <w:keepNext/>
        <w:keepLines/>
        <w:pageBreakBefore w:val="0"/>
        <w:widowControl w:val="0"/>
        <w:kinsoku/>
        <w:wordWrap/>
        <w:overflowPunct/>
        <w:topLinePunct w:val="0"/>
        <w:autoSpaceDE/>
        <w:autoSpaceDN/>
        <w:bidi w:val="0"/>
        <w:adjustRightInd/>
        <w:snapToGrid/>
        <w:spacing w:line="329" w:lineRule="auto"/>
        <w:textAlignment w:val="auto"/>
        <w:rPr>
          <w:rFonts w:hint="eastAsia" w:asciiTheme="majorEastAsia" w:hAnsiTheme="majorEastAsia" w:eastAsiaTheme="majorEastAsia"/>
          <w:sz w:val="32"/>
          <w:szCs w:val="32"/>
          <w:lang w:val="en-US" w:eastAsia="zh-CN"/>
        </w:rPr>
      </w:pPr>
      <w:r>
        <w:rPr>
          <w:rFonts w:hint="eastAsia" w:asciiTheme="majorEastAsia" w:hAnsiTheme="majorEastAsia" w:eastAsiaTheme="majorEastAsia"/>
          <w:sz w:val="32"/>
          <w:szCs w:val="32"/>
          <w:lang w:val="en-US" w:eastAsia="zh-CN"/>
        </w:rPr>
        <w:t>附件4：评审标准</w:t>
      </w:r>
    </w:p>
    <w:p>
      <w:pPr>
        <w:jc w:val="left"/>
        <w:rPr>
          <w:rFonts w:hint="eastAsia" w:ascii="仿宋" w:hAnsi="仿宋" w:eastAsia="仿宋" w:cs="仿宋"/>
          <w:b/>
          <w:bCs/>
          <w:kern w:val="44"/>
          <w:sz w:val="30"/>
          <w:szCs w:val="30"/>
          <w:lang w:val="en-US" w:eastAsia="zh-CN"/>
        </w:rPr>
      </w:pPr>
    </w:p>
    <w:p>
      <w:pPr>
        <w:widowControl/>
        <w:adjustRightInd w:val="0"/>
        <w:snapToGrid w:val="0"/>
        <w:spacing w:line="360" w:lineRule="auto"/>
        <w:ind w:firstLine="480"/>
        <w:rPr>
          <w:rFonts w:hint="eastAsia" w:ascii="仿宋" w:hAnsi="仿宋" w:eastAsia="仿宋" w:cs="仿宋"/>
          <w:b/>
          <w:color w:val="000000" w:themeColor="text1"/>
          <w:kern w:val="0"/>
          <w:sz w:val="30"/>
          <w:szCs w:val="30"/>
          <w14:textFill>
            <w14:solidFill>
              <w14:schemeClr w14:val="tx1"/>
            </w14:solidFill>
          </w14:textFill>
        </w:rPr>
      </w:pPr>
      <w:r>
        <w:rPr>
          <w:rFonts w:hint="eastAsia" w:ascii="仿宋" w:hAnsi="仿宋" w:eastAsia="仿宋" w:cs="仿宋"/>
          <w:color w:val="000000" w:themeColor="text1"/>
          <w:kern w:val="0"/>
          <w:sz w:val="30"/>
          <w:szCs w:val="30"/>
          <w14:textFill>
            <w14:solidFill>
              <w14:schemeClr w14:val="tx1"/>
            </w14:solidFill>
          </w14:textFill>
        </w:rPr>
        <w:t>采购评审标准由项目</w:t>
      </w:r>
      <w:r>
        <w:rPr>
          <w:rFonts w:hint="eastAsia" w:ascii="仿宋" w:hAnsi="仿宋" w:eastAsia="仿宋" w:cs="仿宋"/>
          <w:color w:val="FF0000"/>
          <w:kern w:val="0"/>
          <w:sz w:val="30"/>
          <w:szCs w:val="30"/>
        </w:rPr>
        <w:t>最终报价、</w:t>
      </w:r>
      <w:r>
        <w:rPr>
          <w:rFonts w:hint="eastAsia" w:ascii="仿宋" w:hAnsi="仿宋" w:eastAsia="仿宋" w:cs="仿宋"/>
          <w:color w:val="FF0000"/>
          <w:kern w:val="0"/>
          <w:sz w:val="30"/>
          <w:szCs w:val="30"/>
          <w:lang w:val="en-US" w:eastAsia="zh-CN"/>
        </w:rPr>
        <w:t>管理水平</w:t>
      </w:r>
      <w:r>
        <w:rPr>
          <w:rFonts w:hint="eastAsia" w:ascii="仿宋" w:hAnsi="仿宋" w:eastAsia="仿宋" w:cs="仿宋"/>
          <w:color w:val="FF0000"/>
          <w:kern w:val="0"/>
          <w:sz w:val="30"/>
          <w:szCs w:val="30"/>
        </w:rPr>
        <w:t>和服务水平三项标准</w:t>
      </w:r>
      <w:r>
        <w:rPr>
          <w:rFonts w:hint="eastAsia" w:ascii="仿宋" w:hAnsi="仿宋" w:eastAsia="仿宋" w:cs="仿宋"/>
          <w:color w:val="000000" w:themeColor="text1"/>
          <w:kern w:val="0"/>
          <w:sz w:val="30"/>
          <w:szCs w:val="30"/>
          <w14:textFill>
            <w14:solidFill>
              <w14:schemeClr w14:val="tx1"/>
            </w14:solidFill>
          </w14:textFill>
        </w:rPr>
        <w:t>构成，评审专家将依据磋商邀请文件要求，结合项目</w:t>
      </w:r>
      <w:r>
        <w:rPr>
          <w:rFonts w:hint="eastAsia" w:ascii="仿宋" w:hAnsi="仿宋" w:eastAsia="仿宋" w:cs="仿宋"/>
          <w:color w:val="FF0000"/>
          <w:kern w:val="0"/>
          <w:sz w:val="30"/>
          <w:szCs w:val="30"/>
        </w:rPr>
        <w:t>最终报价表、</w:t>
      </w:r>
      <w:r>
        <w:rPr>
          <w:rFonts w:hint="eastAsia" w:ascii="仿宋" w:hAnsi="仿宋" w:eastAsia="仿宋" w:cs="仿宋"/>
          <w:color w:val="FF0000"/>
          <w:kern w:val="0"/>
          <w:sz w:val="30"/>
          <w:szCs w:val="30"/>
          <w:lang w:val="en-US" w:eastAsia="zh-CN"/>
        </w:rPr>
        <w:t>管理水平</w:t>
      </w:r>
      <w:r>
        <w:rPr>
          <w:rFonts w:hint="eastAsia" w:ascii="仿宋" w:hAnsi="仿宋" w:eastAsia="仿宋" w:cs="仿宋"/>
          <w:color w:val="FF0000"/>
          <w:kern w:val="0"/>
          <w:sz w:val="30"/>
          <w:szCs w:val="30"/>
        </w:rPr>
        <w:t>、服务方案等情况</w:t>
      </w:r>
      <w:r>
        <w:rPr>
          <w:rFonts w:hint="eastAsia" w:ascii="仿宋" w:hAnsi="仿宋" w:eastAsia="仿宋" w:cs="仿宋"/>
          <w:color w:val="000000" w:themeColor="text1"/>
          <w:kern w:val="0"/>
          <w:sz w:val="30"/>
          <w:szCs w:val="30"/>
          <w14:textFill>
            <w14:solidFill>
              <w14:schemeClr w14:val="tx1"/>
            </w14:solidFill>
          </w14:textFill>
        </w:rPr>
        <w:t>进行评分。各有效供应商的综合得分为各评审专家所评分值的算术平均值，若总得分相同，以价格得分高者排序在先。</w:t>
      </w:r>
      <w:r>
        <w:rPr>
          <w:rFonts w:hint="eastAsia" w:ascii="仿宋" w:hAnsi="仿宋" w:eastAsia="仿宋" w:cs="仿宋"/>
          <w:b/>
          <w:color w:val="000000" w:themeColor="text1"/>
          <w:kern w:val="0"/>
          <w:sz w:val="30"/>
          <w:szCs w:val="30"/>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仿宋" w:hAnsi="仿宋" w:eastAsia="仿宋" w:cs="仿宋"/>
          <w:color w:val="000000" w:themeColor="text1"/>
          <w:kern w:val="0"/>
          <w:sz w:val="30"/>
          <w:szCs w:val="30"/>
          <w14:textFill>
            <w14:solidFill>
              <w14:schemeClr w14:val="tx1"/>
            </w14:solidFill>
          </w14:textFill>
        </w:rPr>
      </w:pPr>
      <w:r>
        <w:rPr>
          <w:rFonts w:hint="eastAsia" w:ascii="仿宋" w:hAnsi="仿宋" w:eastAsia="仿宋" w:cs="仿宋"/>
          <w:color w:val="000000" w:themeColor="text1"/>
          <w:kern w:val="0"/>
          <w:sz w:val="30"/>
          <w:szCs w:val="30"/>
          <w14:textFill>
            <w14:solidFill>
              <w14:schemeClr w14:val="tx1"/>
            </w14:solidFill>
          </w14:textFill>
        </w:rPr>
        <w:t>评审标准如下：</w:t>
      </w:r>
    </w:p>
    <w:tbl>
      <w:tblPr>
        <w:tblStyle w:val="24"/>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blHeader/>
          <w:jc w:val="center"/>
        </w:trPr>
        <w:tc>
          <w:tcPr>
            <w:tcW w:w="1323"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14:textFill>
                  <w14:solidFill>
                    <w14:schemeClr w14:val="tx1"/>
                  </w14:solidFill>
                </w14:textFill>
              </w:rPr>
              <w:t>项 目</w:t>
            </w:r>
          </w:p>
        </w:tc>
        <w:tc>
          <w:tcPr>
            <w:tcW w:w="6454"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u w:color="FF0000"/>
                <w14:textFill>
                  <w14:solidFill>
                    <w14:schemeClr w14:val="tx1"/>
                  </w14:solidFill>
                </w14:textFill>
              </w:rPr>
              <w:t>评分内容</w:t>
            </w:r>
          </w:p>
        </w:tc>
        <w:tc>
          <w:tcPr>
            <w:tcW w:w="992"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769" w:type="dxa"/>
            <w:gridSpan w:val="3"/>
            <w:vAlign w:val="center"/>
          </w:tcPr>
          <w:p>
            <w:pPr>
              <w:widowControl/>
              <w:spacing w:line="320" w:lineRule="exact"/>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5" w:hRule="atLeast"/>
          <w:jc w:val="center"/>
        </w:trPr>
        <w:tc>
          <w:tcPr>
            <w:tcW w:w="1323" w:type="dxa"/>
            <w:vAlign w:val="center"/>
          </w:tcPr>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价格得分（50）</w:t>
            </w:r>
          </w:p>
        </w:tc>
        <w:tc>
          <w:tcPr>
            <w:tcW w:w="6454" w:type="dxa"/>
            <w:vAlign w:val="center"/>
          </w:tcPr>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评分法中的价格分采用低价优先法计算，即满足招标文件要求且最低的评审价格为评标基准价，对预算单价、供应商投标价格与基准价进行比较，按照下列方式计算，精确到小数点后两位：</w:t>
            </w:r>
          </w:p>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1.投标价格高于预算单价的（即投标价＞100元/人/月），得0分；</w:t>
            </w:r>
          </w:p>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2.投标价格等于预算单价的（即投标价=100元/人/月），得30分；</w:t>
            </w:r>
          </w:p>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3.投标价格低于预算单价的（即投标价＜100元/人/月），按照下列公式计算，精确到小数点后两位：</w:t>
            </w:r>
          </w:p>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供应商报价得分＝30+（基准价/投标价）×20；</w:t>
            </w:r>
          </w:p>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评审价格按照如下方式定义：评审价格是含税的投标总价。</w:t>
            </w:r>
          </w:p>
        </w:tc>
        <w:tc>
          <w:tcPr>
            <w:tcW w:w="992" w:type="dxa"/>
            <w:vAlign w:val="center"/>
          </w:tcPr>
          <w:p>
            <w:pPr>
              <w:numPr>
                <w:ilvl w:val="0"/>
                <w:numId w:val="0"/>
              </w:numPr>
              <w:spacing w:line="320" w:lineRule="exact"/>
              <w:ind w:leftChars="0"/>
              <w:rPr>
                <w:rFonts w:hint="default"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769" w:type="dxa"/>
            <w:gridSpan w:val="3"/>
            <w:vAlign w:val="center"/>
          </w:tcPr>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1323" w:type="dxa"/>
            <w:vMerge w:val="restart"/>
            <w:shd w:val="clear" w:color="auto" w:fill="auto"/>
            <w:vAlign w:val="center"/>
          </w:tcPr>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管理水平得分</w:t>
            </w:r>
          </w:p>
          <w:p>
            <w:pPr>
              <w:numPr>
                <w:ilvl w:val="0"/>
                <w:numId w:val="0"/>
              </w:numPr>
              <w:spacing w:line="320" w:lineRule="exact"/>
              <w:ind w:leftChars="0"/>
              <w:rPr>
                <w:rFonts w:hint="default"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（40）</w:t>
            </w:r>
          </w:p>
        </w:tc>
        <w:tc>
          <w:tcPr>
            <w:tcW w:w="6454" w:type="dxa"/>
            <w:vAlign w:val="center"/>
          </w:tcPr>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外包机构与外包人员建立规范劳动关系：外包机构提供从业劳动者与外包机构签订的劳动合同复印件或者社保缴纳证明，提供一人得1分，最高得10分；</w:t>
            </w:r>
          </w:p>
        </w:tc>
        <w:tc>
          <w:tcPr>
            <w:tcW w:w="992" w:type="dxa"/>
            <w:vAlign w:val="center"/>
          </w:tcPr>
          <w:p>
            <w:pPr>
              <w:numPr>
                <w:ilvl w:val="0"/>
                <w:numId w:val="0"/>
              </w:numPr>
              <w:spacing w:line="320" w:lineRule="exact"/>
              <w:ind w:leftChars="0"/>
              <w:rPr>
                <w:rFonts w:hint="default"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3" w:type="dxa"/>
            <w:vMerge w:val="continue"/>
            <w:shd w:val="clear" w:color="auto" w:fill="auto"/>
            <w:vAlign w:val="center"/>
          </w:tcPr>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p>
        </w:tc>
        <w:tc>
          <w:tcPr>
            <w:tcW w:w="6454" w:type="dxa"/>
            <w:vAlign w:val="center"/>
          </w:tcPr>
          <w:p>
            <w:pPr>
              <w:numPr>
                <w:ilvl w:val="0"/>
                <w:numId w:val="0"/>
              </w:numPr>
              <w:spacing w:line="320" w:lineRule="exact"/>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外包机构做好外包人员招聘工作：外包机构提供完整、成体系的招聘制度、招聘方案、招聘计划和招聘渠道等，根据供应商的情况横向对比，赋分范围为0-10分。</w:t>
            </w:r>
          </w:p>
          <w:p>
            <w:pPr>
              <w:numPr>
                <w:ilvl w:val="0"/>
                <w:numId w:val="0"/>
              </w:numPr>
              <w:spacing w:line="320" w:lineRule="exact"/>
              <w:rPr>
                <w:rFonts w:hint="default"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①招聘制度、招聘方案、招聘计划和招聘渠道</w:t>
            </w:r>
            <w:r>
              <w:rPr>
                <w:rFonts w:hint="eastAsia" w:ascii="仿宋_GB2312" w:hAnsi="仿宋_GB2312" w:eastAsia="仿宋_GB2312" w:cs="仿宋_GB2312"/>
                <w:color w:val="000000" w:themeColor="text1"/>
                <w:kern w:val="0"/>
                <w:sz w:val="28"/>
                <w:szCs w:val="28"/>
                <w:lang w:eastAsia="zh-CN"/>
                <w14:textFill>
                  <w14:solidFill>
                    <w14:schemeClr w14:val="tx1"/>
                  </w14:solidFill>
                </w14:textFill>
              </w:rPr>
              <w:t>完善，得</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9-10分。</w:t>
            </w:r>
          </w:p>
          <w:p>
            <w:pPr>
              <w:numPr>
                <w:ilvl w:val="0"/>
                <w:numId w:val="0"/>
              </w:numPr>
              <w:spacing w:line="320" w:lineRule="exact"/>
              <w:rPr>
                <w:rFonts w:hint="eastAsia" w:ascii="仿宋_GB2312" w:hAnsi="仿宋_GB2312" w:eastAsia="仿宋_GB2312" w:cs="仿宋_GB2312"/>
                <w:color w:val="000000" w:themeColor="text1"/>
                <w:kern w:val="0"/>
                <w:sz w:val="28"/>
                <w:szCs w:val="28"/>
                <w:lang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②招聘制度、招聘方案、招聘计划和招聘渠道</w:t>
            </w:r>
            <w:r>
              <w:rPr>
                <w:rFonts w:hint="eastAsia" w:ascii="仿宋_GB2312" w:hAnsi="仿宋_GB2312" w:eastAsia="仿宋_GB2312" w:cs="仿宋_GB2312"/>
                <w:color w:val="000000" w:themeColor="text1"/>
                <w:kern w:val="0"/>
                <w:sz w:val="28"/>
                <w:szCs w:val="28"/>
                <w:lang w:eastAsia="zh-CN"/>
                <w14:textFill>
                  <w14:solidFill>
                    <w14:schemeClr w14:val="tx1"/>
                  </w14:solidFill>
                </w14:textFill>
              </w:rPr>
              <w:t>比较完善，得</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7-8分。</w:t>
            </w:r>
          </w:p>
          <w:p>
            <w:pPr>
              <w:numPr>
                <w:ilvl w:val="0"/>
                <w:numId w:val="0"/>
              </w:numPr>
              <w:spacing w:line="320" w:lineRule="exact"/>
              <w:rPr>
                <w:rFonts w:hint="default"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③招聘制度、招聘方案、招聘计划和招聘渠道</w:t>
            </w:r>
            <w:r>
              <w:rPr>
                <w:rFonts w:hint="eastAsia" w:ascii="仿宋_GB2312" w:hAnsi="仿宋_GB2312" w:eastAsia="仿宋_GB2312" w:cs="仿宋_GB2312"/>
                <w:color w:val="000000" w:themeColor="text1"/>
                <w:kern w:val="0"/>
                <w:sz w:val="28"/>
                <w:szCs w:val="28"/>
                <w:lang w:eastAsia="zh-CN"/>
                <w14:textFill>
                  <w14:solidFill>
                    <w14:schemeClr w14:val="tx1"/>
                  </w14:solidFill>
                </w14:textFill>
              </w:rPr>
              <w:t>一般，得</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4-6分。</w:t>
            </w:r>
          </w:p>
          <w:p>
            <w:pPr>
              <w:numPr>
                <w:ilvl w:val="0"/>
                <w:numId w:val="0"/>
              </w:numPr>
              <w:spacing w:line="320" w:lineRule="exact"/>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④招聘制度、招聘方案、招聘计划和招聘渠道</w:t>
            </w:r>
            <w:r>
              <w:rPr>
                <w:rFonts w:hint="eastAsia" w:ascii="仿宋_GB2312" w:hAnsi="仿宋_GB2312" w:eastAsia="仿宋_GB2312" w:cs="仿宋_GB2312"/>
                <w:color w:val="000000" w:themeColor="text1"/>
                <w:kern w:val="0"/>
                <w:sz w:val="28"/>
                <w:szCs w:val="28"/>
                <w:lang w:eastAsia="zh-CN"/>
                <w14:textFill>
                  <w14:solidFill>
                    <w14:schemeClr w14:val="tx1"/>
                  </w14:solidFill>
                </w14:textFill>
              </w:rPr>
              <w:t>差，得</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1-3分。</w:t>
            </w:r>
          </w:p>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⑤</w:t>
            </w:r>
            <w:r>
              <w:rPr>
                <w:rFonts w:hint="eastAsia" w:ascii="仿宋_GB2312" w:hAnsi="仿宋_GB2312" w:eastAsia="仿宋_GB2312" w:cs="仿宋_GB2312"/>
                <w:color w:val="000000" w:themeColor="text1"/>
                <w:kern w:val="0"/>
                <w:sz w:val="28"/>
                <w:szCs w:val="28"/>
                <w:lang w:eastAsia="zh-CN"/>
                <w14:textFill>
                  <w14:solidFill>
                    <w14:schemeClr w14:val="tx1"/>
                  </w14:solidFill>
                </w14:textFill>
              </w:rPr>
              <w:t>没有</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招聘制度、招聘方案、招聘计划和招聘渠道</w:t>
            </w:r>
            <w:r>
              <w:rPr>
                <w:rFonts w:hint="eastAsia" w:ascii="仿宋_GB2312" w:hAnsi="仿宋_GB2312" w:eastAsia="仿宋_GB2312" w:cs="仿宋_GB2312"/>
                <w:color w:val="000000" w:themeColor="text1"/>
                <w:kern w:val="0"/>
                <w:sz w:val="28"/>
                <w:szCs w:val="28"/>
                <w:lang w:eastAsia="zh-CN"/>
                <w14:textFill>
                  <w14:solidFill>
                    <w14:schemeClr w14:val="tx1"/>
                  </w14:solidFill>
                </w14:textFill>
              </w:rPr>
              <w:t>，得</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0分。</w:t>
            </w:r>
          </w:p>
        </w:tc>
        <w:tc>
          <w:tcPr>
            <w:tcW w:w="992" w:type="dxa"/>
            <w:vAlign w:val="center"/>
          </w:tcPr>
          <w:p>
            <w:pPr>
              <w:numPr>
                <w:ilvl w:val="0"/>
                <w:numId w:val="0"/>
              </w:numPr>
              <w:spacing w:line="320" w:lineRule="exact"/>
              <w:ind w:leftChars="0"/>
              <w:rPr>
                <w:rFonts w:hint="default"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1323" w:type="dxa"/>
            <w:vMerge w:val="continue"/>
            <w:shd w:val="clear" w:color="auto" w:fill="auto"/>
            <w:vAlign w:val="center"/>
          </w:tcPr>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p>
        </w:tc>
        <w:tc>
          <w:tcPr>
            <w:tcW w:w="6454" w:type="dxa"/>
            <w:vAlign w:val="center"/>
          </w:tcPr>
          <w:p>
            <w:pPr>
              <w:numPr>
                <w:ilvl w:val="0"/>
                <w:numId w:val="0"/>
              </w:numPr>
              <w:spacing w:line="320" w:lineRule="exact"/>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外包机构对外包人员的日常管理工作：</w:t>
            </w:r>
            <w:r>
              <w:rPr>
                <w:rFonts w:hint="eastAsia" w:ascii="仿宋_GB2312" w:hAnsi="仿宋_GB2312" w:eastAsia="仿宋_GB2312" w:cs="仿宋_GB2312"/>
                <w:color w:val="000000" w:themeColor="text1"/>
                <w:sz w:val="28"/>
                <w:szCs w:val="28"/>
                <w:highlight w:val="none"/>
                <w14:textFill>
                  <w14:solidFill>
                    <w14:schemeClr w14:val="tx1"/>
                  </w14:solidFill>
                </w14:textFill>
              </w:rPr>
              <w:t>包括人员管理制度、财务管理制度、物资管理制度等，</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根据供应商的情况横向对比，赋分范围为0-10分</w:t>
            </w:r>
            <w:r>
              <w:rPr>
                <w:rFonts w:hint="eastAsia" w:ascii="仿宋_GB2312" w:hAnsi="仿宋_GB2312" w:eastAsia="仿宋_GB2312" w:cs="仿宋_GB2312"/>
                <w:color w:val="000000" w:themeColor="text1"/>
                <w:sz w:val="28"/>
                <w:szCs w:val="28"/>
                <w:highlight w:val="none"/>
                <w14:textFill>
                  <w14:solidFill>
                    <w14:schemeClr w14:val="tx1"/>
                  </w14:solidFill>
                </w14:textFill>
              </w:rPr>
              <w:t>。</w:t>
            </w:r>
            <w:r>
              <w:rPr>
                <w:rFonts w:hint="eastAsia" w:ascii="仿宋_GB2312" w:hAnsi="仿宋_GB2312" w:eastAsia="仿宋_GB2312" w:cs="仿宋_GB2312"/>
                <w:color w:val="000000" w:themeColor="text1"/>
                <w:sz w:val="28"/>
                <w:szCs w:val="28"/>
                <w:highlight w:val="none"/>
                <w14:textFill>
                  <w14:solidFill>
                    <w14:schemeClr w14:val="tx1"/>
                  </w14:solidFill>
                </w14:textFill>
              </w:rPr>
              <w:br w:type="textWrapping"/>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①</w:t>
            </w:r>
            <w:r>
              <w:rPr>
                <w:rFonts w:hint="eastAsia" w:ascii="仿宋_GB2312" w:hAnsi="仿宋_GB2312" w:eastAsia="仿宋_GB2312" w:cs="仿宋_GB2312"/>
                <w:color w:val="000000" w:themeColor="text1"/>
                <w:sz w:val="28"/>
                <w:szCs w:val="28"/>
                <w:highlight w:val="none"/>
                <w14:textFill>
                  <w14:solidFill>
                    <w14:schemeClr w14:val="tx1"/>
                  </w14:solidFill>
                </w14:textFill>
              </w:rPr>
              <w:t>具有的内部管理制度</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完善</w:t>
            </w:r>
            <w:r>
              <w:rPr>
                <w:rFonts w:hint="eastAsia" w:ascii="仿宋_GB2312" w:hAnsi="仿宋_GB2312" w:eastAsia="仿宋_GB2312" w:cs="仿宋_GB2312"/>
                <w:color w:val="000000" w:themeColor="text1"/>
                <w:sz w:val="28"/>
                <w:szCs w:val="28"/>
                <w:highlight w:val="none"/>
                <w14:textFill>
                  <w14:solidFill>
                    <w14:schemeClr w14:val="tx1"/>
                  </w14:solidFill>
                </w14:textFill>
              </w:rPr>
              <w:t>，包括人员管理制度、财务管理制度、物资管理制度等，得</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9-10</w:t>
            </w:r>
            <w:r>
              <w:rPr>
                <w:rFonts w:hint="eastAsia" w:ascii="仿宋_GB2312" w:hAnsi="仿宋_GB2312" w:eastAsia="仿宋_GB2312" w:cs="仿宋_GB2312"/>
                <w:color w:val="000000" w:themeColor="text1"/>
                <w:sz w:val="28"/>
                <w:szCs w:val="28"/>
                <w:highlight w:val="none"/>
                <w14:textFill>
                  <w14:solidFill>
                    <w14:schemeClr w14:val="tx1"/>
                  </w14:solidFill>
                </w14:textFill>
              </w:rPr>
              <w:t>分。</w:t>
            </w:r>
            <w:r>
              <w:rPr>
                <w:rFonts w:hint="eastAsia" w:ascii="仿宋_GB2312" w:hAnsi="仿宋_GB2312" w:eastAsia="仿宋_GB2312" w:cs="仿宋_GB2312"/>
                <w:color w:val="000000" w:themeColor="text1"/>
                <w:sz w:val="28"/>
                <w:szCs w:val="28"/>
                <w:highlight w:val="none"/>
                <w14:textFill>
                  <w14:solidFill>
                    <w14:schemeClr w14:val="tx1"/>
                  </w14:solidFill>
                </w14:textFill>
              </w:rPr>
              <w:br w:type="textWrapping"/>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②</w:t>
            </w:r>
            <w:r>
              <w:rPr>
                <w:rFonts w:hint="eastAsia" w:ascii="仿宋_GB2312" w:hAnsi="仿宋_GB2312" w:eastAsia="仿宋_GB2312" w:cs="仿宋_GB2312"/>
                <w:color w:val="000000" w:themeColor="text1"/>
                <w:sz w:val="28"/>
                <w:szCs w:val="28"/>
                <w:highlight w:val="none"/>
                <w14:textFill>
                  <w14:solidFill>
                    <w14:schemeClr w14:val="tx1"/>
                  </w14:solidFill>
                </w14:textFill>
              </w:rPr>
              <w:t>具有的内部管理制度</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比较</w:t>
            </w:r>
            <w:r>
              <w:rPr>
                <w:rFonts w:hint="eastAsia" w:ascii="仿宋_GB2312" w:hAnsi="仿宋_GB2312" w:eastAsia="仿宋_GB2312" w:cs="仿宋_GB2312"/>
                <w:color w:val="000000" w:themeColor="text1"/>
                <w:sz w:val="28"/>
                <w:szCs w:val="28"/>
                <w:highlight w:val="none"/>
                <w14:textFill>
                  <w14:solidFill>
                    <w14:schemeClr w14:val="tx1"/>
                  </w14:solidFill>
                </w14:textFill>
              </w:rPr>
              <w:t>完善，包括人员管理制度、财务管理制度、物资管理制度等，得</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7-8</w:t>
            </w:r>
            <w:r>
              <w:rPr>
                <w:rFonts w:hint="eastAsia" w:ascii="仿宋_GB2312" w:hAnsi="仿宋_GB2312" w:eastAsia="仿宋_GB2312" w:cs="仿宋_GB2312"/>
                <w:color w:val="000000" w:themeColor="text1"/>
                <w:sz w:val="28"/>
                <w:szCs w:val="28"/>
                <w:highlight w:val="none"/>
                <w14:textFill>
                  <w14:solidFill>
                    <w14:schemeClr w14:val="tx1"/>
                  </w14:solidFill>
                </w14:textFill>
              </w:rPr>
              <w:t> 分。</w:t>
            </w:r>
            <w:r>
              <w:rPr>
                <w:rFonts w:hint="eastAsia" w:ascii="仿宋_GB2312" w:hAnsi="仿宋_GB2312" w:eastAsia="仿宋_GB2312" w:cs="仿宋_GB2312"/>
                <w:color w:val="000000" w:themeColor="text1"/>
                <w:sz w:val="28"/>
                <w:szCs w:val="28"/>
                <w:highlight w:val="none"/>
                <w14:textFill>
                  <w14:solidFill>
                    <w14:schemeClr w14:val="tx1"/>
                  </w14:solidFill>
                </w14:textFill>
              </w:rPr>
              <w:br w:type="textWrapping"/>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③</w:t>
            </w:r>
            <w:r>
              <w:rPr>
                <w:rFonts w:hint="eastAsia" w:ascii="仿宋_GB2312" w:hAnsi="仿宋_GB2312" w:eastAsia="仿宋_GB2312" w:cs="仿宋_GB2312"/>
                <w:color w:val="000000" w:themeColor="text1"/>
                <w:sz w:val="28"/>
                <w:szCs w:val="28"/>
                <w:highlight w:val="none"/>
                <w14:textFill>
                  <w14:solidFill>
                    <w14:schemeClr w14:val="tx1"/>
                  </w14:solidFill>
                </w14:textFill>
              </w:rPr>
              <w:t>具有的内部管理制度</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一般</w:t>
            </w:r>
            <w:r>
              <w:rPr>
                <w:rFonts w:hint="eastAsia" w:ascii="仿宋_GB2312" w:hAnsi="仿宋_GB2312" w:eastAsia="仿宋_GB2312" w:cs="仿宋_GB2312"/>
                <w:color w:val="000000" w:themeColor="text1"/>
                <w:sz w:val="28"/>
                <w:szCs w:val="28"/>
                <w:highlight w:val="none"/>
                <w14:textFill>
                  <w14:solidFill>
                    <w14:schemeClr w14:val="tx1"/>
                  </w14:solidFill>
                </w14:textFill>
              </w:rPr>
              <w:t>，包括人员管理制度、财务管理制度、物资管理制度等，得</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4-6</w:t>
            </w:r>
            <w:r>
              <w:rPr>
                <w:rFonts w:hint="eastAsia" w:ascii="仿宋_GB2312" w:hAnsi="仿宋_GB2312" w:eastAsia="仿宋_GB2312" w:cs="仿宋_GB2312"/>
                <w:color w:val="000000" w:themeColor="text1"/>
                <w:sz w:val="28"/>
                <w:szCs w:val="28"/>
                <w:highlight w:val="none"/>
                <w14:textFill>
                  <w14:solidFill>
                    <w14:schemeClr w14:val="tx1"/>
                  </w14:solidFill>
                </w14:textFill>
              </w:rPr>
              <w:t>分。</w:t>
            </w:r>
            <w:r>
              <w:rPr>
                <w:rFonts w:hint="eastAsia" w:ascii="仿宋_GB2312" w:hAnsi="仿宋_GB2312" w:eastAsia="仿宋_GB2312" w:cs="仿宋_GB2312"/>
                <w:color w:val="000000" w:themeColor="text1"/>
                <w:sz w:val="28"/>
                <w:szCs w:val="28"/>
                <w:highlight w:val="none"/>
                <w14:textFill>
                  <w14:solidFill>
                    <w14:schemeClr w14:val="tx1"/>
                  </w14:solidFill>
                </w14:textFill>
              </w:rPr>
              <w:br w:type="textWrapping"/>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④</w:t>
            </w:r>
            <w:r>
              <w:rPr>
                <w:rFonts w:hint="eastAsia" w:ascii="仿宋_GB2312" w:hAnsi="仿宋_GB2312" w:eastAsia="仿宋_GB2312" w:cs="仿宋_GB2312"/>
                <w:color w:val="000000" w:themeColor="text1"/>
                <w:sz w:val="28"/>
                <w:szCs w:val="28"/>
                <w:highlight w:val="none"/>
                <w14:textFill>
                  <w14:solidFill>
                    <w14:schemeClr w14:val="tx1"/>
                  </w14:solidFill>
                </w14:textFill>
              </w:rPr>
              <w:t>具有的内部管理制度</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差</w:t>
            </w:r>
            <w:r>
              <w:rPr>
                <w:rFonts w:hint="eastAsia" w:ascii="仿宋_GB2312" w:hAnsi="仿宋_GB2312" w:eastAsia="仿宋_GB2312" w:cs="仿宋_GB2312"/>
                <w:color w:val="000000" w:themeColor="text1"/>
                <w:sz w:val="28"/>
                <w:szCs w:val="28"/>
                <w:highlight w:val="none"/>
                <w14:textFill>
                  <w14:solidFill>
                    <w14:schemeClr w14:val="tx1"/>
                  </w14:solidFill>
                </w14:textFill>
              </w:rPr>
              <w:t>，包括人员管理制度、财务管理制度、物资管理制度等，得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1-3</w:t>
            </w:r>
            <w:r>
              <w:rPr>
                <w:rFonts w:hint="eastAsia" w:ascii="仿宋_GB2312" w:hAnsi="仿宋_GB2312" w:eastAsia="仿宋_GB2312" w:cs="仿宋_GB2312"/>
                <w:color w:val="000000" w:themeColor="text1"/>
                <w:sz w:val="28"/>
                <w:szCs w:val="28"/>
                <w:highlight w:val="none"/>
                <w14:textFill>
                  <w14:solidFill>
                    <w14:schemeClr w14:val="tx1"/>
                  </w14:solidFill>
                </w14:textFill>
              </w:rPr>
              <w:t>分。</w:t>
            </w:r>
          </w:p>
          <w:p>
            <w:pPr>
              <w:numPr>
                <w:ilvl w:val="0"/>
                <w:numId w:val="0"/>
              </w:numPr>
              <w:spacing w:line="320" w:lineRule="exact"/>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⑤不</w:t>
            </w:r>
            <w:r>
              <w:rPr>
                <w:rFonts w:hint="eastAsia" w:ascii="仿宋_GB2312" w:hAnsi="仿宋_GB2312" w:eastAsia="仿宋_GB2312" w:cs="仿宋_GB2312"/>
                <w:color w:val="000000" w:themeColor="text1"/>
                <w:sz w:val="28"/>
                <w:szCs w:val="28"/>
                <w:highlight w:val="none"/>
                <w14:textFill>
                  <w14:solidFill>
                    <w14:schemeClr w14:val="tx1"/>
                  </w14:solidFill>
                </w14:textFill>
              </w:rPr>
              <w:t>具有内部管理制度，包括人员管理制度、财务管理制度、物资管理制度等，得</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0</w:t>
            </w:r>
            <w:r>
              <w:rPr>
                <w:rFonts w:hint="eastAsia" w:ascii="仿宋_GB2312" w:hAnsi="仿宋_GB2312" w:eastAsia="仿宋_GB2312" w:cs="仿宋_GB2312"/>
                <w:color w:val="000000" w:themeColor="text1"/>
                <w:sz w:val="28"/>
                <w:szCs w:val="28"/>
                <w:highlight w:val="none"/>
                <w14:textFill>
                  <w14:solidFill>
                    <w14:schemeClr w14:val="tx1"/>
                  </w14:solidFill>
                </w14:textFill>
              </w:rPr>
              <w:t>分。</w:t>
            </w:r>
          </w:p>
        </w:tc>
        <w:tc>
          <w:tcPr>
            <w:tcW w:w="992" w:type="dxa"/>
            <w:vAlign w:val="center"/>
          </w:tcPr>
          <w:p>
            <w:pPr>
              <w:numPr>
                <w:ilvl w:val="0"/>
                <w:numId w:val="0"/>
              </w:numPr>
              <w:spacing w:line="320" w:lineRule="exact"/>
              <w:ind w:leftChars="0"/>
              <w:rPr>
                <w:rFonts w:hint="default"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1323" w:type="dxa"/>
            <w:vMerge w:val="continue"/>
            <w:shd w:val="clear" w:color="auto" w:fill="auto"/>
            <w:vAlign w:val="center"/>
          </w:tcPr>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p>
        </w:tc>
        <w:tc>
          <w:tcPr>
            <w:tcW w:w="6454" w:type="dxa"/>
            <w:vAlign w:val="center"/>
          </w:tcPr>
          <w:p>
            <w:pPr>
              <w:numPr>
                <w:ilvl w:val="0"/>
                <w:numId w:val="0"/>
              </w:numPr>
              <w:spacing w:line="320" w:lineRule="exact"/>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外包机构做好外包人员绩效考核工作：外包机构提供对外包人员科学完备的绩效考核体系制度，根据不同外包类型制定专项考核方案等，根据供应商的情况横向对比，赋分范围为0-10分。</w:t>
            </w:r>
          </w:p>
          <w:p>
            <w:pPr>
              <w:numPr>
                <w:ilvl w:val="0"/>
                <w:numId w:val="0"/>
              </w:numPr>
              <w:spacing w:line="320" w:lineRule="exact"/>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①</w:t>
            </w:r>
            <w:r>
              <w:rPr>
                <w:rFonts w:hint="eastAsia" w:ascii="仿宋_GB2312" w:hAnsi="仿宋_GB2312" w:eastAsia="仿宋_GB2312" w:cs="仿宋_GB2312"/>
                <w:color w:val="000000" w:themeColor="text1"/>
                <w:sz w:val="28"/>
                <w:szCs w:val="28"/>
                <w:highlight w:val="none"/>
                <w14:textFill>
                  <w14:solidFill>
                    <w14:schemeClr w14:val="tx1"/>
                  </w14:solidFill>
                </w14:textFill>
              </w:rPr>
              <w:t>具有</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的</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绩效考核体系制度</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完善</w:t>
            </w:r>
            <w:r>
              <w:rPr>
                <w:rFonts w:hint="eastAsia" w:ascii="仿宋_GB2312" w:hAnsi="仿宋_GB2312" w:eastAsia="仿宋_GB2312" w:cs="仿宋_GB2312"/>
                <w:color w:val="000000" w:themeColor="text1"/>
                <w:sz w:val="28"/>
                <w:szCs w:val="28"/>
                <w:highlight w:val="none"/>
                <w14:textFill>
                  <w14:solidFill>
                    <w14:schemeClr w14:val="tx1"/>
                  </w14:solidFill>
                </w14:textFill>
              </w:rPr>
              <w:t>，得</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9-10</w:t>
            </w:r>
            <w:r>
              <w:rPr>
                <w:rFonts w:hint="eastAsia" w:ascii="仿宋_GB2312" w:hAnsi="仿宋_GB2312" w:eastAsia="仿宋_GB2312" w:cs="仿宋_GB2312"/>
                <w:color w:val="000000" w:themeColor="text1"/>
                <w:sz w:val="28"/>
                <w:szCs w:val="28"/>
                <w:highlight w:val="none"/>
                <w14:textFill>
                  <w14:solidFill>
                    <w14:schemeClr w14:val="tx1"/>
                  </w14:solidFill>
                </w14:textFill>
              </w:rPr>
              <w:t>分。</w:t>
            </w:r>
            <w:r>
              <w:rPr>
                <w:rFonts w:hint="eastAsia" w:ascii="仿宋_GB2312" w:hAnsi="仿宋_GB2312" w:eastAsia="仿宋_GB2312" w:cs="仿宋_GB2312"/>
                <w:color w:val="000000" w:themeColor="text1"/>
                <w:sz w:val="28"/>
                <w:szCs w:val="28"/>
                <w:highlight w:val="none"/>
                <w14:textFill>
                  <w14:solidFill>
                    <w14:schemeClr w14:val="tx1"/>
                  </w14:solidFill>
                </w14:textFill>
              </w:rPr>
              <w:br w:type="textWrapping"/>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②</w:t>
            </w:r>
            <w:r>
              <w:rPr>
                <w:rFonts w:hint="eastAsia" w:ascii="仿宋_GB2312" w:hAnsi="仿宋_GB2312" w:eastAsia="仿宋_GB2312" w:cs="仿宋_GB2312"/>
                <w:color w:val="000000" w:themeColor="text1"/>
                <w:sz w:val="28"/>
                <w:szCs w:val="28"/>
                <w:highlight w:val="none"/>
                <w14:textFill>
                  <w14:solidFill>
                    <w14:schemeClr w14:val="tx1"/>
                  </w14:solidFill>
                </w14:textFill>
              </w:rPr>
              <w:t>具有</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的</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绩效考核体系制度</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比较</w:t>
            </w:r>
            <w:r>
              <w:rPr>
                <w:rFonts w:hint="eastAsia" w:ascii="仿宋_GB2312" w:hAnsi="仿宋_GB2312" w:eastAsia="仿宋_GB2312" w:cs="仿宋_GB2312"/>
                <w:color w:val="000000" w:themeColor="text1"/>
                <w:sz w:val="28"/>
                <w:szCs w:val="28"/>
                <w:highlight w:val="none"/>
                <w14:textFill>
                  <w14:solidFill>
                    <w14:schemeClr w14:val="tx1"/>
                  </w14:solidFill>
                </w14:textFill>
              </w:rPr>
              <w:t>完善，得</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7-8</w:t>
            </w:r>
            <w:r>
              <w:rPr>
                <w:rFonts w:hint="eastAsia" w:ascii="仿宋_GB2312" w:hAnsi="仿宋_GB2312" w:eastAsia="仿宋_GB2312" w:cs="仿宋_GB2312"/>
                <w:color w:val="000000" w:themeColor="text1"/>
                <w:sz w:val="28"/>
                <w:szCs w:val="28"/>
                <w:highlight w:val="none"/>
                <w14:textFill>
                  <w14:solidFill>
                    <w14:schemeClr w14:val="tx1"/>
                  </w14:solidFill>
                </w14:textFill>
              </w:rPr>
              <w:t> 分。</w:t>
            </w:r>
            <w:r>
              <w:rPr>
                <w:rFonts w:hint="eastAsia" w:ascii="仿宋_GB2312" w:hAnsi="仿宋_GB2312" w:eastAsia="仿宋_GB2312" w:cs="仿宋_GB2312"/>
                <w:color w:val="000000" w:themeColor="text1"/>
                <w:sz w:val="28"/>
                <w:szCs w:val="28"/>
                <w:highlight w:val="none"/>
                <w14:textFill>
                  <w14:solidFill>
                    <w14:schemeClr w14:val="tx1"/>
                  </w14:solidFill>
                </w14:textFill>
              </w:rPr>
              <w:br w:type="textWrapping"/>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③</w:t>
            </w:r>
            <w:r>
              <w:rPr>
                <w:rFonts w:hint="eastAsia" w:ascii="仿宋_GB2312" w:hAnsi="仿宋_GB2312" w:eastAsia="仿宋_GB2312" w:cs="仿宋_GB2312"/>
                <w:color w:val="000000" w:themeColor="text1"/>
                <w:sz w:val="28"/>
                <w:szCs w:val="28"/>
                <w:highlight w:val="none"/>
                <w14:textFill>
                  <w14:solidFill>
                    <w14:schemeClr w14:val="tx1"/>
                  </w14:solidFill>
                </w14:textFill>
              </w:rPr>
              <w:t>具有</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的</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绩效考核体系制度</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一般</w:t>
            </w:r>
            <w:r>
              <w:rPr>
                <w:rFonts w:hint="eastAsia" w:ascii="仿宋_GB2312" w:hAnsi="仿宋_GB2312" w:eastAsia="仿宋_GB2312" w:cs="仿宋_GB2312"/>
                <w:color w:val="000000" w:themeColor="text1"/>
                <w:sz w:val="28"/>
                <w:szCs w:val="28"/>
                <w:highlight w:val="none"/>
                <w14:textFill>
                  <w14:solidFill>
                    <w14:schemeClr w14:val="tx1"/>
                  </w14:solidFill>
                </w14:textFill>
              </w:rPr>
              <w:t>，得</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4-6</w:t>
            </w:r>
            <w:r>
              <w:rPr>
                <w:rFonts w:hint="eastAsia" w:ascii="仿宋_GB2312" w:hAnsi="仿宋_GB2312" w:eastAsia="仿宋_GB2312" w:cs="仿宋_GB2312"/>
                <w:color w:val="000000" w:themeColor="text1"/>
                <w:sz w:val="28"/>
                <w:szCs w:val="28"/>
                <w:highlight w:val="none"/>
                <w14:textFill>
                  <w14:solidFill>
                    <w14:schemeClr w14:val="tx1"/>
                  </w14:solidFill>
                </w14:textFill>
              </w:rPr>
              <w:t>分。</w:t>
            </w:r>
            <w:r>
              <w:rPr>
                <w:rFonts w:hint="eastAsia" w:ascii="仿宋_GB2312" w:hAnsi="仿宋_GB2312" w:eastAsia="仿宋_GB2312" w:cs="仿宋_GB2312"/>
                <w:color w:val="000000" w:themeColor="text1"/>
                <w:sz w:val="28"/>
                <w:szCs w:val="28"/>
                <w:highlight w:val="none"/>
                <w14:textFill>
                  <w14:solidFill>
                    <w14:schemeClr w14:val="tx1"/>
                  </w14:solidFill>
                </w14:textFill>
              </w:rPr>
              <w:br w:type="textWrapping"/>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④</w:t>
            </w:r>
            <w:r>
              <w:rPr>
                <w:rFonts w:hint="eastAsia" w:ascii="仿宋_GB2312" w:hAnsi="仿宋_GB2312" w:eastAsia="仿宋_GB2312" w:cs="仿宋_GB2312"/>
                <w:color w:val="000000" w:themeColor="text1"/>
                <w:sz w:val="28"/>
                <w:szCs w:val="28"/>
                <w:highlight w:val="none"/>
                <w14:textFill>
                  <w14:solidFill>
                    <w14:schemeClr w14:val="tx1"/>
                  </w14:solidFill>
                </w14:textFill>
              </w:rPr>
              <w:t>具有的</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绩效考核体系制度</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差</w:t>
            </w:r>
            <w:r>
              <w:rPr>
                <w:rFonts w:hint="eastAsia" w:ascii="仿宋_GB2312" w:hAnsi="仿宋_GB2312" w:eastAsia="仿宋_GB2312" w:cs="仿宋_GB2312"/>
                <w:color w:val="000000" w:themeColor="text1"/>
                <w:sz w:val="28"/>
                <w:szCs w:val="28"/>
                <w:highlight w:val="none"/>
                <w14:textFill>
                  <w14:solidFill>
                    <w14:schemeClr w14:val="tx1"/>
                  </w14:solidFill>
                </w14:textFill>
              </w:rPr>
              <w:t>，得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1-3</w:t>
            </w:r>
            <w:r>
              <w:rPr>
                <w:rFonts w:hint="eastAsia" w:ascii="仿宋_GB2312" w:hAnsi="仿宋_GB2312" w:eastAsia="仿宋_GB2312" w:cs="仿宋_GB2312"/>
                <w:color w:val="000000" w:themeColor="text1"/>
                <w:sz w:val="28"/>
                <w:szCs w:val="28"/>
                <w:highlight w:val="none"/>
                <w14:textFill>
                  <w14:solidFill>
                    <w14:schemeClr w14:val="tx1"/>
                  </w14:solidFill>
                </w14:textFill>
              </w:rPr>
              <w:t>分。</w:t>
            </w:r>
          </w:p>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⑤不</w:t>
            </w:r>
            <w:r>
              <w:rPr>
                <w:rFonts w:hint="eastAsia" w:ascii="仿宋_GB2312" w:hAnsi="仿宋_GB2312" w:eastAsia="仿宋_GB2312" w:cs="仿宋_GB2312"/>
                <w:color w:val="000000" w:themeColor="text1"/>
                <w:sz w:val="28"/>
                <w:szCs w:val="28"/>
                <w:highlight w:val="none"/>
                <w14:textFill>
                  <w14:solidFill>
                    <w14:schemeClr w14:val="tx1"/>
                  </w14:solidFill>
                </w14:textFill>
              </w:rPr>
              <w:t>具有</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绩效考核体系制度</w:t>
            </w:r>
            <w:r>
              <w:rPr>
                <w:rFonts w:hint="eastAsia" w:ascii="仿宋_GB2312" w:hAnsi="仿宋_GB2312" w:eastAsia="仿宋_GB2312" w:cs="仿宋_GB2312"/>
                <w:color w:val="000000" w:themeColor="text1"/>
                <w:sz w:val="28"/>
                <w:szCs w:val="28"/>
                <w:highlight w:val="none"/>
                <w14:textFill>
                  <w14:solidFill>
                    <w14:schemeClr w14:val="tx1"/>
                  </w14:solidFill>
                </w14:textFill>
              </w:rPr>
              <w:t>，得</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0</w:t>
            </w:r>
            <w:r>
              <w:rPr>
                <w:rFonts w:hint="eastAsia" w:ascii="仿宋_GB2312" w:hAnsi="仿宋_GB2312" w:eastAsia="仿宋_GB2312" w:cs="仿宋_GB2312"/>
                <w:color w:val="000000" w:themeColor="text1"/>
                <w:sz w:val="28"/>
                <w:szCs w:val="28"/>
                <w:highlight w:val="none"/>
                <w14:textFill>
                  <w14:solidFill>
                    <w14:schemeClr w14:val="tx1"/>
                  </w14:solidFill>
                </w14:textFill>
              </w:rPr>
              <w:t>分。</w:t>
            </w:r>
          </w:p>
        </w:tc>
        <w:tc>
          <w:tcPr>
            <w:tcW w:w="992" w:type="dxa"/>
            <w:vAlign w:val="center"/>
          </w:tcPr>
          <w:p>
            <w:pPr>
              <w:numPr>
                <w:ilvl w:val="0"/>
                <w:numId w:val="0"/>
              </w:numPr>
              <w:spacing w:line="320" w:lineRule="exact"/>
              <w:ind w:leftChars="0"/>
              <w:rPr>
                <w:rFonts w:hint="default"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5" w:hRule="atLeast"/>
          <w:jc w:val="center"/>
        </w:trPr>
        <w:tc>
          <w:tcPr>
            <w:tcW w:w="1323" w:type="dxa"/>
            <w:shd w:val="clear" w:color="auto" w:fill="auto"/>
            <w:vAlign w:val="center"/>
          </w:tcPr>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商务评分</w:t>
            </w:r>
          </w:p>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（10）</w:t>
            </w:r>
          </w:p>
        </w:tc>
        <w:tc>
          <w:tcPr>
            <w:tcW w:w="6454" w:type="dxa"/>
            <w:vAlign w:val="center"/>
          </w:tcPr>
          <w:p>
            <w:pPr>
              <w:numPr>
                <w:ilvl w:val="0"/>
                <w:numId w:val="0"/>
              </w:numPr>
              <w:spacing w:line="320" w:lineRule="exact"/>
              <w:ind w:leftChars="0"/>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供应商近三年（2021年1月1日至开标日）有成功实施案例或软件著作权，案例须提供合同复印件（包括合同首页、体现项目内容页、签署日期页及盖章页）或中标通知书复印件作为有效证明文件。最少有1个得0分，每增加一个得2分，最多得10分。</w:t>
            </w:r>
          </w:p>
        </w:tc>
        <w:tc>
          <w:tcPr>
            <w:tcW w:w="992" w:type="dxa"/>
            <w:vAlign w:val="center"/>
          </w:tcPr>
          <w:p>
            <w:pPr>
              <w:numPr>
                <w:ilvl w:val="0"/>
                <w:numId w:val="0"/>
              </w:numPr>
              <w:spacing w:line="320" w:lineRule="exact"/>
              <w:ind w:leftChars="0"/>
              <w:rPr>
                <w:rFonts w:hint="default"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777" w:type="dxa"/>
            <w:gridSpan w:val="2"/>
            <w:vAlign w:val="center"/>
          </w:tcPr>
          <w:p>
            <w:pPr>
              <w:spacing w:line="320" w:lineRule="exact"/>
              <w:jc w:val="center"/>
              <w:rPr>
                <w:rFonts w:asciiTheme="minorEastAsia" w:hAnsiTheme="minorEastAsia" w:eastAsiaTheme="minorEastAsia"/>
                <w:b/>
                <w:snapToGrid w:val="0"/>
                <w:color w:val="000000" w:themeColor="text1"/>
                <w:sz w:val="24"/>
                <w14:textFill>
                  <w14:solidFill>
                    <w14:schemeClr w14:val="tx1"/>
                  </w14:solidFill>
                </w14:textFill>
              </w:rPr>
            </w:pPr>
            <w:r>
              <w:rPr>
                <w:rFonts w:hint="eastAsia" w:asciiTheme="minorEastAsia" w:hAnsiTheme="minorEastAsia" w:eastAsiaTheme="minorEastAsia"/>
                <w:b/>
                <w:snapToGrid w:val="0"/>
                <w:color w:val="000000" w:themeColor="text1"/>
                <w:sz w:val="24"/>
                <w14:textFill>
                  <w14:solidFill>
                    <w14:schemeClr w14:val="tx1"/>
                  </w14:solidFill>
                </w14:textFill>
              </w:rPr>
              <w:t>合计</w:t>
            </w:r>
          </w:p>
        </w:tc>
        <w:tc>
          <w:tcPr>
            <w:tcW w:w="992" w:type="dxa"/>
            <w:vAlign w:val="center"/>
          </w:tcPr>
          <w:p>
            <w:pPr>
              <w:widowControl/>
              <w:snapToGrid w:val="0"/>
              <w:spacing w:line="320" w:lineRule="exact"/>
              <w:jc w:val="center"/>
              <w:rPr>
                <w:rFonts w:asciiTheme="minorEastAsia" w:hAnsiTheme="minorEastAsia" w:eastAsiaTheme="minorEastAsia"/>
                <w:b/>
                <w:color w:val="000000" w:themeColor="text1"/>
                <w:kern w:val="0"/>
                <w:sz w:val="24"/>
                <w:u w:color="FF0000"/>
                <w14:textFill>
                  <w14:solidFill>
                    <w14:schemeClr w14:val="tx1"/>
                  </w14:solidFill>
                </w14:textFill>
              </w:rPr>
            </w:pPr>
            <w:r>
              <w:rPr>
                <w:rFonts w:hint="eastAsia" w:asciiTheme="minorEastAsia" w:hAnsiTheme="minorEastAsia" w:eastAsiaTheme="minorEastAsia"/>
                <w:b/>
                <w:color w:val="000000" w:themeColor="text1"/>
                <w:kern w:val="0"/>
                <w:sz w:val="24"/>
                <w:u w:color="FF0000"/>
                <w14:textFill>
                  <w14:solidFill>
                    <w14:schemeClr w14:val="tx1"/>
                  </w14:solidFill>
                </w14:textFill>
              </w:rPr>
              <w:t>100</w:t>
            </w:r>
          </w:p>
        </w:tc>
      </w:tr>
    </w:tbl>
    <w:p>
      <w:pPr>
        <w:jc w:val="left"/>
        <w:rPr>
          <w:rFonts w:hint="default" w:ascii="Times New Roman" w:hAnsi="Times New Roman" w:eastAsia="宋体" w:cs="Times New Roman"/>
          <w:b/>
          <w:bCs/>
          <w:kern w:val="44"/>
          <w:sz w:val="30"/>
          <w:szCs w:val="30"/>
          <w:lang w:val="en-US" w:eastAsia="zh-CN"/>
        </w:rPr>
      </w:pPr>
    </w:p>
    <w:p>
      <w:pPr>
        <w:jc w:val="left"/>
        <w:rPr>
          <w:rFonts w:hint="eastAsia" w:ascii="Times New Roman" w:hAnsi="Times New Roman" w:eastAsia="宋体" w:cs="Times New Roman"/>
          <w:b/>
          <w:bCs/>
          <w:kern w:val="44"/>
          <w:sz w:val="30"/>
          <w:szCs w:val="30"/>
          <w:lang w:val="en-US" w:eastAsia="zh-CN"/>
        </w:rPr>
      </w:pPr>
    </w:p>
    <w:p>
      <w:pPr>
        <w:jc w:val="left"/>
        <w:rPr>
          <w:rFonts w:hint="eastAsia" w:ascii="Times New Roman" w:hAnsi="Times New Roman" w:eastAsia="宋体" w:cs="Times New Roman"/>
          <w:b/>
          <w:bCs/>
          <w:kern w:val="44"/>
          <w:sz w:val="30"/>
          <w:szCs w:val="30"/>
          <w:lang w:val="en-US" w:eastAsia="zh-CN"/>
        </w:rPr>
      </w:pPr>
    </w:p>
    <w:p>
      <w:pPr>
        <w:pStyle w:val="2"/>
        <w:keepNext/>
        <w:keepLines/>
        <w:pageBreakBefore w:val="0"/>
        <w:widowControl w:val="0"/>
        <w:kinsoku/>
        <w:wordWrap/>
        <w:overflowPunct/>
        <w:topLinePunct w:val="0"/>
        <w:autoSpaceDE/>
        <w:autoSpaceDN/>
        <w:bidi w:val="0"/>
        <w:adjustRightInd/>
        <w:snapToGrid/>
        <w:spacing w:line="329" w:lineRule="auto"/>
        <w:textAlignment w:val="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附件</w:t>
      </w:r>
      <w:r>
        <w:rPr>
          <w:rFonts w:hint="eastAsia" w:asciiTheme="majorEastAsia" w:hAnsiTheme="majorEastAsia" w:eastAsiaTheme="majorEastAsia"/>
          <w:sz w:val="32"/>
          <w:szCs w:val="32"/>
          <w:lang w:val="en-US" w:eastAsia="zh-CN"/>
        </w:rPr>
        <w:t>5：</w:t>
      </w:r>
      <w:r>
        <w:rPr>
          <w:rFonts w:hint="eastAsia" w:asciiTheme="majorEastAsia" w:hAnsiTheme="majorEastAsia" w:eastAsiaTheme="majorEastAsia"/>
          <w:sz w:val="32"/>
          <w:szCs w:val="32"/>
        </w:rPr>
        <w:t>供应商情况表</w:t>
      </w:r>
    </w:p>
    <w:p>
      <w:pPr>
        <w:snapToGrid w:val="0"/>
        <w:spacing w:line="600" w:lineRule="exact"/>
        <w:jc w:val="center"/>
        <w:rPr>
          <w:rFonts w:ascii="仿宋" w:hAnsi="仿宋" w:eastAsia="仿宋" w:cs="仿宋"/>
          <w:sz w:val="30"/>
          <w:szCs w:val="30"/>
        </w:rPr>
      </w:pPr>
      <w:r>
        <w:rPr>
          <w:rFonts w:hint="eastAsia" w:ascii="仿宋" w:hAnsi="仿宋" w:eastAsia="仿宋" w:cs="仿宋"/>
          <w:b/>
          <w:snapToGrid w:val="0"/>
          <w:sz w:val="30"/>
          <w:szCs w:val="30"/>
        </w:rPr>
        <w:t>供应商情况表</w:t>
      </w:r>
    </w:p>
    <w:p>
      <w:pPr>
        <w:snapToGrid w:val="0"/>
        <w:spacing w:line="600" w:lineRule="exact"/>
        <w:rPr>
          <w:rFonts w:ascii="仿宋" w:hAnsi="仿宋" w:eastAsia="仿宋" w:cs="仿宋"/>
          <w:sz w:val="30"/>
          <w:szCs w:val="30"/>
        </w:rPr>
      </w:pPr>
      <w:r>
        <w:rPr>
          <w:rFonts w:hint="eastAsia" w:ascii="仿宋" w:hAnsi="仿宋" w:eastAsia="仿宋" w:cs="仿宋"/>
          <w:sz w:val="30"/>
          <w:szCs w:val="30"/>
        </w:rPr>
        <w:t>供应商名称：（公章）</w:t>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填表日期：</w:t>
      </w:r>
    </w:p>
    <w:tbl>
      <w:tblPr>
        <w:tblStyle w:val="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6"/>
        <w:gridCol w:w="2332"/>
        <w:gridCol w:w="3118"/>
        <w:gridCol w:w="2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1196"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公司名称</w:t>
            </w:r>
          </w:p>
        </w:tc>
        <w:tc>
          <w:tcPr>
            <w:tcW w:w="3803" w:type="pct"/>
            <w:gridSpan w:val="3"/>
            <w:tcBorders>
              <w:top w:val="single" w:color="auto" w:sz="4" w:space="0"/>
              <w:left w:val="single" w:color="auto" w:sz="4" w:space="0"/>
              <w:bottom w:val="single" w:color="auto" w:sz="4" w:space="0"/>
              <w:right w:val="single" w:color="auto" w:sz="4" w:space="0"/>
            </w:tcBorders>
          </w:tcPr>
          <w:p>
            <w:pPr>
              <w:snapToGrid w:val="0"/>
              <w:spacing w:line="600" w:lineRule="exact"/>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1196"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公司地址</w:t>
            </w:r>
          </w:p>
        </w:tc>
        <w:tc>
          <w:tcPr>
            <w:tcW w:w="3803" w:type="pct"/>
            <w:gridSpan w:val="3"/>
            <w:tcBorders>
              <w:top w:val="single" w:color="auto" w:sz="4" w:space="0"/>
              <w:left w:val="single" w:color="auto" w:sz="4" w:space="0"/>
              <w:bottom w:val="single" w:color="auto" w:sz="4" w:space="0"/>
              <w:right w:val="single" w:color="auto" w:sz="4" w:space="0"/>
            </w:tcBorders>
          </w:tcPr>
          <w:p>
            <w:pPr>
              <w:snapToGrid w:val="0"/>
              <w:spacing w:line="600" w:lineRule="exact"/>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96"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公司性质</w:t>
            </w:r>
          </w:p>
        </w:tc>
        <w:tc>
          <w:tcPr>
            <w:tcW w:w="1169" w:type="pct"/>
            <w:tcBorders>
              <w:top w:val="single" w:color="auto" w:sz="4" w:space="0"/>
              <w:left w:val="single" w:color="auto" w:sz="4" w:space="0"/>
              <w:bottom w:val="single" w:color="auto" w:sz="4" w:space="0"/>
              <w:right w:val="single" w:color="auto" w:sz="4" w:space="0"/>
            </w:tcBorders>
          </w:tcPr>
          <w:p>
            <w:pPr>
              <w:snapToGrid w:val="0"/>
              <w:spacing w:line="600" w:lineRule="exact"/>
              <w:rPr>
                <w:rFonts w:ascii="仿宋" w:hAnsi="仿宋" w:eastAsia="仿宋" w:cs="仿宋"/>
                <w:sz w:val="30"/>
                <w:szCs w:val="30"/>
              </w:rPr>
            </w:pPr>
          </w:p>
        </w:tc>
        <w:tc>
          <w:tcPr>
            <w:tcW w:w="1563"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邮政编码</w:t>
            </w:r>
          </w:p>
        </w:tc>
        <w:tc>
          <w:tcPr>
            <w:tcW w:w="1070" w:type="pct"/>
            <w:tcBorders>
              <w:top w:val="single" w:color="auto" w:sz="4" w:space="0"/>
              <w:left w:val="single" w:color="auto" w:sz="4" w:space="0"/>
              <w:bottom w:val="single" w:color="auto" w:sz="4" w:space="0"/>
              <w:right w:val="single" w:color="auto" w:sz="4" w:space="0"/>
            </w:tcBorders>
          </w:tcPr>
          <w:p>
            <w:pPr>
              <w:snapToGrid w:val="0"/>
              <w:spacing w:line="600" w:lineRule="exact"/>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96"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成立时间</w:t>
            </w:r>
          </w:p>
        </w:tc>
        <w:tc>
          <w:tcPr>
            <w:tcW w:w="1169" w:type="pct"/>
            <w:tcBorders>
              <w:top w:val="single" w:color="auto" w:sz="4" w:space="0"/>
              <w:left w:val="single" w:color="auto" w:sz="4" w:space="0"/>
              <w:bottom w:val="single" w:color="auto" w:sz="4" w:space="0"/>
              <w:right w:val="single" w:color="auto" w:sz="4" w:space="0"/>
            </w:tcBorders>
          </w:tcPr>
          <w:p>
            <w:pPr>
              <w:snapToGrid w:val="0"/>
              <w:spacing w:line="600" w:lineRule="exact"/>
              <w:rPr>
                <w:rFonts w:ascii="仿宋" w:hAnsi="仿宋" w:eastAsia="仿宋" w:cs="仿宋"/>
                <w:sz w:val="30"/>
                <w:szCs w:val="30"/>
              </w:rPr>
            </w:pPr>
          </w:p>
        </w:tc>
        <w:tc>
          <w:tcPr>
            <w:tcW w:w="1563"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联系人</w:t>
            </w:r>
          </w:p>
        </w:tc>
        <w:tc>
          <w:tcPr>
            <w:tcW w:w="1070" w:type="pct"/>
            <w:tcBorders>
              <w:top w:val="single" w:color="auto" w:sz="4" w:space="0"/>
              <w:left w:val="single" w:color="auto" w:sz="4" w:space="0"/>
              <w:bottom w:val="single" w:color="auto" w:sz="4" w:space="0"/>
              <w:right w:val="single" w:color="auto" w:sz="4" w:space="0"/>
            </w:tcBorders>
          </w:tcPr>
          <w:p>
            <w:pPr>
              <w:snapToGrid w:val="0"/>
              <w:spacing w:line="600" w:lineRule="exact"/>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6" w:hRule="atLeast"/>
        </w:trPr>
        <w:tc>
          <w:tcPr>
            <w:tcW w:w="1196"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电话</w:t>
            </w:r>
          </w:p>
        </w:tc>
        <w:tc>
          <w:tcPr>
            <w:tcW w:w="1169" w:type="pct"/>
            <w:tcBorders>
              <w:top w:val="single" w:color="auto" w:sz="4" w:space="0"/>
              <w:left w:val="single" w:color="auto" w:sz="4" w:space="0"/>
              <w:bottom w:val="single" w:color="auto" w:sz="4" w:space="0"/>
              <w:right w:val="single" w:color="auto" w:sz="4" w:space="0"/>
            </w:tcBorders>
          </w:tcPr>
          <w:p>
            <w:pPr>
              <w:snapToGrid w:val="0"/>
              <w:spacing w:line="600" w:lineRule="exact"/>
              <w:jc w:val="center"/>
              <w:rPr>
                <w:rFonts w:ascii="仿宋" w:hAnsi="仿宋" w:eastAsia="仿宋" w:cs="仿宋"/>
                <w:sz w:val="30"/>
                <w:szCs w:val="30"/>
              </w:rPr>
            </w:pPr>
          </w:p>
        </w:tc>
        <w:tc>
          <w:tcPr>
            <w:tcW w:w="1563"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highlight w:val="none"/>
              </w:rPr>
              <w:t>传真湛江市分公司</w:t>
            </w:r>
          </w:p>
        </w:tc>
        <w:tc>
          <w:tcPr>
            <w:tcW w:w="1070" w:type="pct"/>
            <w:tcBorders>
              <w:top w:val="single" w:color="auto" w:sz="4" w:space="0"/>
              <w:left w:val="single" w:color="auto" w:sz="4" w:space="0"/>
              <w:bottom w:val="single" w:color="auto" w:sz="4" w:space="0"/>
              <w:right w:val="single" w:color="auto" w:sz="4" w:space="0"/>
            </w:tcBorders>
          </w:tcPr>
          <w:p>
            <w:pPr>
              <w:snapToGrid w:val="0"/>
              <w:spacing w:line="60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1196"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公司（国内）</w:t>
            </w:r>
          </w:p>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总人数</w:t>
            </w:r>
          </w:p>
        </w:tc>
        <w:tc>
          <w:tcPr>
            <w:tcW w:w="1169"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p>
        </w:tc>
        <w:tc>
          <w:tcPr>
            <w:tcW w:w="1563"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其中从事与本项目有关的人员人数</w:t>
            </w:r>
          </w:p>
        </w:tc>
        <w:tc>
          <w:tcPr>
            <w:tcW w:w="1070"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trPr>
        <w:tc>
          <w:tcPr>
            <w:tcW w:w="1196"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公司主要</w:t>
            </w:r>
          </w:p>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业务概述</w:t>
            </w:r>
          </w:p>
        </w:tc>
        <w:tc>
          <w:tcPr>
            <w:tcW w:w="3803" w:type="pct"/>
            <w:gridSpan w:val="3"/>
            <w:tcBorders>
              <w:top w:val="single" w:color="auto" w:sz="4" w:space="0"/>
              <w:left w:val="single" w:color="auto" w:sz="4" w:space="0"/>
              <w:bottom w:val="single" w:color="auto" w:sz="4" w:space="0"/>
              <w:right w:val="single" w:color="auto" w:sz="4" w:space="0"/>
            </w:tcBorders>
          </w:tcPr>
          <w:p>
            <w:pPr>
              <w:snapToGrid w:val="0"/>
              <w:spacing w:line="600" w:lineRule="exact"/>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8" w:hRule="atLeast"/>
        </w:trPr>
        <w:tc>
          <w:tcPr>
            <w:tcW w:w="1196"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近2年内介入</w:t>
            </w:r>
          </w:p>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的诉讼或仲裁案件情况说明</w:t>
            </w:r>
          </w:p>
        </w:tc>
        <w:tc>
          <w:tcPr>
            <w:tcW w:w="3803" w:type="pct"/>
            <w:gridSpan w:val="3"/>
            <w:tcBorders>
              <w:top w:val="single" w:color="auto" w:sz="4" w:space="0"/>
              <w:left w:val="single" w:color="auto" w:sz="4" w:space="0"/>
              <w:bottom w:val="single" w:color="auto" w:sz="4" w:space="0"/>
              <w:right w:val="single" w:color="auto" w:sz="4" w:space="0"/>
            </w:tcBorders>
          </w:tcPr>
          <w:p>
            <w:pPr>
              <w:snapToGrid w:val="0"/>
              <w:spacing w:line="600" w:lineRule="exact"/>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5" w:hRule="atLeast"/>
        </w:trPr>
        <w:tc>
          <w:tcPr>
            <w:tcW w:w="1196"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both"/>
              <w:rPr>
                <w:rFonts w:ascii="仿宋" w:hAnsi="仿宋" w:eastAsia="仿宋" w:cs="仿宋"/>
                <w:sz w:val="30"/>
                <w:szCs w:val="30"/>
              </w:rPr>
            </w:pPr>
            <w:r>
              <w:rPr>
                <w:rFonts w:hint="eastAsia" w:ascii="仿宋" w:hAnsi="仿宋" w:eastAsia="仿宋" w:cs="仿宋"/>
                <w:sz w:val="30"/>
                <w:szCs w:val="30"/>
              </w:rPr>
              <w:t>与本项目有关的服务情况</w:t>
            </w:r>
          </w:p>
        </w:tc>
        <w:tc>
          <w:tcPr>
            <w:tcW w:w="3803" w:type="pct"/>
            <w:gridSpan w:val="3"/>
            <w:tcBorders>
              <w:top w:val="single" w:color="auto" w:sz="4" w:space="0"/>
              <w:left w:val="single" w:color="auto" w:sz="4" w:space="0"/>
              <w:bottom w:val="single" w:color="auto" w:sz="4" w:space="0"/>
              <w:right w:val="single" w:color="auto" w:sz="4" w:space="0"/>
            </w:tcBorders>
          </w:tcPr>
          <w:p>
            <w:pPr>
              <w:snapToGrid w:val="0"/>
              <w:spacing w:line="600" w:lineRule="exact"/>
              <w:ind w:firstLine="600" w:firstLineChars="200"/>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trPr>
        <w:tc>
          <w:tcPr>
            <w:tcW w:w="1196" w:type="pct"/>
            <w:tcBorders>
              <w:top w:val="single" w:color="auto" w:sz="4" w:space="0"/>
              <w:left w:val="single" w:color="auto" w:sz="4" w:space="0"/>
              <w:bottom w:val="single" w:color="auto" w:sz="4" w:space="0"/>
              <w:right w:val="single" w:color="auto" w:sz="4" w:space="0"/>
            </w:tcBorders>
            <w:vAlign w:val="center"/>
          </w:tcPr>
          <w:p>
            <w:pPr>
              <w:snapToGrid w:val="0"/>
              <w:spacing w:line="600" w:lineRule="exact"/>
              <w:jc w:val="center"/>
              <w:rPr>
                <w:rFonts w:ascii="仿宋" w:hAnsi="仿宋" w:eastAsia="仿宋" w:cs="仿宋"/>
                <w:sz w:val="30"/>
                <w:szCs w:val="30"/>
              </w:rPr>
            </w:pPr>
            <w:r>
              <w:rPr>
                <w:rFonts w:hint="eastAsia" w:ascii="仿宋" w:hAnsi="仿宋" w:eastAsia="仿宋" w:cs="仿宋"/>
                <w:sz w:val="30"/>
                <w:szCs w:val="30"/>
              </w:rPr>
              <w:t>企业历史沿革与专业资质与资格说明</w:t>
            </w:r>
          </w:p>
        </w:tc>
        <w:tc>
          <w:tcPr>
            <w:tcW w:w="3803" w:type="pct"/>
            <w:gridSpan w:val="3"/>
            <w:tcBorders>
              <w:top w:val="single" w:color="auto" w:sz="4" w:space="0"/>
              <w:left w:val="single" w:color="auto" w:sz="4" w:space="0"/>
              <w:bottom w:val="single" w:color="auto" w:sz="4" w:space="0"/>
              <w:right w:val="single" w:color="auto" w:sz="4" w:space="0"/>
            </w:tcBorders>
          </w:tcPr>
          <w:p>
            <w:pPr>
              <w:snapToGrid w:val="0"/>
              <w:spacing w:line="600" w:lineRule="exact"/>
              <w:ind w:firstLine="600" w:firstLineChars="200"/>
              <w:rPr>
                <w:rFonts w:ascii="仿宋" w:hAnsi="仿宋" w:eastAsia="仿宋" w:cs="仿宋"/>
                <w:sz w:val="30"/>
                <w:szCs w:val="30"/>
              </w:rPr>
            </w:pPr>
          </w:p>
        </w:tc>
      </w:tr>
    </w:tbl>
    <w:p>
      <w:pPr>
        <w:bidi w:val="0"/>
        <w:rPr>
          <w:rFonts w:hint="eastAsia"/>
        </w:rPr>
      </w:pPr>
    </w:p>
    <w:p>
      <w:pPr>
        <w:bidi w:val="0"/>
        <w:rPr>
          <w:rFonts w:hint="eastAsia"/>
        </w:rPr>
      </w:pPr>
    </w:p>
    <w:p>
      <w:pPr>
        <w:pStyle w:val="2"/>
        <w:keepNext/>
        <w:keepLines/>
        <w:pageBreakBefore w:val="0"/>
        <w:widowControl w:val="0"/>
        <w:kinsoku/>
        <w:wordWrap/>
        <w:overflowPunct/>
        <w:topLinePunct w:val="0"/>
        <w:autoSpaceDE/>
        <w:autoSpaceDN/>
        <w:bidi w:val="0"/>
        <w:adjustRightInd/>
        <w:snapToGrid/>
        <w:spacing w:line="329" w:lineRule="auto"/>
        <w:textAlignment w:val="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附件</w:t>
      </w:r>
      <w:r>
        <w:rPr>
          <w:rFonts w:hint="eastAsia" w:asciiTheme="majorEastAsia" w:hAnsiTheme="majorEastAsia" w:eastAsiaTheme="majorEastAsia"/>
          <w:sz w:val="32"/>
          <w:szCs w:val="32"/>
          <w:lang w:val="en-US" w:eastAsia="zh-CN"/>
        </w:rPr>
        <w:t>6：</w:t>
      </w:r>
      <w:r>
        <w:rPr>
          <w:rFonts w:hint="eastAsia" w:asciiTheme="majorEastAsia" w:hAnsiTheme="majorEastAsia" w:eastAsiaTheme="majorEastAsia"/>
          <w:sz w:val="32"/>
          <w:szCs w:val="32"/>
        </w:rPr>
        <w:t>保密合规廉洁承诺函</w:t>
      </w:r>
    </w:p>
    <w:p>
      <w:pPr>
        <w:snapToGrid w:val="0"/>
        <w:spacing w:line="6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 xml:space="preserve">  保密合规廉洁承诺书</w:t>
      </w:r>
    </w:p>
    <w:p>
      <w:pPr>
        <w:snapToGrid w:val="0"/>
        <w:spacing w:line="600" w:lineRule="exact"/>
        <w:ind w:firstLine="602" w:firstLineChars="200"/>
        <w:rPr>
          <w:rFonts w:ascii="仿宋" w:hAnsi="仿宋" w:eastAsia="仿宋" w:cs="仿宋"/>
          <w:b/>
          <w:color w:val="000000"/>
          <w:sz w:val="30"/>
          <w:szCs w:val="30"/>
          <w:u w:val="single"/>
        </w:rPr>
      </w:pPr>
      <w:r>
        <w:rPr>
          <w:rFonts w:hint="eastAsia" w:ascii="仿宋" w:hAnsi="仿宋" w:eastAsia="仿宋" w:cs="仿宋"/>
          <w:b/>
          <w:color w:val="000000"/>
          <w:sz w:val="30"/>
          <w:szCs w:val="30"/>
        </w:rPr>
        <w:t>承诺企业：</w:t>
      </w:r>
    </w:p>
    <w:p>
      <w:pPr>
        <w:snapToGrid w:val="0"/>
        <w:spacing w:line="600" w:lineRule="exact"/>
        <w:ind w:firstLine="602" w:firstLineChars="200"/>
        <w:rPr>
          <w:rFonts w:ascii="仿宋" w:hAnsi="仿宋" w:eastAsia="仿宋" w:cs="仿宋"/>
          <w:b/>
          <w:color w:val="000000"/>
          <w:sz w:val="30"/>
          <w:szCs w:val="30"/>
        </w:rPr>
      </w:pPr>
      <w:r>
        <w:rPr>
          <w:rFonts w:hint="eastAsia" w:ascii="仿宋" w:hAnsi="仿宋" w:eastAsia="仿宋" w:cs="仿宋"/>
          <w:b/>
          <w:color w:val="000000"/>
          <w:sz w:val="30"/>
          <w:szCs w:val="30"/>
        </w:rPr>
        <w:t>地址：</w:t>
      </w:r>
    </w:p>
    <w:p>
      <w:pPr>
        <w:snapToGrid w:val="0"/>
        <w:spacing w:line="600" w:lineRule="exact"/>
        <w:ind w:firstLine="602" w:firstLineChars="200"/>
        <w:rPr>
          <w:rFonts w:ascii="仿宋" w:hAnsi="仿宋" w:eastAsia="仿宋" w:cs="仿宋"/>
          <w:b/>
          <w:color w:val="000000"/>
          <w:sz w:val="30"/>
          <w:szCs w:val="30"/>
        </w:rPr>
      </w:pPr>
      <w:r>
        <w:rPr>
          <w:rFonts w:hint="eastAsia" w:ascii="仿宋" w:hAnsi="仿宋" w:eastAsia="仿宋" w:cs="仿宋"/>
          <w:b/>
          <w:color w:val="000000"/>
          <w:sz w:val="30"/>
          <w:szCs w:val="30"/>
        </w:rPr>
        <w:t>承诺人（法定代表人或法定代表人授权人）：</w:t>
      </w:r>
    </w:p>
    <w:p>
      <w:pPr>
        <w:snapToGrid w:val="0"/>
        <w:spacing w:line="600" w:lineRule="exact"/>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本公司就参加</w:t>
      </w:r>
      <w:r>
        <w:rPr>
          <w:rFonts w:hint="eastAsia" w:ascii="仿宋" w:hAnsi="仿宋" w:eastAsia="仿宋" w:cs="仿宋"/>
          <w:b/>
          <w:bCs/>
          <w:color w:val="000000"/>
          <w:sz w:val="30"/>
          <w:szCs w:val="30"/>
          <w:lang w:val="en-US" w:eastAsia="zh-CN"/>
        </w:rPr>
        <w:t>人保财险广东湛江农险、农网及V盟团队劳务服务采购项目</w:t>
      </w:r>
      <w:r>
        <w:rPr>
          <w:rFonts w:hint="eastAsia" w:ascii="仿宋" w:hAnsi="仿宋" w:eastAsia="仿宋" w:cs="仿宋"/>
          <w:color w:val="000000"/>
          <w:sz w:val="30"/>
          <w:szCs w:val="30"/>
        </w:rPr>
        <w:t>工作，郑重作出如下承诺：</w:t>
      </w:r>
    </w:p>
    <w:p>
      <w:pPr>
        <w:widowControl/>
        <w:snapToGrid w:val="0"/>
        <w:spacing w:line="600" w:lineRule="exact"/>
        <w:ind w:firstLine="602" w:firstLineChars="200"/>
        <w:rPr>
          <w:rFonts w:ascii="仿宋" w:hAnsi="仿宋" w:eastAsia="仿宋" w:cs="仿宋"/>
          <w:sz w:val="30"/>
          <w:szCs w:val="30"/>
        </w:rPr>
      </w:pPr>
      <w:r>
        <w:rPr>
          <w:rFonts w:hint="eastAsia" w:ascii="仿宋" w:hAnsi="仿宋" w:eastAsia="仿宋" w:cs="仿宋"/>
          <w:b/>
          <w:sz w:val="30"/>
          <w:szCs w:val="30"/>
        </w:rPr>
        <w:t>一、</w:t>
      </w:r>
      <w:r>
        <w:rPr>
          <w:rFonts w:hint="eastAsia" w:ascii="仿宋" w:hAnsi="仿宋" w:eastAsia="仿宋" w:cs="仿宋"/>
          <w:sz w:val="30"/>
          <w:szCs w:val="30"/>
        </w:rPr>
        <w:t>我方特作如下保密承诺：不论应标成功与否，对因上述项目我方在应标期间内从贵方所获取的与该项目有关的文件、技术资料、信息及其他有关文件严格进行保密，并保证不以任何形式（复印或扫描等）向第三方泄漏；同时对参与本项目的所有有关人员在使用上述信息、资料文件时进行登记备案；如我方中标，我方会就项目合同的执行与贵公司签署另外的保密协议。在后续的合同期间及其结束后，未经人保财险同意，保证不将与本项目有关的非公开资料用于发表和公布，或对外泄露。</w:t>
      </w:r>
    </w:p>
    <w:p>
      <w:pPr>
        <w:widowControl/>
        <w:snapToGrid w:val="0"/>
        <w:spacing w:line="600" w:lineRule="exact"/>
        <w:ind w:firstLine="600" w:firstLineChars="200"/>
        <w:rPr>
          <w:rFonts w:ascii="仿宋" w:hAnsi="仿宋" w:eastAsia="仿宋" w:cs="仿宋"/>
          <w:sz w:val="30"/>
          <w:szCs w:val="30"/>
        </w:rPr>
      </w:pPr>
      <w:r>
        <w:rPr>
          <w:rFonts w:hint="eastAsia" w:ascii="仿宋" w:hAnsi="仿宋" w:eastAsia="仿宋" w:cs="仿宋"/>
          <w:sz w:val="30"/>
          <w:szCs w:val="30"/>
        </w:rPr>
        <w:t>如我方人员出现泄密或违约行为，我方将根据相关的法律负责承担相应的法律责任。</w:t>
      </w:r>
    </w:p>
    <w:p>
      <w:pPr>
        <w:snapToGrid w:val="0"/>
        <w:spacing w:line="600" w:lineRule="exact"/>
        <w:ind w:firstLine="750" w:firstLineChars="250"/>
        <w:rPr>
          <w:rFonts w:ascii="仿宋" w:hAnsi="仿宋" w:eastAsia="仿宋" w:cs="仿宋"/>
          <w:color w:val="000000"/>
          <w:sz w:val="30"/>
          <w:szCs w:val="30"/>
        </w:rPr>
      </w:pPr>
      <w:r>
        <w:rPr>
          <w:rFonts w:hint="eastAsia" w:ascii="仿宋" w:hAnsi="仿宋" w:eastAsia="仿宋" w:cs="仿宋"/>
          <w:sz w:val="30"/>
          <w:szCs w:val="30"/>
        </w:rPr>
        <w:t>二、</w:t>
      </w:r>
      <w:r>
        <w:rPr>
          <w:rFonts w:hint="eastAsia" w:ascii="仿宋" w:hAnsi="仿宋" w:eastAsia="仿宋" w:cs="仿宋"/>
          <w:color w:val="000000"/>
          <w:sz w:val="30"/>
          <w:szCs w:val="30"/>
        </w:rPr>
        <w:t>我公司已经充分阅读并清楚理解采购要求，我司所提供的报名材料是真实、合法的。我公司保证不与其他响应单位围标、串标，不出让响应资格，不向发包人、采购小组成员行贿和私下联系，同时不出现其他不廉洁行为，如有违反上述规定，本人和本公司愿意接受一定时期内（6个月至1年，具体期限由贵公司视情况确定）不得参与贵公司管辖项目采购响应和参与的处罚，并愿意承担由此带来的法律后果；如果中选，本公司将严格遵守合规廉洁法律规章，认真依据双方所签订合同履行双方约定的权利和义务。</w:t>
      </w:r>
    </w:p>
    <w:p>
      <w:pPr>
        <w:snapToGrid w:val="0"/>
        <w:spacing w:line="6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特此承诺！</w:t>
      </w:r>
    </w:p>
    <w:p>
      <w:pPr>
        <w:bidi w:val="0"/>
        <w:rPr>
          <w:rFonts w:hint="eastAsia" w:asciiTheme="minorHAnsi" w:hAnsiTheme="minorHAnsi" w:eastAsiaTheme="minorEastAsia" w:cstheme="minorBidi"/>
          <w:kern w:val="2"/>
          <w:sz w:val="21"/>
          <w:szCs w:val="22"/>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2"/>
        <w:keepNext/>
        <w:keepLines/>
        <w:pageBreakBefore w:val="0"/>
        <w:widowControl w:val="0"/>
        <w:kinsoku/>
        <w:wordWrap/>
        <w:overflowPunct/>
        <w:topLinePunct w:val="0"/>
        <w:autoSpaceDE/>
        <w:autoSpaceDN/>
        <w:bidi w:val="0"/>
        <w:adjustRightInd/>
        <w:snapToGrid/>
        <w:spacing w:line="329" w:lineRule="auto"/>
        <w:textAlignment w:val="auto"/>
        <w:rPr>
          <w:rFonts w:hint="default" w:asciiTheme="majorEastAsia" w:hAnsiTheme="majorEastAsia" w:eastAsiaTheme="majorEastAsia"/>
          <w:sz w:val="32"/>
          <w:szCs w:val="32"/>
          <w:lang w:val="en-US" w:eastAsia="zh-CN"/>
        </w:rPr>
      </w:pPr>
      <w:r>
        <w:rPr>
          <w:rFonts w:hint="eastAsia" w:asciiTheme="majorEastAsia" w:hAnsiTheme="majorEastAsia" w:eastAsiaTheme="majorEastAsia"/>
          <w:sz w:val="32"/>
          <w:szCs w:val="32"/>
          <w:lang w:val="en-US" w:eastAsia="zh-CN"/>
        </w:rPr>
        <w:t>附件7：劳务服务合同</w:t>
      </w:r>
    </w:p>
    <w:p>
      <w:pPr>
        <w:bidi w:val="0"/>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劳务服务合同</w:t>
      </w:r>
    </w:p>
    <w:p>
      <w:pPr>
        <w:bidi w:val="0"/>
        <w:jc w:val="left"/>
        <w:rPr>
          <w:rFonts w:hint="eastAsia"/>
          <w:lang w:val="en-US" w:eastAsia="zh-CN"/>
        </w:rPr>
      </w:pPr>
    </w:p>
    <w:p>
      <w:pPr>
        <w:snapToGrid w:val="0"/>
        <w:spacing w:line="60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甲方:　中国人民财产保险股份有限公司湛江市分公司  　</w:t>
      </w:r>
    </w:p>
    <w:p>
      <w:pPr>
        <w:snapToGrid w:val="0"/>
        <w:spacing w:line="60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地址:                                                </w:t>
      </w: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乙方:　                                      　</w:t>
      </w:r>
    </w:p>
    <w:p>
      <w:pPr>
        <w:snapToGrid w:val="0"/>
        <w:spacing w:line="60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地址:                                        </w:t>
      </w:r>
    </w:p>
    <w:p>
      <w:pPr>
        <w:snapToGrid w:val="0"/>
        <w:spacing w:line="600" w:lineRule="exact"/>
        <w:rPr>
          <w:rFonts w:hint="eastAsia" w:ascii="仿宋" w:hAnsi="仿宋" w:eastAsia="仿宋" w:cs="仿宋"/>
          <w:color w:val="000000"/>
          <w:sz w:val="30"/>
          <w:szCs w:val="30"/>
          <w:lang w:val="en-US" w:eastAsia="zh-CN"/>
        </w:rPr>
      </w:pPr>
    </w:p>
    <w:p>
      <w:pPr>
        <w:snapToGrid w:val="0"/>
        <w:spacing w:line="60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鉴于：</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本合同双方当事人(1)均为依照中华人民共和国法律成立并有效存续的 独立法人或其分支机构，(2)并且已经获得签署本合同的相应授权，(3)具备履行本合同所必须的资质和条件。</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为保障双方的合法权益，根据《中华人民共和国民法典》及相关法律法规的规定，甲、乙双方在平等互利、协商一致的基础上，达成协议如下，以资共同遵照执行。</w:t>
      </w:r>
    </w:p>
    <w:p>
      <w:pPr>
        <w:snapToGrid w:val="0"/>
        <w:spacing w:line="600" w:lineRule="exact"/>
        <w:ind w:firstLine="4066" w:firstLineChars="13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商务部分</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第一条服务内容及要求</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(一)本合同项下甲乙双方约定的服务内容、业务流程及服务标准见本合同【附件】。</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(二)甲方根据该项目特点，特就服务数量、质量制定以下考核标准见【附件】,乙方对此考核标准无异议。</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第二条合同价格</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(一)双方同意乙方根据【附件】收费标准向甲方收取服务费用。</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二)本合同服务费用包括但不限于乙方向甲方提供服务所收取的劳务费、乙方按照法律规定应当缴纳的税款等因本合同而发生的费用。除合同服务费用总额外，甲方无须就本合同项下乙方的任何义务支付任何额外费用。</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(三)本合同付款安排见【附件】。</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(四)由于乙方未提供或未及时提供足额有效的增值税发票，或乙方变更账户信息但未提前通知甲方而导致的付款迟延，甲方不承担任何责任。</w:t>
      </w:r>
    </w:p>
    <w:p>
      <w:pPr>
        <w:snapToGrid w:val="0"/>
        <w:spacing w:line="600" w:lineRule="exact"/>
        <w:ind w:firstLine="753" w:firstLineChars="250"/>
        <w:jc w:val="both"/>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第三条双方的权利和义务</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除本合同约定的双方的权利义务外，甲乙双方在本合同项下的其他权利和义务见【附件】的约定。</w:t>
      </w:r>
    </w:p>
    <w:p>
      <w:pPr>
        <w:snapToGrid w:val="0"/>
        <w:spacing w:line="600" w:lineRule="exact"/>
        <w:ind w:firstLine="803" w:firstLineChars="250"/>
        <w:jc w:val="center"/>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en-US" w:eastAsia="zh-CN"/>
        </w:rPr>
        <w:t>通用部分</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第四条双方的权利和义务</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(一)甲方的权利和义务</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1.甲方有权获得本合同项下乙方应提供的全部合格的服务；</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2.甲方有权在合同期内对乙方的服务进行监督；</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3.乙方未按照合同约定履行义务的，甲方有权采取相应的整改措施；</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4.甲方应按照合同约定向乙方支付合同价款；</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5.甲方享有其它双方约定的权利、承担其它双方约定的义务。</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(二)乙方的权利和义务</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1.乙方有权获得甲方支付的合同价款；</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2.乙方应按照合同约定向甲方提供全部合格的服务；</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3.乙方应当按照合同约定的期限及要求完成项目内容；</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4.乙方应保证项目中主要人员的稳定性，如因乙方人员流失导致项目无 法按照约定的计划正常进行，乙方应在甲方书面同意的情况下提供同等或相 似资历和背景的工作人员；如双方未能就该等工作人员的替换达成一致的，</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甲方有权终止合同并扣除乙方未实施服务部分所对应的合同款项；</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5.甲方付款前，乙方应按照附件规定开具合法有效的增值税发票；</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6.乙方享有其它双方约定的权利、承担其它双方约定的义务。</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第五条禁止转让</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未经甲方书面同意，乙方不得将其本合同项下之全部义务或其中一部分义务转让给第三方执行。</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第六条权利保证</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乙方确保甲方不因签署本合同、接受或使用本合同中约定的事项侵犯甲 方或任何第三方权利。如乙方违反本保证，导致第三方主张权利或者甲方遭 受索赔，乙方应负责解决并应当赔偿甲方为此而支付的一切费用以及因此而 给甲方造成的全部损失(包括但不限于甲方支出的律师费、仲裁费、诉讼费以及向第三方支付的赔偿金)</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第七条违约责任</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(一)由于甲方原因不能按合同约定时间付款的，每延迟10个工作日，甲方按合同应付金额的  %向乙方支付违约金。</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(二)甲方无正当理由拖欠乙方外包服务费用30日(含30日)以上，且经乙方书面催告，在15个工作日内无正当理由仍不履行的，乙方可解除合同。</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(三)乙方未能按照质量要求提供服务的违约责任：</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由于乙方原因未能按照《附件一服务内容及要求》要求提供服务的，因 非客观原因，工作质量达不到要求的，按每次¥</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30"/>
          <w:szCs w:val="30"/>
          <w:lang w:val="en-US" w:eastAsia="zh-CN"/>
        </w:rPr>
        <w:t>元扣减当月甲方应付予 乙方的服务费作为违约金。同一乙方工作人员一年内提供的服务累计</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30"/>
          <w:szCs w:val="30"/>
          <w:lang w:val="en-US" w:eastAsia="zh-CN"/>
        </w:rPr>
        <w:t>次达不到甲方要求的，甲方可要求乙方替换该工作人员。</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(五)如果乙方违反本合同约定的保密义务，乙方应向甲方支付相当于合同服务费用总额</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30"/>
          <w:szCs w:val="30"/>
          <w:lang w:val="en-US" w:eastAsia="zh-CN"/>
        </w:rPr>
        <w:t>%的违约金，甲方受到的损失超出违约金的部分，由乙方继续承担赔偿责任。</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(六)除本合同的约定外，因乙方的违约行为给甲方造成损失的，乙方 应向甲方支付相当于合同服务费用总额   %的违约金，如甲方受到的损失超过违约金的，超出部分由乙方继续承担赔偿责任。</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(七)乙方应保护乙方外包人员的合法权益，如乙方与乙方外包人员发 生劳动纠纷或其他纠纷导致甲方承担责任或造成甲方损失，乙方应向甲方赔偿一切损失。</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第八条保密义务</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(一)乙方应保证对本合同的所有相关内容及其因履行本合同所获知的 各种甲方具有保密性质的信息(包括但不限于经营、管理、商务、技术、营 销、发展规划、客户信息等)负有保密义务，未经甲方事前书面许可，不得 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(二)乙方在本合同中所受领的保密信息应及时返还甲方或在甲方监督下予以销毁。乙方擅自留存备份信息，视为违反保密约定。</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(三)无论本合同因何种原因终止，本保密条款依然有效。</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第九条不可抗力</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(一)本合同任何一方因不可抗力不能履行本合同约定的全部或部分义 务，应尽快通知另一方，并应在不可抗力发生后3日内以书面形式向对方提  供详细情况报告及不可抗力对履行本合同影响程度的说明。甲、乙双方应根 据不可抗力对合同履行的影响程度，协商确定是否终止合同，或继续履行本合同。</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二)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(三)合同一方迟延履行后发生不可抗力的，不能免除其责任。</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(四)不可抗力因素消除后，双方应立即进行磋商，就不可抗力所造成 影响程度甲方有权决定是否继续履行或者终止本合同。如果甲方决定终止合同，如甲方已经付款，乙方应将已交付部分的款项在5日内向甲方返还。</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第十条合同变更</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对本合同的任何变更或补充，须经甲乙双方协商一致，并另行签订书面补充协议。</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第十一条合同特别终止</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(一)甲乙双方同意在乙方出现下列情形时，甲方可以书面形式通知乙 方(或者乙方的破产清算组或相关管理人)提出终止合同而不向其提供任何补偿：</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1.乙方破产、解散(包括但不限于乙方股东会决议解散、乙方被吊销营业执照、被责令关闭、被撤销、被司法机关裁决解散等情形);</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2.乙方发生未经甲方书面同意的重大产权变更(包括但不限于合并、分 立、注销等情形); (如系上市公司)被勒令停止上市；以及任何原因背负重大债务导致无履行能力；</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3.乙方在收到甲方服务费的情况下拖欠乙方外包人员工资30日(含)以上，甲方有权单方面解除本合同，因此导致乙方解除与外包人员劳动合同的经济补偿责任由乙方承担；</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4.乙方如不能为乙方外包人员办理社会保险手续，甲方可以单方面解除合同。</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(二)如果因上述原因导致本合同终止，甲方已经采取或者将要采取任何补救措施的权利不受任何影响。</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第十二条法律适用与争议解决</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(一)本合同的订立、效力、解释、履行和争议的解决均适用中华人民共和国法律(不包括港澳台地区法律)。</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(二)凡因本合同引起的或与本合同有关的任何争议，双方首先应友好 协商解决。如果在争议开始后三十日内仍未能解决，任一方均可向甲方所在地的人民法院提起诉讼。</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第十三条通知与送达</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本合同项下的通知送达，以及因本合同所发生的诉讼的法律文书送达均 以本合同扉页约定的联系方式为准，任何一方变更送达电话或地址，应当书 面通知对方，否则以该电话、地址送达即视为有效送达，由该方承担全部法律责任。</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第十四条合同生效及其他</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(一)本合同经甲乙双方法定代表人或授权代表签字并加盖公章后生效。服务期限自  年   月   日始，至   年   月    日止。</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(二)本合同   式  份，甲方执  份，乙方执   份。</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(三)无论本合同是否有相反约定，本合同附件作为本合同的组成部  分，与本合同具有同等的法律效力，当附件条款与本合同条款发生冲突时，以本合同条款为准。</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(四)本合同及合同附件(如有)是甲乙双方关于本次交易所最终确定 的全部内容，甲乙双方均承认其已审阅、理解本合同及合同附件的内容，并同意取代甲乙双方之间此前关于本次交易所做出的任何口头或书面的承诺。</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(五)由于法律和法规而导致本合同任何条款无效或无法执行，则该条款无效，但不影响剩余其他条款的效力。</w:t>
      </w:r>
    </w:p>
    <w:p>
      <w:pPr>
        <w:snapToGrid w:val="0"/>
        <w:spacing w:line="600" w:lineRule="exact"/>
        <w:ind w:firstLine="753" w:firstLineChars="250"/>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第十五条 附件的组成</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附件一、服务内容及要求</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附件二、付款</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附件三、双方的权利和义务</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附件四、增值税发票的相关约定</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附件五、外包项目服务费用结算申请单</w:t>
      </w: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rPr>
          <w:rFonts w:hint="eastAsia" w:ascii="仿宋" w:hAnsi="仿宋" w:eastAsia="仿宋" w:cs="仿宋"/>
          <w:color w:val="000000"/>
          <w:sz w:val="30"/>
          <w:szCs w:val="30"/>
          <w:lang w:val="en-US" w:eastAsia="zh-CN"/>
        </w:rPr>
      </w:pPr>
    </w:p>
    <w:p>
      <w:pPr>
        <w:snapToGrid w:val="0"/>
        <w:spacing w:line="600" w:lineRule="exact"/>
        <w:rPr>
          <w:rFonts w:hint="eastAsia" w:ascii="仿宋" w:hAnsi="仿宋" w:eastAsia="仿宋" w:cs="仿宋"/>
          <w:color w:val="000000"/>
          <w:sz w:val="30"/>
          <w:szCs w:val="30"/>
          <w:lang w:val="en-US" w:eastAsia="zh-CN"/>
        </w:rPr>
      </w:pPr>
    </w:p>
    <w:p>
      <w:pPr>
        <w:snapToGrid w:val="0"/>
        <w:spacing w:line="600" w:lineRule="exact"/>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(协议签字页)</w:t>
      </w: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兹证明，各方于       年     月      日签订本合同</w:t>
      </w: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甲方(盖章):中国人民财产保险股份有限公司湛江市分公司</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法定代表人/授权代表(签字):</w:t>
      </w: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乙方(盖章):</w:t>
      </w:r>
    </w:p>
    <w:p>
      <w:pPr>
        <w:snapToGrid w:val="0"/>
        <w:spacing w:line="600" w:lineRule="exact"/>
        <w:ind w:firstLine="750" w:firstLineChars="250"/>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法定代表人/授权代表(签字): </w:t>
      </w:r>
    </w:p>
    <w:p>
      <w:pPr>
        <w:snapToGrid w:val="0"/>
        <w:spacing w:line="600" w:lineRule="exact"/>
        <w:ind w:firstLine="750" w:firstLineChars="250"/>
        <w:rPr>
          <w:rFonts w:hint="eastAsia" w:ascii="仿宋" w:hAnsi="仿宋" w:eastAsia="仿宋" w:cs="仿宋"/>
          <w:color w:val="000000"/>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before="75" w:line="600" w:lineRule="exact"/>
        <w:ind w:left="533"/>
        <w:textAlignment w:val="auto"/>
        <w:rPr>
          <w:rFonts w:hint="eastAsia" w:ascii="仿宋" w:hAnsi="仿宋" w:eastAsia="仿宋" w:cs="仿宋"/>
          <w:b/>
          <w:bCs/>
          <w:spacing w:val="-4"/>
          <w:sz w:val="31"/>
          <w:szCs w:val="31"/>
        </w:rPr>
      </w:pPr>
    </w:p>
    <w:p>
      <w:pPr>
        <w:keepNext w:val="0"/>
        <w:keepLines w:val="0"/>
        <w:pageBreakBefore w:val="0"/>
        <w:widowControl w:val="0"/>
        <w:kinsoku/>
        <w:wordWrap/>
        <w:overflowPunct/>
        <w:topLinePunct w:val="0"/>
        <w:autoSpaceDE/>
        <w:autoSpaceDN/>
        <w:bidi w:val="0"/>
        <w:adjustRightInd/>
        <w:snapToGrid/>
        <w:spacing w:before="75" w:line="600" w:lineRule="exact"/>
        <w:ind w:left="533"/>
        <w:textAlignment w:val="auto"/>
        <w:rPr>
          <w:rFonts w:hint="eastAsia" w:ascii="仿宋" w:hAnsi="仿宋" w:eastAsia="仿宋" w:cs="仿宋"/>
          <w:b/>
          <w:bCs/>
          <w:spacing w:val="-4"/>
          <w:sz w:val="31"/>
          <w:szCs w:val="31"/>
        </w:rPr>
      </w:pPr>
    </w:p>
    <w:p>
      <w:pPr>
        <w:keepNext w:val="0"/>
        <w:keepLines w:val="0"/>
        <w:pageBreakBefore w:val="0"/>
        <w:widowControl w:val="0"/>
        <w:kinsoku/>
        <w:wordWrap/>
        <w:overflowPunct/>
        <w:topLinePunct w:val="0"/>
        <w:autoSpaceDE/>
        <w:autoSpaceDN/>
        <w:bidi w:val="0"/>
        <w:adjustRightInd/>
        <w:snapToGrid/>
        <w:spacing w:before="75" w:line="600" w:lineRule="exact"/>
        <w:ind w:left="533"/>
        <w:textAlignment w:val="auto"/>
        <w:rPr>
          <w:rFonts w:hint="eastAsia" w:ascii="仿宋" w:hAnsi="仿宋" w:eastAsia="仿宋" w:cs="仿宋"/>
          <w:b/>
          <w:bCs/>
          <w:spacing w:val="-4"/>
          <w:sz w:val="31"/>
          <w:szCs w:val="31"/>
        </w:rPr>
      </w:pPr>
    </w:p>
    <w:p>
      <w:pPr>
        <w:keepNext w:val="0"/>
        <w:keepLines w:val="0"/>
        <w:pageBreakBefore w:val="0"/>
        <w:widowControl w:val="0"/>
        <w:kinsoku/>
        <w:wordWrap/>
        <w:overflowPunct/>
        <w:topLinePunct w:val="0"/>
        <w:autoSpaceDE/>
        <w:autoSpaceDN/>
        <w:bidi w:val="0"/>
        <w:adjustRightInd/>
        <w:snapToGrid/>
        <w:spacing w:before="75" w:line="600" w:lineRule="exact"/>
        <w:ind w:left="533"/>
        <w:textAlignment w:val="auto"/>
        <w:rPr>
          <w:rFonts w:hint="eastAsia" w:ascii="仿宋" w:hAnsi="仿宋" w:eastAsia="仿宋" w:cs="仿宋"/>
          <w:b/>
          <w:bCs/>
          <w:spacing w:val="-4"/>
          <w:sz w:val="31"/>
          <w:szCs w:val="31"/>
        </w:rPr>
      </w:pPr>
    </w:p>
    <w:p>
      <w:pPr>
        <w:keepNext w:val="0"/>
        <w:keepLines w:val="0"/>
        <w:pageBreakBefore w:val="0"/>
        <w:widowControl w:val="0"/>
        <w:kinsoku/>
        <w:wordWrap/>
        <w:overflowPunct/>
        <w:topLinePunct w:val="0"/>
        <w:autoSpaceDE/>
        <w:autoSpaceDN/>
        <w:bidi w:val="0"/>
        <w:adjustRightInd/>
        <w:snapToGrid/>
        <w:spacing w:before="75" w:line="600" w:lineRule="exact"/>
        <w:ind w:left="533"/>
        <w:textAlignment w:val="auto"/>
        <w:rPr>
          <w:rFonts w:hint="eastAsia" w:ascii="仿宋" w:hAnsi="仿宋" w:eastAsia="仿宋" w:cs="仿宋"/>
          <w:b/>
          <w:bCs/>
          <w:spacing w:val="-4"/>
          <w:sz w:val="31"/>
          <w:szCs w:val="31"/>
        </w:rPr>
      </w:pPr>
    </w:p>
    <w:p>
      <w:pPr>
        <w:keepNext w:val="0"/>
        <w:keepLines w:val="0"/>
        <w:pageBreakBefore w:val="0"/>
        <w:widowControl w:val="0"/>
        <w:kinsoku/>
        <w:wordWrap/>
        <w:overflowPunct/>
        <w:topLinePunct w:val="0"/>
        <w:autoSpaceDE/>
        <w:autoSpaceDN/>
        <w:bidi w:val="0"/>
        <w:adjustRightInd/>
        <w:snapToGrid/>
        <w:spacing w:before="75" w:line="600" w:lineRule="exact"/>
        <w:textAlignment w:val="auto"/>
        <w:rPr>
          <w:rFonts w:hint="eastAsia" w:ascii="仿宋" w:hAnsi="仿宋" w:eastAsia="仿宋" w:cs="仿宋"/>
          <w:b/>
          <w:bCs/>
          <w:spacing w:val="-4"/>
          <w:sz w:val="31"/>
          <w:szCs w:val="31"/>
        </w:rPr>
      </w:pPr>
    </w:p>
    <w:p>
      <w:pPr>
        <w:keepNext w:val="0"/>
        <w:keepLines w:val="0"/>
        <w:pageBreakBefore w:val="0"/>
        <w:widowControl w:val="0"/>
        <w:kinsoku/>
        <w:wordWrap/>
        <w:overflowPunct/>
        <w:topLinePunct w:val="0"/>
        <w:autoSpaceDE/>
        <w:autoSpaceDN/>
        <w:bidi w:val="0"/>
        <w:adjustRightInd/>
        <w:snapToGrid/>
        <w:spacing w:before="75" w:line="600" w:lineRule="exact"/>
        <w:textAlignment w:val="auto"/>
        <w:rPr>
          <w:rFonts w:hint="eastAsia" w:ascii="仿宋" w:hAnsi="仿宋" w:eastAsia="仿宋" w:cs="仿宋"/>
          <w:sz w:val="31"/>
          <w:szCs w:val="31"/>
        </w:rPr>
      </w:pPr>
      <w:r>
        <w:rPr>
          <w:rFonts w:hint="eastAsia" w:ascii="仿宋" w:hAnsi="仿宋" w:eastAsia="仿宋" w:cs="仿宋"/>
          <w:b/>
          <w:bCs/>
          <w:spacing w:val="-4"/>
          <w:sz w:val="31"/>
          <w:szCs w:val="31"/>
        </w:rPr>
        <w:t>附件一</w:t>
      </w:r>
    </w:p>
    <w:p>
      <w:pPr>
        <w:keepNext w:val="0"/>
        <w:keepLines w:val="0"/>
        <w:pageBreakBefore w:val="0"/>
        <w:widowControl w:val="0"/>
        <w:kinsoku/>
        <w:wordWrap/>
        <w:overflowPunct/>
        <w:topLinePunct w:val="0"/>
        <w:autoSpaceDE/>
        <w:autoSpaceDN/>
        <w:bidi w:val="0"/>
        <w:adjustRightInd/>
        <w:snapToGrid/>
        <w:spacing w:before="144" w:line="600" w:lineRule="exact"/>
        <w:ind w:left="4643"/>
        <w:jc w:val="both"/>
        <w:textAlignment w:val="auto"/>
        <w:rPr>
          <w:rFonts w:hint="eastAsia" w:ascii="仿宋" w:hAnsi="仿宋" w:eastAsia="仿宋" w:cs="仿宋"/>
          <w:sz w:val="31"/>
          <w:szCs w:val="31"/>
        </w:rPr>
      </w:pPr>
      <w:r>
        <w:rPr>
          <w:rFonts w:hint="eastAsia" w:ascii="仿宋" w:hAnsi="仿宋" w:eastAsia="仿宋" w:cs="仿宋"/>
          <w:b/>
          <w:bCs/>
          <w:spacing w:val="3"/>
          <w:sz w:val="31"/>
          <w:szCs w:val="31"/>
        </w:rPr>
        <w:t>服务内容及要求</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1.项目名称</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项目名称：</w:t>
      </w:r>
      <w:r>
        <w:rPr>
          <w:rFonts w:hint="eastAsia" w:ascii="仿宋_GB2312" w:hAnsi="仿宋_GB2312" w:eastAsia="仿宋_GB2312" w:cs="仿宋_GB2312"/>
          <w:sz w:val="32"/>
          <w:szCs w:val="32"/>
          <w:lang w:val="en-US" w:eastAsia="zh-CN"/>
        </w:rPr>
        <w:t>人保财险广东湛江农险、农网及V盟团队劳务服务采购项目</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 项目内容</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2.1 乙方向甲方提供的服务的内容</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乙方根据甲方提供的项目需求及标准，完成甲方规定的事项，外包事项、工作要求及外</w:t>
      </w:r>
      <w:r>
        <w:rPr>
          <w:rFonts w:hint="eastAsia" w:ascii="仿宋_GB2312" w:hAnsi="仿宋_GB2312" w:eastAsia="仿宋_GB2312" w:cs="仿宋_GB2312"/>
          <w:sz w:val="32"/>
          <w:szCs w:val="32"/>
          <w:lang w:val="en-US" w:eastAsia="zh-CN"/>
        </w:rPr>
        <w:t>包人员的资质要求如下：</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2.1.1</w:t>
      </w:r>
      <w:r>
        <w:rPr>
          <w:rFonts w:hint="eastAsia" w:ascii="仿宋_GB2312" w:hAnsi="仿宋_GB2312" w:eastAsia="仿宋_GB2312" w:cs="仿宋_GB2312"/>
          <w:sz w:val="32"/>
          <w:szCs w:val="32"/>
          <w:lang w:val="en-US" w:eastAsia="zh-CN"/>
        </w:rPr>
        <w:t>劳务服务项目</w:t>
      </w:r>
      <w:r>
        <w:rPr>
          <w:rFonts w:hint="eastAsia" w:ascii="仿宋_GB2312" w:hAnsi="仿宋_GB2312" w:eastAsia="仿宋_GB2312" w:cs="仿宋_GB2312"/>
          <w:sz w:val="32"/>
          <w:szCs w:val="32"/>
        </w:rPr>
        <w:t>事项及工作要求</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（1）劳务人数要求及工作要求</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拟采购农险、农网及V盟团队劳务服务，劳务人员约55人，包括但不限于服务供应商派遣的劳务人员协助承保、理赔等相关事务，如协助收集承保资料、承保验标、理赔查勘、理赔资料收集，以及合规和风险管理等工作。</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（2）服务要求</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人才招聘服务</w:t>
      </w:r>
      <w:r>
        <w:rPr>
          <w:rFonts w:hint="eastAsia" w:ascii="仿宋_GB2312" w:hAnsi="仿宋_GB2312" w:eastAsia="仿宋_GB2312" w:cs="仿宋_GB2312"/>
          <w:b w:val="0"/>
          <w:bCs w:val="0"/>
          <w:sz w:val="32"/>
          <w:szCs w:val="32"/>
        </w:rPr>
        <w:t>，服务供应商通过多渠道招聘具有保险销售经验和专业技能的劳务人员；</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培训赋能服务</w:t>
      </w:r>
      <w:r>
        <w:rPr>
          <w:rFonts w:hint="eastAsia" w:ascii="仿宋_GB2312" w:hAnsi="仿宋_GB2312" w:eastAsia="仿宋_GB2312" w:cs="仿宋_GB2312"/>
          <w:b w:val="0"/>
          <w:bCs w:val="0"/>
          <w:sz w:val="32"/>
          <w:szCs w:val="32"/>
        </w:rPr>
        <w:t>，服务供应商为新入职的劳务人员提供全面入职培训，包括保险产品知识、销售技巧、法律法规等方面的培训，以提升劳务人员的专业素养和销售能力；</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劳务人员管理服务</w:t>
      </w:r>
      <w:r>
        <w:rPr>
          <w:rFonts w:hint="eastAsia" w:ascii="仿宋_GB2312" w:hAnsi="仿宋_GB2312" w:eastAsia="仿宋_GB2312" w:cs="仿宋_GB2312"/>
          <w:b w:val="0"/>
          <w:bCs w:val="0"/>
          <w:sz w:val="32"/>
          <w:szCs w:val="32"/>
        </w:rPr>
        <w:t>，服务供应商对劳务人员进行日常考勤，工作纪律、销售行为等方面的管理，确保劳务人员保持良好工作状态；定期对劳务人员销售业绩进行考核，激励劳务人员积极工作；</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销售支持服务</w:t>
      </w:r>
      <w:r>
        <w:rPr>
          <w:rFonts w:hint="eastAsia" w:ascii="仿宋_GB2312" w:hAnsi="仿宋_GB2312" w:eastAsia="仿宋_GB2312" w:cs="仿宋_GB2312"/>
          <w:b w:val="0"/>
          <w:bCs w:val="0"/>
          <w:sz w:val="32"/>
          <w:szCs w:val="32"/>
        </w:rPr>
        <w:t>，服务供应商为劳务人员提供必要的销售工具，如销售话术、客户案例等，协助劳务人员处理客户咨询、投诉等问题；</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rPr>
        <w:t>合规与风险管理服务</w:t>
      </w:r>
      <w:r>
        <w:rPr>
          <w:rFonts w:hint="eastAsia" w:ascii="仿宋_GB2312" w:hAnsi="仿宋_GB2312" w:eastAsia="仿宋_GB2312" w:cs="仿宋_GB2312"/>
          <w:b w:val="0"/>
          <w:bCs w:val="0"/>
          <w:sz w:val="32"/>
          <w:szCs w:val="32"/>
        </w:rPr>
        <w:t>，服务供应商定期对劳务人员进行合规培训，确保劳务人员了解并尊守保险行业的法律法规和监管要求，防范合规风险，对销售过程中可能出现的风险进行识别和评估，制定相应的风险应对措施，确保销售活动的顺利进行。</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jc w:val="both"/>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服务人员的资质要求</w:t>
      </w:r>
      <w:r>
        <w:rPr>
          <w:rFonts w:hint="eastAsia" w:ascii="仿宋_GB2312" w:hAnsi="仿宋_GB2312" w:eastAsia="仿宋_GB2312" w:cs="仿宋_GB2312"/>
          <w:b/>
          <w:bCs/>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（1）学历要求：大专及以上学历；</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pacing w:val="0"/>
          <w:w w:val="100"/>
          <w:position w:val="0"/>
          <w:sz w:val="32"/>
          <w:szCs w:val="32"/>
          <w:lang w:val="en-US" w:eastAsia="zh-CN"/>
        </w:rPr>
      </w:pPr>
      <w:r>
        <w:rPr>
          <w:rFonts w:hint="eastAsia" w:ascii="仿宋_GB2312" w:hAnsi="仿宋_GB2312" w:eastAsia="仿宋_GB2312" w:cs="仿宋_GB2312"/>
          <w:spacing w:val="0"/>
          <w:w w:val="100"/>
          <w:position w:val="0"/>
          <w:sz w:val="32"/>
          <w:szCs w:val="32"/>
          <w:lang w:val="en-US" w:eastAsia="zh-CN"/>
        </w:rPr>
        <w:t>（2）年龄要求：原则上为35周岁以下(条件优秀者可放宽至40周岁)；</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pacing w:val="0"/>
          <w:w w:val="100"/>
          <w:position w:val="0"/>
          <w:sz w:val="32"/>
          <w:szCs w:val="32"/>
          <w:lang w:val="zh-CN" w:eastAsia="zh-CN"/>
        </w:rPr>
      </w:pPr>
      <w:r>
        <w:rPr>
          <w:rFonts w:hint="eastAsia" w:ascii="仿宋_GB2312" w:hAnsi="仿宋_GB2312" w:eastAsia="仿宋_GB2312" w:cs="仿宋_GB2312"/>
          <w:spacing w:val="0"/>
          <w:w w:val="100"/>
          <w:position w:val="0"/>
          <w:sz w:val="32"/>
          <w:szCs w:val="32"/>
          <w:lang w:val="en-US" w:eastAsia="zh-CN"/>
        </w:rPr>
        <w:t>（3）经验要求：</w:t>
      </w:r>
      <w:r>
        <w:rPr>
          <w:rFonts w:hint="eastAsia" w:ascii="仿宋_GB2312" w:hAnsi="仿宋_GB2312" w:eastAsia="仿宋_GB2312" w:cs="仿宋_GB2312"/>
          <w:spacing w:val="0"/>
          <w:w w:val="100"/>
          <w:position w:val="0"/>
          <w:sz w:val="32"/>
          <w:szCs w:val="32"/>
          <w:lang w:val="zh-CN" w:eastAsia="zh-CN"/>
        </w:rPr>
        <w:t>具备一定语言和文字表达能力；具备与岗位职责相应的观察、处置问题的能力；</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pacing w:val="0"/>
          <w:w w:val="100"/>
          <w:position w:val="0"/>
          <w:sz w:val="32"/>
          <w:szCs w:val="32"/>
          <w:lang w:val="en-US" w:eastAsia="zh-CN"/>
        </w:rPr>
      </w:pPr>
      <w:r>
        <w:rPr>
          <w:rFonts w:hint="eastAsia" w:ascii="仿宋_GB2312" w:hAnsi="仿宋_GB2312" w:eastAsia="仿宋_GB2312" w:cs="仿宋_GB2312"/>
          <w:spacing w:val="0"/>
          <w:w w:val="100"/>
          <w:position w:val="0"/>
          <w:sz w:val="32"/>
          <w:szCs w:val="32"/>
          <w:lang w:val="en-US" w:eastAsia="zh-CN"/>
        </w:rPr>
        <w:t>（4）其他要求：派驻外包人员无近亲属在人保系统内任正式员工或同为外包项目派驻外包人员。</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pacing w:val="0"/>
          <w:w w:val="100"/>
          <w:position w:val="0"/>
          <w:sz w:val="32"/>
          <w:szCs w:val="32"/>
        </w:rPr>
      </w:pPr>
      <w:r>
        <w:rPr>
          <w:rFonts w:hint="eastAsia" w:ascii="仿宋_GB2312" w:hAnsi="仿宋_GB2312" w:eastAsia="仿宋_GB2312" w:cs="仿宋_GB2312"/>
          <w:spacing w:val="0"/>
          <w:w w:val="100"/>
          <w:position w:val="0"/>
          <w:sz w:val="32"/>
          <w:szCs w:val="32"/>
        </w:rPr>
        <w:t xml:space="preserve">3.服 务 期 限 ：  年   月   日始， 至 </w:t>
      </w:r>
      <w:r>
        <w:rPr>
          <w:rFonts w:hint="eastAsia" w:ascii="仿宋_GB2312" w:hAnsi="仿宋_GB2312" w:eastAsia="仿宋_GB2312" w:cs="仿宋_GB2312"/>
          <w:spacing w:val="0"/>
          <w:w w:val="100"/>
          <w:position w:val="0"/>
          <w:sz w:val="32"/>
          <w:szCs w:val="32"/>
          <w:lang w:val="en-US" w:eastAsia="zh-CN"/>
        </w:rPr>
        <w:t xml:space="preserve">  </w:t>
      </w:r>
      <w:r>
        <w:rPr>
          <w:rFonts w:hint="eastAsia" w:ascii="仿宋_GB2312" w:hAnsi="仿宋_GB2312" w:eastAsia="仿宋_GB2312" w:cs="仿宋_GB2312"/>
          <w:spacing w:val="0"/>
          <w:w w:val="100"/>
          <w:position w:val="0"/>
          <w:sz w:val="32"/>
          <w:szCs w:val="32"/>
        </w:rPr>
        <w:t xml:space="preserve"> 年   月   日止。</w:t>
      </w:r>
    </w:p>
    <w:p>
      <w:pPr>
        <w:keepNext w:val="0"/>
        <w:keepLines w:val="0"/>
        <w:pageBreakBefore w:val="0"/>
        <w:widowControl w:val="0"/>
        <w:numPr>
          <w:ilvl w:val="0"/>
          <w:numId w:val="4"/>
        </w:numPr>
        <w:kinsoku/>
        <w:wordWrap/>
        <w:overflowPunct/>
        <w:topLinePunct w:val="0"/>
        <w:autoSpaceDE/>
        <w:autoSpaceDN/>
        <w:bidi w:val="0"/>
        <w:adjustRightInd/>
        <w:snapToGrid/>
        <w:spacing w:before="40" w:line="600" w:lineRule="exact"/>
        <w:ind w:left="0" w:leftChars="0" w:right="0" w:firstLine="640" w:firstLineChars="200"/>
        <w:jc w:val="both"/>
        <w:textAlignment w:val="auto"/>
        <w:rPr>
          <w:rFonts w:hint="eastAsia" w:ascii="仿宋_GB2312" w:hAnsi="仿宋_GB2312" w:eastAsia="仿宋_GB2312" w:cs="仿宋_GB2312"/>
          <w:spacing w:val="0"/>
          <w:w w:val="100"/>
          <w:position w:val="0"/>
          <w:sz w:val="32"/>
          <w:szCs w:val="32"/>
        </w:rPr>
      </w:pPr>
      <w:r>
        <w:rPr>
          <w:rFonts w:hint="eastAsia" w:ascii="仿宋_GB2312" w:hAnsi="仿宋_GB2312" w:eastAsia="仿宋_GB2312" w:cs="仿宋_GB2312"/>
          <w:spacing w:val="0"/>
          <w:w w:val="100"/>
          <w:position w:val="0"/>
          <w:sz w:val="32"/>
          <w:szCs w:val="32"/>
        </w:rPr>
        <w:t>甲方应按照合同约定及时足额向乙方支付服务费用(包含但不限于应发工资、社会保险、公积金、管理费、税金、残疾人保障金及其他应付费用等)。服务费=外包人员应发工资+社会保险费用+公积金费用+管理费+其他应付</w:t>
      </w:r>
      <w:r>
        <w:rPr>
          <w:rFonts w:hint="eastAsia" w:ascii="仿宋_GB2312" w:hAnsi="仿宋_GB2312" w:eastAsia="仿宋_GB2312" w:cs="仿宋_GB2312"/>
          <w:spacing w:val="0"/>
          <w:w w:val="100"/>
          <w:position w:val="0"/>
          <w:sz w:val="32"/>
          <w:szCs w:val="32"/>
          <w:lang w:val="en-US" w:eastAsia="zh-CN"/>
        </w:rPr>
        <w:t>费用。</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pacing w:val="0"/>
          <w:w w:val="100"/>
          <w:position w:val="0"/>
          <w:sz w:val="32"/>
          <w:szCs w:val="32"/>
        </w:rPr>
      </w:pPr>
      <w:r>
        <w:rPr>
          <w:rFonts w:hint="eastAsia" w:ascii="仿宋_GB2312" w:hAnsi="仿宋_GB2312" w:eastAsia="仿宋_GB2312" w:cs="仿宋_GB2312"/>
          <w:spacing w:val="0"/>
          <w:w w:val="100"/>
          <w:position w:val="0"/>
          <w:sz w:val="32"/>
          <w:szCs w:val="32"/>
        </w:rPr>
        <w:t>4.1 每月合同服务费用包括但不限于按照合同约定甲方应给乙方的本合同 项目下乙方派驻人员的每月工资总额和应交保险费用、福利费、管理费</w:t>
      </w:r>
      <w:r>
        <w:rPr>
          <w:rFonts w:hint="eastAsia" w:ascii="仿宋_GB2312" w:hAnsi="仿宋_GB2312" w:eastAsia="仿宋_GB2312" w:cs="仿宋_GB2312"/>
          <w:spacing w:val="0"/>
          <w:w w:val="100"/>
          <w:position w:val="0"/>
          <w:sz w:val="32"/>
          <w:szCs w:val="32"/>
          <w:lang w:val="en-US" w:eastAsia="zh-CN"/>
        </w:rPr>
        <w:t>及相关税金等一切费用。</w:t>
      </w:r>
    </w:p>
    <w:p>
      <w:pPr>
        <w:keepNext w:val="0"/>
        <w:keepLines w:val="0"/>
        <w:pageBreakBefore w:val="0"/>
        <w:widowControl w:val="0"/>
        <w:kinsoku/>
        <w:wordWrap/>
        <w:overflowPunct/>
        <w:topLinePunct w:val="0"/>
        <w:autoSpaceDE/>
        <w:autoSpaceDN/>
        <w:bidi w:val="0"/>
        <w:adjustRightInd/>
        <w:snapToGrid/>
        <w:spacing w:before="40" w:line="600" w:lineRule="exact"/>
        <w:ind w:right="0" w:firstLine="640" w:firstLineChars="200"/>
        <w:jc w:val="both"/>
        <w:textAlignment w:val="auto"/>
        <w:rPr>
          <w:rFonts w:hint="eastAsia" w:ascii="仿宋_GB2312" w:hAnsi="仿宋_GB2312" w:eastAsia="仿宋_GB2312" w:cs="仿宋_GB2312"/>
          <w:spacing w:val="0"/>
          <w:w w:val="100"/>
          <w:position w:val="0"/>
          <w:sz w:val="32"/>
          <w:szCs w:val="32"/>
          <w:lang w:val="en-US" w:eastAsia="zh-CN"/>
        </w:rPr>
      </w:pPr>
      <w:r>
        <w:rPr>
          <w:rFonts w:hint="eastAsia" w:ascii="仿宋_GB2312" w:hAnsi="仿宋_GB2312" w:eastAsia="仿宋_GB2312" w:cs="仿宋_GB2312"/>
          <w:spacing w:val="0"/>
          <w:w w:val="100"/>
          <w:position w:val="0"/>
          <w:sz w:val="32"/>
          <w:szCs w:val="32"/>
          <w:highlight w:val="none"/>
        </w:rPr>
        <w:t>4.2本</w:t>
      </w:r>
      <w:r>
        <w:rPr>
          <w:rFonts w:hint="eastAsia" w:ascii="仿宋_GB2312" w:hAnsi="仿宋_GB2312" w:eastAsia="仿宋_GB2312" w:cs="仿宋_GB2312"/>
          <w:spacing w:val="0"/>
          <w:w w:val="100"/>
          <w:position w:val="0"/>
          <w:sz w:val="32"/>
          <w:szCs w:val="32"/>
        </w:rPr>
        <w:t>合同服务费用为甲方购买乙方提供的本合同项下服务所发生的费</w:t>
      </w:r>
      <w:r>
        <w:rPr>
          <w:rFonts w:hint="eastAsia" w:ascii="仿宋_GB2312" w:hAnsi="仿宋_GB2312" w:eastAsia="仿宋_GB2312" w:cs="仿宋_GB2312"/>
          <w:spacing w:val="0"/>
          <w:w w:val="100"/>
          <w:position w:val="0"/>
          <w:sz w:val="32"/>
          <w:szCs w:val="32"/>
          <w:lang w:val="en-US" w:eastAsia="zh-CN"/>
        </w:rPr>
        <w:t>用包括但不限于服务费用、乙方报酬及乙方应付税金等。</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pacing w:val="0"/>
          <w:w w:val="100"/>
          <w:position w:val="0"/>
          <w:sz w:val="32"/>
          <w:szCs w:val="32"/>
        </w:rPr>
      </w:pPr>
      <w:r>
        <w:rPr>
          <w:rFonts w:hint="eastAsia" w:ascii="仿宋_GB2312" w:hAnsi="仿宋_GB2312" w:eastAsia="仿宋_GB2312" w:cs="仿宋_GB2312"/>
          <w:spacing w:val="0"/>
          <w:w w:val="100"/>
          <w:position w:val="0"/>
          <w:sz w:val="32"/>
          <w:szCs w:val="32"/>
        </w:rPr>
        <w:t>5. 告 知</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pacing w:val="0"/>
          <w:w w:val="100"/>
          <w:position w:val="0"/>
          <w:sz w:val="32"/>
          <w:szCs w:val="32"/>
        </w:rPr>
      </w:pPr>
      <w:r>
        <w:rPr>
          <w:rFonts w:hint="eastAsia" w:ascii="仿宋_GB2312" w:hAnsi="仿宋_GB2312" w:eastAsia="仿宋_GB2312" w:cs="仿宋_GB2312"/>
          <w:spacing w:val="0"/>
          <w:w w:val="100"/>
          <w:position w:val="0"/>
          <w:sz w:val="32"/>
          <w:szCs w:val="32"/>
        </w:rPr>
        <w:t>甲乙双方同意涉及本合同的一切事宜均以书面形式提交，双方应及时响应。</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spacing w:val="0"/>
          <w:w w:val="100"/>
          <w:position w:val="0"/>
          <w:sz w:val="32"/>
          <w:szCs w:val="32"/>
        </w:rPr>
      </w:pPr>
      <w:r>
        <w:rPr>
          <w:rFonts w:hint="eastAsia" w:ascii="仿宋_GB2312" w:hAnsi="仿宋_GB2312" w:eastAsia="仿宋_GB2312" w:cs="仿宋_GB2312"/>
          <w:spacing w:val="0"/>
          <w:w w:val="100"/>
          <w:position w:val="0"/>
          <w:sz w:val="32"/>
          <w:szCs w:val="32"/>
        </w:rPr>
        <w:t>6.问题项目处理</w:t>
      </w:r>
    </w:p>
    <w:p>
      <w:pPr>
        <w:keepNext w:val="0"/>
        <w:keepLines w:val="0"/>
        <w:pageBreakBefore w:val="0"/>
        <w:widowControl w:val="0"/>
        <w:kinsoku/>
        <w:wordWrap/>
        <w:overflowPunct/>
        <w:topLinePunct w:val="0"/>
        <w:autoSpaceDE/>
        <w:autoSpaceDN/>
        <w:bidi w:val="0"/>
        <w:adjustRightInd/>
        <w:snapToGrid/>
        <w:spacing w:before="40" w:line="600" w:lineRule="exact"/>
        <w:ind w:right="0" w:firstLine="640" w:firstLineChars="200"/>
        <w:jc w:val="left"/>
        <w:textAlignment w:val="auto"/>
        <w:rPr>
          <w:rFonts w:hint="eastAsia" w:ascii="仿宋_GB2312" w:hAnsi="仿宋_GB2312" w:eastAsia="仿宋_GB2312" w:cs="仿宋_GB2312"/>
          <w:spacing w:val="0"/>
          <w:w w:val="100"/>
          <w:position w:val="0"/>
          <w:sz w:val="32"/>
          <w:szCs w:val="32"/>
          <w:lang w:val="en-US" w:eastAsia="zh-CN"/>
        </w:rPr>
      </w:pPr>
      <w:r>
        <w:rPr>
          <w:rFonts w:hint="eastAsia" w:ascii="仿宋_GB2312" w:hAnsi="仿宋_GB2312" w:eastAsia="仿宋_GB2312" w:cs="仿宋_GB2312"/>
          <w:spacing w:val="0"/>
          <w:w w:val="100"/>
          <w:position w:val="0"/>
          <w:sz w:val="32"/>
          <w:szCs w:val="32"/>
        </w:rPr>
        <w:t>问题项目的处理应按照甲方项目管理规范的要求进行。在项目实施过程中， 如因乙方原因造成项目出现异常且在30天内乙方未改变问题项目现状，则甲方 有权终止该项目，并拒绝支付剩余款项，甲方有权要求乙方退回已收取的合同费用，并保留向乙方追偿损失的权利。</w:t>
      </w: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rPr>
          <w:rFonts w:hint="eastAsia" w:ascii="仿宋" w:hAnsi="仿宋" w:eastAsia="仿宋" w:cs="仿宋"/>
          <w:b/>
          <w:bCs/>
          <w:spacing w:val="-8"/>
          <w:sz w:val="32"/>
          <w:szCs w:val="32"/>
        </w:rPr>
      </w:pPr>
      <w:r>
        <w:rPr>
          <w:rFonts w:hint="eastAsia" w:ascii="仿宋" w:hAnsi="仿宋" w:eastAsia="仿宋" w:cs="仿宋"/>
          <w:b/>
          <w:bCs/>
          <w:spacing w:val="-8"/>
          <w:sz w:val="32"/>
          <w:szCs w:val="32"/>
        </w:rPr>
        <w:br w:type="page"/>
      </w:r>
    </w:p>
    <w:p>
      <w:pPr>
        <w:keepNext w:val="0"/>
        <w:keepLines w:val="0"/>
        <w:pageBreakBefore w:val="0"/>
        <w:widowControl w:val="0"/>
        <w:kinsoku/>
        <w:wordWrap/>
        <w:overflowPunct/>
        <w:topLinePunct w:val="0"/>
        <w:autoSpaceDE/>
        <w:autoSpaceDN/>
        <w:bidi w:val="0"/>
        <w:adjustRightInd/>
        <w:snapToGrid/>
        <w:spacing w:before="75" w:line="600" w:lineRule="exact"/>
        <w:textAlignment w:val="auto"/>
        <w:rPr>
          <w:rFonts w:hint="eastAsia" w:ascii="仿宋" w:hAnsi="仿宋" w:eastAsia="仿宋" w:cs="仿宋"/>
          <w:sz w:val="32"/>
          <w:szCs w:val="32"/>
        </w:rPr>
      </w:pPr>
      <w:r>
        <w:rPr>
          <w:rFonts w:hint="eastAsia" w:ascii="仿宋" w:hAnsi="仿宋" w:eastAsia="仿宋" w:cs="仿宋"/>
          <w:b/>
          <w:bCs/>
          <w:spacing w:val="-8"/>
          <w:sz w:val="32"/>
          <w:szCs w:val="32"/>
        </w:rPr>
        <w:t>附件二</w:t>
      </w:r>
    </w:p>
    <w:p>
      <w:pPr>
        <w:keepNext w:val="0"/>
        <w:keepLines w:val="0"/>
        <w:pageBreakBefore w:val="0"/>
        <w:widowControl w:val="0"/>
        <w:kinsoku/>
        <w:wordWrap/>
        <w:overflowPunct/>
        <w:topLinePunct w:val="0"/>
        <w:autoSpaceDE/>
        <w:autoSpaceDN/>
        <w:bidi w:val="0"/>
        <w:adjustRightInd/>
        <w:snapToGrid/>
        <w:spacing w:before="222" w:line="600" w:lineRule="exact"/>
        <w:ind w:left="3904"/>
        <w:jc w:val="both"/>
        <w:textAlignment w:val="auto"/>
        <w:rPr>
          <w:rFonts w:hint="eastAsia" w:ascii="仿宋" w:hAnsi="仿宋" w:eastAsia="仿宋" w:cs="仿宋"/>
          <w:sz w:val="32"/>
          <w:szCs w:val="32"/>
        </w:rPr>
      </w:pPr>
      <w:r>
        <w:rPr>
          <w:rFonts w:hint="eastAsia" w:ascii="仿宋" w:hAnsi="仿宋" w:eastAsia="仿宋" w:cs="仿宋"/>
          <w:b/>
          <w:bCs/>
          <w:spacing w:val="-4"/>
          <w:sz w:val="32"/>
          <w:szCs w:val="32"/>
        </w:rPr>
        <w:t>付款</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textAlignment w:val="auto"/>
        <w:rPr>
          <w:rFonts w:hint="eastAsia" w:ascii="仿宋_GB2312" w:hAnsi="仿宋_GB2312" w:eastAsia="仿宋_GB2312" w:cs="仿宋_GB2312"/>
          <w:b/>
          <w:bCs/>
          <w:spacing w:val="0"/>
          <w:position w:val="0"/>
          <w:sz w:val="32"/>
          <w:szCs w:val="32"/>
        </w:rPr>
      </w:pPr>
      <w:r>
        <w:rPr>
          <w:rFonts w:hint="eastAsia" w:ascii="仿宋_GB2312" w:hAnsi="仿宋_GB2312" w:eastAsia="仿宋_GB2312" w:cs="仿宋_GB2312"/>
          <w:b/>
          <w:bCs/>
          <w:spacing w:val="0"/>
          <w:position w:val="0"/>
          <w:sz w:val="32"/>
          <w:szCs w:val="32"/>
        </w:rPr>
        <w:t>1. 使用币种</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本合同使用货币种类为人民币。</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b/>
          <w:bCs/>
          <w:spacing w:val="0"/>
          <w:position w:val="0"/>
          <w:sz w:val="32"/>
          <w:szCs w:val="32"/>
        </w:rPr>
        <w:t>2. 付款方式：</w:t>
      </w:r>
      <w:r>
        <w:rPr>
          <w:rFonts w:hint="eastAsia" w:ascii="仿宋_GB2312" w:hAnsi="仿宋_GB2312" w:eastAsia="仿宋_GB2312" w:cs="仿宋_GB2312"/>
          <w:spacing w:val="0"/>
          <w:position w:val="0"/>
          <w:sz w:val="32"/>
          <w:szCs w:val="32"/>
        </w:rPr>
        <w:t>转账。双方采用转账方式付款的，甲方应向乙方以下账户</w:t>
      </w:r>
      <w:r>
        <w:rPr>
          <w:rFonts w:hint="eastAsia" w:ascii="仿宋_GB2312" w:hAnsi="仿宋_GB2312" w:eastAsia="仿宋_GB2312" w:cs="仿宋_GB2312"/>
          <w:spacing w:val="0"/>
          <w:position w:val="0"/>
          <w:sz w:val="32"/>
          <w:szCs w:val="32"/>
          <w:lang w:val="en-US" w:eastAsia="zh-CN"/>
        </w:rPr>
        <w:t>进行付费：</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 xml:space="preserve">乙方： </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开户行：</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账户名称</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账 号 ：</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乙方如需改变上述账户，应提前10日以书面通知甲方。</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textAlignment w:val="auto"/>
        <w:rPr>
          <w:rFonts w:hint="eastAsia" w:ascii="仿宋_GB2312" w:hAnsi="仿宋_GB2312" w:eastAsia="仿宋_GB2312" w:cs="仿宋_GB2312"/>
          <w:b/>
          <w:bCs/>
          <w:spacing w:val="0"/>
          <w:position w:val="0"/>
          <w:sz w:val="32"/>
          <w:szCs w:val="32"/>
        </w:rPr>
      </w:pPr>
      <w:r>
        <w:rPr>
          <w:rFonts w:hint="eastAsia" w:ascii="仿宋_GB2312" w:hAnsi="仿宋_GB2312" w:eastAsia="仿宋_GB2312" w:cs="仿宋_GB2312"/>
          <w:b/>
          <w:bCs/>
          <w:spacing w:val="0"/>
          <w:position w:val="0"/>
          <w:sz w:val="32"/>
          <w:szCs w:val="32"/>
        </w:rPr>
        <w:t>3. 付款安排</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textAlignment w:val="auto"/>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val="en-US" w:eastAsia="zh-CN"/>
        </w:rPr>
        <w:t>服务费用(包含人员薪酬、五险一金和管理费)按月支付</w:t>
      </w:r>
      <w:r>
        <w:rPr>
          <w:rFonts w:hint="eastAsia" w:ascii="仿宋_GB2312" w:hAnsi="仿宋_GB2312" w:eastAsia="仿宋_GB2312" w:cs="仿宋_GB2312"/>
          <w:spacing w:val="0"/>
          <w:position w:val="0"/>
          <w:sz w:val="32"/>
          <w:szCs w:val="32"/>
        </w:rPr>
        <w:t>。每月结束后，乙方应在15个工作日内向甲方提供《服务费用结算申请单》，并按甲方指示提供增值税发票。甲方在收到乙方提供的足额有效增值税发票后的15个工作日内且以甲乙双方确认上期《服务费用结算申请单》的总金额为基准，按照服务质量评分挂钩比例支付本期应付服务费用给乙方</w:t>
      </w:r>
      <w:r>
        <w:rPr>
          <w:rFonts w:hint="eastAsia" w:ascii="仿宋_GB2312" w:hAnsi="仿宋_GB2312" w:eastAsia="仿宋_GB2312" w:cs="仿宋_GB2312"/>
          <w:spacing w:val="0"/>
          <w:positio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3" w:firstLineChars="200"/>
        <w:textAlignment w:val="auto"/>
        <w:rPr>
          <w:rFonts w:hint="eastAsia" w:ascii="仿宋_GB2312" w:hAnsi="仿宋_GB2312" w:eastAsia="仿宋_GB2312" w:cs="仿宋_GB2312"/>
          <w:b/>
          <w:bCs/>
          <w:spacing w:val="0"/>
          <w:position w:val="0"/>
          <w:sz w:val="32"/>
          <w:szCs w:val="32"/>
        </w:rPr>
      </w:pPr>
      <w:r>
        <w:rPr>
          <w:rFonts w:hint="eastAsia" w:ascii="仿宋_GB2312" w:hAnsi="仿宋_GB2312" w:eastAsia="仿宋_GB2312" w:cs="仿宋_GB2312"/>
          <w:b/>
          <w:bCs/>
          <w:spacing w:val="0"/>
          <w:position w:val="0"/>
          <w:sz w:val="32"/>
          <w:szCs w:val="32"/>
        </w:rPr>
        <w:t>4.增值税发票的相关约定</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(1)乙方应向甲方开具增值税发票，甲方开票信息如下：</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公司名称：中国人民财产保险股份有限公司湛江市分公司</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 xml:space="preserve">纳税识别号： </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银行账号：</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 xml:space="preserve">开户银行： </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r>
        <w:rPr>
          <w:rFonts w:hint="eastAsia" w:ascii="仿宋_GB2312" w:hAnsi="仿宋_GB2312" w:eastAsia="仿宋_GB2312" w:cs="仿宋_GB2312"/>
          <w:spacing w:val="0"/>
          <w:position w:val="0"/>
          <w:sz w:val="32"/>
          <w:szCs w:val="32"/>
          <w:u w:val="single" w:color="auto"/>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rPr>
        <w:t>开票地址</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u w:val="single" w:color="auto"/>
        </w:rPr>
        <w:t xml:space="preserve">    </w:t>
      </w:r>
      <w:r>
        <w:rPr>
          <w:rFonts w:hint="eastAsia" w:ascii="仿宋_GB2312" w:hAnsi="仿宋_GB2312" w:eastAsia="仿宋_GB2312" w:cs="仿宋_GB2312"/>
          <w:spacing w:val="0"/>
          <w:position w:val="0"/>
          <w:sz w:val="32"/>
          <w:szCs w:val="32"/>
          <w:u w:val="single" w:color="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b w:val="0"/>
          <w:bCs w:val="0"/>
          <w:spacing w:val="0"/>
          <w:position w:val="0"/>
          <w:sz w:val="32"/>
          <w:szCs w:val="32"/>
        </w:rPr>
      </w:pPr>
      <w:r>
        <w:rPr>
          <w:rFonts w:hint="eastAsia" w:ascii="仿宋_GB2312" w:hAnsi="仿宋_GB2312" w:eastAsia="仿宋_GB2312" w:cs="仿宋_GB2312"/>
          <w:b w:val="0"/>
          <w:bCs w:val="0"/>
          <w:spacing w:val="0"/>
          <w:position w:val="0"/>
          <w:sz w:val="32"/>
          <w:szCs w:val="32"/>
        </w:rPr>
        <w:t>开票电话：</w:t>
      </w:r>
      <w:r>
        <w:rPr>
          <w:rFonts w:hint="eastAsia" w:ascii="仿宋_GB2312" w:hAnsi="仿宋_GB2312" w:eastAsia="仿宋_GB2312" w:cs="仿宋_GB2312"/>
          <w:b w:val="0"/>
          <w:bCs w:val="0"/>
          <w:spacing w:val="0"/>
          <w:position w:val="0"/>
          <w:sz w:val="32"/>
          <w:szCs w:val="32"/>
          <w:u w:val="single" w:color="auto"/>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jc w:val="both"/>
        <w:textAlignment w:val="auto"/>
        <w:rPr>
          <w:rFonts w:hint="eastAsia" w:ascii="仿宋_GB2312" w:hAnsi="仿宋_GB2312" w:eastAsia="仿宋_GB2312" w:cs="仿宋_GB2312"/>
          <w:b w:val="0"/>
          <w:bCs w:val="0"/>
          <w:spacing w:val="0"/>
          <w:position w:val="0"/>
          <w:sz w:val="32"/>
          <w:szCs w:val="32"/>
        </w:rPr>
      </w:pPr>
      <w:r>
        <w:rPr>
          <w:rFonts w:hint="eastAsia" w:ascii="仿宋_GB2312" w:hAnsi="仿宋_GB2312" w:eastAsia="仿宋_GB2312" w:cs="仿宋_GB2312"/>
          <w:b w:val="0"/>
          <w:bCs w:val="0"/>
          <w:spacing w:val="0"/>
          <w:position w:val="0"/>
          <w:sz w:val="32"/>
          <w:szCs w:val="32"/>
          <w:lang w:val="en-US" w:eastAsia="zh-CN"/>
        </w:rPr>
        <w:t>（2）</w:t>
      </w:r>
      <w:r>
        <w:rPr>
          <w:rFonts w:hint="eastAsia" w:ascii="仿宋_GB2312" w:hAnsi="仿宋_GB2312" w:eastAsia="仿宋_GB2312" w:cs="仿宋_GB2312"/>
          <w:b w:val="0"/>
          <w:bCs w:val="0"/>
          <w:spacing w:val="0"/>
          <w:position w:val="0"/>
          <w:sz w:val="32"/>
          <w:szCs w:val="32"/>
        </w:rPr>
        <w:t>乙方同时向甲方公司及其分支机构提供产品及服务的，双方应在合同中约定甲方的分支机构和对应的价款。乙方应分别对清单中的费用承担方开具相应金额的增值税发票；</w:t>
      </w:r>
    </w:p>
    <w:p>
      <w:pPr>
        <w:keepNext w:val="0"/>
        <w:keepLines w:val="0"/>
        <w:pageBreakBefore w:val="0"/>
        <w:widowControl w:val="0"/>
        <w:kinsoku/>
        <w:wordWrap/>
        <w:overflowPunct/>
        <w:topLinePunct w:val="0"/>
        <w:autoSpaceDE/>
        <w:autoSpaceDN/>
        <w:bidi w:val="0"/>
        <w:adjustRightInd/>
        <w:snapToGrid/>
        <w:spacing w:before="40" w:line="600" w:lineRule="exact"/>
        <w:ind w:right="0" w:firstLine="640" w:firstLineChars="200"/>
        <w:jc w:val="both"/>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b w:val="0"/>
          <w:bCs w:val="0"/>
          <w:spacing w:val="0"/>
          <w:position w:val="0"/>
          <w:sz w:val="32"/>
          <w:szCs w:val="32"/>
          <w:lang w:eastAsia="zh-CN"/>
        </w:rPr>
        <w:t>（</w:t>
      </w:r>
      <w:r>
        <w:rPr>
          <w:rFonts w:hint="eastAsia" w:ascii="仿宋_GB2312" w:hAnsi="仿宋_GB2312" w:eastAsia="仿宋_GB2312" w:cs="仿宋_GB2312"/>
          <w:b w:val="0"/>
          <w:bCs w:val="0"/>
          <w:spacing w:val="0"/>
          <w:position w:val="0"/>
          <w:sz w:val="32"/>
          <w:szCs w:val="32"/>
          <w:lang w:val="en-US" w:eastAsia="zh-CN"/>
        </w:rPr>
        <w:t>3</w:t>
      </w:r>
      <w:r>
        <w:rPr>
          <w:rFonts w:hint="eastAsia" w:ascii="仿宋_GB2312" w:hAnsi="仿宋_GB2312" w:eastAsia="仿宋_GB2312" w:cs="仿宋_GB2312"/>
          <w:b w:val="0"/>
          <w:bCs w:val="0"/>
          <w:spacing w:val="0"/>
          <w:position w:val="0"/>
          <w:sz w:val="32"/>
          <w:szCs w:val="32"/>
          <w:lang w:eastAsia="zh-CN"/>
        </w:rPr>
        <w:t>）</w:t>
      </w:r>
      <w:r>
        <w:rPr>
          <w:rFonts w:hint="eastAsia" w:ascii="仿宋_GB2312" w:hAnsi="仿宋_GB2312" w:eastAsia="仿宋_GB2312" w:cs="仿宋_GB2312"/>
          <w:b w:val="0"/>
          <w:bCs w:val="0"/>
          <w:spacing w:val="0"/>
          <w:position w:val="0"/>
          <w:sz w:val="32"/>
          <w:szCs w:val="32"/>
        </w:rPr>
        <w:t>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w:t>
      </w:r>
      <w:r>
        <w:rPr>
          <w:rFonts w:hint="eastAsia" w:ascii="仿宋_GB2312" w:hAnsi="仿宋_GB2312" w:eastAsia="仿宋_GB2312" w:cs="仿宋_GB2312"/>
          <w:spacing w:val="0"/>
          <w:position w:val="0"/>
          <w:sz w:val="32"/>
          <w:szCs w:val="32"/>
        </w:rPr>
        <w:t>的价税合计款项保持一致；</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lang w:val="en-US" w:eastAsia="zh-CN"/>
        </w:rPr>
        <w:t>4</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rPr>
        <w:t>乙方必须严格遵照相关税收法规和文件，开具合法的增值税发票。因 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lang w:val="en-US" w:eastAsia="zh-CN"/>
        </w:rPr>
        <w:t>5</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rPr>
        <w:t>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lang w:val="en-US" w:eastAsia="zh-CN"/>
        </w:rPr>
        <w:t>6</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rPr>
        <w:t>为保证取得的发票可以及时并成功获得抵扣，乙方开具的增值税发票送达并经甲方签收后，若发生丢失，乙方应积极协助甲方，按照相关税收法规和文件的规定提供相应资料，并确保甲方顺利获得抵扣；</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640" w:firstLineChars="20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lang w:val="en-US" w:eastAsia="zh-CN"/>
        </w:rPr>
        <w:t>7</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pageBreakBefore w:val="0"/>
        <w:widowControl w:val="0"/>
        <w:kinsoku/>
        <w:wordWrap/>
        <w:overflowPunct/>
        <w:topLinePunct w:val="0"/>
        <w:autoSpaceDE/>
        <w:autoSpaceDN/>
        <w:bidi w:val="0"/>
        <w:adjustRightInd/>
        <w:snapToGrid/>
        <w:spacing w:before="40" w:line="600" w:lineRule="exact"/>
        <w:jc w:val="left"/>
        <w:textAlignment w:val="auto"/>
        <w:rPr>
          <w:rFonts w:hint="eastAsia"/>
          <w:spacing w:val="0"/>
          <w:position w:val="0"/>
          <w:lang w:val="en-US" w:eastAsia="zh-CN"/>
        </w:rPr>
      </w:pPr>
    </w:p>
    <w:p>
      <w:pPr>
        <w:keepNext w:val="0"/>
        <w:keepLines w:val="0"/>
        <w:pageBreakBefore w:val="0"/>
        <w:widowControl w:val="0"/>
        <w:kinsoku/>
        <w:wordWrap/>
        <w:overflowPunct/>
        <w:topLinePunct w:val="0"/>
        <w:autoSpaceDE/>
        <w:autoSpaceDN/>
        <w:bidi w:val="0"/>
        <w:adjustRightInd/>
        <w:snapToGrid/>
        <w:spacing w:before="40" w:line="600" w:lineRule="exact"/>
        <w:jc w:val="left"/>
        <w:textAlignment w:val="auto"/>
        <w:rPr>
          <w:rFonts w:hint="eastAsia"/>
          <w:spacing w:val="0"/>
          <w:position w:val="0"/>
          <w:lang w:val="en-US" w:eastAsia="zh-CN"/>
        </w:rPr>
      </w:pPr>
    </w:p>
    <w:p>
      <w:pPr>
        <w:keepNext w:val="0"/>
        <w:keepLines w:val="0"/>
        <w:pageBreakBefore w:val="0"/>
        <w:widowControl w:val="0"/>
        <w:kinsoku/>
        <w:wordWrap/>
        <w:overflowPunct/>
        <w:topLinePunct w:val="0"/>
        <w:autoSpaceDE/>
        <w:autoSpaceDN/>
        <w:bidi w:val="0"/>
        <w:adjustRightInd/>
        <w:snapToGrid/>
        <w:spacing w:before="40" w:line="600" w:lineRule="exact"/>
        <w:jc w:val="left"/>
        <w:textAlignment w:val="auto"/>
        <w:rPr>
          <w:rFonts w:hint="eastAsia"/>
          <w:spacing w:val="0"/>
          <w:position w:val="0"/>
          <w:lang w:val="en-US" w:eastAsia="zh-CN"/>
        </w:rPr>
      </w:pPr>
    </w:p>
    <w:p>
      <w:pPr>
        <w:keepNext w:val="0"/>
        <w:keepLines w:val="0"/>
        <w:pageBreakBefore w:val="0"/>
        <w:widowControl w:val="0"/>
        <w:kinsoku/>
        <w:wordWrap/>
        <w:overflowPunct/>
        <w:topLinePunct w:val="0"/>
        <w:autoSpaceDE/>
        <w:autoSpaceDN/>
        <w:bidi w:val="0"/>
        <w:adjustRightInd/>
        <w:snapToGrid/>
        <w:spacing w:before="40" w:line="600" w:lineRule="exact"/>
        <w:jc w:val="left"/>
        <w:textAlignment w:val="auto"/>
        <w:rPr>
          <w:rFonts w:hint="eastAsia"/>
          <w:spacing w:val="0"/>
          <w:position w:val="0"/>
          <w:lang w:val="en-US" w:eastAsia="zh-CN"/>
        </w:rPr>
      </w:pPr>
    </w:p>
    <w:p>
      <w:pPr>
        <w:keepNext w:val="0"/>
        <w:keepLines w:val="0"/>
        <w:pageBreakBefore w:val="0"/>
        <w:widowControl w:val="0"/>
        <w:kinsoku/>
        <w:wordWrap/>
        <w:overflowPunct/>
        <w:topLinePunct w:val="0"/>
        <w:autoSpaceDE/>
        <w:autoSpaceDN/>
        <w:bidi w:val="0"/>
        <w:adjustRightInd/>
        <w:snapToGrid/>
        <w:spacing w:before="40" w:line="600" w:lineRule="exact"/>
        <w:jc w:val="left"/>
        <w:textAlignment w:val="auto"/>
        <w:rPr>
          <w:rFonts w:hint="eastAsia"/>
          <w:spacing w:val="0"/>
          <w:position w:val="0"/>
          <w:lang w:val="en-US" w:eastAsia="zh-CN"/>
        </w:rPr>
      </w:pPr>
    </w:p>
    <w:p>
      <w:pPr>
        <w:keepNext w:val="0"/>
        <w:keepLines w:val="0"/>
        <w:pageBreakBefore w:val="0"/>
        <w:widowControl w:val="0"/>
        <w:kinsoku/>
        <w:wordWrap/>
        <w:overflowPunct/>
        <w:topLinePunct w:val="0"/>
        <w:autoSpaceDE/>
        <w:autoSpaceDN/>
        <w:bidi w:val="0"/>
        <w:adjustRightInd/>
        <w:snapToGrid/>
        <w:spacing w:before="40" w:line="600" w:lineRule="exact"/>
        <w:jc w:val="left"/>
        <w:textAlignment w:val="auto"/>
        <w:rPr>
          <w:rFonts w:hint="eastAsia"/>
          <w:spacing w:val="0"/>
          <w:position w:val="0"/>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br w:type="page"/>
      </w:r>
    </w:p>
    <w:p>
      <w:pPr>
        <w:bidi w:val="0"/>
        <w:jc w:val="left"/>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附件三</w:t>
      </w:r>
    </w:p>
    <w:p>
      <w:pPr>
        <w:bidi w:val="0"/>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双方的权利和义务</w:t>
      </w:r>
    </w:p>
    <w:p>
      <w:pPr>
        <w:bidi w:val="0"/>
        <w:jc w:val="left"/>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 甲方的权利和义务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 甲方有权要求乙方根据甲方的业务处理流程、业务管理规定、操作规范、服务质量标准、管理制度等制定详实可行的实施管理办法，并可以提出改进意见。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1.2甲方有权向乙方下达工作计划，根据双方确定的服务质量标准和考核指标，对乙方工作质量进行考核验收，考核不合格的，甲方有权追究乙方的违约责任，并要求乙方限期整改。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1.3甲方可要求乙方定期提供从业人员劳动人事管理有信息，以了解乙方 劳动关系管理的状况，并有权监督乙方对其从业人员的日常行为管理、调度、培训和考核，提出整改意见。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1.4在乙方全面完成本协议约定范围的服务、质量等指标的前提下，甲方应按时向乙方支付服务费用。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1.5甲方负责指导乙方进行行业规章制度、业务技术、业务规定、服务质量标准及安全生产等方面的培训。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1.6甲方负责及时向乙方传达甲方的新政策、新业务及其变更的相关规定。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1.7本协议期满前两个月，甲乙双方应就本协议续签或终止合作事宜进行沟通并确定方案，妥善安排相关工作。</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 乙方的权利和义务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 乙方要确保所提供的工商营业执照、专业资质证明及相关资料真实、合法有效，并向甲方提交加盖乙方公章的复印件备案。乙方法人代表、经营范围等重大事项发生变更，应在10日内书面告知甲方。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2.2乙方负责全面承担运营甲方项目，接受甲方对业务运营质量考核，按照甲方的服务标准和流程、工作计划、完成期限要求组织生产，保质保量完成承揽内容。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2.3乙方就合同约定的项目配备现场管理负责人，负责现场人员管理及业务运营事务管理。现场负责人应接受甲方业务指导，并组织实施。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2.4乙方在运营项目过程中，统筹配置劳动力，有效减少劳动力成本，提高劳动效率。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2.5为保证工作人员的工作绩效，乙方须通过信息化等手段完善现场劳动管 理制度，包括但不限于人事管理、运营管理、行政管理、后勤保障管理等，并接受甲方的监督。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2.6乙方应制定现场的安全管理制度，对员工进行安全生产培训和教育，接 受甲方的监督和考核。发生与甲方无关的安全生产事故，乙方应自行妥善处理，承担相关责任。涉及到甲方有关的事故，双方协调处理，并依照事故调查结果承担相应的责任。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2.7乙方要遵守合法经营的义务，如出现违法违规经营以及办理甲方授权外 的业务引起的行政、经济、法律的纠纷，由乙方自行承担相关后果及法律责任。由此给甲方造成经济损失的，由乙方承担损失。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2.8乙方在全面完成本协议约定的服务、质量等标准的前提下，有权获得本协议约定的费用。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2.9乙方应建立并完整保存本项目各类管理档案和业务档案，合作结束时无偿交还给甲方。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2.10未经甲方书面许可，乙方不得利用甲方资源服务第三方同类型业务也不得将服务项目委托第三方实施。</w:t>
      </w:r>
    </w:p>
    <w:p>
      <w:pPr>
        <w:bidi w:val="0"/>
        <w:jc w:val="left"/>
        <w:rPr>
          <w:rFonts w:hint="eastAsia" w:ascii="仿宋" w:hAnsi="仿宋" w:eastAsia="仿宋" w:cs="仿宋"/>
          <w:sz w:val="30"/>
          <w:szCs w:val="30"/>
          <w:lang w:val="en-US" w:eastAsia="zh-CN"/>
        </w:rPr>
      </w:pPr>
    </w:p>
    <w:p>
      <w:pPr>
        <w:rPr>
          <w:rFonts w:hint="eastAsia" w:ascii="仿宋" w:hAnsi="仿宋" w:eastAsia="仿宋" w:cs="仿宋"/>
          <w:b/>
          <w:bCs/>
          <w:spacing w:val="1"/>
          <w:sz w:val="31"/>
          <w:szCs w:val="31"/>
        </w:rPr>
      </w:pPr>
      <w:r>
        <w:rPr>
          <w:rFonts w:hint="eastAsia" w:ascii="仿宋" w:hAnsi="仿宋" w:eastAsia="仿宋" w:cs="仿宋"/>
          <w:b/>
          <w:bCs/>
          <w:spacing w:val="1"/>
          <w:sz w:val="31"/>
          <w:szCs w:val="31"/>
        </w:rPr>
        <w:br w:type="page"/>
      </w:r>
    </w:p>
    <w:p>
      <w:pPr>
        <w:keepNext w:val="0"/>
        <w:keepLines w:val="0"/>
        <w:pageBreakBefore w:val="0"/>
        <w:widowControl w:val="0"/>
        <w:kinsoku/>
        <w:wordWrap/>
        <w:overflowPunct/>
        <w:topLinePunct w:val="0"/>
        <w:autoSpaceDE/>
        <w:autoSpaceDN/>
        <w:bidi w:val="0"/>
        <w:adjustRightInd/>
        <w:snapToGrid/>
        <w:spacing w:before="48" w:line="600" w:lineRule="exact"/>
        <w:textAlignment w:val="auto"/>
        <w:rPr>
          <w:rFonts w:hint="eastAsia" w:ascii="仿宋" w:hAnsi="仿宋" w:eastAsia="仿宋" w:cs="仿宋"/>
          <w:sz w:val="31"/>
          <w:szCs w:val="31"/>
        </w:rPr>
      </w:pPr>
      <w:r>
        <w:rPr>
          <w:rFonts w:hint="eastAsia" w:ascii="仿宋" w:hAnsi="仿宋" w:eastAsia="仿宋" w:cs="仿宋"/>
          <w:b/>
          <w:bCs/>
          <w:spacing w:val="1"/>
          <w:sz w:val="31"/>
          <w:szCs w:val="31"/>
        </w:rPr>
        <w:t>附件四</w:t>
      </w:r>
    </w:p>
    <w:p>
      <w:pPr>
        <w:keepNext w:val="0"/>
        <w:keepLines w:val="0"/>
        <w:pageBreakBefore w:val="0"/>
        <w:widowControl w:val="0"/>
        <w:kinsoku/>
        <w:wordWrap/>
        <w:overflowPunct/>
        <w:topLinePunct w:val="0"/>
        <w:autoSpaceDE/>
        <w:autoSpaceDN/>
        <w:bidi w:val="0"/>
        <w:adjustRightInd/>
        <w:snapToGrid/>
        <w:spacing w:before="40" w:line="600" w:lineRule="exact"/>
        <w:ind w:left="0" w:right="0"/>
        <w:jc w:val="center"/>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b/>
          <w:bCs/>
          <w:spacing w:val="0"/>
          <w:position w:val="0"/>
          <w:sz w:val="32"/>
          <w:szCs w:val="32"/>
        </w:rPr>
        <w:t>增值税发票的相关约定</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1.乙方应向甲方开具增值税专用发票，甲方开票信息如下：</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u w:val="single"/>
          <w:lang w:val="en-US" w:eastAsia="zh-CN"/>
        </w:rPr>
      </w:pPr>
      <w:r>
        <w:rPr>
          <w:rFonts w:hint="eastAsia" w:ascii="仿宋_GB2312" w:hAnsi="仿宋_GB2312" w:eastAsia="仿宋_GB2312" w:cs="仿宋_GB2312"/>
          <w:spacing w:val="0"/>
          <w:position w:val="0"/>
          <w:sz w:val="32"/>
          <w:szCs w:val="32"/>
        </w:rPr>
        <w:t>公司名称：</w:t>
      </w:r>
      <w:r>
        <w:rPr>
          <w:rFonts w:hint="eastAsia" w:ascii="仿宋_GB2312" w:hAnsi="仿宋_GB2312" w:eastAsia="仿宋_GB2312" w:cs="仿宋_GB2312"/>
          <w:spacing w:val="0"/>
          <w:position w:val="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纳税识别号：</w:t>
      </w:r>
      <w:r>
        <w:rPr>
          <w:rFonts w:hint="eastAsia" w:ascii="仿宋_GB2312" w:hAnsi="仿宋_GB2312" w:eastAsia="仿宋_GB2312" w:cs="仿宋_GB2312"/>
          <w:spacing w:val="0"/>
          <w:position w:val="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开票地址：</w:t>
      </w:r>
      <w:r>
        <w:rPr>
          <w:rFonts w:hint="eastAsia" w:ascii="仿宋_GB2312" w:hAnsi="仿宋_GB2312" w:eastAsia="仿宋_GB2312" w:cs="仿宋_GB2312"/>
          <w:spacing w:val="0"/>
          <w:position w:val="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开票电话：</w:t>
      </w:r>
      <w:r>
        <w:rPr>
          <w:rFonts w:hint="eastAsia" w:ascii="仿宋_GB2312" w:hAnsi="仿宋_GB2312" w:eastAsia="仿宋_GB2312" w:cs="仿宋_GB2312"/>
          <w:spacing w:val="0"/>
          <w:position w:val="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开户行银行名称：</w:t>
      </w:r>
      <w:r>
        <w:rPr>
          <w:rFonts w:hint="eastAsia" w:ascii="仿宋_GB2312" w:hAnsi="仿宋_GB2312" w:eastAsia="仿宋_GB2312" w:cs="仿宋_GB2312"/>
          <w:spacing w:val="0"/>
          <w:position w:val="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开户银行账号：</w:t>
      </w:r>
      <w:r>
        <w:rPr>
          <w:rFonts w:hint="eastAsia" w:ascii="仿宋_GB2312" w:hAnsi="仿宋_GB2312" w:eastAsia="仿宋_GB2312" w:cs="仿宋_GB2312"/>
          <w:spacing w:val="0"/>
          <w:position w:val="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479"/>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2.乙方应在每次增值税发票开具后的30个自然日内向甲方提交相应增值税 发票，否则甲方有权拒收发票。经多次分批的增值税发票的开具、提交以及双方 收付款，乙方开具并提交甲方的增值税发票的价税合计金额不得低于(即必须大于或等于)甲方已经支付的价税合计款项；</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479"/>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3.乙方必须严格遵照相关税收法规和文件，开具合法的增值税发票。因乙方 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479"/>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4.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479"/>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5.为保证取得的发票可以及时并成功获得抵扣，乙方开具的增值税发票送达并经甲方签收后，若发生丢失，乙方应积极协助甲方，按照相关税收法规和文件的规定提供相应资料，并确保甲方顺利获得抵扣；</w:t>
      </w:r>
    </w:p>
    <w:p>
      <w:pPr>
        <w:keepNext w:val="0"/>
        <w:keepLines w:val="0"/>
        <w:pageBreakBefore w:val="0"/>
        <w:widowControl w:val="0"/>
        <w:kinsoku/>
        <w:wordWrap/>
        <w:overflowPunct/>
        <w:topLinePunct w:val="0"/>
        <w:autoSpaceDE/>
        <w:autoSpaceDN/>
        <w:bidi w:val="0"/>
        <w:adjustRightInd/>
        <w:snapToGrid/>
        <w:spacing w:before="40" w:line="600" w:lineRule="exact"/>
        <w:ind w:left="0" w:right="0" w:firstLine="479"/>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bidi w:val="0"/>
        <w:jc w:val="left"/>
        <w:rPr>
          <w:rFonts w:hint="eastAsia"/>
          <w:lang w:val="en-US" w:eastAsia="zh-CN"/>
        </w:rPr>
      </w:pPr>
    </w:p>
    <w:p>
      <w:pPr>
        <w:rPr>
          <w:rFonts w:hint="eastAsia" w:ascii="仿宋" w:hAnsi="仿宋" w:eastAsia="仿宋" w:cs="仿宋"/>
          <w:b/>
          <w:bCs/>
          <w:spacing w:val="4"/>
          <w:sz w:val="31"/>
          <w:szCs w:val="31"/>
        </w:rPr>
      </w:pPr>
      <w:r>
        <w:rPr>
          <w:rFonts w:hint="eastAsia" w:ascii="仿宋" w:hAnsi="仿宋" w:eastAsia="仿宋" w:cs="仿宋"/>
          <w:b/>
          <w:bCs/>
          <w:spacing w:val="4"/>
          <w:sz w:val="31"/>
          <w:szCs w:val="31"/>
        </w:rPr>
        <w:br w:type="page"/>
      </w:r>
    </w:p>
    <w:p>
      <w:pPr>
        <w:spacing w:before="74" w:line="227" w:lineRule="auto"/>
        <w:rPr>
          <w:rFonts w:hint="eastAsia" w:ascii="仿宋" w:hAnsi="仿宋" w:eastAsia="仿宋" w:cs="仿宋"/>
          <w:sz w:val="31"/>
          <w:szCs w:val="31"/>
        </w:rPr>
      </w:pPr>
      <w:r>
        <w:rPr>
          <w:rFonts w:hint="eastAsia" w:ascii="仿宋" w:hAnsi="仿宋" w:eastAsia="仿宋" w:cs="仿宋"/>
          <w:b/>
          <w:bCs/>
          <w:spacing w:val="4"/>
          <w:sz w:val="31"/>
          <w:szCs w:val="31"/>
        </w:rPr>
        <w:t>附件五</w:t>
      </w:r>
    </w:p>
    <w:p>
      <w:pPr>
        <w:spacing w:before="161" w:line="241" w:lineRule="auto"/>
        <w:ind w:right="100" w:rightChars="0"/>
        <w:jc w:val="center"/>
        <w:rPr>
          <w:rFonts w:hint="eastAsia" w:ascii="仿宋" w:hAnsi="仿宋" w:eastAsia="仿宋" w:cs="仿宋"/>
          <w:b/>
          <w:bCs/>
          <w:spacing w:val="0"/>
          <w:sz w:val="31"/>
          <w:szCs w:val="31"/>
          <w:lang w:val="en-US" w:eastAsia="zh-CN"/>
        </w:rPr>
      </w:pPr>
      <w:r>
        <w:rPr>
          <w:rFonts w:hint="eastAsia" w:ascii="仿宋" w:hAnsi="仿宋" w:eastAsia="仿宋" w:cs="仿宋"/>
          <w:b/>
          <w:bCs/>
          <w:spacing w:val="0"/>
          <w:sz w:val="31"/>
          <w:szCs w:val="31"/>
          <w:lang w:val="en-US" w:eastAsia="zh-CN"/>
        </w:rPr>
        <w:t>人保财险广东湛江农险、农网及V盟团队劳务服务采购项目</w:t>
      </w:r>
    </w:p>
    <w:p>
      <w:pPr>
        <w:spacing w:before="161" w:line="241" w:lineRule="auto"/>
        <w:ind w:right="100" w:rightChars="0"/>
        <w:jc w:val="center"/>
        <w:rPr>
          <w:rFonts w:hint="eastAsia" w:ascii="仿宋" w:hAnsi="仿宋" w:eastAsia="仿宋" w:cs="仿宋"/>
          <w:sz w:val="31"/>
          <w:szCs w:val="31"/>
        </w:rPr>
      </w:pPr>
      <w:r>
        <w:rPr>
          <w:rFonts w:hint="eastAsia" w:ascii="仿宋" w:hAnsi="仿宋" w:eastAsia="仿宋" w:cs="仿宋"/>
          <w:b/>
          <w:bCs/>
          <w:spacing w:val="0"/>
          <w:sz w:val="31"/>
          <w:szCs w:val="31"/>
        </w:rPr>
        <w:t>服务费用结算</w:t>
      </w:r>
      <w:r>
        <w:rPr>
          <w:rFonts w:hint="eastAsia" w:ascii="仿宋" w:hAnsi="仿宋" w:eastAsia="仿宋" w:cs="仿宋"/>
          <w:b/>
          <w:bCs/>
          <w:spacing w:val="8"/>
          <w:sz w:val="31"/>
          <w:szCs w:val="31"/>
        </w:rPr>
        <w:t>申请单</w:t>
      </w:r>
      <w:r>
        <w:rPr>
          <w:rFonts w:hint="eastAsia" w:ascii="仿宋" w:hAnsi="仿宋" w:eastAsia="仿宋" w:cs="仿宋"/>
          <w:sz w:val="31"/>
          <w:szCs w:val="31"/>
        </w:rPr>
        <w:t xml:space="preserve"> </w:t>
      </w:r>
      <w:r>
        <w:rPr>
          <w:rFonts w:hint="eastAsia" w:ascii="仿宋" w:hAnsi="仿宋" w:eastAsia="仿宋" w:cs="仿宋"/>
          <w:b/>
          <w:bCs/>
          <w:spacing w:val="-4"/>
          <w:sz w:val="31"/>
          <w:szCs w:val="31"/>
        </w:rPr>
        <w:t>(202X</w:t>
      </w:r>
      <w:r>
        <w:rPr>
          <w:rFonts w:hint="eastAsia" w:ascii="仿宋" w:hAnsi="仿宋" w:eastAsia="仿宋" w:cs="仿宋"/>
          <w:spacing w:val="-4"/>
          <w:sz w:val="31"/>
          <w:szCs w:val="31"/>
        </w:rPr>
        <w:t xml:space="preserve"> </w:t>
      </w:r>
      <w:r>
        <w:rPr>
          <w:rFonts w:hint="eastAsia" w:ascii="仿宋" w:hAnsi="仿宋" w:eastAsia="仿宋" w:cs="仿宋"/>
          <w:b/>
          <w:bCs/>
          <w:spacing w:val="-4"/>
          <w:sz w:val="31"/>
          <w:szCs w:val="31"/>
        </w:rPr>
        <w:t>年</w:t>
      </w:r>
      <w:r>
        <w:rPr>
          <w:rFonts w:hint="eastAsia" w:ascii="仿宋" w:hAnsi="仿宋" w:eastAsia="仿宋" w:cs="仿宋"/>
          <w:spacing w:val="-49"/>
          <w:sz w:val="31"/>
          <w:szCs w:val="31"/>
        </w:rPr>
        <w:t xml:space="preserve"> </w:t>
      </w:r>
      <w:r>
        <w:rPr>
          <w:rFonts w:hint="eastAsia" w:ascii="仿宋" w:hAnsi="仿宋" w:eastAsia="仿宋" w:cs="仿宋"/>
          <w:b/>
          <w:bCs/>
          <w:spacing w:val="-4"/>
          <w:sz w:val="31"/>
          <w:szCs w:val="31"/>
        </w:rPr>
        <w:t>X 月——202X</w:t>
      </w:r>
      <w:r>
        <w:rPr>
          <w:rFonts w:hint="eastAsia" w:ascii="仿宋" w:hAnsi="仿宋" w:eastAsia="仿宋" w:cs="仿宋"/>
          <w:b/>
          <w:bCs/>
          <w:spacing w:val="-15"/>
          <w:sz w:val="31"/>
          <w:szCs w:val="31"/>
        </w:rPr>
        <w:t xml:space="preserve"> </w:t>
      </w:r>
      <w:r>
        <w:rPr>
          <w:rFonts w:hint="eastAsia" w:ascii="仿宋" w:hAnsi="仿宋" w:eastAsia="仿宋" w:cs="仿宋"/>
          <w:b/>
          <w:bCs/>
          <w:spacing w:val="-4"/>
          <w:sz w:val="31"/>
          <w:szCs w:val="31"/>
        </w:rPr>
        <w:t>年</w:t>
      </w:r>
      <w:r>
        <w:rPr>
          <w:rFonts w:hint="eastAsia" w:ascii="仿宋" w:hAnsi="仿宋" w:eastAsia="仿宋" w:cs="仿宋"/>
          <w:spacing w:val="-49"/>
          <w:sz w:val="31"/>
          <w:szCs w:val="31"/>
        </w:rPr>
        <w:t xml:space="preserve"> </w:t>
      </w:r>
      <w:r>
        <w:rPr>
          <w:rFonts w:hint="eastAsia" w:ascii="仿宋" w:hAnsi="仿宋" w:eastAsia="仿宋" w:cs="仿宋"/>
          <w:b/>
          <w:bCs/>
          <w:spacing w:val="-4"/>
          <w:sz w:val="31"/>
          <w:szCs w:val="31"/>
        </w:rPr>
        <w:t>X月)</w:t>
      </w:r>
    </w:p>
    <w:p>
      <w:pPr>
        <w:spacing w:line="131" w:lineRule="exact"/>
        <w:rPr>
          <w:rFonts w:hint="eastAsia" w:ascii="仿宋" w:hAnsi="仿宋" w:eastAsia="仿宋" w:cs="仿宋"/>
          <w:sz w:val="31"/>
          <w:szCs w:val="31"/>
        </w:rPr>
      </w:pPr>
    </w:p>
    <w:tbl>
      <w:tblPr>
        <w:tblStyle w:val="61"/>
        <w:tblW w:w="941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9"/>
        <w:gridCol w:w="1005"/>
        <w:gridCol w:w="2001"/>
        <w:gridCol w:w="1115"/>
        <w:gridCol w:w="1819"/>
        <w:gridCol w:w="2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844" w:type="dxa"/>
            <w:gridSpan w:val="2"/>
            <w:vAlign w:val="top"/>
          </w:tcPr>
          <w:p>
            <w:pPr>
              <w:pStyle w:val="60"/>
              <w:spacing w:before="165" w:line="220" w:lineRule="auto"/>
              <w:ind w:left="425"/>
              <w:rPr>
                <w:rFonts w:hint="eastAsia" w:ascii="仿宋" w:hAnsi="仿宋" w:eastAsia="仿宋" w:cs="仿宋"/>
                <w:sz w:val="31"/>
                <w:szCs w:val="31"/>
              </w:rPr>
            </w:pPr>
            <w:r>
              <w:rPr>
                <w:rFonts w:hint="eastAsia" w:ascii="仿宋" w:hAnsi="仿宋" w:eastAsia="仿宋" w:cs="仿宋"/>
                <w:spacing w:val="3"/>
                <w:sz w:val="31"/>
                <w:szCs w:val="31"/>
              </w:rPr>
              <w:t>项目名称</w:t>
            </w:r>
          </w:p>
        </w:tc>
        <w:tc>
          <w:tcPr>
            <w:tcW w:w="3116" w:type="dxa"/>
            <w:gridSpan w:val="2"/>
            <w:vAlign w:val="top"/>
          </w:tcPr>
          <w:p>
            <w:pPr>
              <w:rPr>
                <w:rFonts w:hint="eastAsia" w:ascii="仿宋" w:hAnsi="仿宋" w:eastAsia="仿宋" w:cs="仿宋"/>
                <w:sz w:val="31"/>
                <w:szCs w:val="31"/>
              </w:rPr>
            </w:pPr>
          </w:p>
        </w:tc>
        <w:tc>
          <w:tcPr>
            <w:tcW w:w="1819" w:type="dxa"/>
            <w:vAlign w:val="top"/>
          </w:tcPr>
          <w:p>
            <w:pPr>
              <w:pStyle w:val="60"/>
              <w:spacing w:before="165" w:line="219" w:lineRule="auto"/>
              <w:ind w:left="415"/>
              <w:rPr>
                <w:rFonts w:hint="eastAsia" w:ascii="仿宋" w:hAnsi="仿宋" w:eastAsia="仿宋" w:cs="仿宋"/>
                <w:sz w:val="31"/>
                <w:szCs w:val="31"/>
              </w:rPr>
            </w:pPr>
            <w:r>
              <w:rPr>
                <w:rFonts w:hint="eastAsia" w:ascii="仿宋" w:hAnsi="仿宋" w:eastAsia="仿宋" w:cs="仿宋"/>
                <w:spacing w:val="3"/>
                <w:sz w:val="31"/>
                <w:szCs w:val="31"/>
              </w:rPr>
              <w:t>合同编号</w:t>
            </w:r>
          </w:p>
        </w:tc>
        <w:tc>
          <w:tcPr>
            <w:tcW w:w="2638" w:type="dxa"/>
            <w:vAlign w:val="top"/>
          </w:tcPr>
          <w:p>
            <w:pPr>
              <w:rPr>
                <w:rFonts w:hint="eastAsia" w:ascii="仿宋" w:hAnsi="仿宋" w:eastAsia="仿宋" w:cs="仿宋"/>
                <w:sz w:val="31"/>
                <w:szCs w:val="3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1844" w:type="dxa"/>
            <w:gridSpan w:val="2"/>
            <w:vAlign w:val="top"/>
          </w:tcPr>
          <w:p>
            <w:pPr>
              <w:pStyle w:val="60"/>
              <w:spacing w:before="169" w:line="219" w:lineRule="auto"/>
              <w:ind w:left="305"/>
              <w:rPr>
                <w:rFonts w:hint="eastAsia" w:ascii="仿宋" w:hAnsi="仿宋" w:eastAsia="仿宋" w:cs="仿宋"/>
                <w:sz w:val="31"/>
                <w:szCs w:val="31"/>
              </w:rPr>
            </w:pPr>
            <w:r>
              <w:rPr>
                <w:rFonts w:hint="eastAsia" w:ascii="仿宋" w:hAnsi="仿宋" w:eastAsia="仿宋" w:cs="仿宋"/>
                <w:spacing w:val="3"/>
                <w:sz w:val="31"/>
                <w:szCs w:val="31"/>
              </w:rPr>
              <w:t>服务供应商</w:t>
            </w:r>
          </w:p>
        </w:tc>
        <w:tc>
          <w:tcPr>
            <w:tcW w:w="3116" w:type="dxa"/>
            <w:gridSpan w:val="2"/>
            <w:vAlign w:val="top"/>
          </w:tcPr>
          <w:p>
            <w:pPr>
              <w:rPr>
                <w:rFonts w:hint="eastAsia" w:ascii="仿宋" w:hAnsi="仿宋" w:eastAsia="仿宋" w:cs="仿宋"/>
                <w:sz w:val="31"/>
                <w:szCs w:val="31"/>
              </w:rPr>
            </w:pPr>
          </w:p>
        </w:tc>
        <w:tc>
          <w:tcPr>
            <w:tcW w:w="1819" w:type="dxa"/>
            <w:vAlign w:val="top"/>
          </w:tcPr>
          <w:p>
            <w:pPr>
              <w:pStyle w:val="60"/>
              <w:spacing w:before="171" w:line="219" w:lineRule="auto"/>
              <w:ind w:left="415"/>
              <w:rPr>
                <w:rFonts w:hint="eastAsia" w:ascii="仿宋" w:hAnsi="仿宋" w:eastAsia="仿宋" w:cs="仿宋"/>
                <w:sz w:val="31"/>
                <w:szCs w:val="31"/>
              </w:rPr>
            </w:pPr>
            <w:r>
              <w:rPr>
                <w:rFonts w:hint="eastAsia" w:ascii="仿宋" w:hAnsi="仿宋" w:eastAsia="仿宋" w:cs="仿宋"/>
                <w:spacing w:val="-2"/>
                <w:sz w:val="31"/>
                <w:szCs w:val="31"/>
              </w:rPr>
              <w:t>付款单位</w:t>
            </w:r>
          </w:p>
        </w:tc>
        <w:tc>
          <w:tcPr>
            <w:tcW w:w="2638" w:type="dxa"/>
            <w:vAlign w:val="top"/>
          </w:tcPr>
          <w:p>
            <w:pPr>
              <w:rPr>
                <w:rFonts w:hint="eastAsia" w:ascii="仿宋" w:hAnsi="仿宋" w:eastAsia="仿宋" w:cs="仿宋"/>
                <w:sz w:val="31"/>
                <w:szCs w:val="3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839" w:type="dxa"/>
            <w:vAlign w:val="top"/>
          </w:tcPr>
          <w:p>
            <w:pPr>
              <w:pStyle w:val="60"/>
              <w:spacing w:before="153" w:line="221" w:lineRule="auto"/>
              <w:ind w:left="165"/>
              <w:rPr>
                <w:rFonts w:hint="eastAsia" w:ascii="仿宋" w:hAnsi="仿宋" w:eastAsia="仿宋" w:cs="仿宋"/>
                <w:sz w:val="31"/>
                <w:szCs w:val="31"/>
              </w:rPr>
            </w:pPr>
            <w:r>
              <w:rPr>
                <w:rFonts w:hint="eastAsia" w:ascii="仿宋" w:hAnsi="仿宋" w:eastAsia="仿宋" w:cs="仿宋"/>
                <w:spacing w:val="7"/>
                <w:sz w:val="31"/>
                <w:szCs w:val="31"/>
              </w:rPr>
              <w:t>序号</w:t>
            </w:r>
          </w:p>
        </w:tc>
        <w:tc>
          <w:tcPr>
            <w:tcW w:w="3006" w:type="dxa"/>
            <w:gridSpan w:val="2"/>
            <w:vAlign w:val="top"/>
          </w:tcPr>
          <w:p>
            <w:pPr>
              <w:pStyle w:val="60"/>
              <w:spacing w:before="152" w:line="220" w:lineRule="auto"/>
              <w:ind w:left="1241"/>
              <w:rPr>
                <w:rFonts w:hint="eastAsia" w:ascii="仿宋" w:hAnsi="仿宋" w:eastAsia="仿宋" w:cs="仿宋"/>
                <w:sz w:val="31"/>
                <w:szCs w:val="31"/>
              </w:rPr>
            </w:pPr>
            <w:r>
              <w:rPr>
                <w:rFonts w:hint="eastAsia" w:ascii="仿宋" w:hAnsi="仿宋" w:eastAsia="仿宋" w:cs="仿宋"/>
                <w:spacing w:val="-7"/>
                <w:sz w:val="31"/>
                <w:szCs w:val="31"/>
              </w:rPr>
              <w:t>项 目</w:t>
            </w:r>
          </w:p>
        </w:tc>
        <w:tc>
          <w:tcPr>
            <w:tcW w:w="2934" w:type="dxa"/>
            <w:gridSpan w:val="2"/>
            <w:vAlign w:val="top"/>
          </w:tcPr>
          <w:p>
            <w:pPr>
              <w:pStyle w:val="60"/>
              <w:spacing w:before="151" w:line="219" w:lineRule="auto"/>
              <w:ind w:left="864"/>
              <w:rPr>
                <w:rFonts w:hint="eastAsia" w:ascii="仿宋" w:hAnsi="仿宋" w:eastAsia="仿宋" w:cs="仿宋"/>
                <w:sz w:val="31"/>
                <w:szCs w:val="31"/>
              </w:rPr>
            </w:pPr>
            <w:r>
              <w:rPr>
                <w:rFonts w:hint="eastAsia" w:ascii="仿宋" w:hAnsi="仿宋" w:eastAsia="仿宋" w:cs="仿宋"/>
                <w:spacing w:val="10"/>
                <w:sz w:val="31"/>
                <w:szCs w:val="31"/>
              </w:rPr>
              <w:t>金额(元)</w:t>
            </w:r>
          </w:p>
        </w:tc>
        <w:tc>
          <w:tcPr>
            <w:tcW w:w="2638" w:type="dxa"/>
            <w:vAlign w:val="top"/>
          </w:tcPr>
          <w:p>
            <w:pPr>
              <w:pStyle w:val="60"/>
              <w:spacing w:before="151" w:line="219" w:lineRule="auto"/>
              <w:ind w:left="587"/>
              <w:rPr>
                <w:rFonts w:hint="eastAsia" w:ascii="仿宋" w:hAnsi="仿宋" w:eastAsia="仿宋" w:cs="仿宋"/>
                <w:sz w:val="31"/>
                <w:szCs w:val="31"/>
              </w:rPr>
            </w:pPr>
            <w:r>
              <w:rPr>
                <w:rFonts w:hint="eastAsia" w:ascii="仿宋" w:hAnsi="仿宋" w:eastAsia="仿宋" w:cs="仿宋"/>
                <w:spacing w:val="1"/>
                <w:sz w:val="31"/>
                <w:szCs w:val="31"/>
              </w:rPr>
              <w:t>费用计算标准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839" w:type="dxa"/>
            <w:vAlign w:val="top"/>
          </w:tcPr>
          <w:p>
            <w:pPr>
              <w:pStyle w:val="60"/>
              <w:spacing w:before="222" w:line="184" w:lineRule="auto"/>
              <w:ind w:left="345"/>
              <w:rPr>
                <w:rFonts w:hint="eastAsia" w:ascii="仿宋" w:hAnsi="仿宋" w:eastAsia="仿宋" w:cs="仿宋"/>
                <w:sz w:val="31"/>
                <w:szCs w:val="31"/>
              </w:rPr>
            </w:pPr>
            <w:r>
              <w:rPr>
                <w:rFonts w:hint="eastAsia" w:ascii="仿宋" w:hAnsi="仿宋" w:eastAsia="仿宋" w:cs="仿宋"/>
                <w:sz w:val="31"/>
                <w:szCs w:val="31"/>
              </w:rPr>
              <w:t>1</w:t>
            </w:r>
          </w:p>
        </w:tc>
        <w:tc>
          <w:tcPr>
            <w:tcW w:w="3006" w:type="dxa"/>
            <w:gridSpan w:val="2"/>
            <w:vAlign w:val="top"/>
          </w:tcPr>
          <w:p>
            <w:pPr>
              <w:pStyle w:val="60"/>
              <w:spacing w:before="160" w:line="219" w:lineRule="auto"/>
              <w:ind w:left="1001"/>
              <w:rPr>
                <w:rFonts w:hint="eastAsia" w:ascii="仿宋" w:hAnsi="仿宋" w:eastAsia="仿宋" w:cs="仿宋"/>
                <w:sz w:val="31"/>
                <w:szCs w:val="31"/>
              </w:rPr>
            </w:pPr>
            <w:r>
              <w:rPr>
                <w:rFonts w:hint="eastAsia" w:ascii="仿宋" w:hAnsi="仿宋" w:eastAsia="仿宋" w:cs="仿宋"/>
                <w:spacing w:val="2"/>
                <w:sz w:val="31"/>
                <w:szCs w:val="31"/>
              </w:rPr>
              <w:t>人工成本</w:t>
            </w:r>
          </w:p>
        </w:tc>
        <w:tc>
          <w:tcPr>
            <w:tcW w:w="2934" w:type="dxa"/>
            <w:gridSpan w:val="2"/>
            <w:vAlign w:val="top"/>
          </w:tcPr>
          <w:p>
            <w:pPr>
              <w:rPr>
                <w:rFonts w:hint="eastAsia" w:ascii="仿宋" w:hAnsi="仿宋" w:eastAsia="仿宋" w:cs="仿宋"/>
                <w:sz w:val="31"/>
                <w:szCs w:val="31"/>
              </w:rPr>
            </w:pPr>
          </w:p>
        </w:tc>
        <w:tc>
          <w:tcPr>
            <w:tcW w:w="2638" w:type="dxa"/>
            <w:vAlign w:val="top"/>
          </w:tcPr>
          <w:p>
            <w:pPr>
              <w:pStyle w:val="60"/>
              <w:spacing w:before="162" w:line="220" w:lineRule="auto"/>
              <w:ind w:left="587"/>
              <w:rPr>
                <w:rFonts w:hint="eastAsia" w:ascii="仿宋" w:hAnsi="仿宋" w:eastAsia="仿宋" w:cs="仿宋"/>
                <w:sz w:val="31"/>
                <w:szCs w:val="31"/>
              </w:rPr>
            </w:pPr>
            <w:r>
              <w:rPr>
                <w:rFonts w:hint="eastAsia" w:ascii="仿宋" w:hAnsi="仿宋" w:eastAsia="仿宋" w:cs="仿宋"/>
                <w:spacing w:val="-1"/>
                <w:sz w:val="31"/>
                <w:szCs w:val="31"/>
              </w:rPr>
              <w:t>例：XXX元/人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839" w:type="dxa"/>
            <w:vAlign w:val="top"/>
          </w:tcPr>
          <w:p>
            <w:pPr>
              <w:pStyle w:val="60"/>
              <w:spacing w:before="233" w:line="183" w:lineRule="auto"/>
              <w:ind w:left="345"/>
              <w:rPr>
                <w:rFonts w:hint="eastAsia" w:ascii="仿宋" w:hAnsi="仿宋" w:eastAsia="仿宋" w:cs="仿宋"/>
                <w:sz w:val="31"/>
                <w:szCs w:val="31"/>
              </w:rPr>
            </w:pPr>
            <w:r>
              <w:rPr>
                <w:rFonts w:hint="eastAsia" w:ascii="仿宋" w:hAnsi="仿宋" w:eastAsia="仿宋" w:cs="仿宋"/>
                <w:sz w:val="31"/>
                <w:szCs w:val="31"/>
              </w:rPr>
              <w:t>2</w:t>
            </w:r>
          </w:p>
        </w:tc>
        <w:tc>
          <w:tcPr>
            <w:tcW w:w="3006" w:type="dxa"/>
            <w:gridSpan w:val="2"/>
            <w:vAlign w:val="top"/>
          </w:tcPr>
          <w:p>
            <w:pPr>
              <w:pStyle w:val="60"/>
              <w:spacing w:before="170" w:line="219" w:lineRule="auto"/>
              <w:ind w:left="1001"/>
              <w:rPr>
                <w:rFonts w:hint="eastAsia" w:ascii="仿宋" w:hAnsi="仿宋" w:eastAsia="仿宋" w:cs="仿宋"/>
                <w:sz w:val="31"/>
                <w:szCs w:val="31"/>
              </w:rPr>
            </w:pPr>
            <w:r>
              <w:rPr>
                <w:rFonts w:hint="eastAsia" w:ascii="仿宋" w:hAnsi="仿宋" w:eastAsia="仿宋" w:cs="仿宋"/>
                <w:spacing w:val="2"/>
                <w:sz w:val="31"/>
                <w:szCs w:val="31"/>
              </w:rPr>
              <w:t>运营成本</w:t>
            </w:r>
          </w:p>
        </w:tc>
        <w:tc>
          <w:tcPr>
            <w:tcW w:w="2934" w:type="dxa"/>
            <w:gridSpan w:val="2"/>
            <w:vAlign w:val="top"/>
          </w:tcPr>
          <w:p>
            <w:pPr>
              <w:rPr>
                <w:rFonts w:hint="eastAsia" w:ascii="仿宋" w:hAnsi="仿宋" w:eastAsia="仿宋" w:cs="仿宋"/>
                <w:sz w:val="31"/>
                <w:szCs w:val="31"/>
              </w:rPr>
            </w:pPr>
          </w:p>
        </w:tc>
        <w:tc>
          <w:tcPr>
            <w:tcW w:w="2638" w:type="dxa"/>
            <w:vAlign w:val="top"/>
          </w:tcPr>
          <w:p>
            <w:pPr>
              <w:pStyle w:val="60"/>
              <w:spacing w:before="172" w:line="220" w:lineRule="auto"/>
              <w:ind w:left="587"/>
              <w:rPr>
                <w:rFonts w:hint="eastAsia" w:ascii="仿宋" w:hAnsi="仿宋" w:eastAsia="仿宋" w:cs="仿宋"/>
                <w:sz w:val="31"/>
                <w:szCs w:val="31"/>
              </w:rPr>
            </w:pPr>
            <w:r>
              <w:rPr>
                <w:rFonts w:hint="eastAsia" w:ascii="仿宋" w:hAnsi="仿宋" w:eastAsia="仿宋" w:cs="仿宋"/>
                <w:spacing w:val="-1"/>
                <w:sz w:val="31"/>
                <w:szCs w:val="31"/>
              </w:rPr>
              <w:t>例：XXX元/人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3845" w:type="dxa"/>
            <w:gridSpan w:val="3"/>
            <w:vAlign w:val="top"/>
          </w:tcPr>
          <w:p>
            <w:pPr>
              <w:pStyle w:val="60"/>
              <w:spacing w:before="171" w:line="219" w:lineRule="auto"/>
              <w:ind w:left="1235"/>
              <w:rPr>
                <w:rFonts w:hint="eastAsia" w:ascii="仿宋" w:hAnsi="仿宋" w:eastAsia="仿宋" w:cs="仿宋"/>
                <w:sz w:val="31"/>
                <w:szCs w:val="31"/>
              </w:rPr>
            </w:pPr>
            <w:r>
              <w:rPr>
                <w:rFonts w:hint="eastAsia" w:ascii="仿宋" w:hAnsi="仿宋" w:eastAsia="仿宋" w:cs="仿宋"/>
                <w:spacing w:val="4"/>
                <w:sz w:val="31"/>
                <w:szCs w:val="31"/>
              </w:rPr>
              <w:t>本期应付费用</w:t>
            </w:r>
          </w:p>
        </w:tc>
        <w:tc>
          <w:tcPr>
            <w:tcW w:w="5572" w:type="dxa"/>
            <w:gridSpan w:val="3"/>
            <w:vAlign w:val="top"/>
          </w:tcPr>
          <w:p>
            <w:pPr>
              <w:pStyle w:val="60"/>
              <w:spacing w:before="214" w:line="222" w:lineRule="auto"/>
              <w:ind w:left="164"/>
              <w:rPr>
                <w:rFonts w:hint="eastAsia" w:ascii="仿宋" w:hAnsi="仿宋" w:eastAsia="仿宋" w:cs="仿宋"/>
                <w:sz w:val="31"/>
                <w:szCs w:val="31"/>
              </w:rPr>
            </w:pPr>
            <w:r>
              <w:rPr>
                <w:rFonts w:hint="eastAsia" w:ascii="仿宋" w:hAnsi="仿宋" w:eastAsia="仿宋" w:cs="仿宋"/>
                <w:spacing w:val="-6"/>
                <w:position w:val="-5"/>
                <w:sz w:val="31"/>
                <w:szCs w:val="31"/>
              </w:rPr>
              <w:t>¥</w:t>
            </w:r>
            <w:r>
              <w:rPr>
                <w:rFonts w:hint="eastAsia" w:ascii="仿宋" w:hAnsi="仿宋" w:eastAsia="仿宋" w:cs="仿宋"/>
                <w:spacing w:val="10"/>
                <w:position w:val="-5"/>
                <w:sz w:val="31"/>
                <w:szCs w:val="31"/>
              </w:rPr>
              <w:t xml:space="preserve">         </w:t>
            </w:r>
            <w:r>
              <w:rPr>
                <w:rFonts w:hint="eastAsia" w:ascii="仿宋" w:hAnsi="仿宋" w:eastAsia="仿宋" w:cs="仿宋"/>
                <w:spacing w:val="-6"/>
                <w:sz w:val="31"/>
                <w:szCs w:val="31"/>
              </w:rPr>
              <w:t>元(大写：           元整)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trPr>
        <w:tc>
          <w:tcPr>
            <w:tcW w:w="839" w:type="dxa"/>
            <w:vAlign w:val="top"/>
          </w:tcPr>
          <w:p>
            <w:pPr>
              <w:spacing w:line="323" w:lineRule="auto"/>
              <w:rPr>
                <w:rFonts w:hint="eastAsia" w:ascii="仿宋" w:hAnsi="仿宋" w:eastAsia="仿宋" w:cs="仿宋"/>
                <w:sz w:val="31"/>
                <w:szCs w:val="31"/>
              </w:rPr>
            </w:pPr>
          </w:p>
          <w:p>
            <w:pPr>
              <w:pStyle w:val="60"/>
              <w:spacing w:before="78" w:line="219" w:lineRule="auto"/>
              <w:ind w:left="165"/>
              <w:rPr>
                <w:rFonts w:hint="eastAsia" w:ascii="仿宋" w:hAnsi="仿宋" w:eastAsia="仿宋" w:cs="仿宋"/>
                <w:sz w:val="31"/>
                <w:szCs w:val="31"/>
              </w:rPr>
            </w:pPr>
            <w:r>
              <w:rPr>
                <w:rFonts w:hint="eastAsia" w:ascii="仿宋" w:hAnsi="仿宋" w:eastAsia="仿宋" w:cs="仿宋"/>
                <w:spacing w:val="13"/>
                <w:sz w:val="31"/>
                <w:szCs w:val="31"/>
              </w:rPr>
              <w:t>说明</w:t>
            </w:r>
          </w:p>
        </w:tc>
        <w:tc>
          <w:tcPr>
            <w:tcW w:w="8578" w:type="dxa"/>
            <w:gridSpan w:val="5"/>
            <w:vAlign w:val="top"/>
          </w:tcPr>
          <w:p>
            <w:pPr>
              <w:spacing w:line="322" w:lineRule="auto"/>
              <w:rPr>
                <w:rFonts w:hint="eastAsia" w:ascii="仿宋" w:hAnsi="仿宋" w:eastAsia="仿宋" w:cs="仿宋"/>
                <w:sz w:val="31"/>
                <w:szCs w:val="31"/>
              </w:rPr>
            </w:pPr>
          </w:p>
          <w:p>
            <w:pPr>
              <w:pStyle w:val="60"/>
              <w:spacing w:before="78" w:line="219" w:lineRule="auto"/>
              <w:ind w:left="141"/>
              <w:rPr>
                <w:rFonts w:hint="eastAsia" w:ascii="仿宋" w:hAnsi="仿宋" w:eastAsia="仿宋" w:cs="仿宋"/>
                <w:sz w:val="31"/>
                <w:szCs w:val="31"/>
              </w:rPr>
            </w:pPr>
            <w:r>
              <w:rPr>
                <w:rFonts w:hint="eastAsia" w:ascii="仿宋" w:hAnsi="仿宋" w:eastAsia="仿宋" w:cs="仿宋"/>
                <w:sz w:val="31"/>
                <w:szCs w:val="31"/>
              </w:rPr>
              <w:t>本期应付费用(含应付税金等)=人工成本+运营成本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6" w:hRule="atLeast"/>
        </w:trPr>
        <w:tc>
          <w:tcPr>
            <w:tcW w:w="9417" w:type="dxa"/>
            <w:gridSpan w:val="6"/>
            <w:vAlign w:val="top"/>
          </w:tcPr>
          <w:p>
            <w:pPr>
              <w:pStyle w:val="60"/>
              <w:spacing w:before="123" w:line="219" w:lineRule="auto"/>
              <w:ind w:left="135"/>
              <w:rPr>
                <w:rFonts w:hint="eastAsia" w:ascii="仿宋" w:hAnsi="仿宋" w:eastAsia="仿宋" w:cs="仿宋"/>
                <w:sz w:val="31"/>
                <w:szCs w:val="31"/>
              </w:rPr>
            </w:pPr>
            <w:r>
              <w:rPr>
                <w:rFonts w:hint="eastAsia" w:ascii="仿宋" w:hAnsi="仿宋" w:eastAsia="仿宋" w:cs="仿宋"/>
                <w:sz w:val="31"/>
                <w:szCs w:val="31"/>
              </w:rPr>
              <w:t>附件：乙方费用构成清单</w:t>
            </w:r>
          </w:p>
          <w:p>
            <w:pPr>
              <w:spacing w:line="248" w:lineRule="auto"/>
              <w:rPr>
                <w:rFonts w:hint="eastAsia" w:ascii="仿宋" w:hAnsi="仿宋" w:eastAsia="仿宋" w:cs="仿宋"/>
                <w:sz w:val="31"/>
                <w:szCs w:val="31"/>
              </w:rPr>
            </w:pPr>
          </w:p>
          <w:p>
            <w:pPr>
              <w:spacing w:line="248" w:lineRule="auto"/>
              <w:rPr>
                <w:rFonts w:hint="eastAsia" w:ascii="仿宋" w:hAnsi="仿宋" w:eastAsia="仿宋" w:cs="仿宋"/>
                <w:sz w:val="31"/>
                <w:szCs w:val="31"/>
              </w:rPr>
            </w:pPr>
          </w:p>
          <w:p>
            <w:pPr>
              <w:spacing w:line="248" w:lineRule="auto"/>
              <w:rPr>
                <w:rFonts w:hint="eastAsia" w:ascii="仿宋" w:hAnsi="仿宋" w:eastAsia="仿宋" w:cs="仿宋"/>
                <w:sz w:val="31"/>
                <w:szCs w:val="31"/>
              </w:rPr>
            </w:pPr>
          </w:p>
          <w:p>
            <w:pPr>
              <w:spacing w:line="248" w:lineRule="auto"/>
              <w:rPr>
                <w:rFonts w:hint="eastAsia" w:ascii="仿宋" w:hAnsi="仿宋" w:eastAsia="仿宋" w:cs="仿宋"/>
                <w:sz w:val="31"/>
                <w:szCs w:val="31"/>
              </w:rPr>
            </w:pPr>
          </w:p>
          <w:p>
            <w:pPr>
              <w:spacing w:line="248" w:lineRule="auto"/>
              <w:rPr>
                <w:rFonts w:hint="eastAsia" w:ascii="仿宋" w:hAnsi="仿宋" w:eastAsia="仿宋" w:cs="仿宋"/>
                <w:sz w:val="31"/>
                <w:szCs w:val="31"/>
              </w:rPr>
            </w:pPr>
          </w:p>
          <w:p>
            <w:pPr>
              <w:spacing w:line="249" w:lineRule="auto"/>
              <w:rPr>
                <w:rFonts w:hint="eastAsia" w:ascii="仿宋" w:hAnsi="仿宋" w:eastAsia="仿宋" w:cs="仿宋"/>
                <w:sz w:val="31"/>
                <w:szCs w:val="31"/>
              </w:rPr>
            </w:pPr>
          </w:p>
          <w:p>
            <w:pPr>
              <w:pStyle w:val="60"/>
              <w:spacing w:before="78" w:line="219" w:lineRule="auto"/>
              <w:ind w:left="4015"/>
              <w:rPr>
                <w:rFonts w:hint="eastAsia" w:ascii="仿宋" w:hAnsi="仿宋" w:eastAsia="仿宋" w:cs="仿宋"/>
                <w:sz w:val="31"/>
                <w:szCs w:val="31"/>
              </w:rPr>
            </w:pPr>
            <w:r>
              <w:rPr>
                <w:rFonts w:hint="eastAsia" w:ascii="仿宋" w:hAnsi="仿宋" w:eastAsia="仿宋" w:cs="仿宋"/>
                <w:spacing w:val="6"/>
                <w:sz w:val="31"/>
                <w:szCs w:val="31"/>
              </w:rPr>
              <w:t>单位(盖章):</w:t>
            </w:r>
          </w:p>
          <w:p>
            <w:pPr>
              <w:spacing w:line="373" w:lineRule="auto"/>
              <w:rPr>
                <w:rFonts w:hint="eastAsia" w:ascii="仿宋" w:hAnsi="仿宋" w:eastAsia="仿宋" w:cs="仿宋"/>
                <w:sz w:val="31"/>
                <w:szCs w:val="31"/>
              </w:rPr>
            </w:pPr>
          </w:p>
          <w:p>
            <w:pPr>
              <w:pStyle w:val="60"/>
              <w:spacing w:before="78" w:line="220" w:lineRule="auto"/>
              <w:ind w:left="5158"/>
              <w:rPr>
                <w:rFonts w:hint="eastAsia" w:ascii="仿宋" w:hAnsi="仿宋" w:eastAsia="仿宋" w:cs="仿宋"/>
                <w:sz w:val="31"/>
                <w:szCs w:val="31"/>
              </w:rPr>
            </w:pPr>
            <w:r>
              <w:rPr>
                <w:rFonts w:hint="eastAsia" w:ascii="仿宋" w:hAnsi="仿宋" w:eastAsia="仿宋" w:cs="仿宋"/>
                <w:b/>
                <w:bCs/>
                <w:spacing w:val="-5"/>
                <w:sz w:val="31"/>
                <w:szCs w:val="31"/>
              </w:rPr>
              <w:t>日期：</w:t>
            </w:r>
          </w:p>
        </w:tc>
      </w:tr>
    </w:tbl>
    <w:p>
      <w:pPr>
        <w:spacing w:before="16" w:line="39" w:lineRule="exact"/>
        <w:ind w:left="4865"/>
        <w:rPr>
          <w:rFonts w:hint="eastAsia" w:ascii="仿宋" w:hAnsi="仿宋" w:eastAsia="仿宋" w:cs="仿宋"/>
          <w:sz w:val="31"/>
          <w:szCs w:val="31"/>
        </w:rPr>
        <w:sectPr>
          <w:footerReference r:id="rId3" w:type="default"/>
          <w:pgSz w:w="11920" w:h="16920"/>
          <w:pgMar w:top="1440" w:right="1080" w:bottom="1440" w:left="1080" w:header="0" w:footer="844" w:gutter="0"/>
          <w:cols w:space="720" w:num="1"/>
        </w:sectPr>
      </w:pPr>
    </w:p>
    <w:p>
      <w:pPr>
        <w:widowControl/>
        <w:pBdr>
          <w:bottom w:val="single" w:color="auto" w:sz="6" w:space="1"/>
        </w:pBdr>
        <w:jc w:val="center"/>
        <w:rPr>
          <w:rFonts w:ascii="Arial" w:hAnsi="Arial" w:eastAsia="宋体" w:cs="Arial"/>
          <w:vanish/>
          <w:kern w:val="0"/>
          <w:sz w:val="30"/>
          <w:szCs w:val="30"/>
        </w:rPr>
      </w:pPr>
      <w:r>
        <w:rPr>
          <w:rFonts w:hint="eastAsia" w:ascii="Arial" w:hAnsi="Arial" w:eastAsia="宋体" w:cs="Arial"/>
          <w:vanish/>
          <w:kern w:val="0"/>
          <w:sz w:val="30"/>
          <w:szCs w:val="30"/>
        </w:rPr>
        <w:t>窗体顶端</w:t>
      </w:r>
    </w:p>
    <w:sectPr>
      <w:headerReference r:id="rId4" w:type="default"/>
      <w:footerReference r:id="rId5" w:type="default"/>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0002AFF" w:usb1="C000247B" w:usb2="00000009" w:usb3="00000000" w:csb0="200001FF" w:csb1="00000000"/>
  </w:font>
  <w:font w:name="華康中楷體">
    <w:altName w:val="Microsoft JhengHei"/>
    <w:panose1 w:val="00000000000000000000"/>
    <w:charset w:val="88"/>
    <w:family w:val="modern"/>
    <w:pitch w:val="default"/>
    <w:sig w:usb0="00000000" w:usb1="00000000" w:usb2="00000010" w:usb3="00000000" w:csb0="00100000" w:csb1="00000000"/>
  </w:font>
  <w:font w:name="方正小标宋简体">
    <w:panose1 w:val="02000000000000000000"/>
    <w:charset w:val="86"/>
    <w:family w:val="script"/>
    <w:pitch w:val="default"/>
    <w:sig w:usb0="A00002BF" w:usb1="184F6CFA" w:usb2="00000012"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6" w:lineRule="auto"/>
      <w:ind w:left="535"/>
      <w:rPr>
        <w:rFonts w:ascii="宋体" w:hAnsi="宋体" w:eastAsia="宋体" w:cs="宋体"/>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BF5355"/>
    <w:multiLevelType w:val="singleLevel"/>
    <w:tmpl w:val="B7BF5355"/>
    <w:lvl w:ilvl="0" w:tentative="0">
      <w:start w:val="1"/>
      <w:numFmt w:val="chineseCounting"/>
      <w:suff w:val="nothing"/>
      <w:lvlText w:val="（%1）"/>
      <w:lvlJc w:val="left"/>
      <w:rPr>
        <w:rFonts w:hint="eastAsia"/>
      </w:rPr>
    </w:lvl>
  </w:abstractNum>
  <w:abstractNum w:abstractNumId="1">
    <w:nsid w:val="0000000A"/>
    <w:multiLevelType w:val="singleLevel"/>
    <w:tmpl w:val="0000000A"/>
    <w:lvl w:ilvl="0" w:tentative="0">
      <w:start w:val="1"/>
      <w:numFmt w:val="chineseCounting"/>
      <w:suff w:val="nothing"/>
      <w:lvlText w:val="（%1）"/>
      <w:lvlJc w:val="left"/>
    </w:lvl>
  </w:abstractNum>
  <w:abstractNum w:abstractNumId="2">
    <w:nsid w:val="0236A85C"/>
    <w:multiLevelType w:val="singleLevel"/>
    <w:tmpl w:val="0236A85C"/>
    <w:lvl w:ilvl="0" w:tentative="0">
      <w:start w:val="2"/>
      <w:numFmt w:val="chineseCounting"/>
      <w:suff w:val="nothing"/>
      <w:lvlText w:val="%1、"/>
      <w:lvlJc w:val="left"/>
      <w:rPr>
        <w:rFonts w:hint="eastAsia"/>
      </w:rPr>
    </w:lvl>
  </w:abstractNum>
  <w:abstractNum w:abstractNumId="3">
    <w:nsid w:val="5475572A"/>
    <w:multiLevelType w:val="singleLevel"/>
    <w:tmpl w:val="5475572A"/>
    <w:lvl w:ilvl="0" w:tentative="0">
      <w:start w:val="4"/>
      <w:numFmt w:val="decimal"/>
      <w:suff w:val="space"/>
      <w:lvlText w:val="%1."/>
      <w:lvlJc w:val="left"/>
      <w:pPr>
        <w:ind w:left="-6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86C86"/>
    <w:rsid w:val="000931E3"/>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1863"/>
    <w:rsid w:val="001B6B2C"/>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4685A"/>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C0BCD"/>
    <w:rsid w:val="005C2FC6"/>
    <w:rsid w:val="005D2E3B"/>
    <w:rsid w:val="005F3893"/>
    <w:rsid w:val="0061460F"/>
    <w:rsid w:val="00616CD4"/>
    <w:rsid w:val="00637970"/>
    <w:rsid w:val="00660A10"/>
    <w:rsid w:val="0067552D"/>
    <w:rsid w:val="00680FD5"/>
    <w:rsid w:val="00684938"/>
    <w:rsid w:val="00685F34"/>
    <w:rsid w:val="006954F0"/>
    <w:rsid w:val="006A2991"/>
    <w:rsid w:val="006A5E52"/>
    <w:rsid w:val="006A69FB"/>
    <w:rsid w:val="006A795D"/>
    <w:rsid w:val="006B1DF3"/>
    <w:rsid w:val="006B35BE"/>
    <w:rsid w:val="006B77F7"/>
    <w:rsid w:val="006C6785"/>
    <w:rsid w:val="006D4F4F"/>
    <w:rsid w:val="006E2289"/>
    <w:rsid w:val="006E3B24"/>
    <w:rsid w:val="006F1386"/>
    <w:rsid w:val="006F6B16"/>
    <w:rsid w:val="00705066"/>
    <w:rsid w:val="00712F50"/>
    <w:rsid w:val="0071545C"/>
    <w:rsid w:val="007455A2"/>
    <w:rsid w:val="00745B0A"/>
    <w:rsid w:val="00751947"/>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74EC6"/>
    <w:rsid w:val="008818FB"/>
    <w:rsid w:val="0089244D"/>
    <w:rsid w:val="008B13E7"/>
    <w:rsid w:val="008B32DE"/>
    <w:rsid w:val="008C3164"/>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5658"/>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0FCF"/>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E4425"/>
    <w:rsid w:val="01172159"/>
    <w:rsid w:val="02AC0E8D"/>
    <w:rsid w:val="09FE7535"/>
    <w:rsid w:val="0C244B56"/>
    <w:rsid w:val="0C285066"/>
    <w:rsid w:val="0F064CD9"/>
    <w:rsid w:val="0F165833"/>
    <w:rsid w:val="0F1D2F15"/>
    <w:rsid w:val="0F393B3E"/>
    <w:rsid w:val="11936966"/>
    <w:rsid w:val="139778AB"/>
    <w:rsid w:val="14800B69"/>
    <w:rsid w:val="14971254"/>
    <w:rsid w:val="166A0EC5"/>
    <w:rsid w:val="16E05202"/>
    <w:rsid w:val="16EB08C6"/>
    <w:rsid w:val="1A1944E7"/>
    <w:rsid w:val="1AC26025"/>
    <w:rsid w:val="1B205B86"/>
    <w:rsid w:val="1BF01997"/>
    <w:rsid w:val="1CD41D3C"/>
    <w:rsid w:val="1FE52965"/>
    <w:rsid w:val="20293CCB"/>
    <w:rsid w:val="21C11101"/>
    <w:rsid w:val="23681EC9"/>
    <w:rsid w:val="26F12FD4"/>
    <w:rsid w:val="282E6E61"/>
    <w:rsid w:val="2B7D0834"/>
    <w:rsid w:val="2B935FE2"/>
    <w:rsid w:val="2EA717FA"/>
    <w:rsid w:val="30291298"/>
    <w:rsid w:val="307F022E"/>
    <w:rsid w:val="32242AD2"/>
    <w:rsid w:val="323D6129"/>
    <w:rsid w:val="32F61238"/>
    <w:rsid w:val="33B550BA"/>
    <w:rsid w:val="350809AE"/>
    <w:rsid w:val="35C956EE"/>
    <w:rsid w:val="36EC26F0"/>
    <w:rsid w:val="36F80543"/>
    <w:rsid w:val="37211006"/>
    <w:rsid w:val="3FC84BA1"/>
    <w:rsid w:val="42A2248D"/>
    <w:rsid w:val="43B44248"/>
    <w:rsid w:val="489F1763"/>
    <w:rsid w:val="49C74500"/>
    <w:rsid w:val="4B5F3196"/>
    <w:rsid w:val="4C306E27"/>
    <w:rsid w:val="4CA80B95"/>
    <w:rsid w:val="4D62776A"/>
    <w:rsid w:val="4FFE542C"/>
    <w:rsid w:val="50682F90"/>
    <w:rsid w:val="50CE1413"/>
    <w:rsid w:val="538C7F87"/>
    <w:rsid w:val="53DA1A29"/>
    <w:rsid w:val="572F4B3C"/>
    <w:rsid w:val="583542B0"/>
    <w:rsid w:val="5BC361AC"/>
    <w:rsid w:val="5BE15CC8"/>
    <w:rsid w:val="5C5E04E3"/>
    <w:rsid w:val="5D662256"/>
    <w:rsid w:val="5F0A72A8"/>
    <w:rsid w:val="60E94FD2"/>
    <w:rsid w:val="66610AA2"/>
    <w:rsid w:val="6A5528E1"/>
    <w:rsid w:val="710E7A68"/>
    <w:rsid w:val="735709E8"/>
    <w:rsid w:val="738E6899"/>
    <w:rsid w:val="766C2398"/>
    <w:rsid w:val="77E63412"/>
    <w:rsid w:val="77F52626"/>
    <w:rsid w:val="7B055BFB"/>
    <w:rsid w:val="7E5F558A"/>
    <w:rsid w:val="7F5A56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6"/>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4">
    <w:name w:val="heading 3"/>
    <w:basedOn w:val="1"/>
    <w:next w:val="1"/>
    <w:link w:val="45"/>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6"/>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rFonts w:ascii="Times New Roman" w:hAnsi="Times New Roman" w:eastAsia="宋体" w:cs="Times New Roman"/>
      <w:szCs w:val="24"/>
    </w:rPr>
  </w:style>
  <w:style w:type="paragraph" w:styleId="7">
    <w:name w:val="caption"/>
    <w:basedOn w:val="1"/>
    <w:next w:val="1"/>
    <w:unhideWhenUsed/>
    <w:qFormat/>
    <w:uiPriority w:val="35"/>
    <w:rPr>
      <w:rFonts w:eastAsia="黑体" w:asciiTheme="majorHAnsi" w:hAnsiTheme="majorHAnsi" w:cstheme="majorBidi"/>
      <w:sz w:val="20"/>
      <w:szCs w:val="20"/>
    </w:rPr>
  </w:style>
  <w:style w:type="paragraph" w:styleId="8">
    <w:name w:val="Document Map"/>
    <w:basedOn w:val="1"/>
    <w:link w:val="50"/>
    <w:semiHidden/>
    <w:unhideWhenUsed/>
    <w:qFormat/>
    <w:uiPriority w:val="99"/>
    <w:rPr>
      <w:rFonts w:ascii="宋体" w:hAnsi="Calibri" w:eastAsia="宋体" w:cs="Times New Roman"/>
      <w:kern w:val="0"/>
      <w:sz w:val="18"/>
      <w:szCs w:val="18"/>
    </w:rPr>
  </w:style>
  <w:style w:type="paragraph" w:styleId="9">
    <w:name w:val="annotation text"/>
    <w:basedOn w:val="1"/>
    <w:link w:val="38"/>
    <w:semiHidden/>
    <w:unhideWhenUsed/>
    <w:qFormat/>
    <w:uiPriority w:val="99"/>
    <w:pPr>
      <w:jc w:val="left"/>
    </w:pPr>
  </w:style>
  <w:style w:type="paragraph" w:styleId="10">
    <w:name w:val="Body Text"/>
    <w:basedOn w:val="1"/>
    <w:semiHidden/>
    <w:qFormat/>
    <w:uiPriority w:val="0"/>
    <w:rPr>
      <w:rFonts w:ascii="Arial" w:hAnsi="Arial" w:eastAsia="Arial" w:cs="Arial"/>
      <w:sz w:val="21"/>
      <w:szCs w:val="21"/>
      <w:lang w:val="en-US" w:eastAsia="en-US" w:bidi="ar-SA"/>
    </w:rPr>
  </w:style>
  <w:style w:type="paragraph" w:styleId="11">
    <w:name w:val="Body Text Indent"/>
    <w:basedOn w:val="1"/>
    <w:link w:val="59"/>
    <w:semiHidden/>
    <w:unhideWhenUsed/>
    <w:qFormat/>
    <w:uiPriority w:val="99"/>
    <w:pPr>
      <w:spacing w:after="120"/>
      <w:ind w:left="420" w:leftChars="200"/>
    </w:pPr>
  </w:style>
  <w:style w:type="paragraph" w:styleId="12">
    <w:name w:val="toc 3"/>
    <w:basedOn w:val="1"/>
    <w:next w:val="1"/>
    <w:unhideWhenUsed/>
    <w:qFormat/>
    <w:uiPriority w:val="39"/>
    <w:pPr>
      <w:ind w:left="840" w:leftChars="400"/>
    </w:pPr>
    <w:rPr>
      <w:rFonts w:ascii="Calibri" w:hAnsi="Calibri" w:eastAsia="宋体" w:cs="Times New Roman"/>
    </w:rPr>
  </w:style>
  <w:style w:type="paragraph" w:styleId="13">
    <w:name w:val="Plain Text"/>
    <w:basedOn w:val="1"/>
    <w:link w:val="44"/>
    <w:qFormat/>
    <w:uiPriority w:val="0"/>
    <w:rPr>
      <w:rFonts w:ascii="宋体" w:hAnsi="Courier New" w:eastAsia="宋体" w:cs="Times New Roman"/>
      <w:szCs w:val="20"/>
    </w:rPr>
  </w:style>
  <w:style w:type="paragraph" w:styleId="14">
    <w:name w:val="Body Text Indent 2"/>
    <w:basedOn w:val="1"/>
    <w:link w:val="42"/>
    <w:unhideWhenUsed/>
    <w:qFormat/>
    <w:uiPriority w:val="99"/>
    <w:pPr>
      <w:ind w:firstLine="480" w:firstLineChars="160"/>
    </w:pPr>
    <w:rPr>
      <w:rFonts w:ascii="仿宋_GB2312" w:eastAsia="仿宋_GB2312"/>
      <w:sz w:val="30"/>
      <w:szCs w:val="30"/>
    </w:rPr>
  </w:style>
  <w:style w:type="paragraph" w:styleId="15">
    <w:name w:val="Balloon Text"/>
    <w:basedOn w:val="1"/>
    <w:link w:val="40"/>
    <w:semiHidden/>
    <w:unhideWhenUsed/>
    <w:qFormat/>
    <w:uiPriority w:val="99"/>
    <w:rPr>
      <w:sz w:val="18"/>
      <w:szCs w:val="18"/>
    </w:rPr>
  </w:style>
  <w:style w:type="paragraph" w:styleId="16">
    <w:name w:val="footer"/>
    <w:basedOn w:val="1"/>
    <w:link w:val="32"/>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7">
    <w:name w:val="header"/>
    <w:basedOn w:val="1"/>
    <w:link w:val="34"/>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line="360" w:lineRule="auto"/>
    </w:pPr>
    <w:rPr>
      <w:rFonts w:ascii="宋体" w:hAnsi="Times New Roman" w:eastAsia="宋体" w:cs="Times New Roman"/>
      <w:b/>
      <w:sz w:val="24"/>
      <w:szCs w:val="20"/>
    </w:rPr>
  </w:style>
  <w:style w:type="paragraph" w:styleId="19">
    <w:name w:val="toc 4"/>
    <w:basedOn w:val="1"/>
    <w:next w:val="1"/>
    <w:unhideWhenUsed/>
    <w:qFormat/>
    <w:uiPriority w:val="39"/>
    <w:pPr>
      <w:ind w:left="1260" w:leftChars="600"/>
    </w:pPr>
    <w:rPr>
      <w:rFonts w:ascii="Calibri" w:hAnsi="Calibri" w:eastAsia="宋体" w:cs="Times New Roman"/>
    </w:rPr>
  </w:style>
  <w:style w:type="paragraph" w:styleId="20">
    <w:name w:val="toc 2"/>
    <w:basedOn w:val="1"/>
    <w:next w:val="1"/>
    <w:unhideWhenUsed/>
    <w:qFormat/>
    <w:uiPriority w:val="39"/>
    <w:pPr>
      <w:ind w:left="420" w:leftChars="200"/>
    </w:pPr>
    <w:rPr>
      <w:rFonts w:ascii="Calibri" w:hAnsi="Calibri" w:eastAsia="宋体" w:cs="Times New Roman"/>
    </w:rPr>
  </w:style>
  <w:style w:type="paragraph" w:styleId="21">
    <w:name w:val="Title"/>
    <w:basedOn w:val="1"/>
    <w:next w:val="1"/>
    <w:link w:val="48"/>
    <w:qFormat/>
    <w:uiPriority w:val="10"/>
    <w:pPr>
      <w:spacing w:before="240" w:after="60"/>
      <w:jc w:val="center"/>
      <w:outlineLvl w:val="0"/>
    </w:pPr>
    <w:rPr>
      <w:rFonts w:eastAsia="宋体" w:asciiTheme="majorHAnsi" w:hAnsiTheme="majorHAnsi" w:cstheme="majorBidi"/>
      <w:b/>
      <w:bCs/>
      <w:sz w:val="32"/>
      <w:szCs w:val="32"/>
    </w:rPr>
  </w:style>
  <w:style w:type="paragraph" w:styleId="22">
    <w:name w:val="annotation subject"/>
    <w:basedOn w:val="9"/>
    <w:next w:val="9"/>
    <w:link w:val="39"/>
    <w:semiHidden/>
    <w:unhideWhenUsed/>
    <w:qFormat/>
    <w:uiPriority w:val="99"/>
    <w:rPr>
      <w:b/>
      <w:bCs/>
    </w:rPr>
  </w:style>
  <w:style w:type="paragraph" w:styleId="23">
    <w:name w:val="Body Text First Indent"/>
    <w:basedOn w:val="10"/>
    <w:qFormat/>
    <w:uiPriority w:val="0"/>
    <w:pPr>
      <w:spacing w:after="120" w:line="240" w:lineRule="auto"/>
      <w:ind w:firstLine="420" w:firstLineChars="100"/>
    </w:pPr>
    <w:rPr>
      <w:szCs w:val="24"/>
    </w:r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29">
    <w:name w:val="Hyperlink"/>
    <w:basedOn w:val="26"/>
    <w:unhideWhenUsed/>
    <w:qFormat/>
    <w:uiPriority w:val="99"/>
    <w:rPr>
      <w:color w:val="0563C1" w:themeColor="hyperlink"/>
      <w:u w:val="single"/>
      <w14:textFill>
        <w14:solidFill>
          <w14:schemeClr w14:val="hlink"/>
        </w14:solidFill>
      </w14:textFill>
    </w:rPr>
  </w:style>
  <w:style w:type="character" w:styleId="30">
    <w:name w:val="annotation reference"/>
    <w:qFormat/>
    <w:uiPriority w:val="99"/>
    <w:rPr>
      <w:sz w:val="21"/>
      <w:szCs w:val="21"/>
    </w:rPr>
  </w:style>
  <w:style w:type="character" w:customStyle="1" w:styleId="31">
    <w:name w:val="标题 1 Char"/>
    <w:basedOn w:val="26"/>
    <w:link w:val="2"/>
    <w:qFormat/>
    <w:uiPriority w:val="9"/>
    <w:rPr>
      <w:rFonts w:ascii="Times New Roman" w:hAnsi="Times New Roman" w:eastAsia="宋体" w:cs="Times New Roman"/>
      <w:b/>
      <w:bCs/>
      <w:kern w:val="44"/>
      <w:sz w:val="44"/>
      <w:szCs w:val="44"/>
    </w:rPr>
  </w:style>
  <w:style w:type="character" w:customStyle="1" w:styleId="32">
    <w:name w:val="页脚 Char"/>
    <w:basedOn w:val="26"/>
    <w:link w:val="16"/>
    <w:qFormat/>
    <w:uiPriority w:val="99"/>
    <w:rPr>
      <w:rFonts w:ascii="Times New Roman" w:hAnsi="Times New Roman" w:eastAsia="宋体" w:cs="Times New Roman"/>
      <w:sz w:val="18"/>
      <w:szCs w:val="20"/>
    </w:rPr>
  </w:style>
  <w:style w:type="paragraph" w:customStyle="1" w:styleId="33">
    <w:name w:val="p0"/>
    <w:basedOn w:val="1"/>
    <w:qFormat/>
    <w:uiPriority w:val="0"/>
    <w:pPr>
      <w:widowControl/>
    </w:pPr>
    <w:rPr>
      <w:rFonts w:ascii="Times New Roman" w:hAnsi="Times New Roman" w:eastAsia="宋体" w:cs="Times New Roman"/>
      <w:kern w:val="0"/>
      <w:szCs w:val="21"/>
    </w:rPr>
  </w:style>
  <w:style w:type="character" w:customStyle="1" w:styleId="34">
    <w:name w:val="页眉 Char"/>
    <w:basedOn w:val="26"/>
    <w:link w:val="17"/>
    <w:qFormat/>
    <w:uiPriority w:val="0"/>
    <w:rPr>
      <w:sz w:val="18"/>
      <w:szCs w:val="18"/>
    </w:rPr>
  </w:style>
  <w:style w:type="paragraph" w:customStyle="1" w:styleId="35">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6">
    <w:name w:val="标题 2 Char"/>
    <w:basedOn w:val="26"/>
    <w:link w:val="3"/>
    <w:qFormat/>
    <w:uiPriority w:val="9"/>
    <w:rPr>
      <w:rFonts w:ascii="仿宋_GB2312" w:hAnsi="仿宋_GB2312" w:eastAsia="仿宋_GB2312" w:cs="仿宋_GB2312"/>
      <w:b/>
      <w:bCs/>
      <w:sz w:val="32"/>
      <w:szCs w:val="32"/>
    </w:rPr>
  </w:style>
  <w:style w:type="paragraph" w:customStyle="1" w:styleId="37">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8">
    <w:name w:val="批注文字 Char"/>
    <w:basedOn w:val="26"/>
    <w:link w:val="9"/>
    <w:semiHidden/>
    <w:qFormat/>
    <w:uiPriority w:val="99"/>
  </w:style>
  <w:style w:type="character" w:customStyle="1" w:styleId="39">
    <w:name w:val="批注主题 Char"/>
    <w:basedOn w:val="38"/>
    <w:link w:val="22"/>
    <w:semiHidden/>
    <w:qFormat/>
    <w:uiPriority w:val="99"/>
    <w:rPr>
      <w:b/>
      <w:bCs/>
    </w:rPr>
  </w:style>
  <w:style w:type="character" w:customStyle="1" w:styleId="40">
    <w:name w:val="批注框文本 Char"/>
    <w:basedOn w:val="26"/>
    <w:link w:val="15"/>
    <w:semiHidden/>
    <w:qFormat/>
    <w:uiPriority w:val="99"/>
    <w:rPr>
      <w:sz w:val="18"/>
      <w:szCs w:val="18"/>
    </w:rPr>
  </w:style>
  <w:style w:type="paragraph" w:styleId="41">
    <w:name w:val="List Paragraph"/>
    <w:basedOn w:val="1"/>
    <w:link w:val="47"/>
    <w:qFormat/>
    <w:uiPriority w:val="34"/>
    <w:pPr>
      <w:ind w:firstLine="420" w:firstLineChars="200"/>
    </w:pPr>
  </w:style>
  <w:style w:type="character" w:customStyle="1" w:styleId="42">
    <w:name w:val="正文文本缩进 2 Char"/>
    <w:link w:val="14"/>
    <w:qFormat/>
    <w:uiPriority w:val="99"/>
    <w:rPr>
      <w:rFonts w:ascii="仿宋_GB2312" w:eastAsia="仿宋_GB2312"/>
      <w:sz w:val="30"/>
      <w:szCs w:val="30"/>
    </w:rPr>
  </w:style>
  <w:style w:type="character" w:customStyle="1" w:styleId="43">
    <w:name w:val="正文文本缩进 2 Char1"/>
    <w:basedOn w:val="26"/>
    <w:semiHidden/>
    <w:qFormat/>
    <w:uiPriority w:val="99"/>
  </w:style>
  <w:style w:type="character" w:customStyle="1" w:styleId="44">
    <w:name w:val="纯文本 Char"/>
    <w:basedOn w:val="26"/>
    <w:link w:val="13"/>
    <w:qFormat/>
    <w:uiPriority w:val="0"/>
    <w:rPr>
      <w:rFonts w:ascii="宋体" w:hAnsi="Courier New" w:eastAsia="宋体" w:cs="Times New Roman"/>
      <w:szCs w:val="20"/>
    </w:rPr>
  </w:style>
  <w:style w:type="character" w:customStyle="1" w:styleId="45">
    <w:name w:val="标题 3 Char"/>
    <w:basedOn w:val="26"/>
    <w:link w:val="4"/>
    <w:qFormat/>
    <w:uiPriority w:val="9"/>
    <w:rPr>
      <w:b/>
      <w:bCs/>
      <w:sz w:val="32"/>
      <w:szCs w:val="32"/>
    </w:rPr>
  </w:style>
  <w:style w:type="character" w:customStyle="1" w:styleId="46">
    <w:name w:val="标题 4 Char"/>
    <w:basedOn w:val="26"/>
    <w:link w:val="5"/>
    <w:qFormat/>
    <w:uiPriority w:val="9"/>
    <w:rPr>
      <w:rFonts w:ascii="Cambria" w:hAnsi="Cambria" w:eastAsia="宋体" w:cs="Times New Roman"/>
      <w:b/>
      <w:bCs/>
      <w:kern w:val="0"/>
      <w:sz w:val="28"/>
      <w:szCs w:val="28"/>
    </w:rPr>
  </w:style>
  <w:style w:type="character" w:customStyle="1" w:styleId="47">
    <w:name w:val="列出段落 Char"/>
    <w:link w:val="41"/>
    <w:qFormat/>
    <w:locked/>
    <w:uiPriority w:val="34"/>
  </w:style>
  <w:style w:type="character" w:customStyle="1" w:styleId="48">
    <w:name w:val="标题 Char"/>
    <w:basedOn w:val="26"/>
    <w:link w:val="21"/>
    <w:qFormat/>
    <w:uiPriority w:val="10"/>
    <w:rPr>
      <w:rFonts w:eastAsia="宋体" w:asciiTheme="majorHAnsi" w:hAnsiTheme="majorHAnsi" w:cstheme="majorBidi"/>
      <w:b/>
      <w:bCs/>
      <w:sz w:val="32"/>
      <w:szCs w:val="32"/>
    </w:rPr>
  </w:style>
  <w:style w:type="table" w:customStyle="1" w:styleId="49">
    <w:name w:val="网格型1"/>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0">
    <w:name w:val="文档结构图 Char"/>
    <w:basedOn w:val="26"/>
    <w:link w:val="8"/>
    <w:semiHidden/>
    <w:qFormat/>
    <w:uiPriority w:val="99"/>
    <w:rPr>
      <w:rFonts w:ascii="宋体" w:hAnsi="Calibri" w:eastAsia="宋体" w:cs="Times New Roman"/>
      <w:kern w:val="0"/>
      <w:sz w:val="18"/>
      <w:szCs w:val="18"/>
    </w:rPr>
  </w:style>
  <w:style w:type="character" w:customStyle="1" w:styleId="51">
    <w:name w:val="m1"/>
    <w:qFormat/>
    <w:uiPriority w:val="0"/>
    <w:rPr>
      <w:color w:val="0000FF"/>
    </w:rPr>
  </w:style>
  <w:style w:type="character" w:customStyle="1" w:styleId="52">
    <w:name w:val="t1"/>
    <w:qFormat/>
    <w:uiPriority w:val="0"/>
    <w:rPr>
      <w:color w:val="990000"/>
    </w:rPr>
  </w:style>
  <w:style w:type="character" w:customStyle="1" w:styleId="53">
    <w:name w:val="def"/>
    <w:basedOn w:val="26"/>
    <w:qFormat/>
    <w:uiPriority w:val="0"/>
  </w:style>
  <w:style w:type="paragraph" w:customStyle="1" w:styleId="54">
    <w:name w:val="z-窗体底端1"/>
    <w:basedOn w:val="1"/>
    <w:next w:val="1"/>
    <w:link w:val="55"/>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5">
    <w:name w:val="z-窗体底端 Char"/>
    <w:basedOn w:val="26"/>
    <w:link w:val="54"/>
    <w:qFormat/>
    <w:uiPriority w:val="99"/>
    <w:rPr>
      <w:rFonts w:ascii="Arial" w:hAnsi="Arial" w:eastAsia="宋体" w:cs="Times New Roman"/>
      <w:vanish/>
      <w:kern w:val="0"/>
      <w:sz w:val="16"/>
      <w:szCs w:val="16"/>
    </w:rPr>
  </w:style>
  <w:style w:type="character" w:customStyle="1" w:styleId="56">
    <w:name w:val="keyword"/>
    <w:basedOn w:val="26"/>
    <w:qFormat/>
    <w:uiPriority w:val="0"/>
  </w:style>
  <w:style w:type="character" w:customStyle="1" w:styleId="57">
    <w:name w:val="tx1"/>
    <w:qFormat/>
    <w:uiPriority w:val="0"/>
    <w:rPr>
      <w:b/>
      <w:bCs/>
    </w:rPr>
  </w:style>
  <w:style w:type="paragraph" w:customStyle="1" w:styleId="58">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character" w:customStyle="1" w:styleId="59">
    <w:name w:val="正文文本缩进 Char"/>
    <w:basedOn w:val="26"/>
    <w:link w:val="11"/>
    <w:semiHidden/>
    <w:qFormat/>
    <w:uiPriority w:val="99"/>
    <w:rPr>
      <w:kern w:val="2"/>
      <w:sz w:val="21"/>
      <w:szCs w:val="22"/>
    </w:rPr>
  </w:style>
  <w:style w:type="paragraph" w:customStyle="1" w:styleId="60">
    <w:name w:val="Table Text"/>
    <w:basedOn w:val="1"/>
    <w:semiHidden/>
    <w:qFormat/>
    <w:uiPriority w:val="0"/>
    <w:rPr>
      <w:rFonts w:ascii="宋体" w:hAnsi="宋体" w:eastAsia="宋体" w:cs="宋体"/>
      <w:sz w:val="24"/>
      <w:szCs w:val="24"/>
      <w:lang w:val="en-US" w:eastAsia="en-US" w:bidi="ar-SA"/>
    </w:rPr>
  </w:style>
  <w:style w:type="table" w:customStyle="1" w:styleId="6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55147-1FA8-4F68-B8EB-69F628A87767}">
  <ds:schemaRefs/>
</ds:datastoreItem>
</file>

<file path=docProps/app.xml><?xml version="1.0" encoding="utf-8"?>
<Properties xmlns="http://schemas.openxmlformats.org/officeDocument/2006/extended-properties" xmlns:vt="http://schemas.openxmlformats.org/officeDocument/2006/docPropsVTypes">
  <Template>Normal</Template>
  <Pages>34</Pages>
  <Words>12407</Words>
  <Characters>12890</Characters>
  <Lines>20</Lines>
  <Paragraphs>5</Paragraphs>
  <TotalTime>14</TotalTime>
  <ScaleCrop>false</ScaleCrop>
  <LinksUpToDate>false</LinksUpToDate>
  <CharactersWithSpaces>14099</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李云锋</cp:lastModifiedBy>
  <dcterms:modified xsi:type="dcterms:W3CDTF">2024-09-09T09:07:48Z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5FEBE05027DC4A4DA8B2CBA144B0780A</vt:lpwstr>
  </property>
</Properties>
</file>