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rPr>
          <w:rFonts w:asciiTheme="majorEastAsia" w:hAnsiTheme="majorEastAsia" w:eastAsiaTheme="majorEastAsia"/>
          <w:sz w:val="44"/>
          <w:szCs w:val="44"/>
        </w:rPr>
      </w:pPr>
      <w:r>
        <w:rPr>
          <w:rFonts w:hint="eastAsia" w:asciiTheme="majorEastAsia" w:hAnsiTheme="majorEastAsia" w:eastAsiaTheme="majorEastAsia"/>
          <w:sz w:val="44"/>
          <w:szCs w:val="44"/>
          <w:lang w:val="en-US" w:eastAsia="zh-CN"/>
        </w:rPr>
        <w:t xml:space="preserve"> 人保财险广东梅州市</w:t>
      </w:r>
      <w:r>
        <w:rPr>
          <w:rFonts w:hint="eastAsia" w:asciiTheme="majorEastAsia" w:hAnsiTheme="majorEastAsia" w:eastAsiaTheme="majorEastAsia"/>
          <w:sz w:val="44"/>
          <w:szCs w:val="44"/>
        </w:rPr>
        <w:t>分公司饭堂</w:t>
      </w:r>
      <w:r>
        <w:rPr>
          <w:rFonts w:hint="eastAsia" w:asciiTheme="majorEastAsia" w:hAnsiTheme="majorEastAsia" w:eastAsiaTheme="majorEastAsia"/>
          <w:sz w:val="44"/>
          <w:szCs w:val="44"/>
          <w:lang w:val="en-US" w:eastAsia="zh-CN"/>
        </w:rPr>
        <w:t>食材</w:t>
      </w:r>
      <w:r>
        <w:rPr>
          <w:rFonts w:hint="eastAsia" w:asciiTheme="majorEastAsia" w:hAnsiTheme="majorEastAsia" w:eastAsiaTheme="majorEastAsia"/>
          <w:sz w:val="44"/>
          <w:szCs w:val="44"/>
        </w:rPr>
        <w:t>采购项目采购需求</w:t>
      </w:r>
    </w:p>
    <w:p>
      <w:pPr>
        <w:pStyle w:val="12"/>
        <w:ind w:firstLine="0" w:firstLineChars="0"/>
        <w:rPr>
          <w:rFonts w:ascii="仿宋_GB2312" w:hAnsi="仿宋" w:eastAsia="仿宋_GB2312"/>
          <w:sz w:val="28"/>
          <w:szCs w:val="28"/>
          <w:lang w:val="zh-CN"/>
        </w:rPr>
      </w:pPr>
      <w:r>
        <w:rPr>
          <w:rFonts w:hint="eastAsia" w:ascii="仿宋_GB2312" w:hAnsi="仿宋" w:eastAsia="仿宋_GB2312"/>
          <w:sz w:val="28"/>
          <w:szCs w:val="28"/>
        </w:rPr>
        <mc:AlternateContent>
          <mc:Choice Requires="wps">
            <w:drawing>
              <wp:anchor distT="0" distB="0" distL="114300" distR="114300" simplePos="0" relativeHeight="251659264" behindDoc="0" locked="0" layoutInCell="1" allowOverlap="1">
                <wp:simplePos x="0" y="0"/>
                <wp:positionH relativeFrom="column">
                  <wp:posOffset>60960</wp:posOffset>
                </wp:positionH>
                <wp:positionV relativeFrom="paragraph">
                  <wp:posOffset>167640</wp:posOffset>
                </wp:positionV>
                <wp:extent cx="5166360" cy="0"/>
                <wp:effectExtent l="0" t="0" r="34290" b="19050"/>
                <wp:wrapNone/>
                <wp:docPr id="1" name="直接连接符 1"/>
                <wp:cNvGraphicFramePr/>
                <a:graphic xmlns:a="http://schemas.openxmlformats.org/drawingml/2006/main">
                  <a:graphicData uri="http://schemas.microsoft.com/office/word/2010/wordprocessingShape">
                    <wps:wsp>
                      <wps:cNvCnPr/>
                      <wps:spPr>
                        <a:xfrm>
                          <a:off x="0" y="0"/>
                          <a:ext cx="5166360" cy="0"/>
                        </a:xfrm>
                        <a:prstGeom prst="line">
                          <a:avLst/>
                        </a:prstGeom>
                        <a:ln w="12700">
                          <a:solidFill>
                            <a:srgbClr val="FF0000"/>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4.8pt;margin-top:13.2pt;height:0pt;width:406.8pt;z-index:251659264;mso-width-relative:page;mso-height-relative:page;" filled="f" stroked="t" coordsize="21600,21600" o:gfxdata="UEsDBAoAAAAAAIdO4kAAAAAAAAAAAAAAAAAEAAAAZHJzL1BLAwQUAAAACACHTuJAhaALy9YAAAAH&#10;AQAADwAAAGRycy9kb3ducmV2LnhtbE2OT0/CMBjG7yZ+h+Y14SYtQxcY64gxwejBA4gJx6592abr&#10;22UtY357azzA8fmT5/nl69G2bMDeN44kzKYCGJJ2pqFKwv5jc78A5oMio1pHKOEHPayL25tcZcad&#10;aYvDLlQsjpDPlIQ6hC7j3OsarfJT1yHF7Oh6q0KUfcVNr85x3LY8ESLlVjUUH2rV4XON+nt3shI+&#10;N/awf31P+eOXfhNPL8vjWOpBysndTKyABRzDpQx/+BEdishUuhMZz1oJyzQWJSTpA7AYL5J5Aqz8&#10;N3iR82v+4hdQSwMEFAAAAAgAh07iQJzQHwjmAQAAsgMAAA4AAABkcnMvZTJvRG9jLnhtbK1TzY7T&#10;MBC+I+07WL7TpEWUVdR0D1t1LwgqAQ/gOk5iyX+a8TbtS/ACSNzgxJE7b8PyGIydtvvDZQ/k4IzH&#10;M9/M93m8uNpbw3YKUHtX8+mk5Ew56Rvtupp/+rh+eckZRuEaYbxTNT8o5FfLixeLIVRq5ntvGgWM&#10;QBxWQ6h5H2OoigJlr6zAiQ/K0WHrwYpIW+iKBsRA6NYUs7KcF4OHJoCXCpG8q/GQHxHhOYC+bbVU&#10;Ky9vrXJxRAVlRCRK2OuAfJm7bVsl4/u2RRWZqTkxjXmlImRv01osF6LqQIRey2ML4jktPOFkhXZU&#10;9Ay1ElGwW9D/QFktwaNv40R6W4xEsiLEYlo+0eZDL4LKXEhqDGfR8f/Byne7DTDd0CRw5oSlC7/7&#10;8vP3529/fn2l9e7HdzZNIg0BK4q9dhs47jBsIDHet2DTn7iwfRb2cBZW7SOT5Hw9nc9fzUlzeTor&#10;7hMDYLxR3rJk1NxolziLSuzeYqRiFHoKSW7n19qYfG/GsYEan70pE7SgYWxpCMi0gQih6zgTpqMp&#10;lxEyJHqjm5SegBC67bUBthM0G+t1SV9iSuUehaXaK4H9GJePxqmxOtJDMNrW/DIln7KNI5Ck16hQ&#10;sra+OWThsp+uMpc5jl2alYf7nH3/1JZ/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IWgC8vWAAAA&#10;BwEAAA8AAAAAAAAAAQAgAAAAIgAAAGRycy9kb3ducmV2LnhtbFBLAQIUABQAAAAIAIdO4kCc0B8I&#10;5gEAALIDAAAOAAAAAAAAAAEAIAAAACUBAABkcnMvZTJvRG9jLnhtbFBLBQYAAAAABgAGAFkBAAB9&#10;BQAAAAA=&#10;">
                <v:fill on="f" focussize="0,0"/>
                <v:stroke weight="1pt" color="#FF0000 [3200]" miterlimit="8" joinstyle="miter"/>
                <v:imagedata o:title=""/>
                <o:lock v:ext="edit" aspectratio="f"/>
              </v:line>
            </w:pict>
          </mc:Fallback>
        </mc:AlternateContent>
      </w:r>
    </w:p>
    <w:p>
      <w:pPr>
        <w:spacing w:line="600" w:lineRule="exact"/>
        <w:ind w:firstLine="560" w:firstLineChars="200"/>
        <w:rPr>
          <w:rFonts w:hint="eastAsia" w:ascii="黑体" w:hAnsi="黑体" w:eastAsia="黑体" w:cs="黑体"/>
          <w:sz w:val="28"/>
          <w:szCs w:val="28"/>
        </w:rPr>
      </w:pPr>
      <w:r>
        <w:rPr>
          <w:rFonts w:hint="eastAsia" w:ascii="黑体" w:hAnsi="黑体" w:eastAsia="黑体" w:cs="黑体"/>
          <w:sz w:val="28"/>
          <w:szCs w:val="28"/>
          <w:lang w:val="en-US" w:eastAsia="zh-CN"/>
        </w:rPr>
        <w:t>一、</w:t>
      </w:r>
      <w:r>
        <w:rPr>
          <w:rFonts w:hint="eastAsia" w:ascii="黑体" w:hAnsi="黑体" w:eastAsia="黑体" w:cs="黑体"/>
          <w:sz w:val="28"/>
          <w:szCs w:val="28"/>
        </w:rPr>
        <w:t>项目预算</w:t>
      </w:r>
    </w:p>
    <w:p>
      <w:pPr>
        <w:spacing w:line="600" w:lineRule="exact"/>
        <w:ind w:firstLine="560" w:firstLineChars="200"/>
        <w:rPr>
          <w:rFonts w:hint="eastAsia" w:ascii="仿宋_GB2312" w:hAnsi="仿宋" w:eastAsia="仿宋_GB2312" w:cs="宋体"/>
          <w:sz w:val="28"/>
          <w:szCs w:val="28"/>
          <w:lang w:eastAsia="zh-CN"/>
        </w:rPr>
      </w:pPr>
      <w:r>
        <w:rPr>
          <w:rFonts w:hint="eastAsia" w:ascii="仿宋_GB2312" w:hAnsi="仿宋" w:eastAsia="仿宋_GB2312" w:cs="宋体"/>
          <w:sz w:val="28"/>
          <w:szCs w:val="28"/>
        </w:rPr>
        <w:t>项目预算：</w:t>
      </w:r>
      <w:r>
        <w:rPr>
          <w:rFonts w:ascii="仿宋_GB2312" w:hAnsi="仿宋" w:eastAsia="仿宋_GB2312" w:cs="宋体"/>
          <w:sz w:val="28"/>
          <w:szCs w:val="28"/>
          <w:u w:val="single"/>
        </w:rPr>
        <w:t xml:space="preserve">   </w:t>
      </w:r>
      <w:r>
        <w:rPr>
          <w:rFonts w:hint="eastAsia" w:ascii="仿宋_GB2312" w:hAnsi="仿宋" w:eastAsia="仿宋_GB2312" w:cs="宋体"/>
          <w:sz w:val="28"/>
          <w:szCs w:val="28"/>
          <w:u w:val="single"/>
          <w:lang w:val="en-US" w:eastAsia="zh-CN"/>
        </w:rPr>
        <w:t>84</w:t>
      </w:r>
      <w:r>
        <w:rPr>
          <w:rFonts w:ascii="仿宋_GB2312" w:hAnsi="仿宋" w:eastAsia="仿宋_GB2312" w:cs="宋体"/>
          <w:sz w:val="28"/>
          <w:szCs w:val="28"/>
          <w:u w:val="single"/>
        </w:rPr>
        <w:t xml:space="preserve">   </w:t>
      </w:r>
      <w:r>
        <w:rPr>
          <w:rFonts w:hint="eastAsia" w:ascii="仿宋_GB2312" w:hAnsi="仿宋" w:eastAsia="仿宋_GB2312" w:cs="宋体"/>
          <w:sz w:val="28"/>
          <w:szCs w:val="28"/>
        </w:rPr>
        <w:t>万元</w:t>
      </w:r>
    </w:p>
    <w:p>
      <w:pPr>
        <w:numPr>
          <w:ilvl w:val="0"/>
          <w:numId w:val="1"/>
        </w:numPr>
        <w:spacing w:line="600" w:lineRule="exact"/>
        <w:ind w:firstLine="560" w:firstLineChars="200"/>
        <w:rPr>
          <w:rFonts w:hint="eastAsia" w:ascii="黑体" w:hAnsi="黑体" w:eastAsia="黑体" w:cs="黑体"/>
          <w:b w:val="0"/>
          <w:bCs/>
          <w:sz w:val="28"/>
          <w:szCs w:val="28"/>
        </w:rPr>
      </w:pPr>
      <w:r>
        <w:rPr>
          <w:rFonts w:hint="eastAsia" w:ascii="黑体" w:hAnsi="黑体" w:eastAsia="黑体" w:cs="黑体"/>
          <w:b w:val="0"/>
          <w:bCs/>
          <w:sz w:val="28"/>
          <w:szCs w:val="28"/>
        </w:rPr>
        <w:t>采购内容描述</w:t>
      </w:r>
    </w:p>
    <w:p>
      <w:pPr>
        <w:pStyle w:val="18"/>
        <w:ind w:firstLine="482"/>
        <w:jc w:val="both"/>
        <w:rPr>
          <w:rFonts w:hint="eastAsia" w:ascii="仿宋_GB2312" w:hAnsi="黑体" w:eastAsia="仿宋_GB2312" w:cs="Times New Roman"/>
          <w:b w:val="0"/>
          <w:bCs w:val="0"/>
          <w:kern w:val="44"/>
          <w:sz w:val="28"/>
          <w:szCs w:val="28"/>
          <w:lang w:val="en-US" w:eastAsia="zh-CN" w:bidi="ar-SA"/>
        </w:rPr>
      </w:pPr>
      <w:r>
        <w:rPr>
          <w:rFonts w:hint="eastAsia" w:ascii="仿宋_GB2312" w:hAnsi="黑体" w:eastAsia="仿宋_GB2312" w:cs="Times New Roman"/>
          <w:b w:val="0"/>
          <w:bCs w:val="0"/>
          <w:kern w:val="44"/>
          <w:sz w:val="28"/>
          <w:szCs w:val="28"/>
          <w:lang w:val="en-US" w:eastAsia="zh-CN" w:bidi="ar-SA"/>
        </w:rPr>
        <w:t>采购分公司饭堂食材，食材内容主要包括：蔬菜类、鲜肉类、鱼类、家禽、蛋类、豆制品类、水果类、海鲜类、干货类、大米、食用油、面粉等。</w:t>
      </w:r>
    </w:p>
    <w:p>
      <w:pPr>
        <w:spacing w:line="600" w:lineRule="exact"/>
        <w:ind w:firstLine="560" w:firstLineChars="200"/>
        <w:rPr>
          <w:rFonts w:hint="default" w:ascii="黑体" w:hAnsi="黑体" w:eastAsia="黑体" w:cs="黑体"/>
          <w:b w:val="0"/>
          <w:bCs/>
          <w:sz w:val="28"/>
          <w:szCs w:val="28"/>
          <w:lang w:val="en-US" w:eastAsia="zh-CN"/>
        </w:rPr>
      </w:pPr>
      <w:r>
        <w:rPr>
          <w:rFonts w:hint="eastAsia" w:ascii="黑体" w:hAnsi="黑体" w:eastAsia="黑体" w:cs="黑体"/>
          <w:b w:val="0"/>
          <w:bCs/>
          <w:sz w:val="28"/>
          <w:szCs w:val="28"/>
          <w:lang w:eastAsia="zh-CN"/>
        </w:rPr>
        <w:t>三</w:t>
      </w:r>
      <w:r>
        <w:rPr>
          <w:rFonts w:hint="eastAsia" w:ascii="黑体" w:hAnsi="黑体" w:eastAsia="黑体" w:cs="黑体"/>
          <w:b w:val="0"/>
          <w:bCs/>
          <w:sz w:val="28"/>
          <w:szCs w:val="28"/>
        </w:rPr>
        <w:t>、技术及质量要求</w:t>
      </w:r>
    </w:p>
    <w:p>
      <w:pPr>
        <w:spacing w:line="600" w:lineRule="exact"/>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一</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交货时间及交货地点的要求。</w:t>
      </w:r>
    </w:p>
    <w:p>
      <w:pPr>
        <w:spacing w:line="600" w:lineRule="exact"/>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1.交货地点：广东省梅州市梅江区江南路45号采购人指定地点（位置）</w:t>
      </w:r>
    </w:p>
    <w:p>
      <w:pPr>
        <w:spacing w:line="600" w:lineRule="exact"/>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送货时间要求：采购人一般于当天18:00前通知中标人采购计划，中标人按采购计划于次日早上7：30将食材送达。若因季节或其他客观原因无法配送的，需于接到采购人采购计划后2小时内反馈，经采购人同意后可取消或调换其他品种。</w:t>
      </w:r>
    </w:p>
    <w:p>
      <w:pPr>
        <w:spacing w:line="600" w:lineRule="exact"/>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3.如需紧急采购配送服务，中标人接到采购人紧急通知必须做到无分食材品种和数量最晚1小时内响应，2小时内将食材送达采购人指定地点（投标时提供承诺函）。</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二</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质量</w:t>
      </w:r>
      <w:r>
        <w:rPr>
          <w:rFonts w:hint="eastAsia" w:ascii="仿宋_GB2312" w:hAnsi="仿宋_GB2312" w:eastAsia="仿宋_GB2312" w:cs="仿宋_GB2312"/>
          <w:sz w:val="28"/>
          <w:szCs w:val="28"/>
          <w:lang w:val="en-US" w:eastAsia="zh-CN"/>
        </w:rPr>
        <w:t>标准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textAlignment w:val="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1. 禁止</w:t>
      </w:r>
      <w:r>
        <w:rPr>
          <w:rFonts w:hint="eastAsia" w:ascii="仿宋_GB2312" w:hAnsi="仿宋_GB2312" w:eastAsia="仿宋_GB2312" w:cs="仿宋_GB2312"/>
          <w:color w:val="auto"/>
          <w:kern w:val="0"/>
          <w:sz w:val="28"/>
          <w:szCs w:val="28"/>
          <w:lang w:val="en-US" w:eastAsia="zh-CN"/>
        </w:rPr>
        <w:t>供应</w:t>
      </w:r>
      <w:r>
        <w:rPr>
          <w:rFonts w:hint="eastAsia" w:ascii="仿宋_GB2312" w:hAnsi="仿宋_GB2312" w:eastAsia="仿宋_GB2312" w:cs="仿宋_GB2312"/>
          <w:color w:val="auto"/>
          <w:kern w:val="0"/>
          <w:sz w:val="28"/>
          <w:szCs w:val="28"/>
        </w:rPr>
        <w:t>有毒、有害、腐烂变质、酸败、霉变、生虫、 污秽不洁、混有异物或者其他感官性状异常的食品。</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textAlignment w:val="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2. 禁止</w:t>
      </w:r>
      <w:r>
        <w:rPr>
          <w:rFonts w:hint="eastAsia" w:ascii="仿宋_GB2312" w:hAnsi="仿宋_GB2312" w:eastAsia="仿宋_GB2312" w:cs="仿宋_GB2312"/>
          <w:color w:val="auto"/>
          <w:kern w:val="0"/>
          <w:sz w:val="28"/>
          <w:szCs w:val="28"/>
          <w:lang w:val="en-US" w:eastAsia="zh-CN"/>
        </w:rPr>
        <w:t>供应</w:t>
      </w:r>
      <w:r>
        <w:rPr>
          <w:rFonts w:hint="eastAsia" w:ascii="仿宋_GB2312" w:hAnsi="仿宋_GB2312" w:eastAsia="仿宋_GB2312" w:cs="仿宋_GB2312"/>
          <w:color w:val="auto"/>
          <w:kern w:val="0"/>
          <w:sz w:val="28"/>
          <w:szCs w:val="28"/>
        </w:rPr>
        <w:t>无检验合格证的畜禽类食品。</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textAlignment w:val="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3. 禁止</w:t>
      </w:r>
      <w:r>
        <w:rPr>
          <w:rFonts w:hint="eastAsia" w:ascii="仿宋_GB2312" w:hAnsi="仿宋_GB2312" w:eastAsia="仿宋_GB2312" w:cs="仿宋_GB2312"/>
          <w:color w:val="auto"/>
          <w:kern w:val="0"/>
          <w:sz w:val="28"/>
          <w:szCs w:val="28"/>
          <w:lang w:val="en-US" w:eastAsia="zh-CN"/>
        </w:rPr>
        <w:t>供应</w:t>
      </w:r>
      <w:r>
        <w:rPr>
          <w:rFonts w:hint="eastAsia" w:ascii="仿宋_GB2312" w:hAnsi="仿宋_GB2312" w:eastAsia="仿宋_GB2312" w:cs="仿宋_GB2312"/>
          <w:color w:val="auto"/>
          <w:kern w:val="0"/>
          <w:sz w:val="28"/>
          <w:szCs w:val="28"/>
        </w:rPr>
        <w:t>超过食品保质期及其他不符合食品标签 规定的定型包装食品、“三无”产品（无生产厂名、厂址、 生产日期和保质日期的产品）。</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textAlignment w:val="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4. 禁止</w:t>
      </w:r>
      <w:r>
        <w:rPr>
          <w:rFonts w:hint="eastAsia" w:ascii="仿宋_GB2312" w:hAnsi="仿宋_GB2312" w:eastAsia="仿宋_GB2312" w:cs="仿宋_GB2312"/>
          <w:color w:val="auto"/>
          <w:kern w:val="0"/>
          <w:sz w:val="28"/>
          <w:szCs w:val="28"/>
          <w:lang w:val="en-US" w:eastAsia="zh-CN"/>
        </w:rPr>
        <w:t>供应</w:t>
      </w:r>
      <w:r>
        <w:rPr>
          <w:rFonts w:hint="eastAsia" w:ascii="仿宋_GB2312" w:hAnsi="仿宋_GB2312" w:eastAsia="仿宋_GB2312" w:cs="仿宋_GB2312"/>
          <w:color w:val="auto"/>
          <w:kern w:val="0"/>
          <w:sz w:val="28"/>
          <w:szCs w:val="28"/>
        </w:rPr>
        <w:t>无有效卫生许可证的食品生产者供应的食品。</w:t>
      </w:r>
      <w:r>
        <w:rPr>
          <w:rFonts w:hint="eastAsia" w:ascii="仿宋_GB2312" w:hAnsi="仿宋_GB2312" w:eastAsia="仿宋_GB2312" w:cs="仿宋_GB2312"/>
          <w:color w:val="auto"/>
          <w:kern w:val="0"/>
          <w:sz w:val="28"/>
          <w:szCs w:val="28"/>
          <w:lang w:val="en-US" w:eastAsia="zh-CN"/>
        </w:rPr>
        <w:t>必要时甲方可以</w:t>
      </w:r>
      <w:r>
        <w:rPr>
          <w:rFonts w:hint="eastAsia" w:ascii="仿宋_GB2312" w:hAnsi="仿宋_GB2312" w:eastAsia="仿宋_GB2312" w:cs="仿宋_GB2312"/>
          <w:color w:val="auto"/>
          <w:kern w:val="0"/>
          <w:sz w:val="28"/>
          <w:szCs w:val="28"/>
        </w:rPr>
        <w:t>索取</w:t>
      </w:r>
      <w:r>
        <w:rPr>
          <w:rFonts w:hint="eastAsia" w:ascii="仿宋_GB2312" w:hAnsi="仿宋_GB2312" w:eastAsia="仿宋_GB2312" w:cs="仿宋_GB2312"/>
          <w:color w:val="auto"/>
          <w:kern w:val="0"/>
          <w:sz w:val="28"/>
          <w:szCs w:val="28"/>
          <w:lang w:val="en-US" w:eastAsia="zh-CN"/>
        </w:rPr>
        <w:t>乙方食材生产商的</w:t>
      </w:r>
      <w:r>
        <w:rPr>
          <w:rFonts w:hint="eastAsia" w:ascii="仿宋_GB2312" w:hAnsi="仿宋_GB2312" w:eastAsia="仿宋_GB2312" w:cs="仿宋_GB2312"/>
          <w:color w:val="auto"/>
          <w:kern w:val="0"/>
          <w:sz w:val="28"/>
          <w:szCs w:val="28"/>
        </w:rPr>
        <w:t>“三证”复印件（卫生许可证、 营业执照、全国工业食品产品生产许可证）及食品检验检疫合格报告。</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textAlignment w:val="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 xml:space="preserve">5. </w:t>
      </w:r>
      <w:r>
        <w:rPr>
          <w:rFonts w:hint="eastAsia" w:ascii="仿宋_GB2312" w:hAnsi="仿宋_GB2312" w:eastAsia="仿宋_GB2312" w:cs="仿宋_GB2312"/>
          <w:color w:val="auto"/>
          <w:kern w:val="0"/>
          <w:sz w:val="28"/>
          <w:szCs w:val="28"/>
          <w:lang w:val="en-US" w:eastAsia="zh-CN"/>
        </w:rPr>
        <w:t>供应</w:t>
      </w:r>
      <w:r>
        <w:rPr>
          <w:rFonts w:hint="eastAsia" w:ascii="仿宋_GB2312" w:hAnsi="仿宋_GB2312" w:eastAsia="仿宋_GB2312" w:cs="仿宋_GB2312"/>
          <w:color w:val="auto"/>
          <w:kern w:val="0"/>
          <w:sz w:val="28"/>
          <w:szCs w:val="28"/>
        </w:rPr>
        <w:t>进口食品的，应</w:t>
      </w:r>
      <w:r>
        <w:rPr>
          <w:rFonts w:hint="eastAsia" w:ascii="仿宋_GB2312" w:hAnsi="仿宋_GB2312" w:eastAsia="仿宋_GB2312" w:cs="仿宋_GB2312"/>
          <w:color w:val="auto"/>
          <w:kern w:val="0"/>
          <w:sz w:val="28"/>
          <w:szCs w:val="28"/>
          <w:lang w:val="en-US" w:eastAsia="zh-CN"/>
        </w:rPr>
        <w:t>提前一日告知我方并提供</w:t>
      </w:r>
      <w:r>
        <w:rPr>
          <w:rFonts w:hint="eastAsia" w:ascii="仿宋_GB2312" w:hAnsi="仿宋_GB2312" w:eastAsia="仿宋_GB2312" w:cs="仿宋_GB2312"/>
          <w:color w:val="auto"/>
          <w:kern w:val="0"/>
          <w:sz w:val="28"/>
          <w:szCs w:val="28"/>
        </w:rPr>
        <w:t>口岸食品卫生监督机构出具的检验合格证和中英文对照标识。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textAlignment w:val="auto"/>
        <w:rPr>
          <w:rFonts w:hint="eastAsia"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6、供应商提供的所以食材必须符合《中华人民共和国食品安全法》《中华 人民共和国食品安全法实施条例》《中华人民共和国食 品卫生法》《餐饮业食品卫生管理办法》《农产品质量安全法》《食品添加剂使用卫生标准》等国家、权威机构规定。</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2" w:firstLineChars="200"/>
        <w:textAlignment w:val="auto"/>
        <w:rPr>
          <w:rFonts w:hint="eastAsia" w:ascii="仿宋_GB2312" w:hAnsi="仿宋_GB2312" w:eastAsia="仿宋_GB2312" w:cs="仿宋_GB2312"/>
          <w:b/>
          <w:bCs/>
          <w:color w:val="auto"/>
          <w:kern w:val="0"/>
          <w:sz w:val="28"/>
          <w:szCs w:val="28"/>
          <w:lang w:val="en-US" w:eastAsia="zh-CN"/>
        </w:rPr>
      </w:pPr>
      <w:r>
        <w:rPr>
          <w:rFonts w:hint="eastAsia" w:ascii="仿宋_GB2312" w:hAnsi="仿宋_GB2312" w:eastAsia="仿宋_GB2312" w:cs="仿宋_GB2312"/>
          <w:b/>
          <w:bCs/>
          <w:color w:val="auto"/>
          <w:kern w:val="0"/>
          <w:sz w:val="28"/>
          <w:szCs w:val="28"/>
          <w:lang w:val="en-US" w:eastAsia="zh-CN"/>
        </w:rPr>
        <w:t>四、其他要求</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textAlignment w:val="auto"/>
        <w:rPr>
          <w:rFonts w:hint="eastAsia" w:ascii="仿宋_GB2312" w:hAnsi="仿宋_GB2312" w:eastAsia="仿宋_GB2312" w:cs="仿宋_GB2312"/>
          <w:b w:val="0"/>
          <w:bCs w:val="0"/>
          <w:color w:val="auto"/>
          <w:kern w:val="0"/>
          <w:sz w:val="28"/>
          <w:szCs w:val="28"/>
          <w:lang w:val="en-US" w:eastAsia="zh-CN"/>
        </w:rPr>
      </w:pPr>
      <w:r>
        <w:rPr>
          <w:rFonts w:hint="eastAsia" w:ascii="仿宋_GB2312" w:hAnsi="仿宋_GB2312" w:eastAsia="仿宋_GB2312" w:cs="仿宋_GB2312"/>
          <w:b w:val="0"/>
          <w:bCs w:val="0"/>
          <w:color w:val="auto"/>
          <w:kern w:val="0"/>
          <w:sz w:val="28"/>
          <w:szCs w:val="28"/>
          <w:lang w:val="en-US" w:eastAsia="zh-CN"/>
        </w:rPr>
        <w:t>（一）报价结算要求</w:t>
      </w:r>
    </w:p>
    <w:p>
      <w:pPr>
        <w:adjustRightInd w:val="0"/>
        <w:snapToGrid w:val="0"/>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1、结算价=当期市场基准价*折扣率，数量以实际数量（经</w:t>
      </w:r>
      <w:r>
        <w:rPr>
          <w:rFonts w:hint="eastAsia" w:ascii="仿宋_GB2312" w:hAnsi="仿宋_GB2312" w:eastAsia="仿宋_GB2312" w:cs="仿宋_GB2312"/>
          <w:sz w:val="28"/>
          <w:szCs w:val="28"/>
          <w:lang w:val="en-US" w:eastAsia="zh-CN"/>
        </w:rPr>
        <w:t>食堂</w:t>
      </w:r>
      <w:r>
        <w:rPr>
          <w:rFonts w:hint="eastAsia" w:ascii="仿宋_GB2312" w:hAnsi="仿宋_GB2312" w:eastAsia="仿宋_GB2312" w:cs="仿宋_GB2312"/>
          <w:sz w:val="28"/>
          <w:szCs w:val="28"/>
        </w:rPr>
        <w:t>验收合格的食品数量）为准。</w:t>
      </w:r>
    </w:p>
    <w:p>
      <w:pPr>
        <w:adjustRightInd w:val="0"/>
        <w:snapToGrid w:val="0"/>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2、当期市场基准价</w:t>
      </w:r>
      <w:r>
        <w:rPr>
          <w:rFonts w:hint="eastAsia" w:ascii="仿宋_GB2312" w:hAnsi="仿宋_GB2312" w:eastAsia="仿宋_GB2312" w:cs="仿宋_GB2312"/>
          <w:sz w:val="28"/>
          <w:szCs w:val="28"/>
          <w:lang w:val="en-US" w:eastAsia="zh-CN"/>
        </w:rPr>
        <w:t>默认为中标供应商线下门店同品当日实际交易结算单价；若供应商无线下门店则参考</w:t>
      </w:r>
      <w:r>
        <w:rPr>
          <w:rFonts w:hint="eastAsia" w:ascii="仿宋_GB2312" w:hAnsi="仿宋_GB2312" w:eastAsia="仿宋_GB2312" w:cs="仿宋_GB2312"/>
          <w:sz w:val="28"/>
          <w:szCs w:val="28"/>
        </w:rPr>
        <w:t>本地区的同期市场价格(同期市场价格</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以百花洲市场为参考样本，随机取其中三家同品价格求平均数为</w:t>
      </w:r>
      <w:r>
        <w:rPr>
          <w:rFonts w:hint="eastAsia" w:ascii="仿宋_GB2312" w:hAnsi="仿宋_GB2312" w:eastAsia="仿宋_GB2312" w:cs="仿宋_GB2312"/>
          <w:sz w:val="28"/>
          <w:szCs w:val="28"/>
        </w:rPr>
        <w:t>本地区的同期市场价格),做到随行就市。</w:t>
      </w:r>
    </w:p>
    <w:p>
      <w:pPr>
        <w:adjustRightInd w:val="0"/>
        <w:snapToGrid w:val="0"/>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3、如遇突发情况或市场价格上下浮动过大，不可遇见的因素造成的个别品种价格需临时做调整的，成交供应商应事先书面通知采购人，在采购人确认后方可调整。</w:t>
      </w:r>
    </w:p>
    <w:p>
      <w:pPr>
        <w:adjustRightInd w:val="0"/>
        <w:snapToGrid w:val="0"/>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如采购人对个别食材食品的材质有特殊要求的，成交供应商根据食材食品的加工情况、原材料损耗情况、市场实际情况等各因素对该食材进行报价，经采购人饭堂管理小组调研确定后，以经确认后的食材食品的价格作为基准。</w:t>
      </w:r>
    </w:p>
    <w:p>
      <w:pPr>
        <w:pStyle w:val="2"/>
        <w:ind w:left="0" w:leftChars="0" w:firstLine="0" w:firstLineChars="0"/>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kern w:val="2"/>
          <w:sz w:val="28"/>
          <w:szCs w:val="28"/>
          <w:lang w:val="en-US" w:eastAsia="zh-CN" w:bidi="ar-SA"/>
        </w:rPr>
        <w:t xml:space="preserve"> 5、若合同供应期间甲方发现乙方存在故意抬高价格以弥补高折扣率带来的差价情况，甲方有权利无条件随时解除合同，产生的后果由乙方一方全部承担。</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textAlignment w:val="auto"/>
        <w:rPr>
          <w:rFonts w:hint="default" w:ascii="仿宋_GB2312" w:hAnsi="仿宋_GB2312" w:eastAsia="仿宋_GB2312" w:cs="仿宋_GB2312"/>
          <w:b w:val="0"/>
          <w:bCs w:val="0"/>
          <w:color w:val="auto"/>
          <w:kern w:val="0"/>
          <w:sz w:val="28"/>
          <w:szCs w:val="28"/>
          <w:lang w:val="en-US" w:eastAsia="zh-CN"/>
        </w:rPr>
      </w:pPr>
      <w:r>
        <w:rPr>
          <w:rFonts w:hint="eastAsia" w:ascii="仿宋_GB2312" w:hAnsi="仿宋_GB2312" w:eastAsia="仿宋_GB2312" w:cs="仿宋_GB2312"/>
          <w:b w:val="0"/>
          <w:bCs w:val="0"/>
          <w:color w:val="auto"/>
          <w:kern w:val="0"/>
          <w:sz w:val="28"/>
          <w:szCs w:val="28"/>
          <w:lang w:val="en-US" w:eastAsia="zh-CN"/>
        </w:rPr>
        <w:t>（二）交付验收要求</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textAlignment w:val="auto"/>
        <w:rPr>
          <w:rFonts w:hint="default" w:ascii="仿宋_GB2312" w:hAnsi="仿宋_GB2312" w:eastAsia="仿宋_GB2312" w:cs="仿宋_GB2312"/>
          <w:color w:val="auto"/>
          <w:kern w:val="0"/>
          <w:sz w:val="28"/>
          <w:szCs w:val="28"/>
          <w:lang w:val="en-US" w:eastAsia="zh-CN"/>
        </w:rPr>
      </w:pPr>
      <w:r>
        <w:rPr>
          <w:rFonts w:hint="default" w:ascii="仿宋_GB2312" w:hAnsi="仿宋_GB2312" w:eastAsia="仿宋_GB2312" w:cs="仿宋_GB2312"/>
          <w:color w:val="auto"/>
          <w:kern w:val="0"/>
          <w:sz w:val="28"/>
          <w:szCs w:val="28"/>
          <w:lang w:val="en-US" w:eastAsia="zh-CN"/>
        </w:rPr>
        <w:t>1.交付验收标准依次序对照适用标准:所供商品须符合国家行业生产及经营标准，货真价实；包装类食材必须符合国家规范，采购的食材包装上必须使用原产地标识，应注明：食材名称、制造商或生产商名称和地址、重量，生产日期、保质期以及产品合格证、食品生产许可证编号（或SC认证）等，并可进行溯源追溯。来源应当是受到政府部门监管的流通市场或具有相关资质的厂家生产，严禁收购非标准产品供应。验收须满足行业标准和感官标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textAlignment w:val="auto"/>
        <w:rPr>
          <w:rFonts w:hint="default" w:ascii="仿宋_GB2312" w:hAnsi="仿宋_GB2312" w:eastAsia="仿宋_GB2312" w:cs="仿宋_GB2312"/>
          <w:color w:val="auto"/>
          <w:kern w:val="0"/>
          <w:sz w:val="28"/>
          <w:szCs w:val="28"/>
          <w:lang w:val="en-US" w:eastAsia="zh-CN"/>
        </w:rPr>
      </w:pPr>
      <w:r>
        <w:rPr>
          <w:rFonts w:hint="default" w:ascii="仿宋_GB2312" w:hAnsi="仿宋_GB2312" w:eastAsia="仿宋_GB2312" w:cs="仿宋_GB2312"/>
          <w:color w:val="auto"/>
          <w:kern w:val="0"/>
          <w:sz w:val="28"/>
          <w:szCs w:val="28"/>
          <w:lang w:val="en-US" w:eastAsia="zh-CN"/>
        </w:rPr>
        <w:t>2. 双方在到货现场进行验收。采购人对食材进行验收，对品种不齐或不符合要求的食材，中标人必须无条件退货、换货、补货。换货、补货需在60分钟内将符合要求的食材送达采购人指定地点，否则，采购人有权自行在任意超市采购，一切费用由中标人承担。验收时双方对每一项技术、服务、安全标准的履约情况进行确认。</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textAlignment w:val="auto"/>
        <w:rPr>
          <w:rFonts w:hint="eastAsia"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3、验收单据食材价格不得超过供应商线下门店单品价格的0.5%</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textAlignment w:val="auto"/>
        <w:rPr>
          <w:rFonts w:hint="default"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（三）食材供应配送要求</w:t>
      </w:r>
    </w:p>
    <w:p>
      <w:pPr>
        <w:spacing w:line="600" w:lineRule="exact"/>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食材运输必须采用符合卫生标准的外包装和运载工具，并且要保持清洁和定期消毒。运输车厢的内仓，包括厢底、厢面和厢顶，应使用抗腐蚀、防潮、易清洁消毒的材料，车厢内无不良气味。运输途中严防日晒、雨淋，如对温度有要求的食材应保持对应的合理的温度，特别是冷冻、冰鲜食材必须使用专用载具运输，全程保持合理的冷冻、冰鲜温度。（投标时提供承诺函）</w:t>
      </w:r>
    </w:p>
    <w:p>
      <w:pPr>
        <w:spacing w:line="600" w:lineRule="exact"/>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2.食材应小心轻卸，严防机械损伤，堆放科学合理，避免造成食材的交叉污染。（投标时提供承诺函）</w:t>
      </w:r>
    </w:p>
    <w:p>
      <w:pPr>
        <w:spacing w:line="600" w:lineRule="exact"/>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中标人必须使用专用的配送车，并安排足够的配送人员、相应要求的砍切和宰杀、清洗和去头去皮处理人员及工具。配送人员、砍切和宰杀、清洗和去头去皮等处理人员需要相对固定，如变更人员应提前告知采购人，提供与中标人签署的有效合同或中标人为其购买的社保记录。每次进入采购人管辖区域均需正确佩戴口罩帽子，出具有效的健康证，否则采购人有权拒绝其进入，由此造成中标人无法正常配送食材到采购人指定地点（位置）的，视为中标人严重违约，采购人有权解除合同。（投标时提供承诺函）</w:t>
      </w:r>
    </w:p>
    <w:p>
      <w:pPr>
        <w:spacing w:line="600" w:lineRule="exact"/>
        <w:ind w:firstLine="560" w:firstLineChars="200"/>
        <w:rPr>
          <w:rFonts w:hint="default"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sz w:val="28"/>
          <w:szCs w:val="28"/>
          <w:lang w:val="en-US" w:eastAsia="zh-CN"/>
        </w:rPr>
        <w:t>4.中标人保证配送食材品种和规格与采购人通知的一致，数量误差小于10%，最终以采购人的实际验货为准，中标人每次随货送上一式两份的送货清单，供双方验货后签字确认，双方各持一份，作为送、收货的凭证。（投标时提供承诺函）</w:t>
      </w:r>
    </w:p>
    <w:p>
      <w:pPr>
        <w:pStyle w:val="12"/>
        <w:spacing w:line="600" w:lineRule="exact"/>
        <w:ind w:firstLine="560" w:firstLineChars="200"/>
        <w:rPr>
          <w:rFonts w:hint="eastAsia" w:ascii="黑体" w:hAnsi="黑体" w:eastAsia="黑体" w:cs="黑体"/>
          <w:b w:val="0"/>
          <w:bCs/>
          <w:sz w:val="28"/>
          <w:szCs w:val="28"/>
          <w:lang w:val="zh-CN"/>
        </w:rPr>
      </w:pPr>
      <w:r>
        <w:rPr>
          <w:rFonts w:hint="eastAsia" w:ascii="黑体" w:hAnsi="黑体" w:eastAsia="黑体" w:cs="黑体"/>
          <w:b w:val="0"/>
          <w:bCs/>
          <w:sz w:val="28"/>
          <w:szCs w:val="28"/>
          <w:lang w:val="zh-CN"/>
        </w:rPr>
        <w:t>四、验收/考核标准及付款安排</w:t>
      </w:r>
      <w:bookmarkStart w:id="0" w:name="_GoBack"/>
      <w:bookmarkEnd w:id="0"/>
    </w:p>
    <w:p>
      <w:pPr>
        <w:spacing w:line="600" w:lineRule="exact"/>
        <w:ind w:firstLine="560" w:firstLineChars="200"/>
        <w:rPr>
          <w:rFonts w:hint="eastAsia" w:ascii="仿宋_GB2312" w:hAnsi="仿宋_GB2312" w:eastAsia="仿宋_GB2312" w:cs="仿宋_GB2312"/>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bidi="ar-SA"/>
        </w:rPr>
        <w:t>（一）考核标准</w:t>
      </w:r>
    </w:p>
    <w:p>
      <w:pPr>
        <w:pStyle w:val="18"/>
        <w:ind w:firstLine="420"/>
        <w:jc w:val="both"/>
        <w:rPr>
          <w:rFonts w:hint="eastAsia" w:ascii="仿宋_GB2312" w:hAnsi="仿宋_GB2312" w:eastAsia="仿宋_GB2312" w:cs="仿宋_GB2312"/>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bidi="ar-SA"/>
        </w:rPr>
        <w:t>采购人每月对中标人进行考核，考核实行扣分制，即基础分100分，在此基础上出现各种违规行为（详见扣分标准）扣减一定分值，每月得分将作为货物供应质量的重要依据。</w:t>
      </w:r>
    </w:p>
    <w:p>
      <w:pPr>
        <w:pStyle w:val="18"/>
        <w:ind w:firstLine="420"/>
        <w:jc w:val="both"/>
        <w:rPr>
          <w:rFonts w:hint="eastAsia" w:ascii="仿宋_GB2312" w:hAnsi="仿宋_GB2312" w:eastAsia="仿宋_GB2312" w:cs="仿宋_GB2312"/>
          <w:color w:val="auto"/>
          <w:kern w:val="0"/>
          <w:sz w:val="28"/>
          <w:szCs w:val="28"/>
          <w:lang w:val="en-US" w:eastAsia="zh-CN" w:bidi="ar-SA"/>
        </w:rPr>
      </w:pPr>
      <w:r>
        <w:rPr>
          <w:rFonts w:hint="eastAsia" w:ascii="仿宋_GB2312" w:hAnsi="仿宋_GB2312" w:eastAsia="仿宋_GB2312" w:cs="仿宋_GB2312"/>
          <w:color w:val="auto"/>
          <w:kern w:val="0"/>
          <w:sz w:val="28"/>
          <w:szCs w:val="28"/>
          <w:lang w:val="en-US" w:eastAsia="zh-CN" w:bidi="ar-SA"/>
        </w:rPr>
        <w:t>1、考核指标</w:t>
      </w:r>
    </w:p>
    <w:tbl>
      <w:tblPr>
        <w:tblStyle w:val="7"/>
        <w:tblW w:w="0" w:type="auto"/>
        <w:tblInd w:w="22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137"/>
        <w:gridCol w:w="1123"/>
        <w:gridCol w:w="5826"/>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63"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一级指标</w:t>
            </w:r>
          </w:p>
        </w:tc>
        <w:tc>
          <w:tcPr>
            <w:tcW w:w="1148"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二级指标</w:t>
            </w:r>
          </w:p>
        </w:tc>
        <w:tc>
          <w:tcPr>
            <w:tcW w:w="5979"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扣分标准</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63" w:type="dxa"/>
            <w:vMerge w:val="restar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配送管理</w:t>
            </w:r>
          </w:p>
        </w:tc>
        <w:tc>
          <w:tcPr>
            <w:tcW w:w="1148" w:type="dxa"/>
            <w:tcBorders>
              <w:top w:val="nil"/>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送货时间</w:t>
            </w:r>
          </w:p>
        </w:tc>
        <w:tc>
          <w:tcPr>
            <w:tcW w:w="5979" w:type="dxa"/>
            <w:tcBorders>
              <w:top w:val="nil"/>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非不可抗力情况下，每延误15分钟扣1分</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63" w:type="dxa"/>
            <w:vMerge w:val="continue"/>
            <w:tcBorders>
              <w:top w:val="nil"/>
              <w:left w:val="single" w:color="000000" w:sz="4" w:space="0"/>
              <w:bottom w:val="single" w:color="000000" w:sz="4" w:space="0"/>
              <w:right w:val="single" w:color="000000" w:sz="4" w:space="0"/>
            </w:tcBorders>
          </w:tcPr>
          <w:p>
            <w:pPr>
              <w:rPr>
                <w:sz w:val="24"/>
                <w:szCs w:val="24"/>
              </w:rPr>
            </w:pPr>
          </w:p>
        </w:tc>
        <w:tc>
          <w:tcPr>
            <w:tcW w:w="1148" w:type="dxa"/>
            <w:tcBorders>
              <w:top w:val="nil"/>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供应品种</w:t>
            </w:r>
          </w:p>
        </w:tc>
        <w:tc>
          <w:tcPr>
            <w:tcW w:w="5979" w:type="dxa"/>
            <w:tcBorders>
              <w:top w:val="nil"/>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未按照采购人要求的品种供应，每个品种/次扣2分</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63" w:type="dxa"/>
            <w:vMerge w:val="continue"/>
            <w:tcBorders>
              <w:top w:val="nil"/>
              <w:left w:val="single" w:color="000000" w:sz="4" w:space="0"/>
              <w:bottom w:val="single" w:color="000000" w:sz="4" w:space="0"/>
              <w:right w:val="single" w:color="000000" w:sz="4" w:space="0"/>
            </w:tcBorders>
          </w:tcPr>
          <w:p>
            <w:pPr>
              <w:rPr>
                <w:sz w:val="24"/>
                <w:szCs w:val="24"/>
              </w:rPr>
            </w:pPr>
          </w:p>
        </w:tc>
        <w:tc>
          <w:tcPr>
            <w:tcW w:w="1148" w:type="dxa"/>
            <w:tcBorders>
              <w:top w:val="nil"/>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供应数量</w:t>
            </w:r>
          </w:p>
        </w:tc>
        <w:tc>
          <w:tcPr>
            <w:tcW w:w="5979" w:type="dxa"/>
            <w:tcBorders>
              <w:top w:val="nil"/>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未按照采购人要求的数量供应，每不足10%扣 1 分</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63" w:type="dxa"/>
            <w:vMerge w:val="continue"/>
            <w:tcBorders>
              <w:top w:val="nil"/>
              <w:left w:val="single" w:color="000000" w:sz="4" w:space="0"/>
              <w:bottom w:val="single" w:color="000000" w:sz="4" w:space="0"/>
              <w:right w:val="single" w:color="000000" w:sz="4" w:space="0"/>
            </w:tcBorders>
          </w:tcPr>
          <w:p>
            <w:pPr>
              <w:rPr>
                <w:sz w:val="24"/>
                <w:szCs w:val="24"/>
              </w:rPr>
            </w:pPr>
          </w:p>
        </w:tc>
        <w:tc>
          <w:tcPr>
            <w:tcW w:w="1148" w:type="dxa"/>
            <w:tcBorders>
              <w:top w:val="nil"/>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服务能力</w:t>
            </w:r>
          </w:p>
        </w:tc>
        <w:tc>
          <w:tcPr>
            <w:tcW w:w="5979" w:type="dxa"/>
            <w:tcBorders>
              <w:top w:val="nil"/>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未按采购人要求加工的，每次扣3分</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63" w:type="dxa"/>
            <w:vMerge w:val="continue"/>
            <w:tcBorders>
              <w:top w:val="nil"/>
              <w:left w:val="single" w:color="000000" w:sz="4" w:space="0"/>
              <w:bottom w:val="single" w:color="000000" w:sz="4" w:space="0"/>
              <w:right w:val="single" w:color="000000" w:sz="4" w:space="0"/>
            </w:tcBorders>
          </w:tcPr>
          <w:p>
            <w:pPr>
              <w:rPr>
                <w:sz w:val="24"/>
                <w:szCs w:val="24"/>
              </w:rPr>
            </w:pPr>
          </w:p>
        </w:tc>
        <w:tc>
          <w:tcPr>
            <w:tcW w:w="1148" w:type="dxa"/>
            <w:tcBorders>
              <w:top w:val="nil"/>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服务态度</w:t>
            </w:r>
          </w:p>
        </w:tc>
        <w:tc>
          <w:tcPr>
            <w:tcW w:w="5979" w:type="dxa"/>
            <w:tcBorders>
              <w:top w:val="nil"/>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运送人员野蛮装运或无正当理由与采购人员争执，每次扣2 分</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63" w:type="dxa"/>
            <w:vMerge w:val="continue"/>
            <w:tcBorders>
              <w:top w:val="nil"/>
              <w:left w:val="single" w:color="000000" w:sz="4" w:space="0"/>
              <w:bottom w:val="single" w:color="000000" w:sz="4" w:space="0"/>
              <w:right w:val="single" w:color="000000" w:sz="4" w:space="0"/>
            </w:tcBorders>
          </w:tcPr>
          <w:p>
            <w:pPr>
              <w:rPr>
                <w:sz w:val="24"/>
                <w:szCs w:val="24"/>
              </w:rPr>
            </w:pPr>
          </w:p>
        </w:tc>
        <w:tc>
          <w:tcPr>
            <w:tcW w:w="1148" w:type="dxa"/>
            <w:tcBorders>
              <w:top w:val="nil"/>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单据情况</w:t>
            </w:r>
          </w:p>
        </w:tc>
        <w:tc>
          <w:tcPr>
            <w:tcW w:w="5979" w:type="dxa"/>
            <w:tcBorders>
              <w:top w:val="nil"/>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送货单据打印不齐全、不清晰，每次扣2 分</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63" w:type="dxa"/>
            <w:vMerge w:val="restar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质量管理</w:t>
            </w:r>
          </w:p>
        </w:tc>
        <w:tc>
          <w:tcPr>
            <w:tcW w:w="1148" w:type="dxa"/>
            <w:tcBorders>
              <w:top w:val="nil"/>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日常质量</w:t>
            </w:r>
          </w:p>
        </w:tc>
        <w:tc>
          <w:tcPr>
            <w:tcW w:w="5979" w:type="dxa"/>
            <w:tcBorders>
              <w:top w:val="nil"/>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送货质量不符合要求，每个品种/次扣 2 分</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63" w:type="dxa"/>
            <w:vMerge w:val="continue"/>
            <w:tcBorders>
              <w:top w:val="nil"/>
              <w:left w:val="single" w:color="000000" w:sz="4" w:space="0"/>
              <w:bottom w:val="single" w:color="000000" w:sz="4" w:space="0"/>
              <w:right w:val="single" w:color="000000" w:sz="4" w:space="0"/>
            </w:tcBorders>
          </w:tcPr>
          <w:p>
            <w:pPr>
              <w:rPr>
                <w:sz w:val="24"/>
                <w:szCs w:val="24"/>
              </w:rPr>
            </w:pPr>
          </w:p>
        </w:tc>
        <w:tc>
          <w:tcPr>
            <w:tcW w:w="1148" w:type="dxa"/>
            <w:tcBorders>
              <w:top w:val="nil"/>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一般事故</w:t>
            </w:r>
          </w:p>
        </w:tc>
        <w:tc>
          <w:tcPr>
            <w:tcW w:w="5979" w:type="dxa"/>
            <w:tcBorders>
              <w:top w:val="nil"/>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食材检验不合格，每次扣20分</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63" w:type="dxa"/>
            <w:vMerge w:val="continue"/>
            <w:tcBorders>
              <w:top w:val="nil"/>
              <w:left w:val="single" w:color="000000" w:sz="4" w:space="0"/>
              <w:bottom w:val="single" w:color="000000" w:sz="4" w:space="0"/>
              <w:right w:val="single" w:color="000000" w:sz="4" w:space="0"/>
            </w:tcBorders>
          </w:tcPr>
          <w:p>
            <w:pPr>
              <w:rPr>
                <w:sz w:val="24"/>
                <w:szCs w:val="24"/>
              </w:rPr>
            </w:pPr>
          </w:p>
        </w:tc>
        <w:tc>
          <w:tcPr>
            <w:tcW w:w="1148" w:type="dxa"/>
            <w:tcBorders>
              <w:top w:val="nil"/>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严重事故</w:t>
            </w:r>
          </w:p>
        </w:tc>
        <w:tc>
          <w:tcPr>
            <w:tcW w:w="5979" w:type="dxa"/>
            <w:tcBorders>
              <w:top w:val="nil"/>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引起食物中毒，每次扣50分</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63" w:type="dxa"/>
            <w:vMerge w:val="continue"/>
            <w:tcBorders>
              <w:top w:val="nil"/>
              <w:left w:val="single" w:color="000000" w:sz="4" w:space="0"/>
              <w:bottom w:val="single" w:color="000000" w:sz="4" w:space="0"/>
              <w:right w:val="single" w:color="000000" w:sz="4" w:space="0"/>
            </w:tcBorders>
          </w:tcPr>
          <w:p>
            <w:pPr>
              <w:rPr>
                <w:sz w:val="24"/>
                <w:szCs w:val="24"/>
              </w:rPr>
            </w:pPr>
          </w:p>
        </w:tc>
        <w:tc>
          <w:tcPr>
            <w:tcW w:w="1148" w:type="dxa"/>
            <w:tcBorders>
              <w:top w:val="nil"/>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检验票据</w:t>
            </w:r>
          </w:p>
        </w:tc>
        <w:tc>
          <w:tcPr>
            <w:tcW w:w="5979" w:type="dxa"/>
            <w:tcBorders>
              <w:top w:val="nil"/>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检验票据、出厂证明、合格证等不齐全，每项扣2分</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63" w:type="dxa"/>
            <w:vMerge w:val="restar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科学管理</w:t>
            </w:r>
          </w:p>
        </w:tc>
        <w:tc>
          <w:tcPr>
            <w:tcW w:w="1148" w:type="dxa"/>
            <w:tcBorders>
              <w:top w:val="nil"/>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渠道管理</w:t>
            </w:r>
          </w:p>
        </w:tc>
        <w:tc>
          <w:tcPr>
            <w:tcW w:w="5979" w:type="dxa"/>
            <w:tcBorders>
              <w:top w:val="nil"/>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包装类食材无法进行溯源追溯的，每次扣5分。</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163" w:type="dxa"/>
            <w:vMerge w:val="continue"/>
            <w:tcBorders>
              <w:top w:val="nil"/>
              <w:left w:val="single" w:color="000000" w:sz="4" w:space="0"/>
              <w:bottom w:val="single" w:color="000000" w:sz="4" w:space="0"/>
              <w:right w:val="single" w:color="000000" w:sz="4" w:space="0"/>
            </w:tcBorders>
          </w:tcPr>
          <w:p>
            <w:pPr>
              <w:rPr>
                <w:sz w:val="24"/>
                <w:szCs w:val="24"/>
              </w:rPr>
            </w:pPr>
          </w:p>
        </w:tc>
        <w:tc>
          <w:tcPr>
            <w:tcW w:w="1148" w:type="dxa"/>
            <w:tcBorders>
              <w:top w:val="nil"/>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安全清洁</w:t>
            </w:r>
          </w:p>
        </w:tc>
        <w:tc>
          <w:tcPr>
            <w:tcW w:w="5979" w:type="dxa"/>
            <w:tcBorders>
              <w:top w:val="nil"/>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运输工具、贮物框箱不符合要求或未清洁消毒，每次扣1分</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63" w:type="dxa"/>
            <w:vMerge w:val="continue"/>
            <w:tcBorders>
              <w:top w:val="nil"/>
              <w:left w:val="single" w:color="000000" w:sz="4" w:space="0"/>
              <w:bottom w:val="single" w:color="000000" w:sz="4" w:space="0"/>
              <w:right w:val="single" w:color="000000" w:sz="4" w:space="0"/>
            </w:tcBorders>
          </w:tcPr>
          <w:p>
            <w:pPr>
              <w:rPr>
                <w:sz w:val="24"/>
                <w:szCs w:val="24"/>
              </w:rPr>
            </w:pPr>
          </w:p>
        </w:tc>
        <w:tc>
          <w:tcPr>
            <w:tcW w:w="1148" w:type="dxa"/>
            <w:tcBorders>
              <w:top w:val="nil"/>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联系沟通</w:t>
            </w:r>
          </w:p>
        </w:tc>
        <w:tc>
          <w:tcPr>
            <w:tcW w:w="5979" w:type="dxa"/>
            <w:tcBorders>
              <w:top w:val="nil"/>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发生特殊情况未能及时与采购人沟通、协调解决，每次扣1 分</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63" w:type="dxa"/>
            <w:vMerge w:val="continue"/>
            <w:tcBorders>
              <w:top w:val="nil"/>
              <w:left w:val="single" w:color="000000" w:sz="4" w:space="0"/>
              <w:bottom w:val="single" w:color="000000" w:sz="4" w:space="0"/>
              <w:right w:val="single" w:color="000000" w:sz="4" w:space="0"/>
            </w:tcBorders>
          </w:tcPr>
          <w:p>
            <w:pPr>
              <w:rPr>
                <w:sz w:val="24"/>
                <w:szCs w:val="24"/>
              </w:rPr>
            </w:pPr>
          </w:p>
        </w:tc>
        <w:tc>
          <w:tcPr>
            <w:tcW w:w="1148" w:type="dxa"/>
            <w:tcBorders>
              <w:top w:val="nil"/>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整改情况</w:t>
            </w:r>
          </w:p>
        </w:tc>
        <w:tc>
          <w:tcPr>
            <w:tcW w:w="5979" w:type="dxa"/>
            <w:tcBorders>
              <w:top w:val="nil"/>
              <w:left w:val="nil"/>
              <w:bottom w:val="single" w:color="000000" w:sz="4" w:space="0"/>
              <w:right w:val="single" w:color="000000" w:sz="4" w:space="0"/>
            </w:tcBorders>
            <w:tcMar>
              <w:top w:w="0" w:type="dxa"/>
              <w:left w:w="0" w:type="dxa"/>
              <w:bottom w:w="0" w:type="dxa"/>
              <w:right w:w="0" w:type="dxa"/>
            </w:tcMar>
            <w:vAlign w:val="top"/>
          </w:tcPr>
          <w:p>
            <w:pPr>
              <w:pStyle w:val="18"/>
              <w:jc w:val="both"/>
              <w:rPr>
                <w:sz w:val="24"/>
                <w:szCs w:val="24"/>
              </w:rPr>
            </w:pPr>
            <w:r>
              <w:rPr>
                <w:color w:val="000000"/>
                <w:sz w:val="24"/>
                <w:szCs w:val="24"/>
              </w:rPr>
              <w:t>对采购人提出的整改意见未及时实施或不到位，每次扣2分</w:t>
            </w:r>
          </w:p>
        </w:tc>
      </w:tr>
    </w:tbl>
    <w:p>
      <w:pPr>
        <w:pStyle w:val="18"/>
        <w:ind w:firstLine="420"/>
        <w:jc w:val="both"/>
        <w:rPr>
          <w:rFonts w:hint="eastAsia" w:ascii="仿宋_GB2312" w:hAnsi="仿宋_GB2312" w:eastAsia="仿宋_GB2312" w:cs="仿宋_GB2312"/>
          <w:sz w:val="28"/>
          <w:szCs w:val="28"/>
          <w:lang w:val="en-US" w:eastAsia="zh-CN"/>
        </w:rPr>
      </w:pPr>
      <w:r>
        <w:rPr>
          <w:color w:val="000000"/>
          <w:sz w:val="28"/>
          <w:szCs w:val="28"/>
        </w:rPr>
        <w:t>注：因品种数量不符、日常质量不符合要求和包装类食材无法进行溯源追溯，中标人按要求补、换货的，每个自然月累计出现前3日（次）不进行扣分；不按要求补、换货或累计出现超过3日（次）的，按扣分标准进行扣分。</w:t>
      </w:r>
    </w:p>
    <w:p>
      <w:pPr>
        <w:spacing w:line="600" w:lineRule="exact"/>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（二）付款安排</w:t>
      </w:r>
    </w:p>
    <w:p>
      <w:pPr>
        <w:spacing w:line="600" w:lineRule="exact"/>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本项目货款根据实际供应的货物数量情况及考核处理办法按月结算。乙方须在每月7日前（如遇节假日顺延至第一个工作日），提供以乙方名义为本项目开具的正式发票给甲方，以便甲方及时办理支付手续。甲方于每月15日前（如遇节假日顺延至第一个工作日）办理支付手续，向乙方支付上月食材供应费用，如乙方提供服务不足一个月时按日计算。</w:t>
      </w:r>
    </w:p>
    <w:p>
      <w:pPr>
        <w:pStyle w:val="12"/>
        <w:spacing w:line="600" w:lineRule="exact"/>
        <w:ind w:firstLine="560" w:firstLineChars="200"/>
        <w:rPr>
          <w:rFonts w:ascii="仿宋_GB2312" w:hAnsi="楷体" w:eastAsia="仿宋_GB2312"/>
          <w:sz w:val="28"/>
          <w:szCs w:val="28"/>
          <w:lang w:val="zh-CN"/>
        </w:rPr>
      </w:pPr>
      <w:r>
        <w:rPr>
          <w:rFonts w:hint="eastAsia" w:ascii="黑体" w:hAnsi="黑体" w:eastAsia="黑体" w:cs="黑体"/>
          <w:b w:val="0"/>
          <w:bCs/>
          <w:sz w:val="28"/>
          <w:szCs w:val="28"/>
          <w:lang w:val="zh-CN"/>
        </w:rPr>
        <w:t>五、供应商特殊资质要求</w:t>
      </w:r>
    </w:p>
    <w:p>
      <w:pPr>
        <w:spacing w:line="600" w:lineRule="exact"/>
        <w:ind w:firstLine="560" w:firstLineChars="200"/>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无</w:t>
      </w:r>
    </w:p>
    <w:p>
      <w:pPr>
        <w:pStyle w:val="12"/>
        <w:spacing w:line="600" w:lineRule="exact"/>
        <w:ind w:firstLine="560" w:firstLineChars="200"/>
        <w:rPr>
          <w:rFonts w:hint="eastAsia" w:ascii="黑体" w:hAnsi="黑体" w:eastAsia="黑体" w:cs="黑体"/>
          <w:b w:val="0"/>
          <w:bCs/>
          <w:sz w:val="28"/>
          <w:szCs w:val="28"/>
          <w:lang w:val="zh-CN"/>
        </w:rPr>
      </w:pPr>
      <w:r>
        <w:rPr>
          <w:rFonts w:hint="eastAsia" w:ascii="黑体" w:hAnsi="黑体" w:eastAsia="黑体" w:cs="黑体"/>
          <w:b w:val="0"/>
          <w:bCs/>
          <w:sz w:val="28"/>
          <w:szCs w:val="28"/>
          <w:lang w:val="zh-CN"/>
        </w:rPr>
        <w:t>六、入围供应商数量建议</w:t>
      </w:r>
    </w:p>
    <w:p>
      <w:pPr>
        <w:pStyle w:val="12"/>
        <w:spacing w:line="600" w:lineRule="exact"/>
        <w:ind w:left="559" w:leftChars="266" w:firstLine="0" w:firstLineChars="0"/>
        <w:rPr>
          <w:rFonts w:hint="eastAsia" w:ascii="仿宋_GB2312" w:hAnsi="仿宋_GB2312" w:eastAsia="仿宋_GB2312" w:cs="仿宋_GB2312"/>
          <w:b w:val="0"/>
          <w:bCs/>
          <w:sz w:val="28"/>
          <w:szCs w:val="28"/>
          <w:lang w:val="en-US" w:eastAsia="zh-CN"/>
        </w:rPr>
      </w:pPr>
      <w:r>
        <w:rPr>
          <w:rFonts w:hint="eastAsia" w:ascii="仿宋_GB2312" w:hAnsi="仿宋_GB2312" w:eastAsia="仿宋_GB2312" w:cs="仿宋_GB2312"/>
          <w:b w:val="0"/>
          <w:bCs/>
          <w:sz w:val="28"/>
          <w:szCs w:val="28"/>
          <w:lang w:val="en-US" w:eastAsia="zh-CN"/>
        </w:rPr>
        <w:t>入围2家食材货物供应商企业。</w:t>
      </w:r>
    </w:p>
    <w:p>
      <w:pPr>
        <w:pStyle w:val="12"/>
        <w:spacing w:line="600" w:lineRule="exact"/>
        <w:ind w:left="559" w:leftChars="266" w:firstLine="0" w:firstLineChars="0"/>
        <w:jc w:val="left"/>
        <w:rPr>
          <w:rFonts w:hint="default" w:ascii="黑体" w:hAnsi="黑体" w:eastAsia="黑体" w:cs="黑体"/>
          <w:b w:val="0"/>
          <w:bCs/>
          <w:sz w:val="28"/>
          <w:szCs w:val="28"/>
          <w:lang w:val="en-US" w:eastAsia="zh-CN"/>
        </w:rPr>
      </w:pPr>
      <w:r>
        <w:rPr>
          <w:rFonts w:hint="eastAsia" w:ascii="仿宋_GB2312" w:hAnsi="仿宋_GB2312" w:eastAsia="仿宋_GB2312" w:cs="仿宋_GB2312"/>
          <w:b w:val="0"/>
          <w:bCs/>
          <w:sz w:val="28"/>
          <w:szCs w:val="28"/>
          <w:lang w:val="en-US" w:eastAsia="zh-CN"/>
        </w:rPr>
        <w:t>原因：为了保障货物供应的稳定以及货物质量保持良好，同时发挥考核机制作用。</w:t>
      </w:r>
    </w:p>
    <w:p>
      <w:pPr>
        <w:pStyle w:val="12"/>
        <w:spacing w:line="600" w:lineRule="exact"/>
        <w:ind w:firstLine="560" w:firstLineChars="200"/>
        <w:rPr>
          <w:rFonts w:hint="eastAsia" w:ascii="黑体" w:hAnsi="黑体" w:eastAsia="黑体" w:cs="黑体"/>
          <w:b w:val="0"/>
          <w:bCs/>
          <w:sz w:val="28"/>
          <w:szCs w:val="28"/>
          <w:lang w:val="zh-CN"/>
        </w:rPr>
      </w:pPr>
      <w:r>
        <w:rPr>
          <w:rFonts w:hint="eastAsia" w:ascii="黑体" w:hAnsi="黑体" w:eastAsia="黑体" w:cs="黑体"/>
          <w:b w:val="0"/>
          <w:bCs/>
          <w:sz w:val="28"/>
          <w:szCs w:val="28"/>
          <w:lang w:val="zh-CN"/>
        </w:rPr>
        <w:t>七、入围供应商的使用规则</w:t>
      </w:r>
    </w:p>
    <w:p>
      <w:pPr>
        <w:spacing w:line="600" w:lineRule="exact"/>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通过竞争性谈判方式公开征集供应商，同时根据入围企业以及综合评分法评审，选定2家供应商作为中标企业。</w:t>
      </w:r>
    </w:p>
    <w:p>
      <w:pPr>
        <w:spacing w:line="600" w:lineRule="exact"/>
        <w:ind w:firstLine="560" w:firstLineChars="200"/>
        <w:rPr>
          <w:rFonts w:hint="eastAsia"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根据</w:t>
      </w:r>
      <w:r>
        <w:rPr>
          <w:rFonts w:hint="eastAsia" w:ascii="仿宋_GB2312" w:hAnsi="仿宋_GB2312" w:eastAsia="仿宋_GB2312" w:cs="仿宋_GB2312"/>
          <w:sz w:val="28"/>
          <w:szCs w:val="28"/>
          <w:lang w:val="en-US" w:eastAsia="zh-CN"/>
        </w:rPr>
        <w:t>中标入围企业进行</w:t>
      </w:r>
      <w:r>
        <w:rPr>
          <w:rFonts w:hint="default" w:ascii="仿宋_GB2312" w:hAnsi="仿宋_GB2312" w:eastAsia="仿宋_GB2312" w:cs="仿宋_GB2312"/>
          <w:sz w:val="28"/>
          <w:szCs w:val="28"/>
          <w:lang w:val="en-US" w:eastAsia="zh-CN"/>
        </w:rPr>
        <w:t>业务分配</w:t>
      </w:r>
      <w:r>
        <w:rPr>
          <w:rFonts w:hint="eastAsia" w:ascii="仿宋_GB2312" w:hAnsi="仿宋_GB2312" w:eastAsia="仿宋_GB2312" w:cs="仿宋_GB2312"/>
          <w:sz w:val="28"/>
          <w:szCs w:val="28"/>
          <w:lang w:val="en-US" w:eastAsia="zh-CN"/>
        </w:rPr>
        <w:t>，比例</w:t>
      </w:r>
      <w:r>
        <w:rPr>
          <w:rFonts w:hint="default" w:ascii="仿宋_GB2312" w:hAnsi="仿宋_GB2312" w:eastAsia="仿宋_GB2312" w:cs="仿宋_GB2312"/>
          <w:sz w:val="28"/>
          <w:szCs w:val="28"/>
          <w:lang w:val="en-US" w:eastAsia="zh-CN"/>
        </w:rPr>
        <w:t>为第一名</w:t>
      </w:r>
      <w:r>
        <w:rPr>
          <w:rFonts w:hint="eastAsia" w:ascii="仿宋_GB2312" w:hAnsi="仿宋_GB2312" w:eastAsia="仿宋_GB2312" w:cs="仿宋_GB2312"/>
          <w:sz w:val="28"/>
          <w:szCs w:val="28"/>
          <w:lang w:val="en-US" w:eastAsia="zh-CN"/>
        </w:rPr>
        <w:t>6</w:t>
      </w:r>
      <w:r>
        <w:rPr>
          <w:rFonts w:hint="default" w:ascii="仿宋_GB2312" w:hAnsi="仿宋_GB2312" w:eastAsia="仿宋_GB2312" w:cs="仿宋_GB2312"/>
          <w:sz w:val="28"/>
          <w:szCs w:val="28"/>
          <w:lang w:val="en-US" w:eastAsia="zh-CN"/>
        </w:rPr>
        <w:t>0%，第二名</w:t>
      </w:r>
      <w:r>
        <w:rPr>
          <w:rFonts w:hint="eastAsia" w:ascii="仿宋_GB2312" w:hAnsi="仿宋_GB2312" w:eastAsia="仿宋_GB2312" w:cs="仿宋_GB2312"/>
          <w:sz w:val="28"/>
          <w:szCs w:val="28"/>
          <w:lang w:val="en-US" w:eastAsia="zh-CN"/>
        </w:rPr>
        <w:t>4</w:t>
      </w:r>
      <w:r>
        <w:rPr>
          <w:rFonts w:hint="default" w:ascii="仿宋_GB2312" w:hAnsi="仿宋_GB2312" w:eastAsia="仿宋_GB2312" w:cs="仿宋_GB2312"/>
          <w:sz w:val="28"/>
          <w:szCs w:val="28"/>
          <w:lang w:val="en-US" w:eastAsia="zh-CN"/>
        </w:rPr>
        <w:t>0%</w:t>
      </w:r>
      <w:r>
        <w:rPr>
          <w:rFonts w:hint="eastAsia" w:ascii="仿宋_GB2312" w:hAnsi="仿宋_GB2312" w:eastAsia="仿宋_GB2312" w:cs="仿宋_GB2312"/>
          <w:sz w:val="28"/>
          <w:szCs w:val="28"/>
          <w:lang w:val="en-US" w:eastAsia="zh-CN"/>
        </w:rPr>
        <w:t>。</w:t>
      </w:r>
    </w:p>
    <w:p>
      <w:pPr>
        <w:pStyle w:val="12"/>
        <w:spacing w:line="600" w:lineRule="exact"/>
        <w:ind w:firstLine="560" w:firstLineChars="200"/>
        <w:rPr>
          <w:rFonts w:hint="eastAsia" w:ascii="黑体" w:hAnsi="黑体" w:eastAsia="黑体" w:cs="黑体"/>
          <w:b w:val="0"/>
          <w:bCs/>
          <w:sz w:val="28"/>
          <w:szCs w:val="28"/>
          <w:lang w:val="zh-CN"/>
        </w:rPr>
      </w:pPr>
      <w:r>
        <w:rPr>
          <w:rFonts w:hint="eastAsia" w:ascii="黑体" w:hAnsi="黑体" w:eastAsia="黑体" w:cs="黑体"/>
          <w:b w:val="0"/>
          <w:bCs/>
          <w:color w:val="auto"/>
          <w:sz w:val="28"/>
          <w:szCs w:val="28"/>
          <w:lang w:val="zh-CN"/>
        </w:rPr>
        <w:t>八、</w:t>
      </w:r>
      <w:r>
        <w:rPr>
          <w:rFonts w:hint="eastAsia" w:ascii="黑体" w:hAnsi="黑体" w:eastAsia="黑体" w:cs="黑体"/>
          <w:b w:val="0"/>
          <w:bCs/>
          <w:sz w:val="28"/>
          <w:szCs w:val="28"/>
          <w:lang w:val="zh-CN"/>
        </w:rPr>
        <w:t>其他事项</w:t>
      </w:r>
    </w:p>
    <w:p>
      <w:pPr>
        <w:numPr>
          <w:ilvl w:val="0"/>
          <w:numId w:val="0"/>
        </w:numPr>
        <w:spacing w:line="600" w:lineRule="exact"/>
        <w:ind w:firstLine="560" w:firstLineChars="200"/>
        <w:rPr>
          <w:rFonts w:hint="eastAsia" w:ascii="仿宋_GB2312" w:hAnsi="仿宋_GB2312" w:eastAsia="仿宋_GB2312" w:cs="仿宋_GB2312"/>
          <w:color w:val="0000CC"/>
          <w:sz w:val="28"/>
          <w:szCs w:val="28"/>
          <w:lang w:val="en-US" w:eastAsia="zh-CN"/>
        </w:rPr>
      </w:pPr>
      <w:r>
        <w:rPr>
          <w:rFonts w:hint="eastAsia" w:ascii="黑体" w:hAnsi="黑体" w:eastAsia="黑体" w:cs="黑体"/>
          <w:b w:val="0"/>
          <w:bCs w:val="0"/>
          <w:color w:val="auto"/>
          <w:kern w:val="2"/>
          <w:sz w:val="28"/>
          <w:szCs w:val="28"/>
          <w:lang w:val="zh-CN" w:eastAsia="zh-CN" w:bidi="ar-SA"/>
        </w:rPr>
        <w:t>禁止转包、分包。</w:t>
      </w:r>
      <w:r>
        <w:rPr>
          <w:rFonts w:hint="eastAsia" w:ascii="仿宋_GB2312" w:hAnsi="Calibri" w:eastAsia="仿宋_GB2312" w:cs="Times New Roman"/>
          <w:b w:val="0"/>
          <w:bCs w:val="0"/>
          <w:sz w:val="28"/>
          <w:szCs w:val="28"/>
          <w:lang w:eastAsia="zh-CN"/>
        </w:rPr>
        <w:t>本次采购项目不允许转包、分包。未经我方事先书面同意，若供应商将本项目全部或部分工作分包或转包第三方承担，将导致违约。</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98BC44C"/>
    <w:multiLevelType w:val="singleLevel"/>
    <w:tmpl w:val="E98BC44C"/>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g2MzBiZTJiOGQzNTJlYWM4Y2M4ODVkZmI1ZDEyNTQifQ=="/>
  </w:docVars>
  <w:rsids>
    <w:rsidRoot w:val="001F70AB"/>
    <w:rsid w:val="00046B52"/>
    <w:rsid w:val="00057AD9"/>
    <w:rsid w:val="00085234"/>
    <w:rsid w:val="000B22D2"/>
    <w:rsid w:val="001214E3"/>
    <w:rsid w:val="001978CF"/>
    <w:rsid w:val="001B2F32"/>
    <w:rsid w:val="001F70AB"/>
    <w:rsid w:val="00230EC4"/>
    <w:rsid w:val="00260141"/>
    <w:rsid w:val="003C74D1"/>
    <w:rsid w:val="003D1D2C"/>
    <w:rsid w:val="003D6157"/>
    <w:rsid w:val="00412A51"/>
    <w:rsid w:val="00424B10"/>
    <w:rsid w:val="004259FB"/>
    <w:rsid w:val="0044635B"/>
    <w:rsid w:val="00486BAD"/>
    <w:rsid w:val="00554A7B"/>
    <w:rsid w:val="005852D1"/>
    <w:rsid w:val="005E6B7D"/>
    <w:rsid w:val="007550C1"/>
    <w:rsid w:val="007A0DC3"/>
    <w:rsid w:val="007C61A5"/>
    <w:rsid w:val="00954671"/>
    <w:rsid w:val="009B4B33"/>
    <w:rsid w:val="00A263F2"/>
    <w:rsid w:val="00A305B2"/>
    <w:rsid w:val="00A716FC"/>
    <w:rsid w:val="00B21CCE"/>
    <w:rsid w:val="00B64566"/>
    <w:rsid w:val="00BD7E4A"/>
    <w:rsid w:val="00C662C9"/>
    <w:rsid w:val="00CC7D8E"/>
    <w:rsid w:val="00D871DB"/>
    <w:rsid w:val="00E74CD5"/>
    <w:rsid w:val="00EE107E"/>
    <w:rsid w:val="00FB5B0C"/>
    <w:rsid w:val="00FD3817"/>
    <w:rsid w:val="022E47F9"/>
    <w:rsid w:val="02ED67FE"/>
    <w:rsid w:val="035048A5"/>
    <w:rsid w:val="04DE24A2"/>
    <w:rsid w:val="051C6239"/>
    <w:rsid w:val="053D2C16"/>
    <w:rsid w:val="058C3150"/>
    <w:rsid w:val="061B7D35"/>
    <w:rsid w:val="063D7E7B"/>
    <w:rsid w:val="066D23CE"/>
    <w:rsid w:val="06E263FE"/>
    <w:rsid w:val="07252E71"/>
    <w:rsid w:val="078F01B3"/>
    <w:rsid w:val="08BD35EE"/>
    <w:rsid w:val="09B83BEA"/>
    <w:rsid w:val="0AAF3B94"/>
    <w:rsid w:val="0B29385D"/>
    <w:rsid w:val="0B4E623A"/>
    <w:rsid w:val="0BFD58B8"/>
    <w:rsid w:val="0C3C499F"/>
    <w:rsid w:val="0CEF4CAF"/>
    <w:rsid w:val="0D097277"/>
    <w:rsid w:val="0D294673"/>
    <w:rsid w:val="0F5E39FE"/>
    <w:rsid w:val="0F7D25CB"/>
    <w:rsid w:val="0FD77389"/>
    <w:rsid w:val="11714F2C"/>
    <w:rsid w:val="11D96D2F"/>
    <w:rsid w:val="120311E5"/>
    <w:rsid w:val="122A233A"/>
    <w:rsid w:val="1248718E"/>
    <w:rsid w:val="125606F6"/>
    <w:rsid w:val="125B4B29"/>
    <w:rsid w:val="13452E04"/>
    <w:rsid w:val="13714672"/>
    <w:rsid w:val="13CB5B5C"/>
    <w:rsid w:val="14293E20"/>
    <w:rsid w:val="152D2560"/>
    <w:rsid w:val="15C24FDC"/>
    <w:rsid w:val="177E3E97"/>
    <w:rsid w:val="17AD0644"/>
    <w:rsid w:val="187B525A"/>
    <w:rsid w:val="193661A4"/>
    <w:rsid w:val="19800A63"/>
    <w:rsid w:val="1A06776B"/>
    <w:rsid w:val="1A081343"/>
    <w:rsid w:val="1A317F88"/>
    <w:rsid w:val="1A95442A"/>
    <w:rsid w:val="1AD679FC"/>
    <w:rsid w:val="1B232D94"/>
    <w:rsid w:val="1BD05ACF"/>
    <w:rsid w:val="1BEA3B01"/>
    <w:rsid w:val="1C155278"/>
    <w:rsid w:val="1C536B8E"/>
    <w:rsid w:val="1D4D49A3"/>
    <w:rsid w:val="1EA01D13"/>
    <w:rsid w:val="1EA13F06"/>
    <w:rsid w:val="1F623B44"/>
    <w:rsid w:val="1FE47ADF"/>
    <w:rsid w:val="20061318"/>
    <w:rsid w:val="2018397E"/>
    <w:rsid w:val="20292731"/>
    <w:rsid w:val="20425B99"/>
    <w:rsid w:val="207F31A0"/>
    <w:rsid w:val="20CA738D"/>
    <w:rsid w:val="216A315E"/>
    <w:rsid w:val="22766627"/>
    <w:rsid w:val="2294319B"/>
    <w:rsid w:val="230E236D"/>
    <w:rsid w:val="234C3FCE"/>
    <w:rsid w:val="23904111"/>
    <w:rsid w:val="24494C5A"/>
    <w:rsid w:val="25801095"/>
    <w:rsid w:val="25EA79E5"/>
    <w:rsid w:val="26392F4D"/>
    <w:rsid w:val="26485289"/>
    <w:rsid w:val="268C6650"/>
    <w:rsid w:val="280B294B"/>
    <w:rsid w:val="28290086"/>
    <w:rsid w:val="28703B63"/>
    <w:rsid w:val="2B5C1DAF"/>
    <w:rsid w:val="2C175422"/>
    <w:rsid w:val="2D656721"/>
    <w:rsid w:val="2DBD4B35"/>
    <w:rsid w:val="2E885707"/>
    <w:rsid w:val="2E993CC7"/>
    <w:rsid w:val="2EA81517"/>
    <w:rsid w:val="2EE10029"/>
    <w:rsid w:val="2FA00FCC"/>
    <w:rsid w:val="300F4C8B"/>
    <w:rsid w:val="302E0AEA"/>
    <w:rsid w:val="322B57A8"/>
    <w:rsid w:val="33473FDD"/>
    <w:rsid w:val="34034792"/>
    <w:rsid w:val="343A34CB"/>
    <w:rsid w:val="34446CC4"/>
    <w:rsid w:val="34F00667"/>
    <w:rsid w:val="353B3065"/>
    <w:rsid w:val="35CD6D50"/>
    <w:rsid w:val="36253484"/>
    <w:rsid w:val="368C2971"/>
    <w:rsid w:val="36FB11E0"/>
    <w:rsid w:val="379C0E5D"/>
    <w:rsid w:val="383843EC"/>
    <w:rsid w:val="396A2DDA"/>
    <w:rsid w:val="3A3D2D97"/>
    <w:rsid w:val="3A8F731E"/>
    <w:rsid w:val="3B251BE5"/>
    <w:rsid w:val="3B2671CD"/>
    <w:rsid w:val="3BE3198C"/>
    <w:rsid w:val="3C686C94"/>
    <w:rsid w:val="3C7D5815"/>
    <w:rsid w:val="3CAB2E91"/>
    <w:rsid w:val="3CDF1AEA"/>
    <w:rsid w:val="3D64203D"/>
    <w:rsid w:val="3DEE5150"/>
    <w:rsid w:val="3E1368F0"/>
    <w:rsid w:val="3EEA46C5"/>
    <w:rsid w:val="3EFB69A5"/>
    <w:rsid w:val="40FB1D3B"/>
    <w:rsid w:val="41E30128"/>
    <w:rsid w:val="42AD772D"/>
    <w:rsid w:val="42BC2CD2"/>
    <w:rsid w:val="431442B1"/>
    <w:rsid w:val="43AD4526"/>
    <w:rsid w:val="43C51DD7"/>
    <w:rsid w:val="44587B92"/>
    <w:rsid w:val="44665DBF"/>
    <w:rsid w:val="449F6DA2"/>
    <w:rsid w:val="44B21086"/>
    <w:rsid w:val="44CA2F7C"/>
    <w:rsid w:val="450A4BD9"/>
    <w:rsid w:val="455901B9"/>
    <w:rsid w:val="459E681C"/>
    <w:rsid w:val="46B72338"/>
    <w:rsid w:val="46E824C5"/>
    <w:rsid w:val="471C70C6"/>
    <w:rsid w:val="472865F9"/>
    <w:rsid w:val="48A8745E"/>
    <w:rsid w:val="48B03FE2"/>
    <w:rsid w:val="49151C56"/>
    <w:rsid w:val="49207C74"/>
    <w:rsid w:val="4A1F506F"/>
    <w:rsid w:val="4B2B1652"/>
    <w:rsid w:val="4C0B5ED2"/>
    <w:rsid w:val="4C673E0C"/>
    <w:rsid w:val="4CAB5BC6"/>
    <w:rsid w:val="4CC2732C"/>
    <w:rsid w:val="4CF60CEC"/>
    <w:rsid w:val="4D896004"/>
    <w:rsid w:val="4E6C1F23"/>
    <w:rsid w:val="50021417"/>
    <w:rsid w:val="50346F06"/>
    <w:rsid w:val="50DA0833"/>
    <w:rsid w:val="52E41BE3"/>
    <w:rsid w:val="53F82189"/>
    <w:rsid w:val="53FF492A"/>
    <w:rsid w:val="54396FBB"/>
    <w:rsid w:val="54F66586"/>
    <w:rsid w:val="552B7848"/>
    <w:rsid w:val="55B1542A"/>
    <w:rsid w:val="55C5449E"/>
    <w:rsid w:val="56493019"/>
    <w:rsid w:val="567F4C77"/>
    <w:rsid w:val="581E3FA7"/>
    <w:rsid w:val="583E09AC"/>
    <w:rsid w:val="585D50BE"/>
    <w:rsid w:val="58FE06F8"/>
    <w:rsid w:val="596B1F27"/>
    <w:rsid w:val="5A900F23"/>
    <w:rsid w:val="5A9A1C25"/>
    <w:rsid w:val="5BE84AF3"/>
    <w:rsid w:val="5C514214"/>
    <w:rsid w:val="5CC453C1"/>
    <w:rsid w:val="5CC9202B"/>
    <w:rsid w:val="5EC24E86"/>
    <w:rsid w:val="5ED0033D"/>
    <w:rsid w:val="5ED608A8"/>
    <w:rsid w:val="5EEE3D88"/>
    <w:rsid w:val="5F583B22"/>
    <w:rsid w:val="5F910885"/>
    <w:rsid w:val="60BF5BC6"/>
    <w:rsid w:val="616E3243"/>
    <w:rsid w:val="618F2A1B"/>
    <w:rsid w:val="61C16BCB"/>
    <w:rsid w:val="61FA4C02"/>
    <w:rsid w:val="629535DD"/>
    <w:rsid w:val="62B36B1B"/>
    <w:rsid w:val="62C212EE"/>
    <w:rsid w:val="642A11D9"/>
    <w:rsid w:val="65317DAE"/>
    <w:rsid w:val="67494621"/>
    <w:rsid w:val="675849A9"/>
    <w:rsid w:val="67592028"/>
    <w:rsid w:val="67903A96"/>
    <w:rsid w:val="67D37FBD"/>
    <w:rsid w:val="683F358A"/>
    <w:rsid w:val="687B4BF8"/>
    <w:rsid w:val="688746A7"/>
    <w:rsid w:val="68D8170E"/>
    <w:rsid w:val="694B32C4"/>
    <w:rsid w:val="69F529F1"/>
    <w:rsid w:val="6AD151DF"/>
    <w:rsid w:val="6ADB7A47"/>
    <w:rsid w:val="6B8B3554"/>
    <w:rsid w:val="6C447F32"/>
    <w:rsid w:val="6C8A7717"/>
    <w:rsid w:val="6DFA2C2B"/>
    <w:rsid w:val="6E6A57D9"/>
    <w:rsid w:val="6EA01B0C"/>
    <w:rsid w:val="6F284AA6"/>
    <w:rsid w:val="6F3A592B"/>
    <w:rsid w:val="6F5E2C06"/>
    <w:rsid w:val="6F9540A0"/>
    <w:rsid w:val="6F96149F"/>
    <w:rsid w:val="6FA523D2"/>
    <w:rsid w:val="70197175"/>
    <w:rsid w:val="70DF190E"/>
    <w:rsid w:val="71E91ADF"/>
    <w:rsid w:val="71EE704B"/>
    <w:rsid w:val="72247ABB"/>
    <w:rsid w:val="730A64DB"/>
    <w:rsid w:val="737871FE"/>
    <w:rsid w:val="74B310ED"/>
    <w:rsid w:val="74C80AEC"/>
    <w:rsid w:val="75F45FAB"/>
    <w:rsid w:val="76483015"/>
    <w:rsid w:val="766B55BE"/>
    <w:rsid w:val="76D07D60"/>
    <w:rsid w:val="76F41BC2"/>
    <w:rsid w:val="78597AC9"/>
    <w:rsid w:val="78872FBC"/>
    <w:rsid w:val="78B62B35"/>
    <w:rsid w:val="78CF6F68"/>
    <w:rsid w:val="79647F07"/>
    <w:rsid w:val="7A4E545A"/>
    <w:rsid w:val="7A8076C1"/>
    <w:rsid w:val="7AB45046"/>
    <w:rsid w:val="7ADA324A"/>
    <w:rsid w:val="7B102CAB"/>
    <w:rsid w:val="7B3912AB"/>
    <w:rsid w:val="7BD6625F"/>
    <w:rsid w:val="7BE424D4"/>
    <w:rsid w:val="7D6024C8"/>
    <w:rsid w:val="7D647187"/>
    <w:rsid w:val="7D8A037E"/>
    <w:rsid w:val="7DD72298"/>
    <w:rsid w:val="7FA133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840" w:leftChars="400"/>
    </w:pPr>
  </w:style>
  <w:style w:type="paragraph" w:styleId="3">
    <w:name w:val="Body Text"/>
    <w:basedOn w:val="1"/>
    <w:link w:val="17"/>
    <w:semiHidden/>
    <w:qFormat/>
    <w:uiPriority w:val="0"/>
    <w:pPr>
      <w:spacing w:before="120" w:line="360" w:lineRule="atLeast"/>
    </w:pPr>
    <w:rPr>
      <w:rFonts w:ascii="Times New Roman" w:hAnsi="Times New Roman" w:eastAsia="宋体" w:cs="Times New Roman"/>
      <w:b/>
      <w:i/>
      <w:szCs w:val="24"/>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itle"/>
    <w:basedOn w:val="1"/>
    <w:next w:val="1"/>
    <w:link w:val="14"/>
    <w:qFormat/>
    <w:uiPriority w:val="10"/>
    <w:pPr>
      <w:spacing w:before="240" w:after="60"/>
      <w:jc w:val="center"/>
      <w:outlineLvl w:val="0"/>
    </w:pPr>
    <w:rPr>
      <w:rFonts w:eastAsia="宋体" w:asciiTheme="majorHAnsi" w:hAnsiTheme="majorHAnsi" w:cstheme="majorBidi"/>
      <w:b/>
      <w:bCs/>
      <w:sz w:val="32"/>
      <w:szCs w:val="32"/>
    </w:rPr>
  </w:style>
  <w:style w:type="table" w:styleId="8">
    <w:name w:val="Table Grid"/>
    <w:basedOn w:val="7"/>
    <w:qFormat/>
    <w:uiPriority w:val="3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Char"/>
    <w:basedOn w:val="9"/>
    <w:link w:val="5"/>
    <w:qFormat/>
    <w:uiPriority w:val="99"/>
    <w:rPr>
      <w:sz w:val="18"/>
      <w:szCs w:val="18"/>
    </w:rPr>
  </w:style>
  <w:style w:type="character" w:customStyle="1" w:styleId="11">
    <w:name w:val="页脚 Char"/>
    <w:basedOn w:val="9"/>
    <w:link w:val="4"/>
    <w:qFormat/>
    <w:uiPriority w:val="99"/>
    <w:rPr>
      <w:sz w:val="18"/>
      <w:szCs w:val="18"/>
    </w:rPr>
  </w:style>
  <w:style w:type="paragraph" w:styleId="12">
    <w:name w:val="List Paragraph"/>
    <w:basedOn w:val="1"/>
    <w:link w:val="13"/>
    <w:qFormat/>
    <w:uiPriority w:val="0"/>
    <w:pPr>
      <w:spacing w:line="360" w:lineRule="auto"/>
      <w:ind w:firstLine="200" w:firstLineChars="200"/>
      <w:jc w:val="left"/>
    </w:pPr>
    <w:rPr>
      <w:rFonts w:eastAsia="仿宋"/>
      <w:b/>
      <w:sz w:val="24"/>
    </w:rPr>
  </w:style>
  <w:style w:type="character" w:customStyle="1" w:styleId="13">
    <w:name w:val="列出段落 Char"/>
    <w:link w:val="12"/>
    <w:qFormat/>
    <w:locked/>
    <w:uiPriority w:val="0"/>
    <w:rPr>
      <w:rFonts w:eastAsia="仿宋"/>
      <w:b/>
      <w:sz w:val="24"/>
    </w:rPr>
  </w:style>
  <w:style w:type="character" w:customStyle="1" w:styleId="14">
    <w:name w:val="标题 Char"/>
    <w:basedOn w:val="9"/>
    <w:link w:val="6"/>
    <w:qFormat/>
    <w:uiPriority w:val="10"/>
    <w:rPr>
      <w:rFonts w:eastAsia="宋体" w:asciiTheme="majorHAnsi" w:hAnsiTheme="majorHAnsi" w:cstheme="majorBidi"/>
      <w:b/>
      <w:bCs/>
      <w:sz w:val="32"/>
      <w:szCs w:val="32"/>
    </w:rPr>
  </w:style>
  <w:style w:type="paragraph" w:customStyle="1" w:styleId="15">
    <w:name w:val="1正文"/>
    <w:basedOn w:val="1"/>
    <w:link w:val="16"/>
    <w:qFormat/>
    <w:uiPriority w:val="0"/>
    <w:pPr>
      <w:spacing w:line="560" w:lineRule="exact"/>
      <w:ind w:firstLine="200" w:firstLineChars="200"/>
    </w:pPr>
    <w:rPr>
      <w:rFonts w:ascii="Times New Roman" w:hAnsi="Times New Roman" w:eastAsia="仿宋_GB2312" w:cs="Times New Roman"/>
      <w:sz w:val="32"/>
      <w:szCs w:val="24"/>
    </w:rPr>
  </w:style>
  <w:style w:type="character" w:customStyle="1" w:styleId="16">
    <w:name w:val="1正文 Char"/>
    <w:link w:val="15"/>
    <w:qFormat/>
    <w:uiPriority w:val="0"/>
    <w:rPr>
      <w:rFonts w:ascii="Times New Roman" w:hAnsi="Times New Roman" w:eastAsia="仿宋_GB2312" w:cs="Times New Roman"/>
      <w:sz w:val="32"/>
      <w:szCs w:val="24"/>
    </w:rPr>
  </w:style>
  <w:style w:type="character" w:customStyle="1" w:styleId="17">
    <w:name w:val="正文文本 Char"/>
    <w:basedOn w:val="9"/>
    <w:link w:val="3"/>
    <w:semiHidden/>
    <w:qFormat/>
    <w:uiPriority w:val="0"/>
    <w:rPr>
      <w:rFonts w:ascii="Times New Roman" w:hAnsi="Times New Roman" w:eastAsia="宋体" w:cs="Times New Roman"/>
      <w:b/>
      <w:i/>
      <w:szCs w:val="24"/>
    </w:rPr>
  </w:style>
  <w:style w:type="paragraph" w:customStyle="1" w:styleId="18">
    <w:name w:val="null3"/>
    <w:hidden/>
    <w:qFormat/>
    <w:uiPriority w:val="0"/>
    <w:rPr>
      <w:rFonts w:hint="eastAsia" w:asciiTheme="minorHAnsi" w:hAnsiTheme="minorHAnsi" w:eastAsiaTheme="minorEastAsia" w:cstheme="minorBidi"/>
      <w:lang w:val="en-US" w:eastAsia="zh-Hans"/>
    </w:rPr>
  </w:style>
  <w:style w:type="character" w:customStyle="1" w:styleId="19">
    <w:name w:val="font21"/>
    <w:basedOn w:val="9"/>
    <w:qFormat/>
    <w:uiPriority w:val="0"/>
    <w:rPr>
      <w:rFonts w:hint="eastAsia" w:ascii="宋体" w:hAnsi="宋体" w:eastAsia="宋体" w:cs="宋体"/>
      <w:color w:val="000000"/>
      <w:sz w:val="24"/>
      <w:szCs w:val="24"/>
      <w:u w:val="none"/>
    </w:rPr>
  </w:style>
  <w:style w:type="character" w:customStyle="1" w:styleId="20">
    <w:name w:val="font11"/>
    <w:basedOn w:val="9"/>
    <w:qFormat/>
    <w:uiPriority w:val="0"/>
    <w:rPr>
      <w:rFonts w:hint="default" w:ascii="Calibri" w:hAnsi="Calibri" w:cs="Calibri"/>
      <w:color w:val="000000"/>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6574</Words>
  <Characters>7475</Characters>
  <Lines>7</Lines>
  <Paragraphs>2</Paragraphs>
  <TotalTime>5</TotalTime>
  <ScaleCrop>false</ScaleCrop>
  <LinksUpToDate>false</LinksUpToDate>
  <CharactersWithSpaces>7594</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2021-02-24T09:52:00Z</dcterms:created>
  <dc:creator>韩臻昀</dc:creator>
  <cp:lastModifiedBy>邓宸宇</cp:lastModifiedBy>
  <cp:lastPrinted>2024-08-16T01:28:00Z</cp:lastPrinted>
  <dcterms:modified xsi:type="dcterms:W3CDTF">2024-09-11T07:43:09Z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3AF0D408817A494B9CFE62D4E5056518</vt:lpwstr>
  </property>
</Properties>
</file>