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华文中宋" w:hAnsi="华文中宋" w:eastAsia="华文中宋"/>
          <w:b/>
          <w:sz w:val="44"/>
          <w:szCs w:val="44"/>
        </w:rPr>
      </w:pPr>
      <w:bookmarkStart w:id="0" w:name="_GoBack"/>
      <w:r>
        <w:rPr>
          <w:rFonts w:hint="eastAsia" w:ascii="黑体" w:hAnsi="黑体" w:eastAsia="黑体" w:cs="黑体"/>
          <w:b/>
          <w:sz w:val="28"/>
          <w:szCs w:val="28"/>
        </w:rPr>
        <w:t>关于人保财险广东省茂名市分公司本部大楼消防改造采购项目供应商征集公告</w:t>
      </w:r>
      <w:bookmarkEnd w:id="0"/>
    </w:p>
    <w:p>
      <w:pPr>
        <w:jc w:val="center"/>
        <w:rPr>
          <w:rFonts w:asciiTheme="majorEastAsia" w:hAnsiTheme="majorEastAsia" w:eastAsiaTheme="majorEastAsia"/>
          <w:b/>
          <w:sz w:val="44"/>
          <w:szCs w:val="44"/>
        </w:rPr>
      </w:pPr>
    </w:p>
    <w:p>
      <w:pPr>
        <w:pStyle w:val="12"/>
        <w:numPr>
          <w:ilvl w:val="0"/>
          <w:numId w:val="1"/>
        </w:numPr>
        <w:spacing w:line="360" w:lineRule="auto"/>
        <w:ind w:firstLineChars="0"/>
        <w:rPr>
          <w:rFonts w:hint="eastAsia" w:ascii="仿宋" w:hAnsi="仿宋" w:eastAsia="仿宋" w:cs="仿宋"/>
          <w:b/>
          <w:sz w:val="28"/>
          <w:szCs w:val="28"/>
        </w:rPr>
      </w:pPr>
      <w:r>
        <w:rPr>
          <w:rFonts w:hint="eastAsia" w:ascii="仿宋" w:hAnsi="仿宋" w:eastAsia="仿宋" w:cs="仿宋"/>
          <w:b/>
          <w:sz w:val="28"/>
          <w:szCs w:val="28"/>
        </w:rPr>
        <w:t>公告说明</w:t>
      </w:r>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我公司人保财险广东省茂名市分公司本部大楼消防改造采购项目，征集优秀供应商，</w:t>
      </w:r>
      <w:commentRangeStart w:id="0"/>
      <w:r>
        <w:rPr>
          <w:rFonts w:hint="eastAsia" w:ascii="仿宋" w:hAnsi="仿宋" w:eastAsia="仿宋" w:cs="仿宋"/>
          <w:sz w:val="28"/>
          <w:szCs w:val="28"/>
        </w:rPr>
        <w:t>征集时间</w:t>
      </w:r>
      <w:commentRangeEnd w:id="0"/>
      <w:r>
        <w:rPr>
          <w:rFonts w:hint="eastAsia" w:ascii="仿宋" w:hAnsi="仿宋" w:eastAsia="仿宋" w:cs="仿宋"/>
          <w:sz w:val="28"/>
          <w:szCs w:val="28"/>
        </w:rPr>
        <w:commentReference w:id="0"/>
      </w:r>
      <w:r>
        <w:rPr>
          <w:rFonts w:hint="eastAsia" w:ascii="仿宋" w:hAnsi="仿宋" w:eastAsia="仿宋" w:cs="仿宋"/>
          <w:sz w:val="28"/>
          <w:szCs w:val="28"/>
        </w:rPr>
        <w:t>自</w:t>
      </w:r>
      <w:r>
        <w:rPr>
          <w:rFonts w:hint="eastAsia" w:ascii="仿宋" w:hAnsi="仿宋" w:eastAsia="仿宋" w:cs="仿宋"/>
          <w:sz w:val="28"/>
          <w:szCs w:val="28"/>
          <w:lang w:val="en-US" w:eastAsia="zh-CN"/>
        </w:rPr>
        <w:t>2024</w:t>
      </w:r>
      <w:r>
        <w:rPr>
          <w:rFonts w:hint="eastAsia" w:ascii="仿宋" w:hAnsi="仿宋" w:eastAsia="仿宋" w:cs="仿宋"/>
          <w:sz w:val="28"/>
          <w:szCs w:val="28"/>
        </w:rPr>
        <w:t>年</w:t>
      </w:r>
      <w:r>
        <w:rPr>
          <w:rFonts w:hint="eastAsia" w:ascii="仿宋" w:hAnsi="仿宋" w:eastAsia="仿宋" w:cs="仿宋"/>
          <w:sz w:val="28"/>
          <w:szCs w:val="28"/>
          <w:lang w:val="en-US" w:eastAsia="zh-CN"/>
        </w:rPr>
        <w:t>11</w:t>
      </w:r>
      <w:r>
        <w:rPr>
          <w:rFonts w:hint="eastAsia" w:ascii="仿宋" w:hAnsi="仿宋" w:eastAsia="仿宋" w:cs="仿宋"/>
          <w:sz w:val="28"/>
          <w:szCs w:val="28"/>
        </w:rPr>
        <w:t>月</w:t>
      </w:r>
      <w:r>
        <w:rPr>
          <w:rFonts w:hint="eastAsia" w:ascii="仿宋" w:hAnsi="仿宋" w:eastAsia="仿宋" w:cs="仿宋"/>
          <w:sz w:val="28"/>
          <w:szCs w:val="28"/>
          <w:lang w:val="en-US" w:eastAsia="zh-CN"/>
        </w:rPr>
        <w:t>20</w:t>
      </w:r>
      <w:r>
        <w:rPr>
          <w:rFonts w:hint="eastAsia" w:ascii="仿宋" w:hAnsi="仿宋" w:eastAsia="仿宋" w:cs="仿宋"/>
          <w:sz w:val="28"/>
          <w:szCs w:val="28"/>
        </w:rPr>
        <w:t>日</w:t>
      </w:r>
      <w:r>
        <w:rPr>
          <w:rFonts w:hint="eastAsia" w:ascii="仿宋" w:hAnsi="仿宋" w:eastAsia="仿宋" w:cs="仿宋"/>
          <w:color w:val="auto"/>
          <w:sz w:val="28"/>
          <w:szCs w:val="28"/>
          <w:lang w:val="en-US" w:eastAsia="zh-CN"/>
        </w:rPr>
        <w:t>00</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00</w:t>
      </w:r>
      <w:r>
        <w:rPr>
          <w:rFonts w:hint="eastAsia" w:ascii="仿宋" w:hAnsi="仿宋" w:eastAsia="仿宋" w:cs="仿宋"/>
          <w:color w:val="auto"/>
          <w:sz w:val="28"/>
          <w:szCs w:val="28"/>
        </w:rPr>
        <w:t>截至</w:t>
      </w:r>
      <w:r>
        <w:rPr>
          <w:rFonts w:hint="eastAsia" w:ascii="仿宋" w:hAnsi="仿宋" w:eastAsia="仿宋" w:cs="仿宋"/>
          <w:color w:val="auto"/>
          <w:sz w:val="28"/>
          <w:szCs w:val="28"/>
          <w:lang w:val="en-US" w:eastAsia="zh-CN"/>
        </w:rPr>
        <w:t>2024</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11</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23</w:t>
      </w:r>
      <w:r>
        <w:rPr>
          <w:rFonts w:hint="eastAsia" w:ascii="仿宋" w:hAnsi="仿宋" w:eastAsia="仿宋" w:cs="仿宋"/>
          <w:color w:val="auto"/>
          <w:sz w:val="28"/>
          <w:szCs w:val="28"/>
        </w:rPr>
        <w:t>日</w:t>
      </w:r>
      <w:r>
        <w:rPr>
          <w:rFonts w:hint="eastAsia" w:ascii="仿宋" w:hAnsi="仿宋" w:eastAsia="仿宋" w:cs="仿宋"/>
          <w:color w:val="auto"/>
          <w:sz w:val="28"/>
          <w:szCs w:val="28"/>
          <w:lang w:val="en-US" w:eastAsia="zh-CN"/>
        </w:rPr>
        <w:t>00</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00</w:t>
      </w:r>
      <w:r>
        <w:rPr>
          <w:rFonts w:hint="eastAsia" w:ascii="仿宋" w:hAnsi="仿宋" w:eastAsia="仿宋" w:cs="仿宋"/>
          <w:sz w:val="28"/>
          <w:szCs w:val="28"/>
        </w:rPr>
        <w:t>，欢迎参与。</w:t>
      </w:r>
    </w:p>
    <w:p>
      <w:pPr>
        <w:pStyle w:val="12"/>
        <w:numPr>
          <w:ilvl w:val="0"/>
          <w:numId w:val="1"/>
        </w:numPr>
        <w:spacing w:line="360" w:lineRule="auto"/>
        <w:ind w:firstLineChars="0"/>
        <w:rPr>
          <w:rFonts w:hint="eastAsia" w:ascii="仿宋" w:hAnsi="仿宋" w:eastAsia="仿宋" w:cs="仿宋"/>
          <w:b/>
          <w:sz w:val="28"/>
          <w:szCs w:val="28"/>
        </w:rPr>
      </w:pPr>
      <w:r>
        <w:rPr>
          <w:rFonts w:hint="eastAsia" w:ascii="仿宋" w:hAnsi="仿宋" w:eastAsia="仿宋" w:cs="仿宋"/>
          <w:b/>
          <w:sz w:val="28"/>
          <w:szCs w:val="28"/>
        </w:rPr>
        <w:t>项目需求</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选定</w:t>
      </w:r>
      <w:r>
        <w:rPr>
          <w:rFonts w:hint="eastAsia" w:ascii="仿宋" w:hAnsi="仿宋" w:eastAsia="仿宋" w:cs="仿宋"/>
          <w:sz w:val="28"/>
          <w:szCs w:val="28"/>
          <w:lang w:val="en-US" w:eastAsia="zh-CN"/>
        </w:rPr>
        <w:t>1</w:t>
      </w:r>
      <w:r>
        <w:rPr>
          <w:rFonts w:hint="eastAsia" w:ascii="仿宋" w:hAnsi="仿宋" w:eastAsia="仿宋" w:cs="仿宋"/>
          <w:sz w:val="28"/>
          <w:szCs w:val="28"/>
        </w:rPr>
        <w:t>家供应商提供周期为</w:t>
      </w:r>
      <w:r>
        <w:rPr>
          <w:rFonts w:hint="eastAsia" w:ascii="仿宋" w:hAnsi="仿宋" w:eastAsia="仿宋" w:cs="仿宋"/>
          <w:sz w:val="28"/>
          <w:szCs w:val="28"/>
          <w:lang w:val="en-US" w:eastAsia="zh-CN"/>
        </w:rPr>
        <w:t>20天</w:t>
      </w:r>
      <w:r>
        <w:rPr>
          <w:rFonts w:hint="eastAsia" w:ascii="仿宋" w:hAnsi="仿宋" w:eastAsia="仿宋" w:cs="仿宋"/>
          <w:sz w:val="28"/>
          <w:szCs w:val="28"/>
        </w:rPr>
        <w:t>的</w:t>
      </w:r>
      <w:r>
        <w:rPr>
          <w:rFonts w:hint="eastAsia" w:ascii="仿宋" w:hAnsi="仿宋" w:eastAsia="仿宋" w:cs="仿宋"/>
          <w:sz w:val="28"/>
          <w:szCs w:val="28"/>
          <w:lang w:val="en-US" w:eastAsia="zh-CN"/>
        </w:rPr>
        <w:t>消防改造工程服务</w:t>
      </w:r>
      <w:r>
        <w:rPr>
          <w:rFonts w:hint="eastAsia" w:ascii="仿宋" w:hAnsi="仿宋" w:eastAsia="仿宋" w:cs="仿宋"/>
          <w:sz w:val="28"/>
          <w:szCs w:val="28"/>
        </w:rPr>
        <w:t>，合同签署主体为</w:t>
      </w:r>
      <w:r>
        <w:rPr>
          <w:rFonts w:hint="eastAsia" w:ascii="仿宋" w:hAnsi="仿宋" w:eastAsia="仿宋" w:cs="仿宋"/>
          <w:sz w:val="28"/>
          <w:szCs w:val="28"/>
          <w:lang w:val="en-US" w:eastAsia="zh-CN"/>
        </w:rPr>
        <w:t>茂名市</w:t>
      </w:r>
      <w:r>
        <w:rPr>
          <w:rFonts w:hint="eastAsia" w:ascii="仿宋" w:hAnsi="仿宋" w:eastAsia="仿宋" w:cs="仿宋"/>
          <w:sz w:val="28"/>
          <w:szCs w:val="28"/>
        </w:rPr>
        <w:t>分公司，相关要求具体如下：</w:t>
      </w:r>
    </w:p>
    <w:p>
      <w:pPr>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一</w:t>
      </w:r>
      <w:r>
        <w:rPr>
          <w:rFonts w:hint="eastAsia" w:ascii="仿宋" w:hAnsi="仿宋" w:eastAsia="仿宋" w:cs="仿宋"/>
          <w:sz w:val="28"/>
          <w:szCs w:val="28"/>
          <w:lang w:eastAsia="zh-CN"/>
        </w:rPr>
        <w:t>）</w:t>
      </w:r>
      <w:r>
        <w:rPr>
          <w:rFonts w:hint="eastAsia" w:ascii="仿宋" w:hAnsi="仿宋" w:eastAsia="仿宋" w:cs="仿宋"/>
          <w:sz w:val="28"/>
          <w:szCs w:val="28"/>
        </w:rPr>
        <w:t>施工范围</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1、大楼消防报警系统局部安装及设备线路等故障修复。</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2、大楼局部消防栓及气压罐，阀门等的更换与修复。</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3、大楼南面消防栓管道部分更换及维修。</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4、大楼西面消防地下预埋破裂管道更换。</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5、项目中产生的旧件废件，除固定资产外，乙方负责清理。 </w:t>
      </w:r>
      <w:r>
        <w:rPr>
          <w:rFonts w:hint="eastAsia" w:ascii="仿宋" w:hAnsi="仿宋" w:eastAsia="仿宋" w:cs="仿宋"/>
          <w:color w:val="auto"/>
          <w:sz w:val="28"/>
          <w:szCs w:val="2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（二）工期及关键施工节点计划要求</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本次茂名市分公司本部大楼消防改造项目工期预计需要20天（无连续降雨天气）。</w:t>
      </w:r>
    </w:p>
    <w:p>
      <w:pPr>
        <w:spacing w:line="6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三</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竞争性磋商</w:t>
      </w:r>
      <w:r>
        <w:rPr>
          <w:rFonts w:hint="eastAsia" w:ascii="仿宋" w:hAnsi="仿宋" w:eastAsia="仿宋" w:cs="仿宋"/>
          <w:sz w:val="28"/>
          <w:szCs w:val="28"/>
        </w:rPr>
        <w:t>控制价</w:t>
      </w:r>
      <w:r>
        <w:rPr>
          <w:rFonts w:hint="eastAsia" w:ascii="仿宋" w:hAnsi="仿宋" w:eastAsia="仿宋" w:cs="仿宋"/>
          <w:sz w:val="28"/>
          <w:szCs w:val="28"/>
          <w:lang w:val="en-US" w:eastAsia="zh-CN"/>
        </w:rPr>
        <w:t>格</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18</w:t>
      </w:r>
      <w:r>
        <w:rPr>
          <w:rFonts w:hint="eastAsia" w:ascii="仿宋" w:hAnsi="仿宋" w:eastAsia="仿宋" w:cs="仿宋"/>
          <w:sz w:val="28"/>
          <w:szCs w:val="28"/>
          <w:u w:val="single"/>
        </w:rPr>
        <w:t xml:space="preserve">  </w:t>
      </w:r>
      <w:r>
        <w:rPr>
          <w:rFonts w:hint="eastAsia" w:ascii="仿宋" w:hAnsi="仿宋" w:eastAsia="仿宋" w:cs="仿宋"/>
          <w:sz w:val="28"/>
          <w:szCs w:val="28"/>
        </w:rPr>
        <w:t>万元</w:t>
      </w:r>
      <w:r>
        <w:rPr>
          <w:rFonts w:hint="eastAsia" w:ascii="仿宋" w:hAnsi="仿宋" w:eastAsia="仿宋" w:cs="仿宋"/>
          <w:sz w:val="28"/>
          <w:szCs w:val="28"/>
          <w:lang w:eastAsia="zh-CN"/>
        </w:rPr>
        <w:t>。</w:t>
      </w:r>
    </w:p>
    <w:p>
      <w:pPr>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四</w:t>
      </w:r>
      <w:r>
        <w:rPr>
          <w:rFonts w:hint="eastAsia" w:ascii="仿宋" w:hAnsi="仿宋" w:eastAsia="仿宋" w:cs="仿宋"/>
          <w:sz w:val="28"/>
          <w:szCs w:val="28"/>
          <w:lang w:eastAsia="zh-CN"/>
        </w:rPr>
        <w:t>）</w:t>
      </w:r>
      <w:r>
        <w:rPr>
          <w:rFonts w:hint="eastAsia" w:ascii="仿宋" w:hAnsi="仿宋" w:eastAsia="仿宋" w:cs="仿宋"/>
          <w:sz w:val="28"/>
          <w:szCs w:val="28"/>
        </w:rPr>
        <w:t>合同价款形式和付款安排</w:t>
      </w:r>
    </w:p>
    <w:p>
      <w:pPr>
        <w:spacing w:line="6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甲方分</w:t>
      </w:r>
      <w:r>
        <w:rPr>
          <w:rFonts w:hint="eastAsia" w:ascii="仿宋" w:hAnsi="仿宋" w:eastAsia="仿宋" w:cs="仿宋"/>
          <w:color w:val="auto"/>
          <w:sz w:val="28"/>
          <w:szCs w:val="28"/>
          <w:lang w:val="en-US" w:eastAsia="zh-CN"/>
        </w:rPr>
        <w:t>三</w:t>
      </w:r>
      <w:r>
        <w:rPr>
          <w:rFonts w:hint="eastAsia" w:ascii="仿宋" w:hAnsi="仿宋" w:eastAsia="仿宋" w:cs="仿宋"/>
          <w:color w:val="auto"/>
          <w:sz w:val="28"/>
          <w:szCs w:val="28"/>
        </w:rPr>
        <w:t>次向乙方付款，每次付款前乙方须向甲方出具付款通知书，并出具合法有效的增值税专用发票:</w:t>
      </w:r>
    </w:p>
    <w:p>
      <w:pPr>
        <w:spacing w:line="6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（1）本合同生效后，在甲方收到乙方的付款通知及增值税专用发票后10个工作日内，甲方支付乙方合同服务费用总额的25%；</w:t>
      </w:r>
    </w:p>
    <w:p>
      <w:pPr>
        <w:spacing w:line="6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（2）项目各阶段全部实施完毕后，甲方对项目整体服务水平和服务质量进行验收，在收到专业的第三方检测公司出具的结果为</w:t>
      </w:r>
      <w:r>
        <w:rPr>
          <w:rFonts w:hint="eastAsia" w:ascii="仿宋" w:hAnsi="仿宋" w:eastAsia="仿宋" w:cs="仿宋"/>
          <w:color w:val="auto"/>
          <w:sz w:val="28"/>
          <w:szCs w:val="28"/>
          <w:lang w:val="en-US" w:eastAsia="zh-CN"/>
        </w:rPr>
        <w:t>符合使用要求</w:t>
      </w:r>
      <w:r>
        <w:rPr>
          <w:rFonts w:hint="eastAsia" w:ascii="仿宋" w:hAnsi="仿宋" w:eastAsia="仿宋" w:cs="仿宋"/>
          <w:color w:val="auto"/>
          <w:sz w:val="28"/>
          <w:szCs w:val="28"/>
        </w:rPr>
        <w:t>的</w:t>
      </w:r>
      <w:r>
        <w:rPr>
          <w:rFonts w:hint="eastAsia" w:ascii="仿宋" w:hAnsi="仿宋" w:eastAsia="仿宋" w:cs="仿宋"/>
          <w:color w:val="auto"/>
          <w:sz w:val="28"/>
          <w:szCs w:val="28"/>
          <w:lang w:val="en-US" w:eastAsia="zh-CN"/>
        </w:rPr>
        <w:t>项目检测</w:t>
      </w:r>
      <w:r>
        <w:rPr>
          <w:rFonts w:hint="eastAsia" w:ascii="仿宋" w:hAnsi="仿宋" w:eastAsia="仿宋" w:cs="仿宋"/>
          <w:color w:val="auto"/>
          <w:sz w:val="28"/>
          <w:szCs w:val="28"/>
        </w:rPr>
        <w:t>报告后，且收到乙方的付款通知及增值税专用发票后10个工作日内，甲方支付乙方合同服务费用总额的72%；</w:t>
      </w:r>
    </w:p>
    <w:p>
      <w:pPr>
        <w:spacing w:line="6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（3）质量保证金支付：双方将合同服务费用总额的3%作为质量保证金，在服务验收合格且年保修期限届满后，甲方在收到乙方相应金额的增值税专用发票后10个工作日内付清。</w:t>
      </w:r>
    </w:p>
    <w:p>
      <w:pPr>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五</w:t>
      </w:r>
      <w:r>
        <w:rPr>
          <w:rFonts w:hint="eastAsia" w:ascii="仿宋" w:hAnsi="仿宋" w:eastAsia="仿宋" w:cs="仿宋"/>
          <w:sz w:val="28"/>
          <w:szCs w:val="28"/>
          <w:lang w:eastAsia="zh-CN"/>
        </w:rPr>
        <w:t>）</w:t>
      </w:r>
      <w:r>
        <w:rPr>
          <w:rFonts w:hint="eastAsia" w:ascii="仿宋" w:hAnsi="仿宋" w:eastAsia="仿宋" w:cs="仿宋"/>
          <w:sz w:val="28"/>
          <w:szCs w:val="28"/>
        </w:rPr>
        <w:t>工程量清单和投标报价要求</w:t>
      </w:r>
    </w:p>
    <w:tbl>
      <w:tblPr>
        <w:tblStyle w:val="7"/>
        <w:tblW w:w="79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5"/>
        <w:gridCol w:w="2157"/>
        <w:gridCol w:w="1366"/>
        <w:gridCol w:w="903"/>
        <w:gridCol w:w="814"/>
        <w:gridCol w:w="1963"/>
      </w:tblGrid>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序号</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项目名称</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项目特征描述</w:t>
            </w:r>
          </w:p>
        </w:tc>
        <w:tc>
          <w:tcPr>
            <w:tcW w:w="9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计量单位</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工程量</w:t>
            </w:r>
          </w:p>
        </w:tc>
        <w:tc>
          <w:tcPr>
            <w:tcW w:w="1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备注</w:t>
            </w:r>
          </w:p>
        </w:tc>
      </w:tr>
      <w:tr>
        <w:trPr>
          <w:trHeight w:val="336" w:hRule="atLeast"/>
          <w:jc w:val="center"/>
        </w:trPr>
        <w:tc>
          <w:tcPr>
            <w:tcW w:w="7998"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消防报警部分</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一</w:t>
            </w:r>
          </w:p>
        </w:tc>
        <w:tc>
          <w:tcPr>
            <w:tcW w:w="7187"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10F</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KBG20镀锌线管/金属软管</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线路敷设专用管</w:t>
            </w: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米</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KBG20镀锌直通</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KBG20镀锌杯梳</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75*40底合</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20管钉</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螺丝，黄蜡管，胶布等辅材</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ZR2*1.5双绞线</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信号总线</w:t>
            </w: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米</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ZR2*1.5双绞线</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广播总线</w:t>
            </w: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米</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ZR1.5平方多支线</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警铃线</w:t>
            </w: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米</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点型感烟探测器</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警铃/声光</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明装敷设</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手动报警按钮</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明装敷设</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消防广播喇叭</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明装敷设</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消防栓按钮</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明装敷设</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安装人工</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二</w:t>
            </w:r>
          </w:p>
        </w:tc>
        <w:tc>
          <w:tcPr>
            <w:tcW w:w="7187"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2F</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KBG20镀锌线管/金属软管</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线路敷设专用管</w:t>
            </w: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米</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KBG20镀锌直通</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KBG20镀锌杯梳</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75*40底合</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20管钉</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螺丝，黄蜡管，胶布等辅材</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ZR2*1.5双绞线</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信号总线</w:t>
            </w: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米</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ZR2*1.5双绞线</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广播总线</w:t>
            </w: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米</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ZR1.5平方多支线</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警铃线</w:t>
            </w: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米</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点型感烟探测器</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警铃</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手动报警按钮</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消防广播喇叭</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消防栓按钮</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安装人工费</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仿宋" w:hAnsi="仿宋" w:eastAsia="仿宋" w:cs="仿宋"/>
                <w:i w:val="0"/>
                <w:iCs w:val="0"/>
                <w:color w:val="000000"/>
                <w:sz w:val="20"/>
                <w:szCs w:val="20"/>
                <w:u w:val="none"/>
              </w:rPr>
            </w:pP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仿宋" w:hAnsi="仿宋" w:eastAsia="仿宋" w:cs="仿宋"/>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仿宋" w:hAnsi="仿宋" w:eastAsia="仿宋" w:cs="仿宋"/>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三</w:t>
            </w:r>
          </w:p>
        </w:tc>
        <w:tc>
          <w:tcPr>
            <w:tcW w:w="7187"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1f</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主机电源</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设备终端</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设备调试费</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回路线路故障排查</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1回路</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仿宋" w:hAnsi="仿宋" w:eastAsia="仿宋" w:cs="仿宋"/>
                <w:i w:val="0"/>
                <w:iCs w:val="0"/>
                <w:color w:val="000000"/>
                <w:sz w:val="20"/>
                <w:szCs w:val="20"/>
                <w:u w:val="none"/>
              </w:rPr>
            </w:pP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仿宋" w:hAnsi="仿宋" w:eastAsia="仿宋" w:cs="仿宋"/>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仿宋" w:hAnsi="仿宋" w:eastAsia="仿宋" w:cs="仿宋"/>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四</w:t>
            </w:r>
          </w:p>
        </w:tc>
        <w:tc>
          <w:tcPr>
            <w:tcW w:w="7187"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其他措施</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天花开孔（维修口）</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40*40预计</w:t>
            </w: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按需开孔</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其他措施</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7998"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消防水部分</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消防泵房</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仿宋" w:hAnsi="仿宋" w:eastAsia="仿宋" w:cs="仿宋"/>
                <w:i w:val="0"/>
                <w:iCs w:val="0"/>
                <w:color w:val="000000"/>
                <w:sz w:val="20"/>
                <w:szCs w:val="20"/>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仿宋" w:hAnsi="仿宋" w:eastAsia="仿宋" w:cs="仿宋"/>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1</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DN100法兰闸阀</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2</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拆除，安装人工费</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3</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DN50法兰闸阀</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4</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拆除，安装人工费</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5</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电节点压力开关</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6</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拆除，安装人工费</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7</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DN100法兰消声止回阀</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8</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拆除，安装人工费</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9</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DN50法兰消声止回阀</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10</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拆除，安装人工费</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11</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气压罐</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12</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拆除，安装人工费</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13</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水位显示计</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套</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14</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安装人工费</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15</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消防水泵维修</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台</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二</w:t>
            </w:r>
          </w:p>
        </w:tc>
        <w:tc>
          <w:tcPr>
            <w:tcW w:w="7187"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1F及南面立管</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DN100水泵接合器</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拆除安装人工费</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 w:cs="仿宋"/>
                <w:i w:val="0"/>
                <w:iCs w:val="0"/>
                <w:color w:val="000000"/>
                <w:sz w:val="20"/>
                <w:szCs w:val="20"/>
                <w:u w:val="none"/>
              </w:rPr>
            </w:pPr>
          </w:p>
        </w:tc>
      </w:tr>
      <w:tr>
        <w:trPr>
          <w:trHeight w:val="620"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DN65消防栓阀门</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13.12.11.10.9.8.7.6.5楼更换</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拆除安装人工费</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 w:cs="仿宋"/>
                <w:i w:val="0"/>
                <w:iCs w:val="0"/>
                <w:color w:val="000000"/>
                <w:sz w:val="20"/>
                <w:szCs w:val="20"/>
                <w:u w:val="none"/>
              </w:rPr>
            </w:pPr>
          </w:p>
        </w:tc>
      </w:tr>
      <w:tr>
        <w:trPr>
          <w:trHeight w:val="620"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DN100镀锌钢管</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米</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97</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明装敷设含损耗</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DN100闸阀</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明装敷设</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DN100弯头</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明装敷设</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DN100卡窟</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明装敷设</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DN100三通</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明装敷设</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5*5角铁</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条</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明装敷设</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DN65镀锌钢管</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米</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明装敷设</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水性大红油漆</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KG</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DN100/65机三通</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明装敷设</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95*65消防栓箱</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明装敷设</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20米卷盘</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套</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明装敷设</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南面出口地面步梯人工开凿</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回填</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 w:cs="仿宋"/>
                <w:i w:val="0"/>
                <w:iCs w:val="0"/>
                <w:color w:val="000000"/>
                <w:sz w:val="20"/>
                <w:szCs w:val="20"/>
                <w:u w:val="none"/>
              </w:rPr>
            </w:pPr>
          </w:p>
        </w:tc>
      </w:tr>
      <w:tr>
        <w:trPr>
          <w:trHeight w:val="920"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地板，步梯修复</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含材料人工，恢复可能有色差</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地面人工开凿</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 w:cs="仿宋"/>
                <w:i w:val="0"/>
                <w:iCs w:val="0"/>
                <w:color w:val="000000"/>
                <w:sz w:val="20"/>
                <w:szCs w:val="20"/>
                <w:u w:val="none"/>
              </w:rPr>
            </w:pPr>
          </w:p>
        </w:tc>
      </w:tr>
      <w:tr>
        <w:trPr>
          <w:trHeight w:val="352"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人工混凝土开凿与修复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b/>
                <w:bCs/>
                <w:i w:val="0"/>
                <w:iCs w:val="0"/>
                <w:color w:val="000000"/>
                <w:sz w:val="24"/>
                <w:szCs w:val="24"/>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21</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北面出口人工地面开凿</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b/>
                <w:bCs/>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 w:cs="仿宋"/>
                <w:i w:val="0"/>
                <w:iCs w:val="0"/>
                <w:color w:val="000000"/>
                <w:sz w:val="20"/>
                <w:szCs w:val="20"/>
                <w:u w:val="none"/>
              </w:rPr>
            </w:pPr>
          </w:p>
        </w:tc>
      </w:tr>
      <w:tr>
        <w:trPr>
          <w:trHeight w:val="920"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回填，地板修复</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原600*600地砖，恢复可能有色差</w:t>
            </w: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23</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DN65消防栓头</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明装敷设</w:t>
            </w:r>
          </w:p>
        </w:tc>
      </w:tr>
      <w:tr>
        <w:trPr>
          <w:trHeight w:val="352"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人工混凝土开凿与修复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4"/>
                <w:szCs w:val="24"/>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 w:cs="仿宋"/>
                <w:i w:val="0"/>
                <w:iCs w:val="0"/>
                <w:color w:val="000000"/>
                <w:sz w:val="20"/>
                <w:szCs w:val="20"/>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管道安装人工</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 w:cs="仿宋"/>
                <w:i w:val="0"/>
                <w:iCs w:val="0"/>
                <w:color w:val="000000"/>
                <w:sz w:val="20"/>
                <w:szCs w:val="20"/>
                <w:u w:val="none"/>
              </w:rPr>
            </w:pPr>
          </w:p>
        </w:tc>
      </w:tr>
      <w:tr>
        <w:trPr>
          <w:trHeight w:val="352"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其它措施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4"/>
                <w:szCs w:val="24"/>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仿宋" w:hAnsi="仿宋" w:eastAsia="仿宋" w:cs="仿宋"/>
                <w:i w:val="0"/>
                <w:iCs w:val="0"/>
                <w:color w:val="000000"/>
                <w:sz w:val="24"/>
                <w:szCs w:val="24"/>
                <w:u w:val="none"/>
              </w:rPr>
            </w:pPr>
          </w:p>
        </w:tc>
      </w:tr>
      <w:tr>
        <w:trPr>
          <w:trHeight w:val="336" w:hRule="atLeast"/>
          <w:jc w:val="center"/>
        </w:trPr>
        <w:tc>
          <w:tcPr>
            <w:tcW w:w="8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w:t>
            </w:r>
          </w:p>
        </w:tc>
        <w:tc>
          <w:tcPr>
            <w:tcW w:w="22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系统调试</w:t>
            </w:r>
          </w:p>
        </w:tc>
        <w:tc>
          <w:tcPr>
            <w:tcW w:w="139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仿宋" w:hAnsi="仿宋" w:eastAsia="仿宋" w:cs="仿宋"/>
                <w:i w:val="0"/>
                <w:iCs w:val="0"/>
                <w:color w:val="000000"/>
                <w:sz w:val="20"/>
                <w:szCs w:val="20"/>
                <w:u w:val="none"/>
              </w:rPr>
            </w:pPr>
          </w:p>
        </w:tc>
        <w:tc>
          <w:tcPr>
            <w:tcW w:w="9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 w:cs="仿宋"/>
                <w:i w:val="0"/>
                <w:iCs w:val="0"/>
                <w:color w:val="000000"/>
                <w:sz w:val="20"/>
                <w:szCs w:val="20"/>
                <w:u w:val="none"/>
              </w:rPr>
            </w:pPr>
          </w:p>
        </w:tc>
      </w:tr>
    </w:tbl>
    <w:p>
      <w:pPr>
        <w:spacing w:line="6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编制依据：</w:t>
      </w:r>
    </w:p>
    <w:p>
      <w:pPr>
        <w:spacing w:line="6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 1、 按《建设工程工程量计价规范》（GB50500-2013）、《房屋建筑与装饰工程工程量计算规范》（GB50854-2</w:t>
      </w:r>
    </w:p>
    <w:p>
      <w:pPr>
        <w:spacing w:line="6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013）、《通用安装工程工程量计算规范》（GB50856-2013）、 《市政工程工程量计算规范》（GB50857-2013）等 。</w:t>
      </w:r>
    </w:p>
    <w:p>
      <w:pPr>
        <w:spacing w:line="6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 2、2018年广东省建筑、安装工程的综合定额等有关计价文件规定。 3、广东省住房和城乡建设厅关于营业税改征增值税后调整广东省建设工程计价依据的通知（粤建市函[2016]1113号）。</w:t>
      </w:r>
    </w:p>
    <w:p>
      <w:pPr>
        <w:spacing w:line="6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 4、广东省住房和城乡建设厅关于调整广东省建设工程计价依据增值税税率的通知（粤建市函[2018]898号）。</w:t>
      </w:r>
    </w:p>
    <w:p>
      <w:pPr>
        <w:spacing w:line="6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 5、2017年12月28日茂名市住房和城乡建设局颁布《关于限期禁止施工现场搅拌砂浆的通知》。</w:t>
      </w:r>
    </w:p>
    <w:p>
      <w:pPr>
        <w:spacing w:line="6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 6、2024年8月份《茂名工程造价信息》。主材价格在信息价没有的参照湛江市、云浮市、佛山市、珠海市等省内城市信息价，信息价没有按市场价格计取。</w:t>
      </w:r>
    </w:p>
    <w:p>
      <w:pPr>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六</w:t>
      </w:r>
      <w:r>
        <w:rPr>
          <w:rFonts w:hint="eastAsia" w:ascii="仿宋" w:hAnsi="仿宋" w:eastAsia="仿宋" w:cs="仿宋"/>
          <w:sz w:val="28"/>
          <w:szCs w:val="28"/>
          <w:lang w:eastAsia="zh-CN"/>
        </w:rPr>
        <w:t>）</w:t>
      </w:r>
      <w:r>
        <w:rPr>
          <w:rFonts w:hint="eastAsia" w:ascii="仿宋" w:hAnsi="仿宋" w:eastAsia="仿宋" w:cs="仿宋"/>
          <w:sz w:val="28"/>
          <w:szCs w:val="28"/>
        </w:rPr>
        <w:t>工程技术标准和要求</w:t>
      </w:r>
    </w:p>
    <w:p>
      <w:pPr>
        <w:spacing w:line="6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本次项目工程需符合以下技术标准：</w:t>
      </w:r>
    </w:p>
    <w:p>
      <w:pPr>
        <w:numPr>
          <w:ilvl w:val="0"/>
          <w:numId w:val="2"/>
        </w:numPr>
        <w:spacing w:line="6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国家标准《建筑防火通用规范》；</w:t>
      </w:r>
    </w:p>
    <w:p>
      <w:pPr>
        <w:numPr>
          <w:ilvl w:val="0"/>
          <w:numId w:val="2"/>
        </w:numPr>
        <w:spacing w:line="6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国家标准</w:t>
      </w:r>
      <w:r>
        <w:rPr>
          <w:rFonts w:hint="eastAsia" w:ascii="仿宋" w:hAnsi="仿宋" w:eastAsia="仿宋" w:cs="仿宋"/>
          <w:color w:val="auto"/>
          <w:sz w:val="28"/>
          <w:szCs w:val="28"/>
          <w:highlight w:val="none"/>
        </w:rPr>
        <w:t>《消防设施通用规范》（GB 55036-2023）</w:t>
      </w:r>
      <w:r>
        <w:rPr>
          <w:rFonts w:hint="eastAsia" w:ascii="仿宋" w:hAnsi="仿宋" w:eastAsia="仿宋" w:cs="仿宋"/>
          <w:color w:val="auto"/>
          <w:sz w:val="28"/>
          <w:szCs w:val="28"/>
          <w:highlight w:val="none"/>
          <w:lang w:eastAsia="zh-CN"/>
        </w:rPr>
        <w:t>；</w:t>
      </w:r>
    </w:p>
    <w:p>
      <w:pPr>
        <w:numPr>
          <w:ilvl w:val="0"/>
          <w:numId w:val="2"/>
        </w:numPr>
        <w:spacing w:line="6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国家标准《消防设施通用规范》（GB 55036-2023）</w:t>
      </w:r>
      <w:r>
        <w:rPr>
          <w:rFonts w:hint="eastAsia" w:ascii="仿宋" w:hAnsi="仿宋" w:eastAsia="仿宋" w:cs="仿宋"/>
          <w:color w:val="auto"/>
          <w:sz w:val="28"/>
          <w:szCs w:val="28"/>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这些规范和标准为消防改造工程提供了详细的技术要求和操作指导，确保工程的消防安全性和合规性。在进行消防改造工程时，应严格遵守上述规范和标准，确保工程质量和安全性。</w:t>
      </w:r>
    </w:p>
    <w:p>
      <w:pPr>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七</w:t>
      </w:r>
      <w:r>
        <w:rPr>
          <w:rFonts w:hint="eastAsia" w:ascii="仿宋" w:hAnsi="仿宋" w:eastAsia="仿宋" w:cs="仿宋"/>
          <w:sz w:val="28"/>
          <w:szCs w:val="28"/>
          <w:lang w:eastAsia="zh-CN"/>
        </w:rPr>
        <w:t>）</w:t>
      </w:r>
      <w:r>
        <w:rPr>
          <w:rFonts w:hint="eastAsia" w:ascii="仿宋" w:hAnsi="仿宋" w:eastAsia="仿宋" w:cs="仿宋"/>
          <w:sz w:val="28"/>
          <w:szCs w:val="28"/>
        </w:rPr>
        <w:t>主要材料及设备清单</w:t>
      </w:r>
    </w:p>
    <w:tbl>
      <w:tblPr>
        <w:tblStyle w:val="7"/>
        <w:tblW w:w="74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16"/>
        <w:gridCol w:w="2708"/>
        <w:gridCol w:w="1016"/>
        <w:gridCol w:w="2718"/>
      </w:tblGrid>
      <w:tr>
        <w:trPr>
          <w:trHeight w:val="468" w:hRule="atLeast"/>
          <w:jc w:val="center"/>
        </w:trPr>
        <w:tc>
          <w:tcPr>
            <w:tcW w:w="1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27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材料名称</w:t>
            </w:r>
          </w:p>
        </w:tc>
        <w:tc>
          <w:tcPr>
            <w:tcW w:w="1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271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材料名称</w:t>
            </w:r>
          </w:p>
        </w:tc>
      </w:tr>
      <w:tr>
        <w:trPr>
          <w:trHeight w:val="46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7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KBG20镀锌线管/金属软管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2718"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DN100法兰消声止回阀</w:t>
            </w:r>
          </w:p>
        </w:tc>
      </w:tr>
      <w:tr>
        <w:trPr>
          <w:trHeight w:val="46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7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KBG20镀锌直通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DN50法兰消声止回阀</w:t>
            </w:r>
          </w:p>
        </w:tc>
      </w:tr>
      <w:tr>
        <w:trPr>
          <w:trHeight w:val="46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27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KBG20镀锌杯梳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气压罐</w:t>
            </w:r>
          </w:p>
        </w:tc>
      </w:tr>
      <w:tr>
        <w:trPr>
          <w:trHeight w:val="46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27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75*40底合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水位显示计</w:t>
            </w:r>
          </w:p>
        </w:tc>
      </w:tr>
      <w:tr>
        <w:trPr>
          <w:trHeight w:val="46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7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20管钉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消防水泵维修</w:t>
            </w:r>
          </w:p>
        </w:tc>
      </w:tr>
      <w:tr>
        <w:trPr>
          <w:trHeight w:val="46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27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螺丝，黄蜡管，胶布等辅材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DN100水泵接合器</w:t>
            </w:r>
          </w:p>
        </w:tc>
      </w:tr>
      <w:tr>
        <w:trPr>
          <w:trHeight w:val="46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27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ZR2*1.5双绞线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DN65消防栓阀门</w:t>
            </w:r>
          </w:p>
        </w:tc>
      </w:tr>
      <w:tr>
        <w:trPr>
          <w:trHeight w:val="46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27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ZR1.5平方多支线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DN100镀锌钢管</w:t>
            </w:r>
          </w:p>
        </w:tc>
      </w:tr>
      <w:tr>
        <w:trPr>
          <w:trHeight w:val="46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27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点型感烟探测器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DN100闸阀</w:t>
            </w:r>
          </w:p>
        </w:tc>
      </w:tr>
      <w:tr>
        <w:trPr>
          <w:trHeight w:val="46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7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警铃/声光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DN100弯头</w:t>
            </w:r>
          </w:p>
        </w:tc>
      </w:tr>
      <w:tr>
        <w:trPr>
          <w:trHeight w:val="46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2708"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手动报警按钮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DN100卡窟</w:t>
            </w:r>
          </w:p>
        </w:tc>
      </w:tr>
      <w:tr>
        <w:trPr>
          <w:trHeight w:val="46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2708"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消防广播喇叭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DN100三通</w:t>
            </w:r>
          </w:p>
        </w:tc>
      </w:tr>
      <w:tr>
        <w:trPr>
          <w:trHeight w:val="46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2708"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消防栓按钮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5*5角铁</w:t>
            </w:r>
          </w:p>
        </w:tc>
      </w:tr>
      <w:tr>
        <w:trPr>
          <w:trHeight w:val="46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2708"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警铃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DN65镀锌钢管</w:t>
            </w:r>
          </w:p>
        </w:tc>
      </w:tr>
      <w:tr>
        <w:trPr>
          <w:trHeight w:val="46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2708"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主机电源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水性大红油漆</w:t>
            </w:r>
          </w:p>
        </w:tc>
      </w:tr>
      <w:tr>
        <w:trPr>
          <w:trHeight w:val="46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2708"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设备终端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DN100/65机三通</w:t>
            </w:r>
          </w:p>
        </w:tc>
      </w:tr>
      <w:tr>
        <w:trPr>
          <w:trHeight w:val="46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2708"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DN100法兰闸阀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95*65消防栓箱</w:t>
            </w:r>
          </w:p>
        </w:tc>
      </w:tr>
      <w:tr>
        <w:trPr>
          <w:trHeight w:val="46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2708"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DN50法兰闸阀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20米卷盘</w:t>
            </w:r>
          </w:p>
        </w:tc>
      </w:tr>
      <w:tr>
        <w:trPr>
          <w:trHeight w:val="47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w:t>
            </w:r>
          </w:p>
        </w:tc>
        <w:tc>
          <w:tcPr>
            <w:tcW w:w="27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电节点压力开关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DN65消防栓头</w:t>
            </w:r>
          </w:p>
        </w:tc>
      </w:tr>
    </w:tbl>
    <w:p>
      <w:pPr>
        <w:spacing w:line="600" w:lineRule="exact"/>
        <w:rPr>
          <w:rFonts w:hint="eastAsia" w:ascii="仿宋" w:hAnsi="仿宋" w:eastAsia="仿宋" w:cs="仿宋"/>
          <w:sz w:val="28"/>
          <w:szCs w:val="24"/>
          <w:lang w:eastAsia="zh-CN"/>
        </w:rPr>
      </w:pPr>
    </w:p>
    <w:p>
      <w:pPr>
        <w:pStyle w:val="12"/>
        <w:numPr>
          <w:ilvl w:val="0"/>
          <w:numId w:val="1"/>
        </w:numPr>
        <w:spacing w:line="360" w:lineRule="auto"/>
        <w:ind w:firstLineChars="0"/>
        <w:rPr>
          <w:rFonts w:hint="eastAsia" w:ascii="仿宋" w:hAnsi="仿宋" w:eastAsia="仿宋" w:cs="仿宋"/>
          <w:b/>
          <w:bCs w:val="0"/>
          <w:sz w:val="28"/>
          <w:szCs w:val="28"/>
        </w:rPr>
      </w:pPr>
      <w:commentRangeStart w:id="1"/>
      <w:r>
        <w:rPr>
          <w:rFonts w:hint="eastAsia" w:ascii="仿宋" w:hAnsi="仿宋" w:eastAsia="仿宋" w:cs="仿宋"/>
          <w:b/>
          <w:bCs w:val="0"/>
          <w:sz w:val="28"/>
          <w:szCs w:val="28"/>
        </w:rPr>
        <w:t>供应商资质要求</w:t>
      </w:r>
      <w:commentRangeEnd w:id="1"/>
      <w:r>
        <w:rPr>
          <w:rFonts w:hint="eastAsia" w:ascii="仿宋" w:hAnsi="仿宋" w:eastAsia="仿宋" w:cs="仿宋"/>
          <w:b/>
          <w:bCs w:val="0"/>
          <w:sz w:val="28"/>
          <w:szCs w:val="28"/>
        </w:rPr>
        <w:commentReference w:id="1"/>
      </w:r>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（一）具有独立承担民事责任的能力；</w:t>
      </w:r>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（二）具有良好的商业信誉和健全的财务会计制度；</w:t>
      </w:r>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（三）具有履行合同所必需的设备和专业技术能力；</w:t>
      </w:r>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（四）有依法缴纳税收和社会保障资金的良好记录；</w:t>
      </w:r>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（五）经营状况良好，且近三年内无重大违法违规记录；</w:t>
      </w:r>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（六）未被列入公司供应商黑名单或已不在禁入期内。</w:t>
      </w:r>
    </w:p>
    <w:p>
      <w:pPr>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（七）自觉遵守公司关于供应商管理的相关制度规定，诚实、守信、无欺诈行为。</w:t>
      </w:r>
    </w:p>
    <w:p>
      <w:pPr>
        <w:spacing w:line="360" w:lineRule="auto"/>
        <w:ind w:firstLine="560" w:firstLineChars="200"/>
        <w:rPr>
          <w:rFonts w:hint="eastAsia" w:ascii="仿宋" w:hAnsi="仿宋" w:eastAsia="仿宋" w:cs="仿宋"/>
          <w:i/>
          <w:iCs/>
          <w:color w:val="0000FF"/>
          <w:sz w:val="28"/>
          <w:szCs w:val="28"/>
          <w:lang w:val="en-US" w:eastAsia="zh-CN"/>
        </w:rPr>
      </w:pPr>
      <w:r>
        <w:rPr>
          <w:rFonts w:hint="eastAsia" w:ascii="仿宋" w:hAnsi="仿宋" w:eastAsia="仿宋" w:cs="仿宋"/>
          <w:sz w:val="28"/>
          <w:szCs w:val="28"/>
          <w:lang w:eastAsia="zh-CN"/>
        </w:rPr>
        <w:t>（八）需具有消防设施工程专业资质。</w:t>
      </w:r>
    </w:p>
    <w:p>
      <w:pPr>
        <w:pStyle w:val="12"/>
        <w:numPr>
          <w:ilvl w:val="0"/>
          <w:numId w:val="1"/>
        </w:numPr>
        <w:spacing w:line="360" w:lineRule="auto"/>
        <w:ind w:firstLineChars="0"/>
        <w:rPr>
          <w:rFonts w:hint="eastAsia" w:ascii="仿宋" w:hAnsi="仿宋" w:eastAsia="仿宋" w:cs="仿宋"/>
          <w:b/>
          <w:sz w:val="28"/>
          <w:szCs w:val="28"/>
        </w:rPr>
      </w:pPr>
      <w:r>
        <w:rPr>
          <w:rFonts w:hint="eastAsia" w:ascii="仿宋" w:hAnsi="仿宋" w:eastAsia="仿宋" w:cs="仿宋"/>
          <w:b/>
          <w:sz w:val="28"/>
          <w:szCs w:val="28"/>
        </w:rPr>
        <w:t>供应商</w:t>
      </w:r>
      <w:r>
        <w:rPr>
          <w:rFonts w:hint="eastAsia" w:ascii="仿宋" w:hAnsi="仿宋" w:eastAsia="仿宋" w:cs="仿宋"/>
          <w:b/>
          <w:sz w:val="28"/>
          <w:szCs w:val="28"/>
          <w:lang w:eastAsia="zh-CN"/>
        </w:rPr>
        <w:t>报名材料</w:t>
      </w:r>
      <w:r>
        <w:rPr>
          <w:rFonts w:hint="eastAsia" w:ascii="仿宋" w:hAnsi="仿宋" w:eastAsia="仿宋" w:cs="仿宋"/>
          <w:b/>
          <w:sz w:val="28"/>
          <w:szCs w:val="28"/>
        </w:rPr>
        <w:commentReference w:id="2"/>
      </w:r>
    </w:p>
    <w:p>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1.企业营业执照；</w:t>
      </w:r>
    </w:p>
    <w:p>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信用中国”网站（www.creditchina.gov.cn）没有列入失信被执行人、重大税收违法案件当事人名单、政府采购严重违法失信行为记录名单和没有列入中国政府采购网（www.ccgp.gov.cn）政府采购严重违法失信行为记录名单。提供查询截图；</w:t>
      </w:r>
    </w:p>
    <w:p>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3.企业简介；</w:t>
      </w:r>
    </w:p>
    <w:p>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4.供应商资质要求中涉及的佐证材料复印件加盖公章;</w:t>
      </w:r>
    </w:p>
    <w:p>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5.投标联系人姓名、邮箱、联系电话。</w:t>
      </w:r>
    </w:p>
    <w:p>
      <w:pPr>
        <w:pStyle w:val="12"/>
        <w:numPr>
          <w:ilvl w:val="0"/>
          <w:numId w:val="1"/>
        </w:numPr>
        <w:spacing w:line="360" w:lineRule="auto"/>
        <w:ind w:firstLineChars="0"/>
        <w:rPr>
          <w:rFonts w:hint="eastAsia" w:ascii="仿宋" w:hAnsi="仿宋" w:eastAsia="仿宋" w:cs="仿宋"/>
          <w:b/>
          <w:sz w:val="28"/>
          <w:szCs w:val="28"/>
        </w:rPr>
      </w:pPr>
      <w:r>
        <w:rPr>
          <w:rFonts w:hint="eastAsia" w:ascii="仿宋" w:hAnsi="仿宋" w:eastAsia="仿宋" w:cs="仿宋"/>
          <w:b/>
          <w:sz w:val="28"/>
          <w:szCs w:val="28"/>
        </w:rPr>
        <w:t>采购人信息</w:t>
      </w:r>
    </w:p>
    <w:p>
      <w:pPr>
        <w:spacing w:line="360" w:lineRule="auto"/>
        <w:ind w:left="640"/>
        <w:rPr>
          <w:rFonts w:hint="eastAsia" w:ascii="仿宋" w:hAnsi="仿宋" w:eastAsia="仿宋" w:cs="仿宋"/>
          <w:sz w:val="28"/>
          <w:szCs w:val="28"/>
          <w:lang w:val="en-US" w:eastAsia="zh-CN"/>
        </w:rPr>
      </w:pPr>
      <w:r>
        <w:rPr>
          <w:rFonts w:hint="eastAsia" w:ascii="仿宋" w:hAnsi="仿宋" w:eastAsia="仿宋" w:cs="仿宋"/>
          <w:sz w:val="28"/>
          <w:szCs w:val="28"/>
        </w:rPr>
        <w:t>采购人：中国人民财产保险股份有限公司</w:t>
      </w:r>
      <w:r>
        <w:rPr>
          <w:rFonts w:hint="eastAsia" w:ascii="仿宋" w:hAnsi="仿宋" w:eastAsia="仿宋" w:cs="仿宋"/>
          <w:sz w:val="28"/>
          <w:szCs w:val="28"/>
          <w:lang w:val="en-US" w:eastAsia="zh-CN"/>
        </w:rPr>
        <w:t>茂名市分公司</w:t>
      </w:r>
    </w:p>
    <w:p>
      <w:pPr>
        <w:spacing w:line="360" w:lineRule="auto"/>
        <w:ind w:left="640"/>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sz w:val="28"/>
          <w:szCs w:val="28"/>
          <w:lang w:val="en-US" w:eastAsia="zh-CN"/>
        </w:rPr>
        <w:t>茂名市高凉中路22号</w:t>
      </w:r>
      <w:r>
        <w:rPr>
          <w:rFonts w:hint="eastAsia" w:ascii="仿宋" w:hAnsi="仿宋" w:eastAsia="仿宋" w:cs="仿宋"/>
          <w:sz w:val="28"/>
          <w:szCs w:val="28"/>
        </w:rPr>
        <w:t xml:space="preserve"> </w:t>
      </w:r>
    </w:p>
    <w:p>
      <w:pPr>
        <w:spacing w:line="360" w:lineRule="auto"/>
        <w:ind w:left="640"/>
        <w:rPr>
          <w:rFonts w:hint="eastAsia" w:ascii="仿宋" w:hAnsi="仿宋" w:eastAsia="仿宋" w:cs="仿宋"/>
          <w:sz w:val="28"/>
          <w:szCs w:val="28"/>
          <w:lang w:val="en-US"/>
        </w:rPr>
      </w:pPr>
      <w:r>
        <w:rPr>
          <w:rFonts w:hint="eastAsia" w:ascii="仿宋" w:hAnsi="仿宋" w:eastAsia="仿宋" w:cs="仿宋"/>
          <w:sz w:val="28"/>
          <w:szCs w:val="28"/>
        </w:rPr>
        <w:t>邮政编码：</w:t>
      </w:r>
      <w:r>
        <w:rPr>
          <w:rFonts w:hint="eastAsia" w:ascii="仿宋" w:hAnsi="仿宋" w:eastAsia="仿宋" w:cs="仿宋"/>
          <w:sz w:val="28"/>
          <w:szCs w:val="28"/>
          <w:lang w:val="en-US" w:eastAsia="zh-CN"/>
        </w:rPr>
        <w:t>525000</w:t>
      </w:r>
    </w:p>
    <w:p>
      <w:pPr>
        <w:spacing w:line="360" w:lineRule="auto"/>
        <w:ind w:left="640"/>
        <w:rPr>
          <w:rFonts w:hint="default" w:ascii="仿宋" w:hAnsi="仿宋" w:eastAsia="仿宋" w:cs="仿宋"/>
          <w:sz w:val="28"/>
          <w:szCs w:val="28"/>
          <w:lang w:val="en-US" w:eastAsia="zh-CN"/>
        </w:rPr>
      </w:pPr>
      <w:r>
        <w:rPr>
          <w:rFonts w:hint="eastAsia" w:ascii="仿宋" w:hAnsi="仿宋" w:eastAsia="仿宋" w:cs="仿宋"/>
          <w:sz w:val="28"/>
          <w:szCs w:val="28"/>
        </w:rPr>
        <w:t>项目报名联系人：</w:t>
      </w:r>
      <w:r>
        <w:rPr>
          <w:rFonts w:hint="eastAsia" w:ascii="仿宋" w:hAnsi="仿宋" w:eastAsia="仿宋" w:cs="仿宋"/>
          <w:sz w:val="28"/>
          <w:szCs w:val="28"/>
          <w:lang w:val="en-US" w:eastAsia="zh-CN"/>
        </w:rPr>
        <w:t>朱盈盈</w:t>
      </w:r>
    </w:p>
    <w:p>
      <w:pPr>
        <w:spacing w:line="360" w:lineRule="auto"/>
        <w:ind w:left="640"/>
        <w:rPr>
          <w:rFonts w:hint="default" w:ascii="仿宋" w:hAnsi="仿宋" w:eastAsia="仿宋" w:cs="仿宋"/>
          <w:sz w:val="28"/>
          <w:szCs w:val="28"/>
          <w:lang w:val="en-US" w:eastAsia="zh-CN"/>
        </w:rPr>
      </w:pPr>
      <w:r>
        <w:rPr>
          <w:rFonts w:hint="eastAsia" w:ascii="仿宋" w:hAnsi="仿宋" w:eastAsia="仿宋" w:cs="仿宋"/>
          <w:sz w:val="28"/>
          <w:szCs w:val="28"/>
        </w:rPr>
        <w:t>电</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话：</w:t>
      </w:r>
      <w:r>
        <w:rPr>
          <w:rFonts w:hint="eastAsia" w:ascii="仿宋" w:hAnsi="仿宋" w:eastAsia="仿宋" w:cs="仿宋"/>
          <w:sz w:val="28"/>
          <w:szCs w:val="28"/>
          <w:lang w:val="en-US" w:eastAsia="zh-CN"/>
        </w:rPr>
        <w:t>13929700281</w:t>
      </w:r>
    </w:p>
    <w:p>
      <w:pPr>
        <w:spacing w:line="360" w:lineRule="auto"/>
        <w:ind w:left="64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邮 箱：zhuyingying01@guangd.picc.com.cn</w:t>
      </w:r>
    </w:p>
    <w:p>
      <w:pPr>
        <w:pStyle w:val="6"/>
        <w:spacing w:line="36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rPr>
        <w:t>特此公告。</w:t>
      </w:r>
    </w:p>
    <w:p>
      <w:pPr>
        <w:pStyle w:val="6"/>
        <w:spacing w:line="36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rPr>
        <w:t> </w:t>
      </w:r>
    </w:p>
    <w:p>
      <w:pPr>
        <w:pStyle w:val="6"/>
        <w:spacing w:line="360" w:lineRule="auto"/>
        <w:jc w:val="right"/>
        <w:rPr>
          <w:rFonts w:hint="eastAsia" w:ascii="仿宋" w:hAnsi="仿宋" w:eastAsia="仿宋" w:cs="仿宋"/>
          <w:sz w:val="28"/>
          <w:szCs w:val="28"/>
          <w:lang w:val="en-US" w:eastAsia="zh-CN"/>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中国人民财产保险股份有限公司</w:t>
      </w:r>
    </w:p>
    <w:p>
      <w:pPr>
        <w:pStyle w:val="6"/>
        <w:wordWrap w:val="0"/>
        <w:spacing w:line="360" w:lineRule="auto"/>
        <w:jc w:val="righ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茂名市分</w:t>
      </w:r>
      <w:r>
        <w:rPr>
          <w:rFonts w:hint="eastAsia" w:ascii="仿宋" w:hAnsi="仿宋" w:eastAsia="仿宋" w:cs="仿宋"/>
          <w:sz w:val="28"/>
          <w:szCs w:val="28"/>
        </w:rPr>
        <w:t>公司</w:t>
      </w:r>
      <w:r>
        <w:rPr>
          <w:rFonts w:hint="eastAsia" w:ascii="仿宋" w:hAnsi="仿宋" w:eastAsia="仿宋" w:cs="仿宋"/>
          <w:sz w:val="28"/>
          <w:szCs w:val="28"/>
          <w:lang w:val="en-US" w:eastAsia="zh-CN"/>
        </w:rPr>
        <w:t xml:space="preserve">      </w:t>
      </w:r>
    </w:p>
    <w:p>
      <w:pPr>
        <w:pStyle w:val="6"/>
        <w:wordWrap w:val="0"/>
        <w:spacing w:line="360" w:lineRule="auto"/>
        <w:ind w:firstLine="200"/>
        <w:jc w:val="right"/>
        <w:rPr>
          <w:rFonts w:hint="default" w:ascii="仿宋_GB2312" w:eastAsia="仿宋" w:hAnsiTheme="majorEastAsia"/>
          <w:sz w:val="28"/>
          <w:szCs w:val="28"/>
          <w:lang w:val="en-US" w:eastAsia="zh-CN"/>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2024</w:t>
      </w:r>
      <w:r>
        <w:rPr>
          <w:rFonts w:hint="eastAsia" w:ascii="仿宋" w:hAnsi="仿宋" w:eastAsia="仿宋" w:cs="仿宋"/>
          <w:sz w:val="28"/>
          <w:szCs w:val="28"/>
        </w:rPr>
        <w:t>年</w:t>
      </w:r>
      <w:r>
        <w:rPr>
          <w:rFonts w:hint="eastAsia" w:ascii="仿宋" w:hAnsi="仿宋" w:eastAsia="仿宋" w:cs="仿宋"/>
          <w:sz w:val="28"/>
          <w:szCs w:val="28"/>
          <w:lang w:val="en-US" w:eastAsia="zh-CN"/>
        </w:rPr>
        <w:t>11</w:t>
      </w:r>
      <w:r>
        <w:rPr>
          <w:rFonts w:hint="eastAsia" w:ascii="仿宋" w:hAnsi="仿宋" w:eastAsia="仿宋" w:cs="仿宋"/>
          <w:sz w:val="28"/>
          <w:szCs w:val="28"/>
        </w:rPr>
        <w:t>月</w:t>
      </w:r>
      <w:r>
        <w:rPr>
          <w:rFonts w:hint="eastAsia" w:ascii="仿宋" w:hAnsi="仿宋" w:eastAsia="仿宋" w:cs="仿宋"/>
          <w:sz w:val="28"/>
          <w:szCs w:val="28"/>
          <w:lang w:val="en-US" w:eastAsia="zh-CN"/>
        </w:rPr>
        <w:t>19</w:t>
      </w:r>
      <w:r>
        <w:rPr>
          <w:rFonts w:hint="eastAsia" w:ascii="仿宋" w:hAnsi="仿宋" w:eastAsia="仿宋" w:cs="仿宋"/>
          <w:sz w:val="28"/>
          <w:szCs w:val="28"/>
        </w:rPr>
        <w:t>日</w:t>
      </w:r>
      <w:r>
        <w:rPr>
          <w:rFonts w:hint="eastAsia" w:ascii="仿宋" w:hAnsi="仿宋" w:eastAsia="仿宋" w:cs="仿宋"/>
          <w:sz w:val="28"/>
          <w:szCs w:val="28"/>
          <w:lang w:val="en-US" w:eastAsia="zh-CN"/>
        </w:rPr>
        <w:t xml:space="preserve">    </w:t>
      </w:r>
    </w:p>
    <w:p>
      <w:pPr>
        <w:rPr>
          <w:sz w:val="28"/>
          <w:szCs w:val="28"/>
        </w:rPr>
      </w:pP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吴佳宜" w:date="2023-11-30T20:35:34Z" w:initials="吴">
    <w:p w14:paraId="ED734C62">
      <w:pPr>
        <w:pStyle w:val="2"/>
        <w:rPr>
          <w:rFonts w:hint="default" w:eastAsia="宋体"/>
          <w:lang w:val="en-US" w:eastAsia="zh-CN"/>
        </w:rPr>
      </w:pPr>
      <w:r>
        <w:rPr>
          <w:rFonts w:hint="eastAsia"/>
          <w:lang w:eastAsia="zh-CN"/>
        </w:rPr>
        <w:t>竞争性磋商</w:t>
      </w:r>
      <w:r>
        <w:rPr>
          <w:rFonts w:hint="eastAsia"/>
          <w:lang w:val="en-US" w:eastAsia="zh-CN"/>
        </w:rPr>
        <w:t>/谈判/询价采购方式，征集时间不少于3日。</w:t>
      </w:r>
    </w:p>
  </w:comment>
  <w:comment w:id="1" w:author="吴和塞" w:date="2023-01-12T11:29:47Z" w:initials="吴">
    <w:p w14:paraId="DFF733D0">
      <w:pPr>
        <w:pStyle w:val="2"/>
      </w:pPr>
      <w:r>
        <w:rPr>
          <w:rFonts w:hint="eastAsia"/>
          <w:lang w:eastAsia="zh-CN"/>
        </w:rPr>
        <w:t>结合《资格性及符合性检查表》中供应商资格要求填列，与邀请文件“供应商资格条件”部分内容一致。</w:t>
      </w:r>
    </w:p>
  </w:comment>
  <w:comment w:id="2" w:author="吴和塞" w:date="2023-01-12T11:33:11Z" w:initials="吴">
    <w:p w14:paraId="F6FE5749">
      <w:pPr>
        <w:pStyle w:val="2"/>
        <w:rPr>
          <w:i w:val="0"/>
          <w:iCs w:val="0"/>
          <w:color w:val="auto"/>
        </w:rPr>
      </w:pPr>
      <w:r>
        <w:rPr>
          <w:rFonts w:hint="eastAsia" w:ascii="仿宋_GB2312" w:eastAsia="仿宋_GB2312" w:hAnsiTheme="majorEastAsia"/>
          <w:i w:val="0"/>
          <w:iCs w:val="0"/>
          <w:color w:val="auto"/>
          <w:sz w:val="24"/>
          <w:szCs w:val="24"/>
          <w:lang w:val="en-US" w:eastAsia="zh-CN"/>
        </w:rPr>
        <w:t>需求归口部门可结合项目实际要求供应商提供佐证材料，</w:t>
      </w:r>
      <w:r>
        <w:rPr>
          <w:rFonts w:hint="eastAsia" w:ascii="仿宋_GB2312" w:eastAsia="仿宋_GB2312" w:hAnsiTheme="majorEastAsia"/>
          <w:i w:val="0"/>
          <w:iCs w:val="0"/>
          <w:color w:val="FF0000"/>
          <w:sz w:val="24"/>
          <w:szCs w:val="24"/>
          <w:lang w:val="en-US" w:eastAsia="zh-CN"/>
        </w:rPr>
        <w:t>以下材料仅作参考。</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ED734C62" w15:done="0"/>
  <w15:commentEx w15:paraId="DFF733D0" w15:done="0"/>
  <w15:commentEx w15:paraId="F6FE574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华文中宋">
    <w:altName w:val="汉仪书宋二KW"/>
    <w:panose1 w:val="02010600040101010101"/>
    <w:charset w:val="86"/>
    <w:family w:val="auto"/>
    <w:pitch w:val="default"/>
    <w:sig w:usb0="00000000" w:usb1="00000000" w:usb2="00000000" w:usb3="00000000" w:csb0="0004009F" w:csb1="DFD70000"/>
  </w:font>
  <w:font w:name="仿宋_GB2312">
    <w:altName w:val="方正仿宋_GBK"/>
    <w:panose1 w:val="02010609030101010101"/>
    <w:charset w:val="86"/>
    <w:family w:val="modern"/>
    <w:pitch w:val="default"/>
    <w:sig w:usb0="00000000" w:usb1="00000000" w:usb2="00000010" w:usb3="00000000" w:csb0="00040000"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宋体-简">
    <w:panose1 w:val="02010800040101010101"/>
    <w:charset w:val="86"/>
    <w:family w:val="auto"/>
    <w:pitch w:val="default"/>
    <w:sig w:usb0="00000001" w:usb1="080F0000" w:usb2="00000000"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汉仪仿宋KW">
    <w:panose1 w:val="00020600040101010101"/>
    <w:charset w:val="86"/>
    <w:family w:val="auto"/>
    <w:pitch w:val="default"/>
    <w:sig w:usb0="A00002BF" w:usb1="18EF7CFA" w:usb2="00000016" w:usb3="00000000" w:csb0="00040000" w:csb1="00000000"/>
  </w:font>
  <w:font w:name="黑体">
    <w:altName w:val="汉仪中黑KW"/>
    <w:panose1 w:val="00000000000000000000"/>
    <w:charset w:val="00"/>
    <w:family w:val="auto"/>
    <w:pitch w:val="default"/>
    <w:sig w:usb0="00000000" w:usb1="00000000" w:usb2="00000000" w:usb3="00000000" w:csb0="00000000" w:csb1="00000000"/>
  </w:font>
  <w:font w:name="报隶-繁">
    <w:panose1 w:val="02010600040101010101"/>
    <w:charset w:val="86"/>
    <w:family w:val="auto"/>
    <w:pitch w:val="default"/>
    <w:sig w:usb0="80000287" w:usb1="280F3C52" w:usb2="00000016" w:usb3="00000000" w:csb0="0004001F" w:csb1="00000000"/>
  </w:font>
  <w:font w:name="仿宋">
    <w:altName w:val="方正仿宋_GBK"/>
    <w:panose1 w:val="00000000000000000000"/>
    <w:charset w:val="00"/>
    <w:family w:val="auto"/>
    <w:pitch w:val="default"/>
    <w:sig w:usb0="00000000" w:usb1="00000000" w:usb2="00000000" w:usb3="00000000" w:csb0="00000000" w:csb1="00000000"/>
  </w:font>
  <w:font w:name="汉仪楷体KW">
    <w:panose1 w:val="00020600040101010101"/>
    <w:charset w:val="86"/>
    <w:family w:val="auto"/>
    <w:pitch w:val="default"/>
    <w:sig w:usb0="A00002BF" w:usb1="18EF7CFA" w:usb2="00000016" w:usb3="00000000" w:csb0="00040000" w:csb1="00000000"/>
  </w:font>
  <w:font w:name="WPS-Bullets-new">
    <w:panose1 w:val="00000000000000000000"/>
    <w:charset w:val="00"/>
    <w:family w:val="auto"/>
    <w:pitch w:val="default"/>
    <w:sig w:usb0="00000001" w:usb1="10000000" w:usb2="00000000" w:usb3="00000000" w:csb0="00000001" w:csb1="00000000"/>
  </w:font>
  <w:font w:name="Heiti SC Light">
    <w:panose1 w:val="02000000000000000000"/>
    <w:charset w:val="86"/>
    <w:family w:val="auto"/>
    <w:pitch w:val="default"/>
    <w:sig w:usb0="8000002F" w:usb1="0800004A" w:usb2="00000000" w:usb3="00000000" w:csb0="203E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629305"/>
    <w:multiLevelType w:val="singleLevel"/>
    <w:tmpl w:val="FF629305"/>
    <w:lvl w:ilvl="0" w:tentative="0">
      <w:start w:val="1"/>
      <w:numFmt w:val="decimal"/>
      <w:suff w:val="nothing"/>
      <w:lvlText w:val="%1、"/>
      <w:lvlJc w:val="left"/>
    </w:lvl>
  </w:abstractNum>
  <w:abstractNum w:abstractNumId="1">
    <w:nsid w:val="00FA2BD5"/>
    <w:multiLevelType w:val="multilevel"/>
    <w:tmpl w:val="00FA2BD5"/>
    <w:lvl w:ilvl="0" w:tentative="0">
      <w:start w:val="1"/>
      <w:numFmt w:val="japaneseCounting"/>
      <w:lvlText w:val="%1、"/>
      <w:lvlJc w:val="left"/>
      <w:pPr>
        <w:ind w:left="1360" w:hanging="720"/>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吴佳宜">
    <w15:presenceInfo w15:providerId="None" w15:userId="吴佳宜"/>
  </w15:person>
  <w15:person w15:author="吴和塞">
    <w15:presenceInfo w15:providerId="None" w15:userId="吴和塞"/>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CEB"/>
    <w:rsid w:val="00057A97"/>
    <w:rsid w:val="000B6F34"/>
    <w:rsid w:val="000D05D1"/>
    <w:rsid w:val="00124E4C"/>
    <w:rsid w:val="001A16F7"/>
    <w:rsid w:val="001E729C"/>
    <w:rsid w:val="00246D3E"/>
    <w:rsid w:val="00260183"/>
    <w:rsid w:val="002720B5"/>
    <w:rsid w:val="00354459"/>
    <w:rsid w:val="00364936"/>
    <w:rsid w:val="00383B33"/>
    <w:rsid w:val="003B2E24"/>
    <w:rsid w:val="003F0824"/>
    <w:rsid w:val="00426F4F"/>
    <w:rsid w:val="00453DA2"/>
    <w:rsid w:val="00470CC4"/>
    <w:rsid w:val="004B061B"/>
    <w:rsid w:val="0053173F"/>
    <w:rsid w:val="005D0161"/>
    <w:rsid w:val="005F13A8"/>
    <w:rsid w:val="006063AC"/>
    <w:rsid w:val="00636474"/>
    <w:rsid w:val="00655902"/>
    <w:rsid w:val="00657BE5"/>
    <w:rsid w:val="006E205A"/>
    <w:rsid w:val="00707793"/>
    <w:rsid w:val="007238A5"/>
    <w:rsid w:val="00733533"/>
    <w:rsid w:val="00740F7C"/>
    <w:rsid w:val="007F28D8"/>
    <w:rsid w:val="00914CEB"/>
    <w:rsid w:val="009310FE"/>
    <w:rsid w:val="00972BA4"/>
    <w:rsid w:val="00993239"/>
    <w:rsid w:val="00A510E1"/>
    <w:rsid w:val="00C4154F"/>
    <w:rsid w:val="00C83AAA"/>
    <w:rsid w:val="00CF5C3B"/>
    <w:rsid w:val="00D52BA6"/>
    <w:rsid w:val="00D53092"/>
    <w:rsid w:val="00E875E3"/>
    <w:rsid w:val="00F02912"/>
    <w:rsid w:val="00F30077"/>
    <w:rsid w:val="00F8771A"/>
    <w:rsid w:val="02125282"/>
    <w:rsid w:val="086C7E2B"/>
    <w:rsid w:val="0CE630DC"/>
    <w:rsid w:val="19D63558"/>
    <w:rsid w:val="1BEC0542"/>
    <w:rsid w:val="22E15BCE"/>
    <w:rsid w:val="2AA73585"/>
    <w:rsid w:val="301C26FD"/>
    <w:rsid w:val="312132A7"/>
    <w:rsid w:val="341A770A"/>
    <w:rsid w:val="37E9244A"/>
    <w:rsid w:val="408A2005"/>
    <w:rsid w:val="42150157"/>
    <w:rsid w:val="43677A21"/>
    <w:rsid w:val="4A6022F2"/>
    <w:rsid w:val="55BF6BE9"/>
    <w:rsid w:val="561374FA"/>
    <w:rsid w:val="56CF3AD4"/>
    <w:rsid w:val="63467B6E"/>
    <w:rsid w:val="69627926"/>
    <w:rsid w:val="729707EC"/>
    <w:rsid w:val="72B41A3F"/>
    <w:rsid w:val="74B46F86"/>
    <w:rsid w:val="768A2BC7"/>
    <w:rsid w:val="77436BAC"/>
    <w:rsid w:val="77C67628"/>
    <w:rsid w:val="7A71251C"/>
    <w:rsid w:val="7C651FE3"/>
    <w:rsid w:val="F6F7C8D6"/>
    <w:rsid w:val="FF670C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kern w:val="0"/>
      <w:sz w:val="24"/>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Balloon Text"/>
    <w:basedOn w:val="1"/>
    <w:link w:val="13"/>
    <w:semiHidden/>
    <w:unhideWhenUsed/>
    <w:qFormat/>
    <w:uiPriority w:val="99"/>
    <w:rPr>
      <w:sz w:val="18"/>
      <w:szCs w:val="18"/>
    </w:rPr>
  </w:style>
  <w:style w:type="paragraph" w:styleId="4">
    <w:name w:val="footer"/>
    <w:basedOn w:val="1"/>
    <w:link w:val="11"/>
    <w:unhideWhenUsed/>
    <w:qFormat/>
    <w:uiPriority w:val="99"/>
    <w:pPr>
      <w:widowControl w:val="0"/>
      <w:tabs>
        <w:tab w:val="center" w:pos="4153"/>
        <w:tab w:val="right" w:pos="8306"/>
      </w:tabs>
      <w:snapToGrid w:val="0"/>
    </w:pPr>
    <w:rPr>
      <w:rFonts w:asciiTheme="minorHAnsi" w:hAnsiTheme="minorHAnsi" w:eastAsiaTheme="minorEastAsia" w:cstheme="minorBidi"/>
      <w:kern w:val="2"/>
      <w:sz w:val="18"/>
      <w:szCs w:val="18"/>
    </w:rPr>
  </w:style>
  <w:style w:type="paragraph" w:styleId="5">
    <w:name w:val="header"/>
    <w:basedOn w:val="1"/>
    <w:link w:val="10"/>
    <w:unhideWhenUsed/>
    <w:qFormat/>
    <w:uiPriority w:val="99"/>
    <w:pPr>
      <w:widowControl w:val="0"/>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rPr>
  </w:style>
  <w:style w:type="paragraph" w:styleId="6">
    <w:name w:val="Normal (Web)"/>
    <w:basedOn w:val="1"/>
    <w:semiHidden/>
    <w:unhideWhenUsed/>
    <w:qFormat/>
    <w:uiPriority w:val="99"/>
    <w:pPr>
      <w:spacing w:before="75" w:after="75"/>
    </w:pPr>
  </w:style>
  <w:style w:type="character" w:styleId="9">
    <w:name w:val="Hyperlink"/>
    <w:basedOn w:val="8"/>
    <w:unhideWhenUsed/>
    <w:qFormat/>
    <w:uiPriority w:val="99"/>
    <w:rPr>
      <w:color w:val="0563C1" w:themeColor="hyperlink"/>
      <w:u w:val="single"/>
      <w14:textFill>
        <w14:solidFill>
          <w14:schemeClr w14:val="hlink"/>
        </w14:solidFill>
      </w14:textFill>
    </w:rPr>
  </w:style>
  <w:style w:type="character" w:customStyle="1" w:styleId="10">
    <w:name w:val="页眉 Char"/>
    <w:basedOn w:val="8"/>
    <w:link w:val="5"/>
    <w:qFormat/>
    <w:uiPriority w:val="99"/>
    <w:rPr>
      <w:sz w:val="18"/>
      <w:szCs w:val="18"/>
    </w:rPr>
  </w:style>
  <w:style w:type="character" w:customStyle="1" w:styleId="11">
    <w:name w:val="页脚 Char"/>
    <w:basedOn w:val="8"/>
    <w:link w:val="4"/>
    <w:qFormat/>
    <w:uiPriority w:val="99"/>
    <w:rPr>
      <w:sz w:val="18"/>
      <w:szCs w:val="18"/>
    </w:rPr>
  </w:style>
  <w:style w:type="paragraph" w:styleId="12">
    <w:name w:val="List Paragraph"/>
    <w:basedOn w:val="1"/>
    <w:qFormat/>
    <w:uiPriority w:val="34"/>
    <w:pPr>
      <w:widowControl w:val="0"/>
      <w:ind w:firstLine="420" w:firstLineChars="200"/>
      <w:jc w:val="both"/>
    </w:pPr>
    <w:rPr>
      <w:rFonts w:asciiTheme="minorHAnsi" w:hAnsiTheme="minorHAnsi" w:eastAsiaTheme="minorEastAsia" w:cstheme="minorBidi"/>
      <w:kern w:val="2"/>
      <w:sz w:val="21"/>
      <w:szCs w:val="22"/>
    </w:rPr>
  </w:style>
  <w:style w:type="character" w:customStyle="1" w:styleId="13">
    <w:name w:val="批注框文本 Char"/>
    <w:basedOn w:val="8"/>
    <w:link w:val="3"/>
    <w:semiHidden/>
    <w:qFormat/>
    <w:uiPriority w:val="99"/>
    <w:rPr>
      <w:rFonts w:ascii="宋体" w:hAnsi="宋体" w:eastAsia="宋体" w:cs="宋体"/>
      <w:kern w:val="0"/>
      <w:sz w:val="18"/>
      <w:szCs w:val="18"/>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71</Words>
  <Characters>410</Characters>
  <Lines>3</Lines>
  <Paragraphs>1</Paragraphs>
  <TotalTime>182</TotalTime>
  <ScaleCrop>false</ScaleCrop>
  <LinksUpToDate>false</LinksUpToDate>
  <CharactersWithSpaces>480</CharactersWithSpaces>
  <Application>WPS Office_6.7.1.8828_F1E327BC-269C-435d-A152-05C5408002CA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2021-03-08T09:42:00Z</dcterms:created>
  <dc:creator>薛景莉</dc:creator>
  <cp:lastModifiedBy>邱科坛</cp:lastModifiedBy>
  <cp:lastPrinted>2021-06-17T07:51:00Z</cp:lastPrinted>
  <dcterms:modified xsi:type="dcterms:W3CDTF">2024-11-19T16:42:31Z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2052-6.7.1.8828</vt:lpwstr>
  </property>
  <property fmtid="{D5CDD505-2E9C-101B-9397-08002B2CF9AE}" pid="3" name="ICV">
    <vt:lpwstr>CA012DA76E705B56774F3C679B9AA5E1_43</vt:lpwstr>
  </property>
</Properties>
</file>