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tabs>
          <w:tab w:val="left" w:pos="1800"/>
          <w:tab w:val="left" w:pos="2268"/>
          <w:tab w:val="left" w:pos="4032"/>
        </w:tabs>
        <w:spacing w:line="600" w:lineRule="exact"/>
        <w:ind w:firstLine="0" w:firstLineChars="0"/>
        <w:jc w:val="center"/>
        <w:rPr>
          <w:rFonts w:hint="eastAsia" w:ascii="黑体" w:hAnsi="黑体" w:eastAsia="黑体" w:cs="Times New Roman"/>
          <w:kern w:val="2"/>
          <w:sz w:val="36"/>
          <w:szCs w:val="36"/>
          <w:lang w:val="en-US" w:eastAsia="zh-CN" w:bidi="ar-SA"/>
        </w:rPr>
      </w:pPr>
      <w:r>
        <w:rPr>
          <w:rFonts w:hint="eastAsia" w:ascii="黑体" w:hAnsi="黑体" w:eastAsia="黑体" w:cs="Times New Roman"/>
          <w:kern w:val="2"/>
          <w:sz w:val="36"/>
          <w:szCs w:val="36"/>
          <w:lang w:val="en-US" w:eastAsia="zh-CN" w:bidi="ar-SA"/>
        </w:rPr>
        <w:t>人保财险宁夏分公司2024年度税务审计代理服务项目</w:t>
      </w:r>
    </w:p>
    <w:p>
      <w:pPr>
        <w:pStyle w:val="24"/>
        <w:tabs>
          <w:tab w:val="left" w:pos="1800"/>
          <w:tab w:val="left" w:pos="2268"/>
          <w:tab w:val="left" w:pos="4032"/>
        </w:tabs>
        <w:spacing w:line="600" w:lineRule="exact"/>
        <w:ind w:firstLine="0" w:firstLineChars="0"/>
        <w:jc w:val="center"/>
        <w:rPr>
          <w:sz w:val="32"/>
          <w:szCs w:val="32"/>
        </w:rPr>
      </w:pPr>
      <w:r>
        <w:rPr>
          <w:rFonts w:hint="eastAsia" w:ascii="黑体" w:hAnsi="黑体" w:eastAsia="黑体"/>
          <w:sz w:val="36"/>
          <w:szCs w:val="36"/>
        </w:rPr>
        <w:t>竞争性磋商邀请文件</w:t>
      </w:r>
    </w:p>
    <w:p>
      <w:pPr>
        <w:pStyle w:val="53"/>
        <w:adjustRightInd w:val="0"/>
        <w:snapToGrid w:val="0"/>
        <w:spacing w:line="360" w:lineRule="auto"/>
        <w:rPr>
          <w:rFonts w:hint="eastAsia"/>
          <w:b/>
          <w:bCs/>
          <w:sz w:val="28"/>
          <w:szCs w:val="28"/>
        </w:rPr>
      </w:pP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sz w:val="28"/>
          <w:szCs w:val="28"/>
          <w:lang w:val="en-US" w:eastAsia="zh-CN"/>
        </w:rPr>
        <w:t>2024年度税务审计代理服务</w:t>
      </w:r>
      <w:r>
        <w:rPr>
          <w:rFonts w:hint="eastAsia" w:ascii="宋体" w:hAnsi="宋体" w:eastAsia="宋体" w:cs="宋体"/>
          <w:color w:val="auto"/>
          <w:sz w:val="28"/>
          <w:szCs w:val="28"/>
        </w:rPr>
        <w:t>采购项目</w:t>
      </w:r>
      <w:r>
        <w:rPr>
          <w:rFonts w:hint="eastAsia"/>
          <w:sz w:val="28"/>
          <w:szCs w:val="28"/>
        </w:rPr>
        <w:t>供应商，特邀请贵公司参加本次磋商。</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eastAsia"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宁夏回族自治区分公司</w:t>
      </w:r>
    </w:p>
    <w:p>
      <w:pPr>
        <w:pStyle w:val="53"/>
        <w:adjustRightInd w:val="0"/>
        <w:snapToGrid w:val="0"/>
        <w:spacing w:line="360" w:lineRule="auto"/>
        <w:ind w:firstLine="420"/>
        <w:rPr>
          <w:sz w:val="28"/>
          <w:szCs w:val="28"/>
        </w:rPr>
      </w:pPr>
      <w:r>
        <w:rPr>
          <w:rFonts w:hint="eastAsia"/>
          <w:sz w:val="28"/>
          <w:szCs w:val="28"/>
        </w:rPr>
        <w:t>地址：</w:t>
      </w:r>
      <w:r>
        <w:rPr>
          <w:rFonts w:hint="eastAsia"/>
          <w:sz w:val="28"/>
          <w:szCs w:val="28"/>
          <w:lang w:val="en-US" w:eastAsia="zh-CN"/>
        </w:rPr>
        <w:t>宁夏回族自治区银川市金凤区尹家渠北街120号</w:t>
      </w:r>
    </w:p>
    <w:p>
      <w:pPr>
        <w:pStyle w:val="53"/>
        <w:adjustRightInd w:val="0"/>
        <w:snapToGrid w:val="0"/>
        <w:spacing w:line="360" w:lineRule="auto"/>
        <w:ind w:firstLine="420"/>
        <w:rPr>
          <w:color w:val="auto"/>
          <w:sz w:val="28"/>
          <w:szCs w:val="28"/>
        </w:rPr>
      </w:pPr>
      <w:r>
        <w:rPr>
          <w:rFonts w:hint="eastAsia"/>
          <w:sz w:val="28"/>
          <w:szCs w:val="28"/>
        </w:rPr>
        <w:t>电话：</w:t>
      </w:r>
      <w:r>
        <w:rPr>
          <w:rFonts w:hint="eastAsia"/>
          <w:sz w:val="28"/>
          <w:szCs w:val="28"/>
          <w:lang w:val="en-US" w:eastAsia="zh-CN"/>
        </w:rPr>
        <w:t>18161578030</w:t>
      </w:r>
    </w:p>
    <w:p>
      <w:pPr>
        <w:pStyle w:val="53"/>
        <w:adjustRightInd w:val="0"/>
        <w:snapToGrid w:val="0"/>
        <w:spacing w:line="360" w:lineRule="auto"/>
        <w:ind w:firstLine="420"/>
        <w:rPr>
          <w:rFonts w:hint="eastAsia"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霍  鹏</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sz w:val="28"/>
          <w:szCs w:val="28"/>
        </w:rPr>
      </w:pPr>
      <w:r>
        <w:rPr>
          <w:rFonts w:hint="eastAsia"/>
          <w:sz w:val="28"/>
          <w:szCs w:val="28"/>
        </w:rPr>
        <w:t>中国人民财产保险股份有限公司</w:t>
      </w:r>
      <w:r>
        <w:rPr>
          <w:rFonts w:hint="eastAsia"/>
          <w:sz w:val="28"/>
          <w:szCs w:val="28"/>
          <w:lang w:val="en-US" w:eastAsia="zh-CN"/>
        </w:rPr>
        <w:t>宁夏回族自治区分公司</w:t>
      </w:r>
    </w:p>
    <w:p>
      <w:pPr>
        <w:pStyle w:val="53"/>
        <w:adjustRightInd w:val="0"/>
        <w:snapToGrid w:val="0"/>
        <w:spacing w:line="360" w:lineRule="auto"/>
        <w:ind w:left="3780" w:right="620" w:hanging="3780"/>
        <w:jc w:val="center"/>
        <w:rPr>
          <w:color w:val="auto"/>
          <w:sz w:val="28"/>
          <w:szCs w:val="28"/>
        </w:rPr>
      </w:pPr>
      <w:r>
        <w:rPr>
          <w:rFonts w:hint="eastAsia"/>
          <w:color w:val="auto"/>
          <w:sz w:val="28"/>
          <w:szCs w:val="28"/>
          <w:lang w:val="en-US" w:eastAsia="zh-CN"/>
        </w:rPr>
        <w:t xml:space="preserve">                        </w:t>
      </w:r>
      <w:r>
        <w:rPr>
          <w:rFonts w:hint="eastAsia"/>
          <w:color w:val="auto"/>
          <w:sz w:val="28"/>
          <w:szCs w:val="28"/>
        </w:rPr>
        <w:t>20</w:t>
      </w:r>
      <w:r>
        <w:rPr>
          <w:color w:val="auto"/>
          <w:sz w:val="28"/>
          <w:szCs w:val="28"/>
        </w:rPr>
        <w:t>2</w:t>
      </w:r>
      <w:r>
        <w:rPr>
          <w:rFonts w:hint="eastAsia"/>
          <w:color w:val="auto"/>
          <w:sz w:val="28"/>
          <w:szCs w:val="28"/>
          <w:lang w:val="en-US" w:eastAsia="zh-CN"/>
        </w:rPr>
        <w:t>4</w:t>
      </w:r>
      <w:r>
        <w:rPr>
          <w:rFonts w:hint="eastAsia"/>
          <w:color w:val="auto"/>
          <w:sz w:val="28"/>
          <w:szCs w:val="28"/>
        </w:rPr>
        <w:t>年</w:t>
      </w:r>
      <w:r>
        <w:rPr>
          <w:rFonts w:hint="eastAsia"/>
          <w:color w:val="auto"/>
          <w:sz w:val="28"/>
          <w:szCs w:val="28"/>
          <w:lang w:val="en-US" w:eastAsia="zh-CN"/>
        </w:rPr>
        <w:t>12</w:t>
      </w:r>
      <w:r>
        <w:rPr>
          <w:rFonts w:hint="eastAsia"/>
          <w:color w:val="auto"/>
          <w:sz w:val="28"/>
          <w:szCs w:val="28"/>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both"/>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rPr>
        <w:t>二、评审标准………………………………………………………………………3</w:t>
      </w:r>
    </w:p>
    <w:p>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3"/>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color w:val="000000"/>
          <w:u w:val="none"/>
        </w:rPr>
        <w:t>7</w:t>
      </w:r>
    </w:p>
    <w:p>
      <w:pPr>
        <w:pStyle w:val="53"/>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t>9</w:t>
      </w:r>
    </w:p>
    <w:p>
      <w:pPr>
        <w:pStyle w:val="53"/>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t>0</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………………………………………………………21</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3"/>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3"/>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3"/>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3"/>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3"/>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3"/>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rFonts w:hint="eastAsia"/>
          <w:sz w:val="30"/>
          <w:szCs w:val="30"/>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国家税务总局注册税务师管理中心批准成立的税务师事务所，具有营业执照、执业资质证书</w:t>
      </w:r>
      <w:r>
        <w:rPr>
          <w:rFonts w:hint="eastAsia" w:ascii="宋体" w:hAnsi="宋体" w:eastAsia="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税务师事务所成立3年（含）以上，拥有5名（含）以上注册税务师，行业内享有良好声誉</w:t>
      </w:r>
      <w:r>
        <w:rPr>
          <w:rFonts w:hint="eastAsia" w:ascii="宋体" w:hAnsi="宋体" w:eastAsia="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具有良好的商业信誉和健全的财务会计制度</w:t>
      </w:r>
      <w:r>
        <w:rPr>
          <w:rFonts w:hint="eastAsia" w:ascii="宋体" w:hAnsi="宋体" w:eastAsia="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税务师事务所及其拟委派的注册税务师在近3年内无重大执业违法违规记录</w:t>
      </w:r>
      <w:r>
        <w:rPr>
          <w:rFonts w:hint="eastAsia" w:ascii="宋体" w:hAnsi="宋体" w:eastAsia="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w:t>
      </w:r>
      <w:r>
        <w:rPr>
          <w:rFonts w:hint="eastAsia" w:ascii="宋体" w:hAnsi="宋体" w:eastAsia="宋体" w:cs="宋体"/>
          <w:color w:val="000000" w:themeColor="text1"/>
          <w:kern w:val="0"/>
          <w:sz w:val="24"/>
          <w:szCs w:val="24"/>
          <w14:textFill>
            <w14:solidFill>
              <w14:schemeClr w14:val="tx1"/>
            </w14:solidFill>
          </w14:textFill>
        </w:rPr>
        <w:t>具有依法缴纳税收和社会保障资金的良好记录，提供近六个月任意一个月的企</w:t>
      </w:r>
      <w:r>
        <w:rPr>
          <w:rFonts w:hint="eastAsia" w:ascii="宋体" w:hAnsi="宋体" w:eastAsia="宋体" w:cs="宋体"/>
          <w:color w:val="000000" w:themeColor="text1"/>
          <w:kern w:val="0"/>
          <w:sz w:val="24"/>
          <w:szCs w:val="24"/>
          <w:lang w:val="en-US" w:eastAsia="zh-CN"/>
          <w14:textFill>
            <w14:solidFill>
              <w14:schemeClr w14:val="tx1"/>
            </w14:solidFill>
          </w14:textFill>
        </w:rPr>
        <w:t>业税收和社会保障资金缴纳凭证。</w:t>
      </w:r>
    </w:p>
    <w:p>
      <w:pPr>
        <w:widowControl/>
        <w:adjustRightInd w:val="0"/>
        <w:snapToGrid w:val="0"/>
        <w:spacing w:line="360" w:lineRule="auto"/>
        <w:ind w:firstLine="482"/>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w:t>
      </w:r>
      <w:r>
        <w:rPr>
          <w:rFonts w:hint="default" w:ascii="宋体" w:hAnsi="宋体" w:eastAsia="宋体" w:cs="宋体"/>
          <w:color w:val="000000" w:themeColor="text1"/>
          <w:kern w:val="0"/>
          <w:sz w:val="24"/>
          <w:szCs w:val="24"/>
          <w:lang w:val="en-US" w:eastAsia="zh-CN"/>
          <w14:textFill>
            <w14:solidFill>
              <w14:schemeClr w14:val="tx1"/>
            </w14:solidFill>
          </w14:textFill>
        </w:rPr>
        <w:t>供应商具有独立履行合同所必需的财务能力，须承诺能够开具合法、有效、符合采购人要求的增值税专用发票（须提供承诺书并加盖公章）。</w:t>
      </w:r>
    </w:p>
    <w:p>
      <w:pPr>
        <w:widowControl/>
        <w:adjustRightInd w:val="0"/>
        <w:snapToGrid w:val="0"/>
        <w:spacing w:line="360" w:lineRule="auto"/>
        <w:ind w:firstLine="482"/>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eastAsia="宋体" w:cs="宋体"/>
          <w:color w:val="000000" w:themeColor="text1"/>
          <w:kern w:val="0"/>
          <w:sz w:val="24"/>
          <w:szCs w:val="24"/>
          <w14:textFill>
            <w14:solidFill>
              <w14:schemeClr w14:val="tx1"/>
            </w14:solidFill>
          </w14:textFill>
        </w:rPr>
        <w:t>本项目不接受联合体投标，不允许转包、分包。 </w:t>
      </w:r>
    </w:p>
    <w:p>
      <w:pPr>
        <w:widowControl/>
        <w:adjustRightInd w:val="0"/>
        <w:snapToGrid w:val="0"/>
        <w:spacing w:line="360" w:lineRule="auto"/>
        <w:ind w:firstLine="482"/>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eastAsia="宋体" w:cs="宋体"/>
          <w:color w:val="000000" w:themeColor="text1"/>
          <w:kern w:val="0"/>
          <w:sz w:val="24"/>
          <w:szCs w:val="24"/>
          <w14:textFill>
            <w14:solidFill>
              <w14:schemeClr w14:val="tx1"/>
            </w14:solidFill>
          </w14:textFill>
        </w:rPr>
        <w:t>.根据《中国人民保险集团供应商管理办法》规定，严禁列入中国人民保险集团黑名单且在禁入期内的供应商参与采购活动。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采购评审标准由项目最终报价、</w:t>
      </w:r>
      <w:r>
        <w:rPr>
          <w:rFonts w:hint="eastAsia" w:ascii="宋体" w:hAnsi="宋体" w:cs="宋体"/>
          <w:color w:val="auto"/>
          <w:kern w:val="0"/>
          <w:sz w:val="24"/>
          <w:szCs w:val="24"/>
          <w:lang w:eastAsia="zh-CN"/>
        </w:rPr>
        <w:t>资质及业绩</w:t>
      </w:r>
      <w:r>
        <w:rPr>
          <w:rFonts w:hint="eastAsia" w:ascii="宋体" w:hAnsi="宋体" w:cs="宋体"/>
          <w:color w:val="auto"/>
          <w:kern w:val="0"/>
          <w:sz w:val="24"/>
          <w:szCs w:val="24"/>
        </w:rPr>
        <w:t>和</w:t>
      </w:r>
      <w:r>
        <w:rPr>
          <w:rFonts w:hint="eastAsia" w:ascii="宋体" w:hAnsi="宋体" w:cs="宋体"/>
          <w:color w:val="auto"/>
          <w:kern w:val="0"/>
          <w:sz w:val="24"/>
          <w:szCs w:val="24"/>
          <w:lang w:eastAsia="zh-CN"/>
        </w:rPr>
        <w:t>技术服务</w:t>
      </w:r>
      <w:r>
        <w:rPr>
          <w:rFonts w:hint="eastAsia" w:ascii="宋体" w:hAnsi="宋体" w:cs="宋体"/>
          <w:color w:val="auto"/>
          <w:kern w:val="0"/>
          <w:sz w:val="24"/>
          <w:szCs w:val="24"/>
        </w:rPr>
        <w:t>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w:t>
      </w:r>
      <w:r>
        <w:rPr>
          <w:rFonts w:hint="eastAsia" w:ascii="宋体" w:hAnsi="宋体" w:cs="宋体"/>
          <w:color w:val="auto"/>
          <w:kern w:val="0"/>
          <w:sz w:val="24"/>
          <w:szCs w:val="24"/>
          <w:lang w:eastAsia="zh-CN"/>
        </w:rPr>
        <w:t>资质及业绩</w:t>
      </w:r>
      <w:r>
        <w:rPr>
          <w:rFonts w:hint="eastAsia" w:ascii="宋体" w:hAnsi="宋体" w:cs="宋体"/>
          <w:color w:val="auto"/>
          <w:kern w:val="0"/>
          <w:sz w:val="24"/>
          <w:szCs w:val="24"/>
        </w:rPr>
        <w:t>和</w:t>
      </w:r>
      <w:r>
        <w:rPr>
          <w:rFonts w:hint="eastAsia" w:ascii="宋体" w:hAnsi="宋体" w:cs="宋体"/>
          <w:color w:val="auto"/>
          <w:kern w:val="0"/>
          <w:sz w:val="24"/>
          <w:szCs w:val="24"/>
          <w:lang w:eastAsia="zh-CN"/>
        </w:rPr>
        <w:t>技术服务</w:t>
      </w:r>
      <w:r>
        <w:rPr>
          <w:rFonts w:hint="eastAsia" w:ascii="宋体" w:hAnsi="宋体" w:cs="宋体"/>
          <w:color w:val="auto"/>
          <w:kern w:val="0"/>
          <w:sz w:val="24"/>
          <w:szCs w:val="24"/>
        </w:rPr>
        <w:t>等情况进行评分。</w:t>
      </w:r>
      <w:r>
        <w:rPr>
          <w:rFonts w:hint="eastAsia" w:ascii="宋体" w:hAnsi="宋体" w:cs="宋体"/>
          <w:color w:val="000000" w:themeColor="text1"/>
          <w:kern w:val="0"/>
          <w:sz w:val="24"/>
          <w:szCs w:val="24"/>
          <w14:textFill>
            <w14:solidFill>
              <w14:schemeClr w14:val="tx1"/>
            </w14:solidFill>
          </w14:textFill>
        </w:rPr>
        <w:t>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pStyle w:val="29"/>
        <w:rPr>
          <w:rFonts w:hint="eastAsia" w:ascii="宋体" w:hAnsi="宋体" w:cs="宋体"/>
          <w:color w:val="000000" w:themeColor="text1"/>
          <w:kern w:val="0"/>
          <w:sz w:val="24"/>
          <w:szCs w:val="24"/>
          <w14:textFill>
            <w14:solidFill>
              <w14:schemeClr w14:val="tx1"/>
            </w14:solidFill>
          </w14:textFill>
        </w:rPr>
      </w:pPr>
    </w:p>
    <w:p>
      <w:pPr>
        <w:pStyle w:val="29"/>
        <w:rPr>
          <w:rFonts w:hint="eastAsia" w:ascii="宋体" w:hAnsi="宋体" w:cs="宋体"/>
          <w:color w:val="000000" w:themeColor="text1"/>
          <w:kern w:val="0"/>
          <w:sz w:val="24"/>
          <w:szCs w:val="24"/>
          <w14:textFill>
            <w14:solidFill>
              <w14:schemeClr w14:val="tx1"/>
            </w14:solidFill>
          </w14:textFill>
        </w:rPr>
      </w:pPr>
    </w:p>
    <w:p>
      <w:pPr>
        <w:pStyle w:val="29"/>
        <w:rPr>
          <w:rFonts w:hint="eastAsia" w:ascii="宋体" w:hAnsi="宋体" w:cs="宋体"/>
          <w:color w:val="000000" w:themeColor="text1"/>
          <w:kern w:val="0"/>
          <w:sz w:val="24"/>
          <w:szCs w:val="24"/>
          <w14:textFill>
            <w14:solidFill>
              <w14:schemeClr w14:val="tx1"/>
            </w14:solidFill>
          </w14:textFill>
        </w:rPr>
      </w:pPr>
    </w:p>
    <w:p>
      <w:pPr>
        <w:pStyle w:val="29"/>
        <w:rPr>
          <w:rFonts w:hint="eastAsia" w:ascii="宋体" w:hAnsi="宋体" w:cs="宋体"/>
          <w:color w:val="000000" w:themeColor="text1"/>
          <w:kern w:val="0"/>
          <w:sz w:val="24"/>
          <w:szCs w:val="24"/>
          <w14:textFill>
            <w14:solidFill>
              <w14:schemeClr w14:val="tx1"/>
            </w14:solidFill>
          </w14:textFill>
        </w:rPr>
      </w:pPr>
    </w:p>
    <w:p>
      <w:pPr>
        <w:pStyle w:val="29"/>
        <w:rPr>
          <w:rFonts w:hint="eastAsia" w:ascii="宋体" w:hAnsi="宋体" w:cs="宋体"/>
          <w:color w:val="000000" w:themeColor="text1"/>
          <w:kern w:val="0"/>
          <w:sz w:val="24"/>
          <w:szCs w:val="24"/>
          <w14:textFill>
            <w14:solidFill>
              <w14:schemeClr w14:val="tx1"/>
            </w14:solidFill>
          </w14:textFill>
        </w:rPr>
      </w:pPr>
    </w:p>
    <w:p>
      <w:pPr>
        <w:pStyle w:val="29"/>
        <w:rPr>
          <w:rFonts w:hint="eastAsia" w:ascii="宋体" w:hAnsi="宋体" w:cs="宋体"/>
          <w:color w:val="000000" w:themeColor="text1"/>
          <w:kern w:val="0"/>
          <w:sz w:val="24"/>
          <w:szCs w:val="24"/>
          <w14:textFill>
            <w14:solidFill>
              <w14:schemeClr w14:val="tx1"/>
            </w14:solidFill>
          </w14:textFill>
        </w:rPr>
      </w:pPr>
    </w:p>
    <w:tbl>
      <w:tblPr>
        <w:tblStyle w:val="30"/>
        <w:tblW w:w="53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7"/>
        <w:gridCol w:w="1181"/>
        <w:gridCol w:w="5773"/>
        <w:gridCol w:w="1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73" w:type="pct"/>
            <w:vAlign w:val="center"/>
          </w:tcPr>
          <w:p>
            <w:pPr>
              <w:spacing w:line="560" w:lineRule="exact"/>
              <w:jc w:val="center"/>
              <w:rPr>
                <w:rFonts w:hint="eastAsia" w:ascii="宋体" w:hAnsi="宋体" w:eastAsia="宋体" w:cs="宋体"/>
                <w:b/>
                <w:bCs/>
                <w:sz w:val="21"/>
                <w:szCs w:val="21"/>
              </w:rPr>
            </w:pPr>
            <w:r>
              <w:rPr>
                <w:rFonts w:hint="eastAsia" w:ascii="宋体" w:hAnsi="宋体" w:eastAsia="宋体" w:cs="宋体"/>
                <w:b/>
                <w:bCs/>
                <w:sz w:val="21"/>
                <w:szCs w:val="21"/>
              </w:rPr>
              <w:t>项目</w:t>
            </w:r>
          </w:p>
        </w:tc>
        <w:tc>
          <w:tcPr>
            <w:tcW w:w="611" w:type="pct"/>
            <w:vAlign w:val="center"/>
          </w:tcPr>
          <w:p>
            <w:pPr>
              <w:spacing w:line="560" w:lineRule="exact"/>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2987" w:type="pct"/>
            <w:vAlign w:val="center"/>
          </w:tcPr>
          <w:p>
            <w:pPr>
              <w:spacing w:line="560" w:lineRule="exact"/>
              <w:jc w:val="center"/>
              <w:rPr>
                <w:rFonts w:hint="eastAsia" w:ascii="宋体" w:hAnsi="宋体" w:eastAsia="宋体" w:cs="宋体"/>
                <w:b/>
                <w:bCs/>
                <w:sz w:val="21"/>
                <w:szCs w:val="21"/>
              </w:rPr>
            </w:pPr>
            <w:r>
              <w:rPr>
                <w:rFonts w:hint="eastAsia" w:ascii="宋体" w:hAnsi="宋体" w:eastAsia="宋体" w:cs="宋体"/>
                <w:b/>
                <w:bCs/>
                <w:sz w:val="21"/>
                <w:szCs w:val="21"/>
              </w:rPr>
              <w:t>评分标准</w:t>
            </w:r>
          </w:p>
        </w:tc>
        <w:tc>
          <w:tcPr>
            <w:tcW w:w="527" w:type="pct"/>
            <w:vAlign w:val="center"/>
          </w:tcPr>
          <w:p>
            <w:pPr>
              <w:spacing w:line="56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873" w:type="pct"/>
            <w:vAlign w:val="center"/>
          </w:tcPr>
          <w:p>
            <w:pPr>
              <w:spacing w:line="560" w:lineRule="exact"/>
              <w:jc w:val="center"/>
              <w:rPr>
                <w:rFonts w:hint="eastAsia" w:ascii="宋体" w:hAnsi="宋体" w:eastAsia="宋体" w:cs="宋体"/>
                <w:b/>
                <w:bCs/>
                <w:sz w:val="21"/>
                <w:szCs w:val="21"/>
              </w:rPr>
            </w:pPr>
            <w:r>
              <w:rPr>
                <w:rFonts w:hint="eastAsia" w:ascii="宋体" w:hAnsi="宋体" w:eastAsia="宋体" w:cs="宋体"/>
                <w:bCs/>
                <w:sz w:val="21"/>
                <w:szCs w:val="21"/>
              </w:rPr>
              <w:t>投标报价</w:t>
            </w:r>
          </w:p>
        </w:tc>
        <w:tc>
          <w:tcPr>
            <w:tcW w:w="611" w:type="pct"/>
            <w:vAlign w:val="center"/>
          </w:tcPr>
          <w:p>
            <w:pPr>
              <w:jc w:val="center"/>
              <w:rPr>
                <w:rFonts w:hint="eastAsia" w:ascii="宋体" w:hAnsi="宋体" w:eastAsia="宋体" w:cs="宋体"/>
                <w:sz w:val="21"/>
                <w:szCs w:val="21"/>
              </w:rPr>
            </w:pPr>
          </w:p>
          <w:p>
            <w:pPr>
              <w:jc w:val="center"/>
              <w:rPr>
                <w:rFonts w:hint="eastAsia" w:ascii="宋体" w:hAnsi="宋体" w:eastAsia="宋体" w:cs="宋体"/>
                <w:sz w:val="21"/>
                <w:szCs w:val="21"/>
              </w:rPr>
            </w:pPr>
          </w:p>
          <w:p>
            <w:pPr>
              <w:jc w:val="center"/>
              <w:rPr>
                <w:rFonts w:hint="eastAsia" w:ascii="宋体" w:hAnsi="宋体" w:eastAsia="宋体" w:cs="宋体"/>
                <w:sz w:val="21"/>
                <w:szCs w:val="21"/>
              </w:rPr>
            </w:pPr>
            <w:r>
              <w:rPr>
                <w:rFonts w:hint="eastAsia" w:ascii="宋体" w:hAnsi="宋体" w:eastAsia="宋体" w:cs="宋体"/>
                <w:sz w:val="21"/>
                <w:szCs w:val="21"/>
              </w:rPr>
              <w:t>投标报价</w:t>
            </w:r>
          </w:p>
          <w:p>
            <w:pPr>
              <w:jc w:val="center"/>
              <w:rPr>
                <w:rFonts w:hint="eastAsia" w:ascii="宋体" w:hAnsi="宋体" w:eastAsia="宋体" w:cs="宋体"/>
                <w:sz w:val="21"/>
                <w:szCs w:val="21"/>
              </w:rPr>
            </w:pPr>
          </w:p>
        </w:tc>
        <w:tc>
          <w:tcPr>
            <w:tcW w:w="2987" w:type="pct"/>
            <w:vAlign w:val="center"/>
          </w:tcPr>
          <w:p>
            <w:pPr>
              <w:numPr>
                <w:ilvl w:val="0"/>
                <w:numId w:val="3"/>
              </w:numPr>
              <w:spacing w:line="560" w:lineRule="exact"/>
              <w:jc w:val="left"/>
              <w:rPr>
                <w:rFonts w:hint="eastAsia"/>
              </w:rPr>
            </w:pPr>
            <w:r>
              <w:rPr>
                <w:rFonts w:hint="eastAsia"/>
              </w:rPr>
              <w:t>评标价：各有效投标人的含税投标价,剔除可抵扣的增值税进项税额。</w:t>
            </w:r>
          </w:p>
          <w:p>
            <w:pPr>
              <w:numPr>
                <w:ilvl w:val="0"/>
                <w:numId w:val="3"/>
              </w:numPr>
              <w:spacing w:line="560" w:lineRule="exact"/>
              <w:jc w:val="left"/>
              <w:rPr>
                <w:rFonts w:hint="eastAsia"/>
              </w:rPr>
            </w:pPr>
            <w:r>
              <w:rPr>
                <w:rFonts w:hint="eastAsia"/>
              </w:rPr>
              <w:t>评标基准价：满足招标文件要求且最低的有效评标价。</w:t>
            </w:r>
          </w:p>
          <w:p>
            <w:pPr>
              <w:numPr>
                <w:ilvl w:val="0"/>
                <w:numId w:val="3"/>
              </w:numPr>
              <w:spacing w:line="560" w:lineRule="exact"/>
              <w:jc w:val="left"/>
              <w:rPr>
                <w:rFonts w:hint="eastAsia"/>
              </w:rPr>
            </w:pPr>
            <w:r>
              <w:rPr>
                <w:rFonts w:hint="eastAsia"/>
              </w:rPr>
              <w:t>价格分计算：评标价=评标基准价的投标人，得价格分的满分；其他投标人的价格分按照以下公式计算，并精确到小数点后两位：</w:t>
            </w:r>
          </w:p>
          <w:p>
            <w:pPr>
              <w:numPr>
                <w:ilvl w:val="0"/>
                <w:numId w:val="0"/>
              </w:numPr>
              <w:spacing w:line="560" w:lineRule="exact"/>
              <w:jc w:val="left"/>
              <w:rPr>
                <w:rFonts w:hint="eastAsia"/>
              </w:rPr>
            </w:pPr>
            <w:r>
              <w:rPr>
                <w:rFonts w:hint="eastAsia"/>
              </w:rPr>
              <w:t>价格得分＝（评标基准价/该投标人的评标价）*</w:t>
            </w:r>
            <w:r>
              <w:rPr>
                <w:rFonts w:hint="eastAsia"/>
                <w:lang w:val="en-US" w:eastAsia="zh-CN"/>
              </w:rPr>
              <w:t>50</w:t>
            </w:r>
            <w:r>
              <w:rPr>
                <w:rFonts w:hint="eastAsia"/>
              </w:rPr>
              <w:t>；</w:t>
            </w:r>
          </w:p>
          <w:p>
            <w:pPr>
              <w:pStyle w:val="2"/>
              <w:rPr>
                <w:rFonts w:hint="eastAsia"/>
              </w:rPr>
            </w:pPr>
            <w:r>
              <w:rPr>
                <w:rFonts w:hint="eastAsia" w:asciiTheme="minorHAnsi" w:hAnsiTheme="minorHAnsi" w:eastAsiaTheme="minorEastAsia" w:cstheme="minorBidi"/>
                <w:kern w:val="2"/>
                <w:sz w:val="21"/>
                <w:szCs w:val="22"/>
                <w:lang w:val="en-US" w:eastAsia="zh-CN" w:bidi="ar-SA"/>
              </w:rPr>
              <w:t>注：现场进行三轮磋商；</w:t>
            </w:r>
          </w:p>
        </w:tc>
        <w:tc>
          <w:tcPr>
            <w:tcW w:w="527" w:type="pct"/>
            <w:vAlign w:val="center"/>
          </w:tcPr>
          <w:p>
            <w:pPr>
              <w:jc w:val="center"/>
              <w:rPr>
                <w:rFonts w:hint="default" w:ascii="宋体" w:hAnsi="宋体" w:eastAsia="宋体" w:cs="宋体"/>
                <w:bCs/>
                <w:sz w:val="21"/>
                <w:szCs w:val="21"/>
                <w:lang w:val="en-US"/>
              </w:rPr>
            </w:pPr>
            <w:r>
              <w:rPr>
                <w:rFonts w:hint="eastAsia" w:ascii="宋体" w:hAnsi="宋体" w:eastAsia="宋体" w:cs="宋体"/>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73" w:type="pct"/>
            <w:vMerge w:val="restart"/>
            <w:vAlign w:val="center"/>
          </w:tcPr>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sz w:val="21"/>
                <w:szCs w:val="21"/>
              </w:rPr>
            </w:pPr>
          </w:p>
          <w:p>
            <w:pPr>
              <w:spacing w:line="560" w:lineRule="exact"/>
              <w:jc w:val="center"/>
              <w:rPr>
                <w:rFonts w:hint="eastAsia" w:ascii="宋体" w:hAnsi="宋体" w:eastAsia="宋体" w:cs="宋体"/>
                <w:b/>
                <w:bCs/>
                <w:sz w:val="21"/>
                <w:szCs w:val="21"/>
              </w:rPr>
            </w:pPr>
            <w:r>
              <w:rPr>
                <w:rFonts w:hint="eastAsia" w:ascii="宋体" w:hAnsi="宋体" w:eastAsia="宋体" w:cs="宋体"/>
                <w:sz w:val="21"/>
                <w:szCs w:val="21"/>
              </w:rPr>
              <w:t>资质及业绩</w:t>
            </w:r>
          </w:p>
        </w:tc>
        <w:tc>
          <w:tcPr>
            <w:tcW w:w="611" w:type="pct"/>
            <w:vAlign w:val="center"/>
          </w:tcPr>
          <w:p>
            <w:pPr>
              <w:jc w:val="center"/>
              <w:rPr>
                <w:rFonts w:hint="eastAsia" w:ascii="宋体" w:hAnsi="宋体" w:eastAsia="宋体" w:cs="宋体"/>
                <w:sz w:val="21"/>
                <w:szCs w:val="21"/>
              </w:rPr>
            </w:pPr>
            <w:r>
              <w:rPr>
                <w:rFonts w:hint="eastAsia" w:ascii="宋体" w:hAnsi="宋体" w:eastAsia="宋体" w:cs="宋体"/>
                <w:sz w:val="21"/>
                <w:szCs w:val="21"/>
              </w:rPr>
              <w:t>事务所</w:t>
            </w:r>
          </w:p>
          <w:p>
            <w:pPr>
              <w:jc w:val="center"/>
              <w:rPr>
                <w:rFonts w:hint="eastAsia" w:ascii="宋体" w:hAnsi="宋体" w:eastAsia="宋体" w:cs="宋体"/>
                <w:sz w:val="21"/>
                <w:szCs w:val="21"/>
              </w:rPr>
            </w:pPr>
            <w:r>
              <w:rPr>
                <w:rFonts w:hint="eastAsia" w:ascii="宋体" w:hAnsi="宋体" w:eastAsia="宋体" w:cs="宋体"/>
                <w:sz w:val="21"/>
                <w:szCs w:val="21"/>
              </w:rPr>
              <w:t>资质要求</w:t>
            </w:r>
          </w:p>
        </w:tc>
        <w:tc>
          <w:tcPr>
            <w:tcW w:w="2987" w:type="pct"/>
            <w:vAlign w:val="center"/>
          </w:tcPr>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1）涉税执业资格3—10（含）年得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分；10年以上得</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省（区)注册</w:t>
            </w:r>
            <w:r>
              <w:rPr>
                <w:rFonts w:hint="eastAsia" w:ascii="宋体" w:hAnsi="宋体" w:eastAsia="宋体" w:cs="宋体"/>
                <w:kern w:val="0"/>
                <w:sz w:val="21"/>
                <w:szCs w:val="21"/>
              </w:rPr>
              <w:t>税务师协会评定的资质</w:t>
            </w:r>
            <w:r>
              <w:rPr>
                <w:rFonts w:hint="eastAsia" w:ascii="宋体" w:hAnsi="宋体" w:eastAsia="宋体" w:cs="宋体"/>
                <w:kern w:val="0"/>
                <w:sz w:val="21"/>
                <w:szCs w:val="21"/>
                <w:lang w:val="en-US" w:eastAsia="zh-CN"/>
              </w:rPr>
              <w:t>等级</w:t>
            </w:r>
            <w:r>
              <w:rPr>
                <w:rFonts w:hint="eastAsia" w:ascii="宋体" w:hAnsi="宋体" w:eastAsia="宋体" w:cs="宋体"/>
                <w:kern w:val="0"/>
                <w:sz w:val="21"/>
                <w:szCs w:val="21"/>
              </w:rPr>
              <w:t>证书A级得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分；AA级得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分；AAA级</w:t>
            </w:r>
            <w:r>
              <w:rPr>
                <w:rFonts w:hint="eastAsia" w:ascii="宋体" w:hAnsi="宋体" w:eastAsia="宋体" w:cs="宋体"/>
                <w:kern w:val="0"/>
                <w:sz w:val="21"/>
                <w:szCs w:val="21"/>
                <w:lang w:val="en-US" w:eastAsia="zh-CN"/>
              </w:rPr>
              <w:t>及以上</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w:t>
            </w:r>
          </w:p>
          <w:p>
            <w:pPr>
              <w:spacing w:line="560" w:lineRule="exact"/>
              <w:jc w:val="left"/>
              <w:rPr>
                <w:rFonts w:hint="eastAsia" w:ascii="宋体" w:hAnsi="宋体" w:eastAsia="宋体" w:cs="宋体"/>
                <w:bCs/>
                <w:sz w:val="21"/>
                <w:szCs w:val="21"/>
              </w:rPr>
            </w:pPr>
            <w:r>
              <w:rPr>
                <w:rFonts w:hint="eastAsia" w:ascii="宋体" w:hAnsi="宋体" w:eastAsia="宋体" w:cs="宋体"/>
                <w:b/>
                <w:kern w:val="0"/>
                <w:sz w:val="21"/>
                <w:szCs w:val="21"/>
              </w:rPr>
              <w:t>以上证明文件开标现场须提供原件，否则不予计分，复印件装订在投标文件中。</w:t>
            </w:r>
          </w:p>
        </w:tc>
        <w:tc>
          <w:tcPr>
            <w:tcW w:w="527" w:type="pct"/>
            <w:vAlign w:val="center"/>
          </w:tcPr>
          <w:p>
            <w:pPr>
              <w:jc w:val="center"/>
              <w:rPr>
                <w:rFonts w:hint="eastAsia" w:ascii="宋体" w:hAnsi="宋体" w:eastAsia="宋体" w:cs="宋体"/>
                <w:bCs/>
                <w:sz w:val="21"/>
                <w:szCs w:val="21"/>
                <w:lang w:val="en-US" w:eastAsia="zh-CN"/>
              </w:rPr>
            </w:pPr>
            <w:r>
              <w:rPr>
                <w:rFonts w:hint="eastAsia" w:ascii="宋体" w:hAnsi="宋体" w:eastAsia="宋体" w:cs="宋体"/>
                <w:sz w:val="21"/>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7"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sz w:val="21"/>
                <w:szCs w:val="21"/>
              </w:rPr>
            </w:pPr>
            <w:r>
              <w:rPr>
                <w:rFonts w:hint="eastAsia" w:ascii="宋体" w:hAnsi="宋体" w:eastAsia="宋体" w:cs="宋体"/>
                <w:sz w:val="21"/>
                <w:szCs w:val="21"/>
              </w:rPr>
              <w:t>税务审计业绩</w:t>
            </w:r>
          </w:p>
        </w:tc>
        <w:tc>
          <w:tcPr>
            <w:tcW w:w="2987" w:type="pct"/>
            <w:vAlign w:val="center"/>
          </w:tcPr>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z w:val="21"/>
                <w:szCs w:val="21"/>
              </w:rPr>
              <w:t>提供近三年税务审计代理服务业绩，</w:t>
            </w:r>
            <w:r>
              <w:rPr>
                <w:rFonts w:hint="eastAsia" w:ascii="宋体" w:hAnsi="宋体" w:eastAsia="宋体" w:cs="宋体"/>
                <w:sz w:val="21"/>
                <w:szCs w:val="21"/>
                <w:lang w:val="en-US" w:eastAsia="zh-CN"/>
              </w:rPr>
              <w:t>每年执业自治区级及以上企业5家以下不得分，五家</w:t>
            </w:r>
            <w:r>
              <w:rPr>
                <w:rFonts w:hint="eastAsia" w:ascii="宋体" w:hAnsi="宋体" w:eastAsia="宋体" w:cs="宋体"/>
                <w:kern w:val="0"/>
                <w:sz w:val="21"/>
                <w:szCs w:val="21"/>
              </w:rPr>
              <w:t>（含）</w:t>
            </w:r>
            <w:r>
              <w:rPr>
                <w:rFonts w:hint="eastAsia" w:ascii="宋体" w:hAnsi="宋体" w:eastAsia="宋体" w:cs="宋体"/>
                <w:sz w:val="21"/>
                <w:szCs w:val="21"/>
                <w:lang w:val="en-US" w:eastAsia="zh-CN"/>
              </w:rPr>
              <w:t>以上得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2）拥有丰富的财险公司税务审计代理经验，每审计代理一家宁夏区内财险公司</w:t>
            </w:r>
            <w:r>
              <w:rPr>
                <w:rFonts w:hint="eastAsia" w:ascii="宋体" w:hAnsi="宋体" w:eastAsia="宋体" w:cs="宋体"/>
                <w:kern w:val="0"/>
                <w:sz w:val="21"/>
                <w:szCs w:val="21"/>
                <w:lang w:val="en-US" w:eastAsia="zh-CN"/>
              </w:rPr>
              <w:t>得1</w:t>
            </w:r>
            <w:r>
              <w:rPr>
                <w:rFonts w:hint="eastAsia" w:ascii="宋体" w:hAnsi="宋体" w:eastAsia="宋体" w:cs="宋体"/>
                <w:kern w:val="0"/>
                <w:sz w:val="21"/>
                <w:szCs w:val="21"/>
              </w:rPr>
              <w:t>分，最多</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sz w:val="21"/>
                <w:szCs w:val="21"/>
              </w:rPr>
            </w:pPr>
            <w:r>
              <w:rPr>
                <w:rFonts w:hint="eastAsia" w:ascii="宋体" w:hAnsi="宋体" w:eastAsia="宋体" w:cs="宋体"/>
                <w:kern w:val="0"/>
                <w:sz w:val="21"/>
                <w:szCs w:val="21"/>
              </w:rPr>
              <w:t>3）</w:t>
            </w:r>
            <w:r>
              <w:rPr>
                <w:rFonts w:hint="eastAsia" w:ascii="宋体" w:hAnsi="宋体" w:eastAsia="宋体" w:cs="宋体"/>
                <w:sz w:val="21"/>
                <w:szCs w:val="21"/>
              </w:rPr>
              <w:t>近五年荣获宁夏税务机关培训及纳税检查评估合作资格，每获一家税务机关合作资格</w:t>
            </w:r>
            <w:r>
              <w:rPr>
                <w:rFonts w:hint="eastAsia" w:ascii="宋体" w:hAnsi="宋体" w:eastAsia="宋体" w:cs="宋体"/>
                <w:sz w:val="21"/>
                <w:szCs w:val="21"/>
                <w:lang w:eastAsia="zh-CN"/>
              </w:rPr>
              <w:t>得</w:t>
            </w:r>
            <w:r>
              <w:rPr>
                <w:rFonts w:hint="eastAsia" w:ascii="宋体" w:hAnsi="宋体" w:eastAsia="宋体" w:cs="宋体"/>
                <w:sz w:val="21"/>
                <w:szCs w:val="21"/>
                <w:lang w:val="en-US" w:eastAsia="zh-CN"/>
              </w:rPr>
              <w:t>0.5</w:t>
            </w:r>
            <w:r>
              <w:rPr>
                <w:rFonts w:hint="eastAsia" w:ascii="宋体" w:hAnsi="宋体" w:eastAsia="宋体" w:cs="宋体"/>
                <w:sz w:val="21"/>
                <w:szCs w:val="21"/>
              </w:rPr>
              <w:t>分，最多</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pPr>
              <w:widowControl/>
              <w:spacing w:line="440" w:lineRule="exact"/>
              <w:jc w:val="left"/>
              <w:rPr>
                <w:rFonts w:hint="eastAsia" w:ascii="宋体" w:hAnsi="宋体" w:eastAsia="宋体" w:cs="宋体"/>
                <w:bCs/>
                <w:sz w:val="21"/>
                <w:szCs w:val="21"/>
              </w:rPr>
            </w:pPr>
            <w:r>
              <w:rPr>
                <w:rFonts w:hint="eastAsia" w:ascii="宋体" w:hAnsi="宋体" w:eastAsia="宋体" w:cs="宋体"/>
                <w:b/>
                <w:kern w:val="0"/>
                <w:sz w:val="21"/>
                <w:szCs w:val="21"/>
              </w:rPr>
              <w:t>以上业绩合同证明文件开标现场须提供原件，否则不予计分，复印件装订在投标文件中。</w:t>
            </w:r>
          </w:p>
        </w:tc>
        <w:tc>
          <w:tcPr>
            <w:tcW w:w="527" w:type="pct"/>
            <w:vAlign w:val="center"/>
          </w:tcPr>
          <w:p>
            <w:pPr>
              <w:spacing w:line="56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kern w:val="0"/>
                <w:sz w:val="21"/>
                <w:szCs w:val="21"/>
              </w:rPr>
            </w:pPr>
          </w:p>
          <w:p>
            <w:pPr>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获取荣誉证书</w:t>
            </w:r>
          </w:p>
        </w:tc>
        <w:tc>
          <w:tcPr>
            <w:tcW w:w="2987" w:type="pct"/>
            <w:vAlign w:val="center"/>
          </w:tcPr>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获得过市级及以上税务机关及协会颁发得荣誉证书或表彰的，每得一项加1分，最多3分。</w:t>
            </w:r>
          </w:p>
          <w:p>
            <w:pPr>
              <w:widowControl/>
              <w:spacing w:line="440" w:lineRule="exact"/>
              <w:jc w:val="left"/>
              <w:rPr>
                <w:rFonts w:hint="eastAsia" w:ascii="宋体" w:hAnsi="宋体" w:eastAsia="宋体" w:cs="宋体"/>
                <w:bCs/>
                <w:kern w:val="2"/>
                <w:sz w:val="21"/>
                <w:szCs w:val="21"/>
                <w:lang w:val="en-US" w:eastAsia="zh-CN" w:bidi="ar-SA"/>
              </w:rPr>
            </w:pPr>
            <w:r>
              <w:rPr>
                <w:rFonts w:hint="eastAsia" w:ascii="宋体" w:hAnsi="宋体" w:eastAsia="宋体" w:cs="宋体"/>
                <w:b/>
                <w:kern w:val="0"/>
                <w:sz w:val="21"/>
                <w:szCs w:val="21"/>
              </w:rPr>
              <w:t>以上证明文件开标现场须提供原件，否则不予计分，复印件装订在投标文件中。</w:t>
            </w:r>
          </w:p>
        </w:tc>
        <w:tc>
          <w:tcPr>
            <w:tcW w:w="527" w:type="pct"/>
            <w:vAlign w:val="center"/>
          </w:tcPr>
          <w:p>
            <w:pPr>
              <w:jc w:val="center"/>
              <w:rPr>
                <w:rFonts w:hint="eastAsia" w:ascii="宋体" w:hAnsi="宋体" w:eastAsia="宋体" w:cs="宋体"/>
                <w:bCs/>
                <w:kern w:val="2"/>
                <w:sz w:val="21"/>
                <w:szCs w:val="21"/>
                <w:lang w:val="en-US" w:eastAsia="zh-CN" w:bidi="ar-SA"/>
              </w:rPr>
            </w:pPr>
            <w:r>
              <w:rPr>
                <w:rFonts w:hint="eastAsia" w:ascii="宋体" w:hAnsi="宋体" w:eastAsia="宋体" w:cs="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0" w:hRule="atLeast"/>
          <w:jc w:val="center"/>
        </w:trPr>
        <w:tc>
          <w:tcPr>
            <w:tcW w:w="873" w:type="pct"/>
            <w:vMerge w:val="restart"/>
            <w:vAlign w:val="center"/>
          </w:tcPr>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p>
          <w:p>
            <w:pPr>
              <w:spacing w:line="56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技术服务</w:t>
            </w:r>
          </w:p>
          <w:p>
            <w:pPr>
              <w:spacing w:line="560" w:lineRule="exact"/>
              <w:jc w:val="center"/>
              <w:rPr>
                <w:rFonts w:hint="eastAsia" w:ascii="宋体" w:hAnsi="宋体" w:eastAsia="宋体" w:cs="宋体"/>
                <w:b/>
                <w:bCs/>
                <w:sz w:val="21"/>
                <w:szCs w:val="21"/>
              </w:rPr>
            </w:pPr>
          </w:p>
          <w:p>
            <w:pPr>
              <w:spacing w:line="560" w:lineRule="exact"/>
              <w:jc w:val="center"/>
              <w:rPr>
                <w:rFonts w:hint="eastAsia" w:ascii="宋体" w:hAnsi="宋体" w:eastAsia="宋体" w:cs="宋体"/>
                <w:b/>
                <w:bCs/>
                <w:sz w:val="21"/>
                <w:szCs w:val="21"/>
              </w:rPr>
            </w:pPr>
          </w:p>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服务团队</w:t>
            </w:r>
          </w:p>
        </w:tc>
        <w:tc>
          <w:tcPr>
            <w:tcW w:w="2987" w:type="pct"/>
            <w:vAlign w:val="center"/>
          </w:tcPr>
          <w:p>
            <w:pPr>
              <w:widowControl/>
              <w:spacing w:line="440" w:lineRule="exact"/>
              <w:jc w:val="left"/>
              <w:rPr>
                <w:rFonts w:hint="eastAsia" w:ascii="宋体" w:hAnsi="宋体" w:eastAsia="宋体" w:cs="宋体"/>
                <w:kern w:val="0"/>
                <w:sz w:val="21"/>
                <w:szCs w:val="21"/>
              </w:rPr>
            </w:pPr>
            <w:r>
              <w:rPr>
                <w:rFonts w:hint="eastAsia" w:ascii="宋体" w:hAnsi="宋体" w:eastAsia="宋体" w:cs="宋体"/>
                <w:color w:val="000000"/>
                <w:sz w:val="21"/>
                <w:szCs w:val="21"/>
              </w:rPr>
              <w:t>组建委派的审计代理服务团队，应</w:t>
            </w:r>
            <w:r>
              <w:rPr>
                <w:rFonts w:hint="eastAsia" w:ascii="宋体" w:hAnsi="宋体" w:eastAsia="宋体" w:cs="宋体"/>
                <w:sz w:val="21"/>
                <w:szCs w:val="21"/>
              </w:rPr>
              <w:t>具有丰富的财税理论知识、组织管理和协调解决问题的能力。</w:t>
            </w:r>
          </w:p>
          <w:p>
            <w:pPr>
              <w:widowControl/>
              <w:spacing w:line="440" w:lineRule="exact"/>
              <w:jc w:val="left"/>
              <w:rPr>
                <w:rFonts w:hint="eastAsia" w:ascii="宋体" w:hAnsi="宋体" w:eastAsia="宋体" w:cs="宋体"/>
                <w:color w:val="FF0000"/>
                <w:kern w:val="0"/>
                <w:sz w:val="21"/>
                <w:szCs w:val="21"/>
              </w:rPr>
            </w:pPr>
            <w:r>
              <w:rPr>
                <w:rFonts w:hint="eastAsia" w:ascii="宋体" w:hAnsi="宋体" w:eastAsia="宋体" w:cs="宋体"/>
                <w:kern w:val="0"/>
                <w:sz w:val="21"/>
                <w:szCs w:val="21"/>
              </w:rPr>
              <w:t>1）拟任</w:t>
            </w:r>
            <w:r>
              <w:rPr>
                <w:rFonts w:hint="eastAsia" w:ascii="宋体" w:hAnsi="宋体" w:eastAsia="宋体" w:cs="宋体"/>
                <w:b/>
                <w:bCs/>
                <w:kern w:val="0"/>
                <w:sz w:val="21"/>
                <w:szCs w:val="21"/>
              </w:rPr>
              <w:t>本项目团队负责人</w:t>
            </w:r>
            <w:r>
              <w:rPr>
                <w:rFonts w:hint="eastAsia" w:ascii="宋体" w:hAnsi="宋体" w:eastAsia="宋体" w:cs="宋体"/>
                <w:kern w:val="0"/>
                <w:sz w:val="21"/>
                <w:szCs w:val="21"/>
              </w:rPr>
              <w:t>的执业资格等级、从事税务代理的工作年限、工作业绩等情况，执业</w:t>
            </w:r>
            <w:r>
              <w:rPr>
                <w:rFonts w:hint="eastAsia" w:ascii="宋体" w:hAnsi="宋体" w:eastAsia="宋体" w:cs="宋体"/>
                <w:kern w:val="0"/>
                <w:sz w:val="21"/>
                <w:szCs w:val="21"/>
                <w:lang w:val="en-US" w:eastAsia="zh-CN"/>
              </w:rPr>
              <w:t>5年</w:t>
            </w:r>
            <w:r>
              <w:rPr>
                <w:rFonts w:hint="eastAsia" w:ascii="宋体" w:hAnsi="宋体" w:eastAsia="宋体" w:cs="宋体"/>
                <w:kern w:val="0"/>
                <w:sz w:val="21"/>
                <w:szCs w:val="21"/>
              </w:rPr>
              <w:t>（含）</w:t>
            </w:r>
            <w:r>
              <w:rPr>
                <w:rFonts w:hint="eastAsia" w:ascii="宋体" w:hAnsi="宋体" w:eastAsia="宋体" w:cs="宋体"/>
                <w:kern w:val="0"/>
                <w:sz w:val="21"/>
                <w:szCs w:val="21"/>
                <w:lang w:val="en-US" w:eastAsia="zh-CN"/>
              </w:rPr>
              <w:t>以下不得分，5</w:t>
            </w:r>
            <w:r>
              <w:rPr>
                <w:rFonts w:hint="eastAsia" w:ascii="宋体" w:hAnsi="宋体" w:eastAsia="宋体" w:cs="宋体"/>
                <w:kern w:val="0"/>
                <w:sz w:val="21"/>
                <w:szCs w:val="21"/>
              </w:rPr>
              <w:t>—10年（含）得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分；10年以上得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2）团队</w:t>
            </w:r>
            <w:r>
              <w:rPr>
                <w:rFonts w:hint="eastAsia" w:ascii="宋体" w:hAnsi="宋体" w:eastAsia="宋体" w:cs="宋体"/>
                <w:kern w:val="0"/>
                <w:sz w:val="21"/>
                <w:szCs w:val="21"/>
                <w:lang w:eastAsia="zh-CN"/>
              </w:rPr>
              <w:t>其他成员</w:t>
            </w:r>
            <w:r>
              <w:rPr>
                <w:rFonts w:hint="eastAsia" w:ascii="宋体" w:hAnsi="宋体" w:eastAsia="宋体" w:cs="宋体"/>
                <w:kern w:val="0"/>
                <w:sz w:val="21"/>
                <w:szCs w:val="21"/>
              </w:rPr>
              <w:t>具有行业内注册税务师或注册会计师资格证的，每个得1分，最多得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color w:val="FF0000"/>
                <w:kern w:val="0"/>
                <w:sz w:val="21"/>
                <w:szCs w:val="21"/>
              </w:rPr>
            </w:pPr>
            <w:r>
              <w:rPr>
                <w:rFonts w:hint="eastAsia" w:ascii="宋体" w:hAnsi="宋体" w:eastAsia="宋体" w:cs="宋体"/>
                <w:kern w:val="0"/>
                <w:sz w:val="21"/>
                <w:szCs w:val="21"/>
              </w:rPr>
              <w:t>3）配备的税务培训讲师的执业资格等级，执业</w:t>
            </w:r>
            <w:r>
              <w:rPr>
                <w:rFonts w:hint="eastAsia" w:ascii="宋体" w:hAnsi="宋体" w:eastAsia="宋体" w:cs="宋体"/>
                <w:kern w:val="0"/>
                <w:sz w:val="21"/>
                <w:szCs w:val="21"/>
                <w:lang w:val="en-US" w:eastAsia="zh-CN"/>
              </w:rPr>
              <w:t>培训5年</w:t>
            </w:r>
            <w:r>
              <w:rPr>
                <w:rFonts w:hint="eastAsia" w:ascii="宋体" w:hAnsi="宋体" w:eastAsia="宋体" w:cs="宋体"/>
                <w:kern w:val="0"/>
                <w:sz w:val="21"/>
                <w:szCs w:val="21"/>
              </w:rPr>
              <w:t>（含）</w:t>
            </w:r>
            <w:r>
              <w:rPr>
                <w:rFonts w:hint="eastAsia" w:ascii="宋体" w:hAnsi="宋体" w:eastAsia="宋体" w:cs="宋体"/>
                <w:kern w:val="0"/>
                <w:sz w:val="21"/>
                <w:szCs w:val="21"/>
                <w:lang w:val="en-US" w:eastAsia="zh-CN"/>
              </w:rPr>
              <w:t>以下不得分，5</w:t>
            </w:r>
            <w:r>
              <w:rPr>
                <w:rFonts w:hint="eastAsia" w:ascii="宋体" w:hAnsi="宋体" w:eastAsia="宋体" w:cs="宋体"/>
                <w:kern w:val="0"/>
                <w:sz w:val="21"/>
                <w:szCs w:val="21"/>
              </w:rPr>
              <w:t>—10年（含）得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分；10年以上得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p>
            <w:pPr>
              <w:widowControl/>
              <w:spacing w:line="440" w:lineRule="exact"/>
              <w:jc w:val="left"/>
              <w:rPr>
                <w:rFonts w:hint="eastAsia" w:ascii="宋体" w:hAnsi="宋体" w:eastAsia="宋体" w:cs="宋体"/>
                <w:kern w:val="2"/>
                <w:sz w:val="21"/>
                <w:szCs w:val="21"/>
                <w:lang w:val="en-US" w:eastAsia="zh-CN" w:bidi="ar-SA"/>
              </w:rPr>
            </w:pPr>
            <w:r>
              <w:rPr>
                <w:rFonts w:hint="eastAsia" w:ascii="宋体" w:hAnsi="宋体" w:eastAsia="宋体" w:cs="宋体"/>
                <w:b/>
                <w:kern w:val="0"/>
                <w:sz w:val="21"/>
                <w:szCs w:val="21"/>
              </w:rPr>
              <w:t>提供证书原件及</w:t>
            </w:r>
            <w:r>
              <w:rPr>
                <w:rFonts w:hint="eastAsia" w:ascii="宋体" w:hAnsi="宋体" w:eastAsia="宋体" w:cs="宋体"/>
                <w:b/>
                <w:kern w:val="0"/>
                <w:sz w:val="21"/>
                <w:szCs w:val="21"/>
                <w:lang w:eastAsia="zh-CN"/>
              </w:rPr>
              <w:t>佐证材料等</w:t>
            </w:r>
            <w:r>
              <w:rPr>
                <w:rFonts w:hint="eastAsia" w:ascii="宋体" w:hAnsi="宋体" w:eastAsia="宋体" w:cs="宋体"/>
                <w:b/>
                <w:kern w:val="0"/>
                <w:sz w:val="21"/>
                <w:szCs w:val="21"/>
              </w:rPr>
              <w:t>，否则不予计分，复印件装订在投标文件中。</w:t>
            </w:r>
          </w:p>
        </w:tc>
        <w:tc>
          <w:tcPr>
            <w:tcW w:w="527" w:type="pct"/>
            <w:vAlign w:val="center"/>
          </w:tcPr>
          <w:p>
            <w:pPr>
              <w:spacing w:line="560" w:lineRule="exact"/>
              <w:jc w:val="center"/>
              <w:rPr>
                <w:rFonts w:hint="eastAsia" w:ascii="宋体" w:hAnsi="宋体" w:eastAsia="宋体" w:cs="宋体"/>
                <w:bCs/>
                <w:kern w:val="2"/>
                <w:sz w:val="21"/>
                <w:szCs w:val="21"/>
                <w:lang w:val="en-US" w:eastAsia="zh-CN" w:bidi="ar-SA"/>
              </w:rPr>
            </w:pPr>
            <w:r>
              <w:rPr>
                <w:rFonts w:hint="eastAsia" w:ascii="宋体" w:hAnsi="宋体" w:eastAsia="宋体" w:cs="宋体"/>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sz w:val="21"/>
                <w:szCs w:val="21"/>
              </w:rPr>
            </w:pPr>
          </w:p>
          <w:p>
            <w:pPr>
              <w:jc w:val="center"/>
              <w:rPr>
                <w:rFonts w:hint="eastAsia" w:ascii="宋体" w:hAnsi="宋体" w:eastAsia="宋体" w:cs="宋体"/>
                <w:sz w:val="21"/>
                <w:szCs w:val="21"/>
              </w:rPr>
            </w:pPr>
            <w:r>
              <w:rPr>
                <w:rFonts w:hint="eastAsia" w:ascii="宋体" w:hAnsi="宋体" w:eastAsia="宋体" w:cs="宋体"/>
                <w:sz w:val="21"/>
                <w:szCs w:val="21"/>
              </w:rPr>
              <w:t>服务</w:t>
            </w:r>
          </w:p>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方案</w:t>
            </w:r>
          </w:p>
        </w:tc>
        <w:tc>
          <w:tcPr>
            <w:tcW w:w="2987" w:type="pct"/>
            <w:vAlign w:val="center"/>
          </w:tcPr>
          <w:p>
            <w:pPr>
              <w:numPr>
                <w:ilvl w:val="0"/>
                <w:numId w:val="0"/>
              </w:num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投标人提供的</w:t>
            </w:r>
            <w:r>
              <w:rPr>
                <w:rFonts w:hint="eastAsia" w:ascii="宋体" w:hAnsi="宋体" w:eastAsia="宋体" w:cs="宋体"/>
                <w:kern w:val="0"/>
                <w:sz w:val="21"/>
                <w:szCs w:val="21"/>
              </w:rPr>
              <w:t>税务审计代理服务方案科学、合理、</w:t>
            </w:r>
            <w:r>
              <w:rPr>
                <w:rFonts w:hint="eastAsia" w:ascii="宋体" w:hAnsi="宋体" w:eastAsia="宋体" w:cs="宋体"/>
                <w:kern w:val="0"/>
                <w:sz w:val="21"/>
                <w:szCs w:val="21"/>
                <w:lang w:eastAsia="zh-CN"/>
              </w:rPr>
              <w:t>完整且具有</w:t>
            </w:r>
            <w:r>
              <w:rPr>
                <w:rFonts w:hint="eastAsia" w:ascii="宋体" w:hAnsi="宋体" w:eastAsia="宋体" w:cs="宋体"/>
                <w:kern w:val="0"/>
                <w:sz w:val="21"/>
                <w:szCs w:val="21"/>
              </w:rPr>
              <w:t>可操作性，</w:t>
            </w:r>
            <w:r>
              <w:rPr>
                <w:rFonts w:hint="eastAsia" w:ascii="宋体" w:hAnsi="宋体" w:eastAsia="宋体" w:cs="宋体"/>
                <w:kern w:val="0"/>
                <w:sz w:val="21"/>
                <w:szCs w:val="21"/>
                <w:lang w:eastAsia="zh-CN"/>
              </w:rPr>
              <w:t>满分</w:t>
            </w:r>
            <w:r>
              <w:rPr>
                <w:rFonts w:hint="eastAsia" w:ascii="宋体" w:hAnsi="宋体" w:eastAsia="宋体" w:cs="宋体"/>
                <w:kern w:val="0"/>
                <w:sz w:val="21"/>
                <w:szCs w:val="21"/>
                <w:lang w:val="en-US" w:eastAsia="zh-CN"/>
              </w:rPr>
              <w:t>8分。其中</w:t>
            </w:r>
            <w:r>
              <w:rPr>
                <w:rFonts w:hint="eastAsia" w:ascii="宋体" w:hAnsi="宋体" w:eastAsia="宋体" w:cs="宋体"/>
                <w:kern w:val="0"/>
                <w:sz w:val="21"/>
                <w:szCs w:val="21"/>
                <w:lang w:eastAsia="zh-CN"/>
              </w:rPr>
              <w:t>优秀得</w:t>
            </w:r>
            <w:r>
              <w:rPr>
                <w:rFonts w:hint="eastAsia" w:ascii="宋体" w:hAnsi="宋体" w:eastAsia="宋体" w:cs="宋体"/>
                <w:sz w:val="20"/>
                <w:szCs w:val="20"/>
                <w:lang w:val="en-US" w:eastAsia="zh-CN"/>
              </w:rPr>
              <w:t>(6-8]</w:t>
            </w:r>
            <w:r>
              <w:rPr>
                <w:rFonts w:hint="eastAsia" w:ascii="宋体" w:hAnsi="宋体" w:eastAsia="宋体" w:cs="宋体"/>
                <w:kern w:val="0"/>
                <w:sz w:val="21"/>
                <w:szCs w:val="21"/>
                <w:lang w:val="en-US" w:eastAsia="zh-CN"/>
              </w:rPr>
              <w:t>分，良好得</w:t>
            </w:r>
            <w:r>
              <w:rPr>
                <w:rFonts w:hint="eastAsia" w:ascii="宋体" w:hAnsi="宋体" w:eastAsia="宋体" w:cs="宋体"/>
                <w:sz w:val="20"/>
                <w:szCs w:val="20"/>
                <w:lang w:val="en-US" w:eastAsia="zh-CN"/>
              </w:rPr>
              <w:t>(4-6]</w:t>
            </w:r>
            <w:r>
              <w:rPr>
                <w:rFonts w:hint="eastAsia" w:ascii="宋体" w:hAnsi="宋体" w:eastAsia="宋体" w:cs="宋体"/>
                <w:kern w:val="0"/>
                <w:sz w:val="21"/>
                <w:szCs w:val="21"/>
                <w:lang w:val="en-US" w:eastAsia="zh-CN"/>
              </w:rPr>
              <w:t>分，一般得</w:t>
            </w:r>
            <w:r>
              <w:rPr>
                <w:rFonts w:hint="eastAsia" w:ascii="宋体" w:hAnsi="宋体" w:eastAsia="宋体" w:cs="宋体"/>
                <w:sz w:val="20"/>
                <w:szCs w:val="20"/>
                <w:lang w:val="en-US" w:eastAsia="zh-CN"/>
              </w:rPr>
              <w:t>(0-4]</w:t>
            </w:r>
            <w:r>
              <w:rPr>
                <w:rFonts w:hint="eastAsia" w:ascii="宋体" w:hAnsi="宋体" w:eastAsia="宋体" w:cs="宋体"/>
                <w:kern w:val="0"/>
                <w:sz w:val="21"/>
                <w:szCs w:val="21"/>
                <w:lang w:val="en-US" w:eastAsia="zh-CN"/>
              </w:rPr>
              <w:t>分，未提供不得分</w:t>
            </w:r>
            <w:r>
              <w:rPr>
                <w:rFonts w:hint="eastAsia" w:ascii="宋体" w:hAnsi="宋体" w:eastAsia="宋体" w:cs="宋体"/>
                <w:color w:val="auto"/>
                <w:kern w:val="0"/>
                <w:sz w:val="21"/>
                <w:szCs w:val="21"/>
              </w:rPr>
              <w:t>。</w:t>
            </w:r>
          </w:p>
          <w:p>
            <w:pPr>
              <w:spacing w:line="44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sz w:val="21"/>
                <w:szCs w:val="21"/>
              </w:rPr>
              <w:t>注：需将关键内容在技术方案中列示。</w:t>
            </w:r>
          </w:p>
        </w:tc>
        <w:tc>
          <w:tcPr>
            <w:tcW w:w="527" w:type="pct"/>
            <w:vAlign w:val="center"/>
          </w:tcPr>
          <w:p>
            <w:pPr>
              <w:spacing w:line="560" w:lineRule="exact"/>
              <w:jc w:val="center"/>
              <w:rPr>
                <w:rFonts w:hint="eastAsia" w:ascii="宋体" w:hAnsi="宋体" w:eastAsia="宋体" w:cs="宋体"/>
                <w:bCs/>
                <w:kern w:val="2"/>
                <w:sz w:val="21"/>
                <w:szCs w:val="21"/>
                <w:lang w:val="en-US" w:eastAsia="zh-CN" w:bidi="ar-SA"/>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eastAsia="zh-CN"/>
              </w:rPr>
              <w:t>服务</w:t>
            </w:r>
            <w:r>
              <w:rPr>
                <w:rFonts w:hint="eastAsia" w:ascii="宋体" w:hAnsi="宋体" w:eastAsia="宋体" w:cs="宋体"/>
                <w:kern w:val="0"/>
                <w:sz w:val="21"/>
                <w:szCs w:val="21"/>
              </w:rPr>
              <w:t>保证措施</w:t>
            </w:r>
          </w:p>
        </w:tc>
        <w:tc>
          <w:tcPr>
            <w:tcW w:w="2987" w:type="pct"/>
            <w:vAlign w:val="center"/>
          </w:tcPr>
          <w:p>
            <w:pPr>
              <w:spacing w:line="440" w:lineRule="exact"/>
              <w:jc w:val="left"/>
              <w:rPr>
                <w:rFonts w:hint="eastAsia" w:ascii="宋体" w:hAnsi="宋体" w:eastAsia="宋体" w:cs="宋体"/>
                <w:color w:val="auto"/>
                <w:kern w:val="0"/>
                <w:sz w:val="21"/>
                <w:szCs w:val="21"/>
              </w:rPr>
            </w:pPr>
            <w:r>
              <w:rPr>
                <w:rFonts w:hint="eastAsia" w:ascii="宋体" w:hAnsi="宋体" w:eastAsia="宋体" w:cs="宋体"/>
                <w:kern w:val="0"/>
                <w:sz w:val="21"/>
                <w:szCs w:val="21"/>
                <w:lang w:eastAsia="zh-CN"/>
              </w:rPr>
              <w:t>投标人提供的</w:t>
            </w:r>
            <w:r>
              <w:rPr>
                <w:rFonts w:hint="eastAsia" w:ascii="宋体" w:hAnsi="宋体" w:eastAsia="宋体" w:cs="宋体"/>
                <w:kern w:val="0"/>
                <w:sz w:val="21"/>
                <w:szCs w:val="21"/>
              </w:rPr>
              <w:t>内控制度及保证措施科学、严谨、合理</w:t>
            </w:r>
            <w:r>
              <w:rPr>
                <w:rFonts w:hint="eastAsia" w:ascii="宋体" w:hAnsi="宋体" w:eastAsia="宋体" w:cs="宋体"/>
                <w:kern w:val="0"/>
                <w:sz w:val="21"/>
                <w:szCs w:val="21"/>
                <w:lang w:eastAsia="zh-CN"/>
              </w:rPr>
              <w:t>并具有</w:t>
            </w:r>
            <w:r>
              <w:rPr>
                <w:rFonts w:hint="eastAsia" w:ascii="宋体" w:hAnsi="宋体" w:eastAsia="宋体" w:cs="宋体"/>
                <w:kern w:val="0"/>
                <w:sz w:val="21"/>
                <w:szCs w:val="21"/>
              </w:rPr>
              <w:t>可操作性，</w:t>
            </w:r>
            <w:r>
              <w:rPr>
                <w:rFonts w:hint="eastAsia" w:ascii="宋体" w:hAnsi="宋体" w:eastAsia="宋体" w:cs="宋体"/>
                <w:kern w:val="0"/>
                <w:sz w:val="21"/>
                <w:szCs w:val="21"/>
                <w:lang w:eastAsia="zh-CN"/>
              </w:rPr>
              <w:t>满分</w:t>
            </w:r>
            <w:r>
              <w:rPr>
                <w:rFonts w:hint="eastAsia" w:ascii="宋体" w:hAnsi="宋体" w:eastAsia="宋体" w:cs="宋体"/>
                <w:kern w:val="0"/>
                <w:sz w:val="21"/>
                <w:szCs w:val="21"/>
                <w:lang w:val="en-US" w:eastAsia="zh-CN"/>
              </w:rPr>
              <w:t>6分。其中</w:t>
            </w:r>
            <w:r>
              <w:rPr>
                <w:rFonts w:hint="eastAsia" w:ascii="宋体" w:hAnsi="宋体" w:eastAsia="宋体" w:cs="宋体"/>
                <w:kern w:val="0"/>
                <w:sz w:val="21"/>
                <w:szCs w:val="21"/>
                <w:lang w:eastAsia="zh-CN"/>
              </w:rPr>
              <w:t>优秀得</w:t>
            </w:r>
            <w:r>
              <w:rPr>
                <w:rFonts w:hint="eastAsia" w:ascii="宋体" w:hAnsi="宋体" w:eastAsia="宋体" w:cs="宋体"/>
                <w:sz w:val="20"/>
                <w:szCs w:val="20"/>
                <w:lang w:val="en-US" w:eastAsia="zh-CN"/>
              </w:rPr>
              <w:t>(4-6]</w:t>
            </w:r>
            <w:r>
              <w:rPr>
                <w:rFonts w:hint="eastAsia" w:ascii="宋体" w:hAnsi="宋体" w:eastAsia="宋体" w:cs="宋体"/>
                <w:kern w:val="0"/>
                <w:sz w:val="21"/>
                <w:szCs w:val="21"/>
                <w:lang w:val="en-US" w:eastAsia="zh-CN"/>
              </w:rPr>
              <w:t>分，良好得</w:t>
            </w:r>
            <w:r>
              <w:rPr>
                <w:rFonts w:hint="eastAsia" w:ascii="宋体" w:hAnsi="宋体" w:eastAsia="宋体" w:cs="宋体"/>
                <w:sz w:val="20"/>
                <w:szCs w:val="20"/>
                <w:lang w:val="en-US" w:eastAsia="zh-CN"/>
              </w:rPr>
              <w:t>(2-4]</w:t>
            </w:r>
            <w:r>
              <w:rPr>
                <w:rFonts w:hint="eastAsia" w:ascii="宋体" w:hAnsi="宋体" w:eastAsia="宋体" w:cs="宋体"/>
                <w:kern w:val="0"/>
                <w:sz w:val="21"/>
                <w:szCs w:val="21"/>
                <w:lang w:val="en-US" w:eastAsia="zh-CN"/>
              </w:rPr>
              <w:t>分，一般得</w:t>
            </w:r>
            <w:r>
              <w:rPr>
                <w:rFonts w:hint="eastAsia" w:ascii="宋体" w:hAnsi="宋体" w:eastAsia="宋体" w:cs="宋体"/>
                <w:sz w:val="20"/>
                <w:szCs w:val="20"/>
                <w:lang w:val="en-US" w:eastAsia="zh-CN"/>
              </w:rPr>
              <w:t>(0-2]</w:t>
            </w:r>
            <w:r>
              <w:rPr>
                <w:rFonts w:hint="eastAsia" w:ascii="宋体" w:hAnsi="宋体" w:eastAsia="宋体" w:cs="宋体"/>
                <w:kern w:val="0"/>
                <w:sz w:val="21"/>
                <w:szCs w:val="21"/>
                <w:lang w:val="en-US" w:eastAsia="zh-CN"/>
              </w:rPr>
              <w:t>分，未提供不得分</w:t>
            </w:r>
            <w:r>
              <w:rPr>
                <w:rFonts w:hint="eastAsia" w:ascii="宋体" w:hAnsi="宋体" w:eastAsia="宋体" w:cs="宋体"/>
                <w:color w:val="auto"/>
                <w:kern w:val="0"/>
                <w:sz w:val="21"/>
                <w:szCs w:val="21"/>
              </w:rPr>
              <w:t>。</w:t>
            </w:r>
          </w:p>
          <w:p>
            <w:pPr>
              <w:spacing w:line="440" w:lineRule="exact"/>
              <w:jc w:val="left"/>
              <w:rPr>
                <w:rFonts w:hint="eastAsia" w:ascii="宋体" w:hAnsi="宋体" w:eastAsia="宋体" w:cs="宋体"/>
                <w:color w:val="auto"/>
                <w:kern w:val="0"/>
                <w:sz w:val="21"/>
                <w:szCs w:val="21"/>
                <w:lang w:val="en-US" w:eastAsia="zh-CN" w:bidi="ar-SA"/>
              </w:rPr>
            </w:pPr>
            <w:r>
              <w:rPr>
                <w:rFonts w:hint="eastAsia" w:ascii="宋体" w:hAnsi="宋体" w:eastAsia="宋体" w:cs="宋体"/>
                <w:b/>
                <w:bCs/>
                <w:sz w:val="21"/>
                <w:szCs w:val="21"/>
              </w:rPr>
              <w:t>注：需将关键内容在技术方案中列示。</w:t>
            </w:r>
          </w:p>
        </w:tc>
        <w:tc>
          <w:tcPr>
            <w:tcW w:w="527" w:type="pct"/>
            <w:vAlign w:val="center"/>
          </w:tcPr>
          <w:p>
            <w:pPr>
              <w:spacing w:line="56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7"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日常服务</w:t>
            </w:r>
            <w:r>
              <w:rPr>
                <w:rFonts w:hint="eastAsia" w:ascii="宋体" w:hAnsi="宋体" w:eastAsia="宋体" w:cs="宋体"/>
                <w:sz w:val="21"/>
                <w:szCs w:val="21"/>
              </w:rPr>
              <w:t>承诺</w:t>
            </w:r>
          </w:p>
        </w:tc>
        <w:tc>
          <w:tcPr>
            <w:tcW w:w="2987" w:type="pct"/>
            <w:vAlign w:val="center"/>
          </w:tcPr>
          <w:p>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1）提供对公司财务人员税收政策专业化辅导及培训承诺的，</w:t>
            </w:r>
            <w:r>
              <w:rPr>
                <w:rFonts w:hint="eastAsia" w:ascii="宋体" w:hAnsi="宋体" w:eastAsia="宋体" w:cs="宋体"/>
                <w:kern w:val="0"/>
                <w:sz w:val="21"/>
                <w:szCs w:val="21"/>
                <w:lang w:eastAsia="zh-CN"/>
              </w:rPr>
              <w:t>提供一次得</w:t>
            </w:r>
            <w:r>
              <w:rPr>
                <w:rFonts w:hint="eastAsia" w:ascii="宋体" w:hAnsi="宋体" w:eastAsia="宋体" w:cs="宋体"/>
                <w:kern w:val="0"/>
                <w:sz w:val="21"/>
                <w:szCs w:val="21"/>
                <w:lang w:val="en-US" w:eastAsia="zh-CN"/>
              </w:rPr>
              <w:t>1分，满分3分，未提供不得分</w:t>
            </w:r>
            <w:r>
              <w:rPr>
                <w:rFonts w:hint="eastAsia" w:ascii="宋体" w:hAnsi="宋体" w:eastAsia="宋体" w:cs="宋体"/>
                <w:color w:val="auto"/>
                <w:kern w:val="0"/>
                <w:sz w:val="21"/>
                <w:szCs w:val="21"/>
              </w:rPr>
              <w:t>。</w:t>
            </w:r>
          </w:p>
          <w:p>
            <w:pPr>
              <w:spacing w:line="4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2）</w:t>
            </w:r>
            <w:r>
              <w:rPr>
                <w:rFonts w:hint="eastAsia" w:ascii="宋体" w:hAnsi="宋体" w:eastAsia="宋体" w:cs="宋体"/>
                <w:color w:val="auto"/>
                <w:sz w:val="21"/>
                <w:szCs w:val="21"/>
              </w:rPr>
              <w:t>服务时间承诺：约定</w:t>
            </w:r>
            <w:r>
              <w:rPr>
                <w:rFonts w:hint="eastAsia" w:ascii="宋体" w:hAnsi="宋体" w:eastAsia="宋体" w:cs="宋体"/>
                <w:bCs/>
                <w:color w:val="auto"/>
                <w:sz w:val="21"/>
                <w:szCs w:val="21"/>
              </w:rPr>
              <w:t>时限内完成</w:t>
            </w:r>
            <w:r>
              <w:rPr>
                <w:rFonts w:hint="eastAsia" w:ascii="宋体" w:hAnsi="宋体" w:eastAsia="宋体" w:cs="宋体"/>
                <w:color w:val="auto"/>
                <w:sz w:val="21"/>
                <w:szCs w:val="21"/>
              </w:rPr>
              <w:t>年度税务</w:t>
            </w:r>
            <w:r>
              <w:rPr>
                <w:rFonts w:hint="eastAsia" w:ascii="宋体" w:hAnsi="宋体" w:eastAsia="宋体" w:cs="宋体"/>
                <w:bCs/>
                <w:color w:val="auto"/>
                <w:sz w:val="21"/>
                <w:szCs w:val="21"/>
              </w:rPr>
              <w:t>审计服务，应在次年5月15日前提交正式税务审计报告（纸质版一式二份），并协助</w:t>
            </w:r>
            <w:r>
              <w:rPr>
                <w:rFonts w:hint="eastAsia" w:ascii="宋体" w:hAnsi="宋体" w:eastAsia="宋体" w:cs="宋体"/>
                <w:color w:val="auto"/>
                <w:sz w:val="21"/>
                <w:szCs w:val="21"/>
                <w:lang w:eastAsia="zh-CN"/>
              </w:rPr>
              <w:t>我司</w:t>
            </w:r>
            <w:r>
              <w:rPr>
                <w:rFonts w:hint="eastAsia" w:ascii="宋体" w:hAnsi="宋体" w:eastAsia="宋体" w:cs="宋体"/>
                <w:color w:val="auto"/>
                <w:sz w:val="21"/>
                <w:szCs w:val="21"/>
              </w:rPr>
              <w:t>完成企业所得税汇算清缴，有</w:t>
            </w:r>
            <w:r>
              <w:rPr>
                <w:rFonts w:hint="eastAsia" w:ascii="宋体" w:hAnsi="宋体" w:eastAsia="宋体" w:cs="宋体"/>
                <w:color w:val="auto"/>
                <w:sz w:val="21"/>
                <w:szCs w:val="21"/>
                <w:lang w:eastAsia="zh-CN"/>
              </w:rPr>
              <w:t>相关</w:t>
            </w:r>
            <w:r>
              <w:rPr>
                <w:rFonts w:hint="eastAsia" w:ascii="宋体" w:hAnsi="宋体" w:eastAsia="宋体" w:cs="宋体"/>
                <w:color w:val="auto"/>
                <w:sz w:val="21"/>
                <w:szCs w:val="21"/>
              </w:rPr>
              <w:t>承诺的得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未提供</w:t>
            </w:r>
            <w:r>
              <w:rPr>
                <w:rFonts w:hint="eastAsia" w:ascii="宋体" w:hAnsi="宋体" w:eastAsia="宋体" w:cs="宋体"/>
                <w:color w:val="auto"/>
                <w:sz w:val="21"/>
                <w:szCs w:val="21"/>
              </w:rPr>
              <w:t>不得分。</w:t>
            </w:r>
          </w:p>
        </w:tc>
        <w:tc>
          <w:tcPr>
            <w:tcW w:w="527" w:type="pct"/>
            <w:vAlign w:val="center"/>
          </w:tcPr>
          <w:p>
            <w:pPr>
              <w:spacing w:line="560" w:lineRule="exact"/>
              <w:jc w:val="center"/>
              <w:rPr>
                <w:rFonts w:hint="default" w:ascii="宋体" w:hAnsi="宋体" w:eastAsia="宋体" w:cs="宋体"/>
                <w:bCs/>
                <w:kern w:val="2"/>
                <w:sz w:val="21"/>
                <w:szCs w:val="21"/>
                <w:lang w:val="en-US" w:eastAsia="zh-CN" w:bidi="ar-SA"/>
              </w:rPr>
            </w:pPr>
            <w:r>
              <w:rPr>
                <w:rFonts w:hint="eastAsia" w:ascii="宋体" w:hAnsi="宋体" w:eastAsia="宋体" w:cs="宋体"/>
                <w:bCs/>
                <w:kern w:val="2"/>
                <w:sz w:val="21"/>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73" w:type="pct"/>
            <w:vMerge w:val="continue"/>
            <w:vAlign w:val="center"/>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现场述标质量</w:t>
            </w:r>
          </w:p>
        </w:tc>
        <w:tc>
          <w:tcPr>
            <w:tcW w:w="2987" w:type="pct"/>
            <w:vAlign w:val="center"/>
          </w:tcPr>
          <w:p>
            <w:pPr>
              <w:spacing w:line="440" w:lineRule="exact"/>
              <w:jc w:val="lef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通过PPT等方式现场讲解： </w:t>
            </w:r>
          </w:p>
          <w:p>
            <w:pPr>
              <w:spacing w:line="440" w:lineRule="exact"/>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投标人结合1例同类业绩，分别从审计工作计划及方案、出具的审计报告等维度展开讲解，发现问题准确，审计意见有针对性得</w:t>
            </w:r>
            <w:r>
              <w:rPr>
                <w:rFonts w:hint="eastAsia" w:ascii="宋体" w:hAnsi="宋体" w:eastAsia="宋体" w:cs="宋体"/>
                <w:sz w:val="20"/>
                <w:szCs w:val="20"/>
                <w:lang w:val="en-US" w:eastAsia="zh-CN"/>
              </w:rPr>
              <w:t>(4-5]</w:t>
            </w:r>
            <w:r>
              <w:rPr>
                <w:rFonts w:hint="eastAsia" w:ascii="宋体" w:hAnsi="宋体" w:eastAsia="宋体" w:cs="宋体"/>
                <w:color w:val="auto"/>
                <w:sz w:val="21"/>
                <w:szCs w:val="21"/>
                <w:lang w:val="en-US" w:eastAsia="zh-CN"/>
              </w:rPr>
              <w:t>分，较为准确、较有针对性得</w:t>
            </w:r>
            <w:r>
              <w:rPr>
                <w:rFonts w:hint="eastAsia" w:ascii="宋体" w:hAnsi="宋体" w:eastAsia="宋体" w:cs="宋体"/>
                <w:sz w:val="20"/>
                <w:szCs w:val="20"/>
                <w:lang w:val="en-US" w:eastAsia="zh-CN"/>
              </w:rPr>
              <w:t>(3-4]</w:t>
            </w:r>
            <w:r>
              <w:rPr>
                <w:rFonts w:hint="eastAsia" w:ascii="宋体" w:hAnsi="宋体" w:eastAsia="宋体" w:cs="宋体"/>
                <w:color w:val="auto"/>
                <w:sz w:val="21"/>
                <w:szCs w:val="21"/>
                <w:lang w:val="en-US" w:eastAsia="zh-CN"/>
              </w:rPr>
              <w:t>分，一般得</w:t>
            </w:r>
            <w:r>
              <w:rPr>
                <w:rFonts w:hint="eastAsia" w:ascii="宋体" w:hAnsi="宋体" w:eastAsia="宋体" w:cs="宋体"/>
                <w:sz w:val="20"/>
                <w:szCs w:val="20"/>
                <w:lang w:val="en-US" w:eastAsia="zh-CN"/>
              </w:rPr>
              <w:t>(0-3]</w:t>
            </w:r>
            <w:r>
              <w:rPr>
                <w:rFonts w:hint="eastAsia" w:ascii="宋体" w:hAnsi="宋体" w:eastAsia="宋体" w:cs="宋体"/>
                <w:color w:val="auto"/>
                <w:sz w:val="21"/>
                <w:szCs w:val="21"/>
                <w:lang w:val="en-US" w:eastAsia="zh-CN"/>
              </w:rPr>
              <w:t>分，未准备不得分。</w:t>
            </w:r>
          </w:p>
        </w:tc>
        <w:tc>
          <w:tcPr>
            <w:tcW w:w="527" w:type="pct"/>
            <w:vAlign w:val="center"/>
          </w:tcPr>
          <w:p>
            <w:pPr>
              <w:spacing w:line="5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873" w:type="pct"/>
            <w:vMerge w:val="continue"/>
          </w:tcPr>
          <w:p>
            <w:pPr>
              <w:spacing w:line="560" w:lineRule="exact"/>
              <w:jc w:val="center"/>
              <w:rPr>
                <w:rFonts w:hint="eastAsia" w:ascii="宋体" w:hAnsi="宋体" w:eastAsia="宋体" w:cs="宋体"/>
                <w:b/>
                <w:bCs/>
                <w:sz w:val="21"/>
                <w:szCs w:val="21"/>
              </w:rPr>
            </w:pPr>
          </w:p>
        </w:tc>
        <w:tc>
          <w:tcPr>
            <w:tcW w:w="611" w:type="pc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税企沟通协作</w:t>
            </w:r>
          </w:p>
        </w:tc>
        <w:tc>
          <w:tcPr>
            <w:tcW w:w="2987" w:type="pct"/>
            <w:vAlign w:val="center"/>
          </w:tcPr>
          <w:p>
            <w:pPr>
              <w:spacing w:line="4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建立与财税部门良好快捷的沟通渠道；协助参与财税稽查事项的协调沟通，确保及时有效。</w:t>
            </w:r>
            <w:r>
              <w:rPr>
                <w:rFonts w:hint="eastAsia" w:ascii="宋体" w:hAnsi="宋体" w:eastAsia="宋体" w:cs="宋体"/>
                <w:sz w:val="21"/>
                <w:szCs w:val="21"/>
                <w:lang w:eastAsia="zh-CN"/>
              </w:rPr>
              <w:t>两项均</w:t>
            </w:r>
            <w:r>
              <w:rPr>
                <w:rFonts w:hint="eastAsia" w:ascii="宋体" w:hAnsi="宋体" w:eastAsia="宋体" w:cs="宋体"/>
                <w:sz w:val="21"/>
                <w:szCs w:val="21"/>
              </w:rPr>
              <w:t>有承诺的得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sz w:val="21"/>
                <w:szCs w:val="21"/>
                <w:lang w:eastAsia="zh-CN"/>
              </w:rPr>
              <w:t>满足其中一项得</w:t>
            </w:r>
            <w:r>
              <w:rPr>
                <w:rFonts w:hint="eastAsia" w:ascii="宋体" w:hAnsi="宋体" w:eastAsia="宋体" w:cs="宋体"/>
                <w:sz w:val="21"/>
                <w:szCs w:val="21"/>
                <w:lang w:val="en-US" w:eastAsia="zh-CN"/>
              </w:rPr>
              <w:t>2分，未提供不得分。</w:t>
            </w:r>
          </w:p>
        </w:tc>
        <w:tc>
          <w:tcPr>
            <w:tcW w:w="0" w:type="auto"/>
            <w:vAlign w:val="center"/>
          </w:tcPr>
          <w:p>
            <w:pPr>
              <w:spacing w:line="560" w:lineRule="exact"/>
              <w:jc w:val="center"/>
              <w:rPr>
                <w:rFonts w:hint="eastAsia" w:ascii="宋体" w:hAnsi="宋体" w:eastAsia="宋体" w:cs="宋体"/>
                <w:bCs/>
                <w:kern w:val="2"/>
                <w:sz w:val="21"/>
                <w:szCs w:val="21"/>
                <w:lang w:val="en-US" w:eastAsia="zh-CN" w:bidi="ar-SA"/>
              </w:rPr>
            </w:pPr>
            <w:r>
              <w:rPr>
                <w:rFonts w:hint="eastAsia" w:ascii="宋体" w:hAnsi="宋体" w:eastAsia="宋体" w:cs="宋体"/>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84" w:type="pct"/>
            <w:gridSpan w:val="2"/>
          </w:tcPr>
          <w:p>
            <w:pPr>
              <w:jc w:val="center"/>
              <w:rPr>
                <w:rFonts w:hint="eastAsia" w:ascii="宋体" w:hAnsi="宋体" w:eastAsia="宋体" w:cs="宋体"/>
                <w:sz w:val="21"/>
                <w:szCs w:val="21"/>
              </w:rPr>
            </w:pPr>
            <w:r>
              <w:rPr>
                <w:rFonts w:hint="eastAsia" w:ascii="宋体" w:hAnsi="宋体" w:eastAsia="宋体" w:cs="宋体"/>
                <w:b/>
                <w:bCs/>
                <w:sz w:val="21"/>
                <w:szCs w:val="21"/>
                <w:lang w:eastAsia="zh-CN"/>
              </w:rPr>
              <w:t>合计</w:t>
            </w:r>
          </w:p>
        </w:tc>
        <w:tc>
          <w:tcPr>
            <w:tcW w:w="2987" w:type="pct"/>
            <w:vAlign w:val="center"/>
          </w:tcPr>
          <w:p>
            <w:pPr>
              <w:spacing w:line="440" w:lineRule="exact"/>
              <w:jc w:val="left"/>
              <w:rPr>
                <w:rFonts w:hint="eastAsia" w:ascii="宋体" w:hAnsi="宋体" w:eastAsia="宋体" w:cs="宋体"/>
                <w:sz w:val="21"/>
                <w:szCs w:val="21"/>
              </w:rPr>
            </w:pPr>
          </w:p>
        </w:tc>
        <w:tc>
          <w:tcPr>
            <w:tcW w:w="0" w:type="auto"/>
            <w:vAlign w:val="center"/>
          </w:tcPr>
          <w:p>
            <w:pPr>
              <w:spacing w:line="5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bl>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en-US" w:eastAsia="zh-CN"/>
          <w14:textFill>
            <w14:solidFill>
              <w14:schemeClr w14:val="tx1"/>
            </w14:solidFill>
          </w14:textFill>
        </w:rPr>
        <w:t>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kern w:val="0"/>
          <w:sz w:val="24"/>
          <w:szCs w:val="24"/>
          <w:u w:val="single"/>
        </w:rPr>
        <w:t>20</w:t>
      </w:r>
      <w:r>
        <w:rPr>
          <w:rFonts w:ascii="宋体" w:hAnsi="宋体" w:cs="宋体"/>
          <w:kern w:val="0"/>
          <w:sz w:val="24"/>
          <w:szCs w:val="24"/>
          <w:u w:val="single"/>
        </w:rPr>
        <w:t>2</w:t>
      </w:r>
      <w:r>
        <w:rPr>
          <w:rFonts w:hint="eastAsia" w:ascii="宋体" w:hAnsi="宋体" w:cs="宋体"/>
          <w:kern w:val="0"/>
          <w:sz w:val="24"/>
          <w:szCs w:val="24"/>
          <w:u w:val="single"/>
          <w:lang w:val="en-US" w:eastAsia="zh-CN"/>
        </w:rPr>
        <w:t>5</w:t>
      </w:r>
      <w:r>
        <w:rPr>
          <w:rFonts w:hint="eastAsia" w:ascii="宋体" w:hAnsi="宋体" w:cs="宋体"/>
          <w:kern w:val="0"/>
          <w:sz w:val="24"/>
          <w:szCs w:val="24"/>
          <w:u w:val="single"/>
        </w:rPr>
        <w:t>年</w:t>
      </w:r>
      <w:r>
        <w:rPr>
          <w:rFonts w:hint="eastAsia" w:ascii="宋体" w:hAnsi="宋体" w:cs="宋体"/>
          <w:kern w:val="0"/>
          <w:sz w:val="24"/>
          <w:szCs w:val="24"/>
          <w:u w:val="single"/>
          <w:lang w:val="en-US" w:eastAsia="zh-CN"/>
        </w:rPr>
        <w:t>1</w:t>
      </w:r>
      <w:r>
        <w:rPr>
          <w:rFonts w:hint="eastAsia" w:ascii="宋体" w:hAnsi="宋体" w:cs="宋体"/>
          <w:kern w:val="0"/>
          <w:sz w:val="24"/>
          <w:szCs w:val="24"/>
          <w:u w:val="single"/>
        </w:rPr>
        <w:t>月</w:t>
      </w:r>
      <w:r>
        <w:rPr>
          <w:rFonts w:hint="eastAsia" w:ascii="宋体" w:hAnsi="宋体" w:cs="宋体"/>
          <w:kern w:val="0"/>
          <w:sz w:val="24"/>
          <w:szCs w:val="24"/>
          <w:u w:val="single"/>
          <w:lang w:val="en-US" w:eastAsia="zh-CN"/>
        </w:rPr>
        <w:t>3</w:t>
      </w:r>
      <w:r>
        <w:rPr>
          <w:rFonts w:hint="eastAsia" w:ascii="宋体" w:hAnsi="宋体" w:cs="宋体"/>
          <w:kern w:val="0"/>
          <w:sz w:val="24"/>
          <w:szCs w:val="24"/>
          <w:u w:val="single"/>
        </w:rPr>
        <w:t>日上午</w:t>
      </w:r>
      <w:r>
        <w:rPr>
          <w:rFonts w:hint="eastAsia" w:ascii="宋体" w:hAnsi="宋体" w:cs="宋体"/>
          <w:kern w:val="0"/>
          <w:sz w:val="24"/>
          <w:szCs w:val="24"/>
          <w:u w:val="single"/>
          <w:lang w:val="en-US" w:eastAsia="zh-CN"/>
        </w:rPr>
        <w:t>9</w:t>
      </w:r>
      <w:r>
        <w:rPr>
          <w:rFonts w:hint="eastAsia" w:ascii="宋体" w:hAnsi="宋体" w:cs="宋体"/>
          <w:kern w:val="0"/>
          <w:sz w:val="24"/>
          <w:szCs w:val="24"/>
          <w:u w:val="single"/>
        </w:rPr>
        <w:t>:</w:t>
      </w:r>
      <w:r>
        <w:rPr>
          <w:rFonts w:hint="eastAsia" w:ascii="宋体" w:hAnsi="宋体" w:cs="宋体"/>
          <w:kern w:val="0"/>
          <w:sz w:val="24"/>
          <w:szCs w:val="24"/>
          <w:u w:val="single"/>
          <w:lang w:val="en-US" w:eastAsia="zh-CN"/>
        </w:rPr>
        <w:t>30</w:t>
      </w:r>
      <w:r>
        <w:rPr>
          <w:rFonts w:hint="eastAsia" w:ascii="宋体" w:hAnsi="宋体" w:cs="宋体"/>
          <w:kern w:val="0"/>
          <w:sz w:val="24"/>
          <w:szCs w:val="24"/>
        </w:rPr>
        <w:t>，</w:t>
      </w:r>
      <w:r>
        <w:rPr>
          <w:rFonts w:hint="eastAsia" w:ascii="宋体" w:hAnsi="宋体" w:cs="宋体"/>
          <w:kern w:val="0"/>
          <w:sz w:val="24"/>
          <w:szCs w:val="24"/>
          <w:lang w:val="en-US" w:eastAsia="zh-CN"/>
        </w:rPr>
        <w:t>宁夏回族自治区</w:t>
      </w:r>
      <w:r>
        <w:rPr>
          <w:rFonts w:hint="eastAsia" w:ascii="宋体" w:hAnsi="宋体" w:cs="宋体"/>
          <w:kern w:val="0"/>
          <w:sz w:val="24"/>
          <w:szCs w:val="24"/>
        </w:rPr>
        <w:t>银川市金凤区尹家渠北街120号人保大厦</w:t>
      </w:r>
      <w:r>
        <w:rPr>
          <w:rFonts w:hint="eastAsia" w:ascii="宋体" w:hAnsi="宋体" w:cs="宋体"/>
          <w:kern w:val="0"/>
          <w:sz w:val="24"/>
          <w:szCs w:val="24"/>
          <w:lang w:val="en-US" w:eastAsia="zh-CN"/>
        </w:rPr>
        <w:t>八楼2号</w:t>
      </w:r>
      <w:r>
        <w:rPr>
          <w:rFonts w:hint="eastAsia" w:ascii="宋体" w:hAnsi="宋体" w:cs="宋体"/>
          <w:kern w:val="0"/>
          <w:sz w:val="24"/>
          <w:szCs w:val="24"/>
        </w:rPr>
        <w:t>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商务条款偏离表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附件2.6</w:t>
      </w:r>
      <w:r>
        <w:rPr>
          <w:rFonts w:hint="eastAsia" w:ascii="宋体" w:hAnsi="宋体" w:cs="宋体"/>
          <w:kern w:val="0"/>
          <w:sz w:val="24"/>
          <w:szCs w:val="24"/>
          <w:lang w:val="en-US" w:eastAsia="zh-CN"/>
        </w:rPr>
        <w:t xml:space="preserve"> </w:t>
      </w:r>
      <w:r>
        <w:rPr>
          <w:rFonts w:hint="eastAsia" w:ascii="宋体" w:hAnsi="宋体" w:cs="宋体"/>
          <w:kern w:val="0"/>
          <w:sz w:val="24"/>
          <w:szCs w:val="24"/>
        </w:rPr>
        <w:t>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信息安全采购要求承诺函</w:t>
      </w:r>
    </w:p>
    <w:p>
      <w:pPr>
        <w:pStyle w:val="4"/>
        <w:numPr>
          <w:ilvl w:val="0"/>
          <w:numId w:val="0"/>
        </w:numPr>
        <w:rPr>
          <w:rFonts w:hint="eastAsia"/>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eastAsia"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宁夏回族自治区分公司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r>
        <w:rPr>
          <w:rFonts w:hint="eastAsia" w:ascii="宋体" w:hAnsi="宋体" w:cs="宋体"/>
          <w:kern w:val="0"/>
          <w:sz w:val="24"/>
          <w:szCs w:val="24"/>
        </w:rPr>
        <w:t>年</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宁夏回族自治区分公司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65" w:hRule="exact"/>
        </w:trPr>
        <w:tc>
          <w:tcPr>
            <w:tcW w:w="2863" w:type="dxa"/>
            <w:tcBorders>
              <w:top w:val="double" w:color="auto" w:sz="4" w:space="0"/>
              <w:left w:val="double" w:color="auto" w:sz="4" w:space="0"/>
              <w:bottom w:val="single" w:color="000000" w:sz="6" w:space="0"/>
              <w:right w:val="single" w:color="000000" w:sz="6" w:space="0"/>
            </w:tcBorders>
            <w:vAlign w:val="bottom"/>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bottom"/>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bottom"/>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bottom"/>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bottom"/>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4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PrEx>
        <w:trPr>
          <w:trHeight w:val="1237"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hint="default" w:cs="Arial" w:asciiTheme="minorEastAsia" w:hAnsiTheme="minorEastAsia" w:eastAsiaTheme="minorEastAsia"/>
          <w:color w:val="auto"/>
          <w:sz w:val="24"/>
          <w:lang w:val="en-US" w:eastAsia="zh-CN"/>
        </w:rPr>
      </w:pPr>
      <w:r>
        <w:rPr>
          <w:rFonts w:hint="eastAsia" w:cs="Arial" w:asciiTheme="minorEastAsia" w:hAnsiTheme="minorEastAsia" w:eastAsiaTheme="minorEastAsia"/>
          <w:color w:val="auto"/>
          <w:sz w:val="24"/>
        </w:rPr>
        <w:t>1</w:t>
      </w:r>
      <w:r>
        <w:rPr>
          <w:rFonts w:hint="eastAsia" w:cs="Arial" w:asciiTheme="minorEastAsia" w:hAnsiTheme="minorEastAsia" w:eastAsiaTheme="minorEastAsia"/>
          <w:color w:val="auto"/>
          <w:sz w:val="24"/>
          <w:lang w:val="en-US" w:eastAsia="zh-CN"/>
        </w:rPr>
        <w:t>.本项目最高限价9.8万元/年。</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lang w:val="en-US" w:eastAsia="zh-CN"/>
        </w:rPr>
        <w:t>2.</w:t>
      </w:r>
      <w:r>
        <w:rPr>
          <w:rFonts w:hint="eastAsia" w:cs="Arial" w:asciiTheme="minorEastAsia" w:hAnsiTheme="minorEastAsia" w:eastAsiaTheme="minorEastAsia"/>
          <w:color w:val="auto"/>
          <w:sz w:val="24"/>
        </w:rPr>
        <w:t>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val="en-US" w:eastAsia="zh-CN" w:bidi="ar"/>
        </w:rPr>
        <w:t>3.</w:t>
      </w:r>
      <w:r>
        <w:rPr>
          <w:rFonts w:hint="eastAsia" w:ascii="宋体" w:hAnsi="宋体" w:cs="宋体"/>
          <w:color w:val="auto"/>
          <w:sz w:val="24"/>
          <w:szCs w:val="24"/>
          <w:lang w:bidi="ar"/>
        </w:rPr>
        <w:t>以上报价单位为人民币。报价总价为完成本项目规定工作所需的全部费用。</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val="en-US" w:eastAsia="zh-CN" w:bidi="ar"/>
        </w:rPr>
        <w:t>4.</w:t>
      </w:r>
      <w:r>
        <w:rPr>
          <w:rFonts w:hint="eastAsia" w:ascii="宋体" w:hAnsi="宋体" w:cs="宋体"/>
          <w:color w:val="auto"/>
          <w:sz w:val="24"/>
          <w:szCs w:val="24"/>
          <w:lang w:bidi="ar"/>
        </w:rPr>
        <w:t>“发票类型”应注明“增值税专用发票”或“增值税普通发票”。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val="en-US" w:eastAsia="zh-CN" w:bidi="ar"/>
        </w:rPr>
        <w:t>5.</w:t>
      </w:r>
      <w:r>
        <w:rPr>
          <w:rFonts w:hint="eastAsia" w:ascii="宋体" w:hAnsi="宋体" w:cs="宋体"/>
          <w:color w:val="auto"/>
          <w:sz w:val="24"/>
          <w:szCs w:val="24"/>
          <w:lang w:bidi="ar"/>
        </w:rPr>
        <w:t>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4"/>
        <w:numPr>
          <w:ilvl w:val="0"/>
          <w:numId w:val="0"/>
        </w:numPr>
        <w:rPr>
          <w:sz w:val="24"/>
          <w:szCs w:val="24"/>
        </w:rPr>
      </w:pPr>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eastAsia"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宁夏回族自治区分公司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2"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7"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vAlign w:val="center"/>
          </w:tcPr>
          <w:p>
            <w:pPr>
              <w:widowControl/>
              <w:adjustRightInd w:val="0"/>
              <w:snapToGrid w:val="0"/>
              <w:spacing w:line="360" w:lineRule="auto"/>
              <w:ind w:firstLine="600"/>
              <w:jc w:val="center"/>
              <w:rPr>
                <w:rFonts w:ascii="宋体" w:hAnsi="宋体" w:cs="宋体"/>
                <w:kern w:val="0"/>
                <w:sz w:val="24"/>
                <w:szCs w:val="24"/>
              </w:rPr>
            </w:pPr>
          </w:p>
        </w:tc>
        <w:tc>
          <w:tcPr>
            <w:tcW w:w="2160"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vAlign w:val="center"/>
          </w:tcPr>
          <w:p>
            <w:pPr>
              <w:widowControl/>
              <w:adjustRightInd w:val="0"/>
              <w:snapToGrid w:val="0"/>
              <w:spacing w:line="360" w:lineRule="auto"/>
              <w:ind w:firstLine="132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3"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vAlign w:val="center"/>
          </w:tcPr>
          <w:p>
            <w:pPr>
              <w:widowControl/>
              <w:adjustRightInd w:val="0"/>
              <w:snapToGrid w:val="0"/>
              <w:spacing w:line="360" w:lineRule="auto"/>
              <w:ind w:firstLine="600"/>
              <w:jc w:val="center"/>
              <w:rPr>
                <w:rFonts w:ascii="宋体" w:hAnsi="宋体" w:cs="宋体"/>
                <w:kern w:val="0"/>
                <w:sz w:val="24"/>
                <w:szCs w:val="24"/>
              </w:rPr>
            </w:pPr>
          </w:p>
        </w:tc>
        <w:tc>
          <w:tcPr>
            <w:tcW w:w="2160"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vAlign w:val="center"/>
          </w:tcPr>
          <w:p>
            <w:pPr>
              <w:widowControl/>
              <w:adjustRightInd w:val="0"/>
              <w:snapToGrid w:val="0"/>
              <w:spacing w:line="360" w:lineRule="auto"/>
              <w:ind w:firstLine="132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6" w:hRule="atLeast"/>
        </w:trPr>
        <w:tc>
          <w:tcPr>
            <w:tcW w:w="2448" w:type="dxa"/>
            <w:tcMar>
              <w:top w:w="0" w:type="dxa"/>
              <w:left w:w="108" w:type="dxa"/>
              <w:bottom w:w="0" w:type="dxa"/>
              <w:right w:w="108" w:type="dxa"/>
            </w:tcMar>
            <w:vAlign w:val="bottom"/>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vAlign w:val="center"/>
          </w:tcPr>
          <w:p>
            <w:pPr>
              <w:widowControl/>
              <w:adjustRightInd w:val="0"/>
              <w:snapToGrid w:val="0"/>
              <w:spacing w:line="360" w:lineRule="auto"/>
              <w:ind w:firstLine="132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0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22</w:t>
      </w:r>
      <w:r>
        <w:rPr>
          <w:rFonts w:hint="eastAsia" w:asciiTheme="minorEastAsia" w:hAnsiTheme="minorEastAsia" w:eastAsiaTheme="minorEastAsia"/>
          <w:sz w:val="24"/>
          <w:szCs w:val="24"/>
        </w:rPr>
        <w:t>年度或20</w:t>
      </w:r>
      <w:r>
        <w:rPr>
          <w:rFonts w:hint="eastAsia" w:asciiTheme="minorEastAsia" w:hAnsiTheme="minorEastAsia" w:eastAsiaTheme="minorEastAsia"/>
          <w:sz w:val="24"/>
          <w:szCs w:val="24"/>
          <w:lang w:val="en-US" w:eastAsia="zh-CN"/>
        </w:rPr>
        <w:t>23</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0"/>
        <w:tblW w:w="531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57"/>
        <w:gridCol w:w="1405"/>
        <w:gridCol w:w="1615"/>
        <w:gridCol w:w="1166"/>
        <w:gridCol w:w="1068"/>
        <w:gridCol w:w="1050"/>
        <w:gridCol w:w="1101"/>
        <w:gridCol w:w="156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341" w:type="pct"/>
            <w:vAlign w:val="center"/>
          </w:tcPr>
          <w:p>
            <w:pPr>
              <w:spacing w:line="360" w:lineRule="auto"/>
              <w:jc w:val="center"/>
              <w:rPr>
                <w:rFonts w:ascii="宋体" w:hAnsi="宋体"/>
              </w:rPr>
            </w:pPr>
            <w:r>
              <w:rPr>
                <w:rFonts w:ascii="宋体" w:hAnsi="宋体"/>
              </w:rPr>
              <w:t>序号</w:t>
            </w:r>
          </w:p>
        </w:tc>
        <w:tc>
          <w:tcPr>
            <w:tcW w:w="729"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838" w:type="pct"/>
            <w:vAlign w:val="center"/>
          </w:tcPr>
          <w:p>
            <w:pPr>
              <w:spacing w:line="360" w:lineRule="auto"/>
              <w:jc w:val="center"/>
              <w:rPr>
                <w:rFonts w:ascii="宋体" w:hAnsi="宋体"/>
              </w:rPr>
            </w:pPr>
            <w:r>
              <w:rPr>
                <w:rFonts w:hint="eastAsia" w:ascii="宋体" w:hAnsi="宋体"/>
              </w:rPr>
              <w:t>合同乙方单位名称</w:t>
            </w:r>
          </w:p>
        </w:tc>
        <w:tc>
          <w:tcPr>
            <w:tcW w:w="605" w:type="pct"/>
            <w:vAlign w:val="center"/>
          </w:tcPr>
          <w:p>
            <w:pPr>
              <w:spacing w:line="360" w:lineRule="auto"/>
              <w:jc w:val="center"/>
              <w:rPr>
                <w:rFonts w:ascii="宋体" w:hAnsi="宋体"/>
              </w:rPr>
            </w:pPr>
            <w:r>
              <w:rPr>
                <w:rFonts w:hint="eastAsia" w:ascii="宋体" w:hAnsi="宋体"/>
              </w:rPr>
              <w:t>合同标的</w:t>
            </w:r>
          </w:p>
        </w:tc>
        <w:tc>
          <w:tcPr>
            <w:tcW w:w="554" w:type="pct"/>
            <w:vAlign w:val="center"/>
          </w:tcPr>
          <w:p>
            <w:pPr>
              <w:spacing w:line="360" w:lineRule="auto"/>
              <w:jc w:val="center"/>
              <w:rPr>
                <w:rFonts w:ascii="宋体" w:hAnsi="宋体"/>
              </w:rPr>
            </w:pPr>
            <w:r>
              <w:rPr>
                <w:rFonts w:hint="eastAsia" w:ascii="宋体" w:hAnsi="宋体"/>
              </w:rPr>
              <w:t>合同金额</w:t>
            </w:r>
          </w:p>
        </w:tc>
        <w:tc>
          <w:tcPr>
            <w:tcW w:w="545" w:type="pct"/>
            <w:vAlign w:val="center"/>
          </w:tcPr>
          <w:p>
            <w:pPr>
              <w:spacing w:line="360" w:lineRule="auto"/>
              <w:jc w:val="center"/>
              <w:rPr>
                <w:rFonts w:ascii="宋体" w:hAnsi="宋体"/>
              </w:rPr>
            </w:pPr>
            <w:r>
              <w:rPr>
                <w:rFonts w:hint="eastAsia" w:ascii="宋体" w:hAnsi="宋体"/>
              </w:rPr>
              <w:t>签署日期</w:t>
            </w:r>
          </w:p>
        </w:tc>
        <w:tc>
          <w:tcPr>
            <w:tcW w:w="571" w:type="pct"/>
            <w:vAlign w:val="center"/>
          </w:tcPr>
          <w:p>
            <w:pPr>
              <w:spacing w:line="360" w:lineRule="auto"/>
              <w:jc w:val="center"/>
              <w:rPr>
                <w:rFonts w:ascii="宋体" w:hAnsi="宋体"/>
              </w:rPr>
            </w:pPr>
            <w:r>
              <w:rPr>
                <w:rFonts w:hint="eastAsia" w:ascii="宋体" w:hAnsi="宋体"/>
              </w:rPr>
              <w:t>甲方单位名称/联系人</w:t>
            </w:r>
          </w:p>
        </w:tc>
        <w:tc>
          <w:tcPr>
            <w:tcW w:w="812"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41" w:type="pct"/>
            <w:vAlign w:val="center"/>
          </w:tcPr>
          <w:p>
            <w:pPr>
              <w:spacing w:line="360" w:lineRule="auto"/>
              <w:jc w:val="center"/>
              <w:rPr>
                <w:rFonts w:ascii="宋体" w:hAnsi="宋体"/>
              </w:rPr>
            </w:pPr>
          </w:p>
        </w:tc>
        <w:tc>
          <w:tcPr>
            <w:tcW w:w="729" w:type="pct"/>
            <w:vAlign w:val="center"/>
          </w:tcPr>
          <w:p>
            <w:pPr>
              <w:spacing w:line="360" w:lineRule="auto"/>
              <w:jc w:val="center"/>
              <w:rPr>
                <w:rFonts w:ascii="宋体" w:hAnsi="宋体"/>
              </w:rPr>
            </w:pPr>
          </w:p>
        </w:tc>
        <w:tc>
          <w:tcPr>
            <w:tcW w:w="838" w:type="pct"/>
            <w:vAlign w:val="center"/>
          </w:tcPr>
          <w:p>
            <w:pPr>
              <w:spacing w:line="360" w:lineRule="auto"/>
              <w:jc w:val="center"/>
              <w:rPr>
                <w:rFonts w:ascii="宋体" w:hAnsi="宋体"/>
              </w:rPr>
            </w:pPr>
          </w:p>
        </w:tc>
        <w:tc>
          <w:tcPr>
            <w:tcW w:w="605" w:type="pct"/>
            <w:vAlign w:val="center"/>
          </w:tcPr>
          <w:p>
            <w:pPr>
              <w:spacing w:line="360" w:lineRule="auto"/>
              <w:jc w:val="center"/>
              <w:rPr>
                <w:rFonts w:ascii="宋体" w:hAnsi="宋体"/>
              </w:rPr>
            </w:pPr>
          </w:p>
        </w:tc>
        <w:tc>
          <w:tcPr>
            <w:tcW w:w="554" w:type="pct"/>
            <w:vAlign w:val="center"/>
          </w:tcPr>
          <w:p>
            <w:pPr>
              <w:spacing w:line="360" w:lineRule="auto"/>
              <w:jc w:val="center"/>
              <w:rPr>
                <w:rFonts w:ascii="宋体" w:hAnsi="宋体"/>
              </w:rPr>
            </w:pPr>
          </w:p>
        </w:tc>
        <w:tc>
          <w:tcPr>
            <w:tcW w:w="545" w:type="pct"/>
            <w:vAlign w:val="center"/>
          </w:tcPr>
          <w:p>
            <w:pPr>
              <w:spacing w:line="360" w:lineRule="auto"/>
              <w:jc w:val="center"/>
              <w:rPr>
                <w:rFonts w:ascii="宋体" w:hAnsi="宋体"/>
              </w:rPr>
            </w:pPr>
          </w:p>
        </w:tc>
        <w:tc>
          <w:tcPr>
            <w:tcW w:w="571" w:type="pct"/>
            <w:vAlign w:val="center"/>
          </w:tcPr>
          <w:p>
            <w:pPr>
              <w:spacing w:line="360" w:lineRule="auto"/>
              <w:jc w:val="center"/>
              <w:rPr>
                <w:rFonts w:ascii="宋体" w:hAnsi="宋体"/>
              </w:rPr>
            </w:pPr>
          </w:p>
        </w:tc>
        <w:tc>
          <w:tcPr>
            <w:tcW w:w="812"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41" w:type="pct"/>
            <w:vAlign w:val="center"/>
          </w:tcPr>
          <w:p>
            <w:pPr>
              <w:spacing w:line="360" w:lineRule="auto"/>
              <w:jc w:val="center"/>
              <w:rPr>
                <w:rFonts w:ascii="宋体" w:hAnsi="宋体"/>
              </w:rPr>
            </w:pPr>
          </w:p>
        </w:tc>
        <w:tc>
          <w:tcPr>
            <w:tcW w:w="729" w:type="pct"/>
            <w:vAlign w:val="center"/>
          </w:tcPr>
          <w:p>
            <w:pPr>
              <w:spacing w:line="360" w:lineRule="auto"/>
              <w:jc w:val="center"/>
              <w:rPr>
                <w:rFonts w:ascii="宋体" w:hAnsi="宋体"/>
              </w:rPr>
            </w:pPr>
          </w:p>
        </w:tc>
        <w:tc>
          <w:tcPr>
            <w:tcW w:w="838" w:type="pct"/>
            <w:vAlign w:val="center"/>
          </w:tcPr>
          <w:p>
            <w:pPr>
              <w:spacing w:line="360" w:lineRule="auto"/>
              <w:jc w:val="center"/>
              <w:rPr>
                <w:rFonts w:ascii="宋体" w:hAnsi="宋体"/>
              </w:rPr>
            </w:pPr>
          </w:p>
        </w:tc>
        <w:tc>
          <w:tcPr>
            <w:tcW w:w="605" w:type="pct"/>
            <w:vAlign w:val="center"/>
          </w:tcPr>
          <w:p>
            <w:pPr>
              <w:spacing w:line="360" w:lineRule="auto"/>
              <w:jc w:val="center"/>
              <w:rPr>
                <w:rFonts w:ascii="宋体" w:hAnsi="宋体"/>
              </w:rPr>
            </w:pPr>
          </w:p>
        </w:tc>
        <w:tc>
          <w:tcPr>
            <w:tcW w:w="554" w:type="pct"/>
            <w:vAlign w:val="center"/>
          </w:tcPr>
          <w:p>
            <w:pPr>
              <w:spacing w:line="360" w:lineRule="auto"/>
              <w:jc w:val="center"/>
              <w:rPr>
                <w:rFonts w:ascii="宋体" w:hAnsi="宋体"/>
              </w:rPr>
            </w:pPr>
          </w:p>
        </w:tc>
        <w:tc>
          <w:tcPr>
            <w:tcW w:w="545" w:type="pct"/>
            <w:vAlign w:val="center"/>
          </w:tcPr>
          <w:p>
            <w:pPr>
              <w:spacing w:line="360" w:lineRule="auto"/>
              <w:jc w:val="center"/>
              <w:rPr>
                <w:rFonts w:ascii="宋体" w:hAnsi="宋体"/>
              </w:rPr>
            </w:pPr>
          </w:p>
        </w:tc>
        <w:tc>
          <w:tcPr>
            <w:tcW w:w="571" w:type="pct"/>
            <w:vAlign w:val="center"/>
          </w:tcPr>
          <w:p>
            <w:pPr>
              <w:spacing w:line="360" w:lineRule="auto"/>
              <w:jc w:val="center"/>
              <w:rPr>
                <w:rFonts w:ascii="宋体" w:hAnsi="宋体"/>
              </w:rPr>
            </w:pPr>
          </w:p>
        </w:tc>
        <w:tc>
          <w:tcPr>
            <w:tcW w:w="812"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41" w:type="pct"/>
            <w:vAlign w:val="center"/>
          </w:tcPr>
          <w:p>
            <w:pPr>
              <w:spacing w:line="360" w:lineRule="auto"/>
              <w:jc w:val="center"/>
              <w:rPr>
                <w:rFonts w:ascii="宋体" w:hAnsi="宋体"/>
              </w:rPr>
            </w:pPr>
          </w:p>
        </w:tc>
        <w:tc>
          <w:tcPr>
            <w:tcW w:w="729" w:type="pct"/>
            <w:vAlign w:val="center"/>
          </w:tcPr>
          <w:p>
            <w:pPr>
              <w:spacing w:line="360" w:lineRule="auto"/>
              <w:jc w:val="center"/>
              <w:rPr>
                <w:rFonts w:ascii="宋体" w:hAnsi="宋体"/>
              </w:rPr>
            </w:pPr>
          </w:p>
        </w:tc>
        <w:tc>
          <w:tcPr>
            <w:tcW w:w="838" w:type="pct"/>
            <w:vAlign w:val="center"/>
          </w:tcPr>
          <w:p>
            <w:pPr>
              <w:spacing w:line="360" w:lineRule="auto"/>
              <w:jc w:val="center"/>
              <w:rPr>
                <w:rFonts w:ascii="宋体" w:hAnsi="宋体"/>
              </w:rPr>
            </w:pPr>
          </w:p>
        </w:tc>
        <w:tc>
          <w:tcPr>
            <w:tcW w:w="605" w:type="pct"/>
            <w:vAlign w:val="center"/>
          </w:tcPr>
          <w:p>
            <w:pPr>
              <w:spacing w:line="360" w:lineRule="auto"/>
              <w:jc w:val="center"/>
              <w:rPr>
                <w:rFonts w:ascii="宋体" w:hAnsi="宋体"/>
              </w:rPr>
            </w:pPr>
          </w:p>
        </w:tc>
        <w:tc>
          <w:tcPr>
            <w:tcW w:w="554" w:type="pct"/>
            <w:vAlign w:val="center"/>
          </w:tcPr>
          <w:p>
            <w:pPr>
              <w:spacing w:line="360" w:lineRule="auto"/>
              <w:jc w:val="center"/>
              <w:rPr>
                <w:rFonts w:ascii="宋体" w:hAnsi="宋体"/>
              </w:rPr>
            </w:pPr>
          </w:p>
        </w:tc>
        <w:tc>
          <w:tcPr>
            <w:tcW w:w="545" w:type="pct"/>
            <w:vAlign w:val="center"/>
          </w:tcPr>
          <w:p>
            <w:pPr>
              <w:spacing w:line="360" w:lineRule="auto"/>
              <w:jc w:val="center"/>
              <w:rPr>
                <w:rFonts w:ascii="宋体" w:hAnsi="宋体"/>
              </w:rPr>
            </w:pPr>
          </w:p>
        </w:tc>
        <w:tc>
          <w:tcPr>
            <w:tcW w:w="571" w:type="pct"/>
            <w:vAlign w:val="center"/>
          </w:tcPr>
          <w:p>
            <w:pPr>
              <w:spacing w:line="360" w:lineRule="auto"/>
              <w:jc w:val="center"/>
              <w:rPr>
                <w:rFonts w:ascii="宋体" w:hAnsi="宋体"/>
              </w:rPr>
            </w:pPr>
          </w:p>
        </w:tc>
        <w:tc>
          <w:tcPr>
            <w:tcW w:w="812"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41" w:type="pct"/>
            <w:vAlign w:val="center"/>
          </w:tcPr>
          <w:p>
            <w:pPr>
              <w:spacing w:line="360" w:lineRule="auto"/>
              <w:jc w:val="center"/>
              <w:rPr>
                <w:rFonts w:ascii="宋体" w:hAnsi="宋体"/>
              </w:rPr>
            </w:pPr>
          </w:p>
        </w:tc>
        <w:tc>
          <w:tcPr>
            <w:tcW w:w="729" w:type="pct"/>
            <w:vAlign w:val="center"/>
          </w:tcPr>
          <w:p>
            <w:pPr>
              <w:spacing w:line="360" w:lineRule="auto"/>
              <w:jc w:val="center"/>
              <w:rPr>
                <w:rFonts w:ascii="宋体" w:hAnsi="宋体"/>
              </w:rPr>
            </w:pPr>
          </w:p>
        </w:tc>
        <w:tc>
          <w:tcPr>
            <w:tcW w:w="838" w:type="pct"/>
            <w:vAlign w:val="center"/>
          </w:tcPr>
          <w:p>
            <w:pPr>
              <w:spacing w:line="360" w:lineRule="auto"/>
              <w:jc w:val="center"/>
              <w:rPr>
                <w:rFonts w:ascii="宋体" w:hAnsi="宋体"/>
              </w:rPr>
            </w:pPr>
          </w:p>
        </w:tc>
        <w:tc>
          <w:tcPr>
            <w:tcW w:w="605" w:type="pct"/>
            <w:vAlign w:val="center"/>
          </w:tcPr>
          <w:p>
            <w:pPr>
              <w:spacing w:line="360" w:lineRule="auto"/>
              <w:jc w:val="center"/>
              <w:rPr>
                <w:rFonts w:ascii="宋体" w:hAnsi="宋体"/>
              </w:rPr>
            </w:pPr>
          </w:p>
        </w:tc>
        <w:tc>
          <w:tcPr>
            <w:tcW w:w="554" w:type="pct"/>
            <w:vAlign w:val="center"/>
          </w:tcPr>
          <w:p>
            <w:pPr>
              <w:spacing w:line="360" w:lineRule="auto"/>
              <w:jc w:val="center"/>
              <w:rPr>
                <w:rFonts w:ascii="宋体" w:hAnsi="宋体"/>
              </w:rPr>
            </w:pPr>
          </w:p>
        </w:tc>
        <w:tc>
          <w:tcPr>
            <w:tcW w:w="545" w:type="pct"/>
            <w:vAlign w:val="center"/>
          </w:tcPr>
          <w:p>
            <w:pPr>
              <w:spacing w:line="360" w:lineRule="auto"/>
              <w:jc w:val="center"/>
              <w:rPr>
                <w:rFonts w:ascii="宋体" w:hAnsi="宋体"/>
              </w:rPr>
            </w:pPr>
          </w:p>
        </w:tc>
        <w:tc>
          <w:tcPr>
            <w:tcW w:w="571" w:type="pct"/>
            <w:vAlign w:val="center"/>
          </w:tcPr>
          <w:p>
            <w:pPr>
              <w:spacing w:line="360" w:lineRule="auto"/>
              <w:jc w:val="center"/>
              <w:rPr>
                <w:rFonts w:ascii="宋体" w:hAnsi="宋体"/>
              </w:rPr>
            </w:pPr>
          </w:p>
        </w:tc>
        <w:tc>
          <w:tcPr>
            <w:tcW w:w="812"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41" w:type="pct"/>
            <w:vAlign w:val="center"/>
          </w:tcPr>
          <w:p>
            <w:pPr>
              <w:spacing w:line="360" w:lineRule="auto"/>
              <w:jc w:val="center"/>
              <w:rPr>
                <w:rFonts w:ascii="宋体" w:hAnsi="宋体"/>
              </w:rPr>
            </w:pPr>
          </w:p>
        </w:tc>
        <w:tc>
          <w:tcPr>
            <w:tcW w:w="729" w:type="pct"/>
            <w:vAlign w:val="center"/>
          </w:tcPr>
          <w:p>
            <w:pPr>
              <w:spacing w:line="360" w:lineRule="auto"/>
              <w:jc w:val="center"/>
              <w:rPr>
                <w:rFonts w:ascii="宋体" w:hAnsi="宋体"/>
              </w:rPr>
            </w:pPr>
          </w:p>
        </w:tc>
        <w:tc>
          <w:tcPr>
            <w:tcW w:w="838" w:type="pct"/>
            <w:vAlign w:val="center"/>
          </w:tcPr>
          <w:p>
            <w:pPr>
              <w:spacing w:line="360" w:lineRule="auto"/>
              <w:jc w:val="center"/>
              <w:rPr>
                <w:rFonts w:ascii="宋体" w:hAnsi="宋体"/>
              </w:rPr>
            </w:pPr>
          </w:p>
        </w:tc>
        <w:tc>
          <w:tcPr>
            <w:tcW w:w="605" w:type="pct"/>
            <w:vAlign w:val="center"/>
          </w:tcPr>
          <w:p>
            <w:pPr>
              <w:spacing w:line="360" w:lineRule="auto"/>
              <w:jc w:val="center"/>
              <w:rPr>
                <w:rFonts w:ascii="宋体" w:hAnsi="宋体"/>
              </w:rPr>
            </w:pPr>
          </w:p>
        </w:tc>
        <w:tc>
          <w:tcPr>
            <w:tcW w:w="554" w:type="pct"/>
            <w:vAlign w:val="center"/>
          </w:tcPr>
          <w:p>
            <w:pPr>
              <w:spacing w:line="360" w:lineRule="auto"/>
              <w:jc w:val="center"/>
              <w:rPr>
                <w:rFonts w:ascii="宋体" w:hAnsi="宋体"/>
              </w:rPr>
            </w:pPr>
          </w:p>
        </w:tc>
        <w:tc>
          <w:tcPr>
            <w:tcW w:w="545" w:type="pct"/>
            <w:vAlign w:val="center"/>
          </w:tcPr>
          <w:p>
            <w:pPr>
              <w:spacing w:line="360" w:lineRule="auto"/>
              <w:jc w:val="center"/>
              <w:rPr>
                <w:rFonts w:ascii="宋体" w:hAnsi="宋体"/>
              </w:rPr>
            </w:pPr>
          </w:p>
        </w:tc>
        <w:tc>
          <w:tcPr>
            <w:tcW w:w="571" w:type="pct"/>
            <w:vAlign w:val="center"/>
          </w:tcPr>
          <w:p>
            <w:pPr>
              <w:spacing w:line="360" w:lineRule="auto"/>
              <w:jc w:val="center"/>
              <w:rPr>
                <w:rFonts w:ascii="宋体" w:hAnsi="宋体"/>
              </w:rPr>
            </w:pPr>
          </w:p>
        </w:tc>
        <w:tc>
          <w:tcPr>
            <w:tcW w:w="812"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宁夏回族自治区分公司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hint="eastAsia" w:ascii="Arial" w:hAnsi="Arial" w:cs="Arial"/>
          <w:sz w:val="24"/>
        </w:rPr>
      </w:pPr>
    </w:p>
    <w:p>
      <w:pPr>
        <w:spacing w:line="360" w:lineRule="auto"/>
        <w:rPr>
          <w:rFonts w:hint="eastAsia" w:ascii="Arial" w:hAnsi="Arial" w:cs="Arial"/>
          <w:sz w:val="24"/>
        </w:rPr>
      </w:pP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8" w:name="_Toc125183171"/>
      <w:bookmarkEnd w:id="8"/>
      <w:bookmarkStart w:id="9" w:name="_Toc137965307"/>
      <w:bookmarkEnd w:id="9"/>
      <w:bookmarkStart w:id="10" w:name="_Toc190852156"/>
      <w:bookmarkEnd w:id="10"/>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1" w:name="_Toc104714603"/>
      <w:bookmarkStart w:id="12" w:name="_Toc169079576"/>
      <w:r>
        <w:rPr>
          <w:rFonts w:hint="eastAsia"/>
          <w:sz w:val="24"/>
          <w:szCs w:val="24"/>
        </w:rPr>
        <w:t>1</w:t>
      </w:r>
      <w:r>
        <w:rPr>
          <w:sz w:val="24"/>
          <w:szCs w:val="24"/>
        </w:rPr>
        <w:t xml:space="preserve"> </w:t>
      </w:r>
      <w:r>
        <w:rPr>
          <w:rFonts w:hint="eastAsia"/>
          <w:sz w:val="24"/>
          <w:szCs w:val="24"/>
        </w:rPr>
        <w:t>合同条款</w:t>
      </w:r>
    </w:p>
    <w:p>
      <w:pPr>
        <w:rPr>
          <w:rFonts w:ascii="仿宋_GB2312" w:eastAsia="仿宋_GB2312"/>
          <w:bCs/>
          <w:sz w:val="32"/>
          <w:szCs w:val="32"/>
        </w:rPr>
      </w:pPr>
      <w:bookmarkStart w:id="13" w:name="_Toc68615221"/>
      <w:r>
        <w:rPr>
          <w:rFonts w:hint="eastAsia" w:ascii="仿宋_GB2312" w:eastAsia="仿宋_GB2312"/>
          <w:bCs/>
          <w:sz w:val="32"/>
          <w:szCs w:val="32"/>
        </w:rPr>
        <w:t xml:space="preserve">   　　　　　　　　　　　　　　　　　　编号：</w:t>
      </w:r>
      <w:r>
        <w:rPr>
          <w:rFonts w:hint="eastAsia" w:ascii="仿宋_GB2312" w:eastAsia="仿宋_GB2312"/>
          <w:bCs/>
          <w:sz w:val="32"/>
          <w:szCs w:val="32"/>
          <w:u w:val="single"/>
        </w:rPr>
        <w:t xml:space="preserve">           </w:t>
      </w:r>
    </w:p>
    <w:p>
      <w:pPr>
        <w:rPr>
          <w:rFonts w:ascii="仿宋_GB2312" w:eastAsia="仿宋_GB2312"/>
          <w:bCs/>
          <w:sz w:val="32"/>
          <w:szCs w:val="32"/>
        </w:rPr>
      </w:pPr>
    </w:p>
    <w:p>
      <w:pPr>
        <w:rPr>
          <w:rFonts w:ascii="仿宋_GB2312" w:eastAsia="仿宋_GB2312"/>
          <w:bCs/>
          <w:sz w:val="32"/>
          <w:szCs w:val="32"/>
        </w:rPr>
      </w:pPr>
    </w:p>
    <w:p>
      <w:pPr>
        <w:rPr>
          <w:rFonts w:ascii="仿宋_GB2312" w:eastAsia="仿宋_GB2312"/>
          <w:bCs/>
          <w:sz w:val="32"/>
          <w:szCs w:val="32"/>
        </w:rPr>
      </w:pPr>
    </w:p>
    <w:p>
      <w:pPr>
        <w:rPr>
          <w:rFonts w:ascii="仿宋_GB2312" w:eastAsia="仿宋_GB2312"/>
          <w:bCs/>
          <w:sz w:val="32"/>
          <w:szCs w:val="32"/>
        </w:rPr>
      </w:pPr>
    </w:p>
    <w:p>
      <w:pPr>
        <w:jc w:val="center"/>
        <w:rPr>
          <w:rFonts w:hint="eastAsia" w:ascii="宋体" w:hAnsi="宋体" w:eastAsia="宋体" w:cs="宋体"/>
          <w:b/>
          <w:bCs/>
          <w:sz w:val="32"/>
          <w:szCs w:val="32"/>
        </w:rPr>
      </w:pPr>
      <w:r>
        <w:rPr>
          <w:rFonts w:hint="eastAsia" w:ascii="宋体" w:hAnsi="宋体" w:eastAsia="宋体" w:cs="宋体"/>
          <w:b/>
          <w:bCs/>
          <w:sz w:val="32"/>
          <w:szCs w:val="32"/>
        </w:rPr>
        <w:t>税 务 审 计 代 理 服 务 协 议</w:t>
      </w:r>
    </w:p>
    <w:p>
      <w:pPr>
        <w:jc w:val="center"/>
        <w:rPr>
          <w:rFonts w:hint="eastAsia" w:ascii="宋体" w:hAnsi="宋体" w:eastAsia="宋体" w:cs="宋体"/>
          <w:b/>
          <w:bCs/>
          <w:sz w:val="32"/>
          <w:szCs w:val="32"/>
        </w:rPr>
      </w:pPr>
      <w:r>
        <w:rPr>
          <w:rFonts w:hint="eastAsia" w:ascii="宋体" w:hAnsi="宋体" w:eastAsia="宋体" w:cs="宋体"/>
          <w:b/>
          <w:bCs/>
          <w:sz w:val="32"/>
          <w:szCs w:val="32"/>
        </w:rPr>
        <w:t>（202</w:t>
      </w:r>
      <w:r>
        <w:rPr>
          <w:rFonts w:hint="eastAsia" w:ascii="宋体" w:hAnsi="宋体" w:eastAsia="宋体" w:cs="宋体"/>
          <w:b/>
          <w:bCs/>
          <w:sz w:val="32"/>
          <w:szCs w:val="32"/>
          <w:lang w:val="en-US" w:eastAsia="zh-CN"/>
        </w:rPr>
        <w:t>4</w:t>
      </w:r>
      <w:r>
        <w:rPr>
          <w:rFonts w:hint="eastAsia" w:ascii="宋体" w:hAnsi="宋体" w:eastAsia="宋体" w:cs="宋体"/>
          <w:b/>
          <w:bCs/>
          <w:sz w:val="32"/>
          <w:szCs w:val="32"/>
        </w:rPr>
        <w:t>年度）</w:t>
      </w:r>
    </w:p>
    <w:p>
      <w:pPr>
        <w:rPr>
          <w:rFonts w:hint="eastAsia" w:ascii="宋体" w:hAnsi="宋体" w:eastAsia="宋体" w:cs="宋体"/>
          <w:bCs/>
          <w:sz w:val="32"/>
          <w:szCs w:val="32"/>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rPr>
          <w:rFonts w:hint="eastAsia" w:ascii="宋体" w:hAnsi="宋体" w:eastAsia="宋体" w:cs="宋体"/>
          <w:bCs/>
          <w:sz w:val="24"/>
          <w:szCs w:val="24"/>
        </w:rPr>
      </w:pPr>
    </w:p>
    <w:p>
      <w:pPr>
        <w:jc w:val="center"/>
        <w:rPr>
          <w:rFonts w:hint="eastAsia" w:ascii="宋体" w:hAnsi="宋体" w:eastAsia="宋体" w:cs="宋体"/>
          <w:bCs/>
          <w:sz w:val="24"/>
          <w:szCs w:val="24"/>
        </w:rPr>
      </w:pPr>
      <w:r>
        <w:rPr>
          <w:rFonts w:hint="eastAsia" w:ascii="宋体" w:hAnsi="宋体" w:eastAsia="宋体" w:cs="宋体"/>
          <w:bCs/>
          <w:sz w:val="24"/>
          <w:szCs w:val="24"/>
        </w:rPr>
        <w:t>委托单位：中国人民财产保险股份有限公司</w:t>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        宁夏回族自治区分公司</w:t>
      </w:r>
    </w:p>
    <w:p>
      <w:pPr>
        <w:jc w:val="center"/>
        <w:rPr>
          <w:rFonts w:hint="eastAsia" w:ascii="宋体" w:hAnsi="宋体" w:eastAsia="宋体" w:cs="宋体"/>
          <w:bCs/>
          <w:sz w:val="24"/>
          <w:szCs w:val="24"/>
        </w:rPr>
      </w:pPr>
    </w:p>
    <w:p>
      <w:pPr>
        <w:jc w:val="center"/>
        <w:rPr>
          <w:rFonts w:hint="eastAsia" w:ascii="宋体" w:hAnsi="宋体" w:eastAsia="宋体" w:cs="宋体"/>
          <w:bCs/>
          <w:sz w:val="24"/>
          <w:szCs w:val="24"/>
        </w:rPr>
      </w:pPr>
    </w:p>
    <w:p>
      <w:pPr>
        <w:jc w:val="center"/>
        <w:rPr>
          <w:rFonts w:hint="eastAsia" w:ascii="宋体" w:hAnsi="宋体" w:eastAsia="宋体" w:cs="宋体"/>
          <w:b/>
          <w:bCs/>
          <w:sz w:val="24"/>
          <w:szCs w:val="24"/>
        </w:rPr>
      </w:pPr>
      <w:r>
        <w:rPr>
          <w:rFonts w:hint="eastAsia" w:ascii="宋体" w:hAnsi="宋体" w:eastAsia="宋体" w:cs="宋体"/>
          <w:b/>
          <w:bCs/>
          <w:sz w:val="24"/>
          <w:szCs w:val="24"/>
        </w:rPr>
        <w:t>税务审计代理服务协议</w:t>
      </w:r>
    </w:p>
    <w:p>
      <w:pPr>
        <w:rPr>
          <w:rFonts w:hint="eastAsia" w:ascii="宋体" w:hAnsi="宋体" w:eastAsia="宋体" w:cs="宋体"/>
          <w:bCs/>
          <w:sz w:val="24"/>
          <w:szCs w:val="24"/>
        </w:rPr>
      </w:pP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甲方：中国人民财产保险股份有限公司宁夏回族自治区分公司</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地址：银川市金风区</w:t>
      </w:r>
      <w:r>
        <w:rPr>
          <w:rFonts w:hint="eastAsia" w:ascii="宋体" w:hAnsi="宋体" w:eastAsia="宋体" w:cs="宋体"/>
          <w:color w:val="000000"/>
          <w:kern w:val="0"/>
          <w:sz w:val="24"/>
          <w:szCs w:val="24"/>
        </w:rPr>
        <w:t>尹家渠北街120号人保大夏</w:t>
      </w:r>
    </w:p>
    <w:p>
      <w:pPr>
        <w:spacing w:line="360" w:lineRule="auto"/>
        <w:ind w:firstLine="480" w:firstLineChars="200"/>
        <w:rPr>
          <w:rFonts w:hint="eastAsia" w:ascii="宋体" w:hAnsi="宋体" w:eastAsia="宋体" w:cs="宋体"/>
          <w:bCs/>
          <w:sz w:val="24"/>
          <w:szCs w:val="24"/>
        </w:rPr>
      </w:pP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乙方：</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地址：</w:t>
      </w:r>
    </w:p>
    <w:p>
      <w:pPr>
        <w:spacing w:line="360" w:lineRule="auto"/>
        <w:ind w:firstLine="645"/>
        <w:rPr>
          <w:rFonts w:hint="eastAsia" w:ascii="宋体" w:hAnsi="宋体" w:eastAsia="宋体" w:cs="宋体"/>
          <w:bCs/>
          <w:sz w:val="24"/>
          <w:szCs w:val="24"/>
        </w:rPr>
      </w:pP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兹有甲方委托乙方，提供税务审计代理服务。经协商，现对代理服务内容及责任义务明确如下：</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一、税务审计服务</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（一）纳税审计</w:t>
      </w:r>
    </w:p>
    <w:p>
      <w:pPr>
        <w:spacing w:line="360" w:lineRule="auto"/>
        <w:ind w:firstLine="645"/>
        <w:rPr>
          <w:rFonts w:hint="eastAsia" w:ascii="宋体" w:hAnsi="宋体" w:eastAsia="宋体" w:cs="宋体"/>
          <w:sz w:val="24"/>
          <w:szCs w:val="24"/>
        </w:rPr>
      </w:pPr>
      <w:r>
        <w:rPr>
          <w:rFonts w:hint="eastAsia" w:ascii="宋体" w:hAnsi="宋体" w:eastAsia="宋体" w:cs="宋体"/>
          <w:sz w:val="24"/>
          <w:szCs w:val="24"/>
        </w:rPr>
        <w:t>乙方根据甲方公司业务特点，组建一个专业过硬、经验丰富的团队，</w:t>
      </w:r>
      <w:r>
        <w:rPr>
          <w:rFonts w:hint="eastAsia" w:ascii="宋体" w:hAnsi="宋体" w:eastAsia="宋体" w:cs="宋体"/>
          <w:bCs/>
          <w:sz w:val="24"/>
          <w:szCs w:val="24"/>
        </w:rPr>
        <w:t>审计</w:t>
      </w:r>
      <w:r>
        <w:rPr>
          <w:rFonts w:hint="eastAsia" w:ascii="宋体" w:hAnsi="宋体" w:eastAsia="宋体" w:cs="宋体"/>
          <w:color w:val="000000"/>
          <w:sz w:val="24"/>
          <w:szCs w:val="24"/>
        </w:rPr>
        <w:t>经营涉税事项及纳税情况</w:t>
      </w:r>
      <w:r>
        <w:rPr>
          <w:rFonts w:hint="eastAsia" w:ascii="宋体" w:hAnsi="宋体" w:eastAsia="宋体" w:cs="宋体"/>
          <w:sz w:val="24"/>
          <w:szCs w:val="24"/>
        </w:rPr>
        <w:t>，出具纳税审计报告，并协助完成年度所得税汇算清缴等工作。</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1、审计范围，税种审核包括增值税及附征、企业所得税、个人所得税、房产税、土地使用税、印花税、水利建设基金等。</w:t>
      </w:r>
    </w:p>
    <w:p>
      <w:pPr>
        <w:spacing w:line="360" w:lineRule="auto"/>
        <w:ind w:firstLine="645"/>
        <w:rPr>
          <w:rFonts w:hint="eastAsia" w:ascii="宋体" w:hAnsi="宋体" w:eastAsia="宋体" w:cs="宋体"/>
          <w:kern w:val="0"/>
          <w:sz w:val="24"/>
          <w:szCs w:val="24"/>
        </w:rPr>
      </w:pPr>
      <w:r>
        <w:rPr>
          <w:rFonts w:hint="eastAsia" w:ascii="宋体" w:hAnsi="宋体" w:eastAsia="宋体" w:cs="宋体"/>
          <w:kern w:val="0"/>
          <w:sz w:val="24"/>
          <w:szCs w:val="24"/>
        </w:rPr>
        <w:t>2、审计要求，应严格遵循计税原理</w:t>
      </w:r>
      <w:r>
        <w:rPr>
          <w:rFonts w:hint="eastAsia" w:ascii="宋体" w:hAnsi="宋体" w:eastAsia="宋体" w:cs="宋体"/>
          <w:sz w:val="24"/>
          <w:szCs w:val="24"/>
          <w:shd w:val="clear" w:color="auto" w:fill="FFFFFF"/>
        </w:rPr>
        <w:t>审计应税项目、增值税销项税、进项税计算、适用税率、进项税转出、费用成本等</w:t>
      </w:r>
      <w:r>
        <w:rPr>
          <w:rFonts w:hint="eastAsia" w:ascii="宋体" w:hAnsi="宋体" w:eastAsia="宋体" w:cs="宋体"/>
          <w:kern w:val="0"/>
          <w:sz w:val="24"/>
          <w:szCs w:val="24"/>
        </w:rPr>
        <w:t>应税环节，梳理化解风险点，有效降低</w:t>
      </w:r>
      <w:r>
        <w:rPr>
          <w:rFonts w:hint="eastAsia" w:ascii="宋体" w:hAnsi="宋体" w:eastAsia="宋体" w:cs="宋体"/>
          <w:kern w:val="0"/>
          <w:sz w:val="24"/>
          <w:szCs w:val="24"/>
          <w:lang w:val="en-US" w:eastAsia="zh-CN"/>
        </w:rPr>
        <w:t>甲方</w:t>
      </w:r>
      <w:r>
        <w:rPr>
          <w:rFonts w:hint="eastAsia" w:ascii="宋体" w:hAnsi="宋体" w:eastAsia="宋体" w:cs="宋体"/>
          <w:kern w:val="0"/>
          <w:sz w:val="24"/>
          <w:szCs w:val="24"/>
        </w:rPr>
        <w:t>税费成本以及税务风险。</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3、审计对象</w:t>
      </w:r>
    </w:p>
    <w:p>
      <w:pPr>
        <w:spacing w:line="360" w:lineRule="auto"/>
        <w:ind w:firstLine="645"/>
        <w:rPr>
          <w:rFonts w:hint="eastAsia" w:ascii="宋体" w:hAnsi="宋体" w:eastAsia="宋体" w:cs="宋体"/>
          <w:bCs/>
          <w:sz w:val="24"/>
          <w:szCs w:val="24"/>
          <w:lang w:eastAsia="zh-CN"/>
        </w:rPr>
      </w:pPr>
      <w:r>
        <w:rPr>
          <w:rFonts w:hint="eastAsia" w:ascii="宋体" w:hAnsi="宋体" w:eastAsia="宋体" w:cs="宋体"/>
          <w:bCs/>
          <w:sz w:val="24"/>
          <w:szCs w:val="24"/>
        </w:rPr>
        <w:t>银川地市（1</w:t>
      </w:r>
      <w:r>
        <w:rPr>
          <w:rFonts w:hint="eastAsia" w:ascii="宋体" w:hAnsi="宋体" w:eastAsia="宋体" w:cs="宋体"/>
          <w:bCs/>
          <w:sz w:val="24"/>
          <w:szCs w:val="24"/>
          <w:lang w:val="en-US" w:eastAsia="zh-CN"/>
        </w:rPr>
        <w:t>6</w:t>
      </w:r>
      <w:r>
        <w:rPr>
          <w:rFonts w:hint="eastAsia" w:ascii="宋体" w:hAnsi="宋体" w:eastAsia="宋体" w:cs="宋体"/>
          <w:bCs/>
          <w:sz w:val="24"/>
          <w:szCs w:val="24"/>
        </w:rPr>
        <w:t>家机构）：分公司本级、银川分公司、宁夏分公司营业部、兴庆公司、金凤公司、西夏公司、永宁公司、贺兰公司、灵武公司、宁东公司、银川分公司营业部、开发区公司、丽景公司、中山公司、德胜公司、宝湖公司</w:t>
      </w:r>
      <w:r>
        <w:rPr>
          <w:rFonts w:hint="eastAsia" w:ascii="宋体" w:hAnsi="宋体" w:eastAsia="宋体" w:cs="宋体"/>
          <w:bCs/>
          <w:sz w:val="24"/>
          <w:szCs w:val="24"/>
          <w:lang w:eastAsia="zh-CN"/>
        </w:rPr>
        <w:t>。</w:t>
      </w:r>
    </w:p>
    <w:p>
      <w:pPr>
        <w:spacing w:line="360" w:lineRule="auto"/>
        <w:ind w:firstLine="645"/>
        <w:rPr>
          <w:rFonts w:hint="eastAsia" w:ascii="宋体" w:hAnsi="宋体" w:eastAsia="宋体" w:cs="宋体"/>
          <w:bCs/>
          <w:sz w:val="24"/>
          <w:szCs w:val="24"/>
          <w:lang w:eastAsia="zh-CN"/>
        </w:rPr>
      </w:pPr>
      <w:r>
        <w:rPr>
          <w:rFonts w:hint="eastAsia" w:ascii="宋体" w:hAnsi="宋体" w:eastAsia="宋体" w:cs="宋体"/>
          <w:bCs/>
          <w:sz w:val="24"/>
          <w:szCs w:val="24"/>
        </w:rPr>
        <w:t>石嘴山地市（3家机构）：大武口公司、惠农公司、平罗公司</w:t>
      </w:r>
      <w:r>
        <w:rPr>
          <w:rFonts w:hint="eastAsia" w:ascii="宋体" w:hAnsi="宋体" w:eastAsia="宋体" w:cs="宋体"/>
          <w:bCs/>
          <w:sz w:val="24"/>
          <w:szCs w:val="24"/>
          <w:lang w:eastAsia="zh-CN"/>
        </w:rPr>
        <w:t>。</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吴忠地市（</w:t>
      </w:r>
      <w:r>
        <w:rPr>
          <w:rFonts w:hint="eastAsia" w:ascii="宋体" w:hAnsi="宋体" w:eastAsia="宋体" w:cs="宋体"/>
          <w:bCs/>
          <w:sz w:val="24"/>
          <w:szCs w:val="24"/>
          <w:lang w:val="en-US" w:eastAsia="zh-CN"/>
        </w:rPr>
        <w:t>5</w:t>
      </w:r>
      <w:r>
        <w:rPr>
          <w:rFonts w:hint="eastAsia" w:ascii="宋体" w:hAnsi="宋体" w:eastAsia="宋体" w:cs="宋体"/>
          <w:bCs/>
          <w:sz w:val="24"/>
          <w:szCs w:val="24"/>
        </w:rPr>
        <w:t>家机构）：利通公司、盐池公司、同心公司、青铜峡公司、红寺堡公司</w:t>
      </w:r>
      <w:r>
        <w:rPr>
          <w:rFonts w:hint="eastAsia" w:ascii="宋体" w:hAnsi="宋体" w:eastAsia="宋体" w:cs="宋体"/>
          <w:bCs/>
          <w:sz w:val="24"/>
          <w:szCs w:val="24"/>
          <w:lang w:eastAsia="zh-CN"/>
        </w:rPr>
        <w:t>。</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固原地市（5家机构）：原州公司、西吉公司、隆德公司、泾源公司、彭阳公司</w:t>
      </w:r>
      <w:r>
        <w:rPr>
          <w:rFonts w:hint="eastAsia" w:ascii="宋体" w:hAnsi="宋体" w:eastAsia="宋体" w:cs="宋体"/>
          <w:bCs/>
          <w:sz w:val="24"/>
          <w:szCs w:val="24"/>
          <w:lang w:eastAsia="zh-CN"/>
        </w:rPr>
        <w:t>。</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中卫地市（3家机构）：沙坡头公司、中宁公司、海原公司。</w:t>
      </w:r>
    </w:p>
    <w:p>
      <w:pPr>
        <w:spacing w:line="360" w:lineRule="auto"/>
        <w:ind w:firstLine="645"/>
        <w:rPr>
          <w:rFonts w:hint="eastAsia" w:ascii="宋体" w:hAnsi="宋体" w:eastAsia="宋体" w:cs="宋体"/>
          <w:sz w:val="24"/>
          <w:szCs w:val="24"/>
        </w:rPr>
      </w:pPr>
      <w:r>
        <w:rPr>
          <w:rFonts w:hint="eastAsia" w:ascii="宋体" w:hAnsi="宋体" w:eastAsia="宋体" w:cs="宋体"/>
          <w:bCs/>
          <w:sz w:val="24"/>
          <w:szCs w:val="24"/>
          <w:lang w:val="en-US" w:eastAsia="zh-CN"/>
        </w:rPr>
        <w:t>甲方</w:t>
      </w:r>
      <w:r>
        <w:rPr>
          <w:rFonts w:hint="eastAsia" w:ascii="宋体" w:hAnsi="宋体" w:eastAsia="宋体" w:cs="宋体"/>
          <w:bCs/>
          <w:sz w:val="24"/>
          <w:szCs w:val="24"/>
        </w:rPr>
        <w:t>年内新设机构，自成立之日起，自动纳入当年税务审计范围。</w:t>
      </w:r>
    </w:p>
    <w:p>
      <w:pPr>
        <w:numPr>
          <w:ilvl w:val="0"/>
          <w:numId w:val="5"/>
        </w:num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涉税咨询</w:t>
      </w:r>
      <w:r>
        <w:rPr>
          <w:rFonts w:hint="eastAsia" w:ascii="宋体" w:hAnsi="宋体" w:eastAsia="宋体" w:cs="宋体"/>
          <w:bCs/>
          <w:sz w:val="24"/>
          <w:szCs w:val="24"/>
        </w:rPr>
        <w:t>服务。</w:t>
      </w:r>
      <w:r>
        <w:rPr>
          <w:rFonts w:hint="eastAsia" w:ascii="宋体" w:hAnsi="宋体" w:eastAsia="宋体" w:cs="宋体"/>
          <w:sz w:val="24"/>
          <w:szCs w:val="24"/>
        </w:rPr>
        <w:t>为甲方提供涉税事项咨询，及时解读最新财税政策，加强税收政策宣导。甲方可免费参加乙方举办的各类财税辅导培训。</w:t>
      </w:r>
    </w:p>
    <w:p>
      <w:pPr>
        <w:numPr>
          <w:ilvl w:val="0"/>
          <w:numId w:val="6"/>
        </w:numPr>
        <w:spacing w:line="360" w:lineRule="auto"/>
        <w:ind w:firstLine="645"/>
        <w:rPr>
          <w:rFonts w:hint="eastAsia" w:ascii="宋体" w:hAnsi="宋体" w:eastAsia="宋体" w:cs="宋体"/>
          <w:sz w:val="24"/>
          <w:szCs w:val="24"/>
        </w:rPr>
      </w:pPr>
      <w:r>
        <w:rPr>
          <w:rFonts w:hint="eastAsia" w:ascii="宋体" w:hAnsi="宋体" w:eastAsia="宋体" w:cs="宋体"/>
          <w:color w:val="auto"/>
          <w:sz w:val="24"/>
          <w:szCs w:val="24"/>
          <w:lang w:val="en-US" w:eastAsia="zh-CN"/>
        </w:rPr>
        <w:t>协助甲方开展税收专项风险排查工作</w:t>
      </w:r>
      <w:r>
        <w:rPr>
          <w:rFonts w:hint="eastAsia" w:ascii="宋体" w:hAnsi="宋体" w:eastAsia="宋体" w:cs="宋体"/>
          <w:sz w:val="24"/>
          <w:szCs w:val="24"/>
        </w:rPr>
        <w:t>。</w:t>
      </w:r>
    </w:p>
    <w:p>
      <w:pPr>
        <w:spacing w:line="360" w:lineRule="auto"/>
        <w:ind w:firstLine="645"/>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四</w:t>
      </w:r>
      <w:r>
        <w:rPr>
          <w:rFonts w:hint="eastAsia" w:ascii="宋体" w:hAnsi="宋体" w:eastAsia="宋体" w:cs="宋体"/>
          <w:sz w:val="24"/>
          <w:szCs w:val="24"/>
        </w:rPr>
        <w:t>）建立与财税部门良好快捷的沟通渠道；参与财税稽查事项的协调沟通，确保及时有效。</w:t>
      </w:r>
    </w:p>
    <w:p>
      <w:pPr>
        <w:spacing w:line="360" w:lineRule="auto"/>
        <w:ind w:firstLine="645"/>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五</w:t>
      </w:r>
      <w:r>
        <w:rPr>
          <w:rFonts w:hint="eastAsia" w:ascii="宋体" w:hAnsi="宋体" w:eastAsia="宋体" w:cs="宋体"/>
          <w:sz w:val="24"/>
          <w:szCs w:val="24"/>
        </w:rPr>
        <w:t>）</w:t>
      </w:r>
      <w:r>
        <w:rPr>
          <w:rFonts w:hint="eastAsia" w:ascii="宋体" w:hAnsi="宋体" w:eastAsia="宋体" w:cs="宋体"/>
          <w:color w:val="auto"/>
          <w:sz w:val="24"/>
          <w:szCs w:val="24"/>
          <w:lang w:val="en-US" w:eastAsia="zh-CN"/>
        </w:rPr>
        <w:t>甲方</w:t>
      </w:r>
      <w:r>
        <w:rPr>
          <w:rFonts w:hint="eastAsia" w:ascii="宋体" w:hAnsi="宋体" w:eastAsia="宋体" w:cs="宋体"/>
          <w:sz w:val="24"/>
          <w:szCs w:val="24"/>
        </w:rPr>
        <w:t>经营过程中其他涉税事务。</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二、甲方的权利、义务</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（一）提供与审计服务相关的会计凭证、账套、报表及其他涉税资料。</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（二）为</w:t>
      </w:r>
      <w:r>
        <w:rPr>
          <w:rFonts w:hint="eastAsia" w:ascii="宋体" w:hAnsi="宋体" w:eastAsia="宋体" w:cs="宋体"/>
          <w:sz w:val="24"/>
          <w:szCs w:val="24"/>
        </w:rPr>
        <w:t>提升税务审计服务质效，</w:t>
      </w:r>
      <w:r>
        <w:rPr>
          <w:rFonts w:hint="eastAsia" w:ascii="宋体" w:hAnsi="宋体" w:eastAsia="宋体" w:cs="宋体"/>
          <w:bCs/>
          <w:sz w:val="24"/>
          <w:szCs w:val="24"/>
        </w:rPr>
        <w:t>由基层公司对服务质量进行评价（满分100分），年综评分90分以上，续签一年服务合同（即</w:t>
      </w:r>
      <w:r>
        <w:rPr>
          <w:rFonts w:hint="eastAsia" w:ascii="宋体" w:hAnsi="宋体" w:eastAsia="宋体" w:cs="宋体"/>
          <w:sz w:val="24"/>
          <w:szCs w:val="24"/>
        </w:rPr>
        <w:t>合同履约完成后，经</w:t>
      </w:r>
      <w:r>
        <w:rPr>
          <w:rFonts w:hint="eastAsia" w:ascii="宋体" w:hAnsi="宋体" w:eastAsia="宋体" w:cs="宋体"/>
          <w:sz w:val="24"/>
          <w:szCs w:val="24"/>
          <w:lang w:val="en-US" w:eastAsia="zh-CN"/>
        </w:rPr>
        <w:t>甲方</w:t>
      </w:r>
      <w:r>
        <w:rPr>
          <w:rFonts w:hint="eastAsia" w:ascii="宋体" w:hAnsi="宋体" w:eastAsia="宋体" w:cs="宋体"/>
          <w:sz w:val="24"/>
          <w:szCs w:val="24"/>
        </w:rPr>
        <w:t>考核合格，在年度预算能够保障的前提下，经双方协商同意后，可续签一年合同，续签合同不得改变原合同的服务范围、服务内容、服务标准、服务人员数量、合同价等实质性内容）。</w:t>
      </w:r>
    </w:p>
    <w:p>
      <w:pPr>
        <w:spacing w:line="360" w:lineRule="auto"/>
        <w:ind w:firstLine="645"/>
        <w:rPr>
          <w:rFonts w:hint="eastAsia" w:ascii="宋体" w:hAnsi="宋体" w:eastAsia="宋体" w:cs="宋体"/>
          <w:sz w:val="24"/>
          <w:szCs w:val="24"/>
        </w:rPr>
      </w:pPr>
      <w:r>
        <w:rPr>
          <w:rFonts w:hint="eastAsia" w:ascii="宋体" w:hAnsi="宋体" w:eastAsia="宋体" w:cs="宋体"/>
          <w:bCs/>
          <w:sz w:val="24"/>
          <w:szCs w:val="24"/>
        </w:rPr>
        <w:t>（三）</w:t>
      </w:r>
      <w:r>
        <w:rPr>
          <w:rFonts w:hint="eastAsia" w:ascii="宋体" w:hAnsi="宋体" w:eastAsia="宋体" w:cs="宋体"/>
          <w:sz w:val="24"/>
          <w:szCs w:val="24"/>
        </w:rPr>
        <w:t>乙方延迟出具税务审计报告，应取得甲方书面同意。未按协议约定出具的，甲方按天扣减</w:t>
      </w:r>
      <w:r>
        <w:rPr>
          <w:rFonts w:hint="eastAsia" w:ascii="宋体" w:hAnsi="宋体" w:eastAsia="宋体" w:cs="宋体"/>
          <w:sz w:val="24"/>
          <w:szCs w:val="24"/>
          <w:lang w:val="en-US" w:eastAsia="zh-CN"/>
        </w:rPr>
        <w:t>3‰的</w:t>
      </w:r>
      <w:r>
        <w:rPr>
          <w:rFonts w:hint="eastAsia" w:ascii="宋体" w:hAnsi="宋体" w:eastAsia="宋体" w:cs="宋体"/>
          <w:sz w:val="24"/>
          <w:szCs w:val="24"/>
        </w:rPr>
        <w:t>审计</w:t>
      </w:r>
      <w:r>
        <w:rPr>
          <w:rFonts w:hint="eastAsia" w:ascii="宋体" w:hAnsi="宋体" w:eastAsia="宋体" w:cs="宋体"/>
          <w:sz w:val="24"/>
          <w:szCs w:val="24"/>
          <w:lang w:val="en-US" w:eastAsia="zh-CN"/>
        </w:rPr>
        <w:t>费用</w:t>
      </w:r>
      <w:r>
        <w:rPr>
          <w:rFonts w:hint="eastAsia" w:ascii="宋体" w:hAnsi="宋体" w:eastAsia="宋体" w:cs="宋体"/>
          <w:sz w:val="24"/>
          <w:szCs w:val="24"/>
        </w:rPr>
        <w:t>，且有权终止合作关系并要求乙方承担审计</w:t>
      </w:r>
      <w:r>
        <w:rPr>
          <w:rFonts w:hint="eastAsia" w:ascii="宋体" w:hAnsi="宋体" w:eastAsia="宋体" w:cs="宋体"/>
          <w:sz w:val="24"/>
          <w:szCs w:val="24"/>
          <w:lang w:val="en-US" w:eastAsia="zh-CN"/>
        </w:rPr>
        <w:t>费用</w:t>
      </w:r>
      <w:r>
        <w:rPr>
          <w:rFonts w:hint="eastAsia" w:ascii="宋体" w:hAnsi="宋体" w:eastAsia="宋体" w:cs="宋体"/>
          <w:sz w:val="24"/>
          <w:szCs w:val="24"/>
        </w:rPr>
        <w:t>30%的违约金。</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三、乙方的权利、义务</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（一）遵循客观、公正、求实、保密的原则，依据国家、地方法规政策规定，在委托授权范围内实施税务审计工作。</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（二）审计人员须对执业中知悉的甲方商业秘密保密，维护甲方合法权益。借阅的会计资料，须保证资料的完整，物归原处。</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因乙方原因造成甲方商业秘密泄露、会计资料丢失的，乙方应当承担</w:t>
      </w:r>
      <w:r>
        <w:rPr>
          <w:rFonts w:hint="eastAsia" w:ascii="宋体" w:hAnsi="宋体" w:eastAsia="宋体" w:cs="宋体"/>
          <w:sz w:val="24"/>
          <w:szCs w:val="24"/>
        </w:rPr>
        <w:t>审计</w:t>
      </w:r>
      <w:r>
        <w:rPr>
          <w:rFonts w:hint="eastAsia" w:ascii="宋体" w:hAnsi="宋体" w:eastAsia="宋体" w:cs="宋体"/>
          <w:sz w:val="24"/>
          <w:szCs w:val="24"/>
          <w:lang w:val="en-US" w:eastAsia="zh-CN"/>
        </w:rPr>
        <w:t>费用</w:t>
      </w:r>
      <w:r>
        <w:rPr>
          <w:rFonts w:hint="eastAsia" w:ascii="宋体" w:hAnsi="宋体" w:eastAsia="宋体" w:cs="宋体"/>
          <w:bCs/>
          <w:sz w:val="24"/>
          <w:szCs w:val="24"/>
        </w:rPr>
        <w:t>30%的违约金，并承担由此给甲方造成的全部损失。</w:t>
      </w:r>
    </w:p>
    <w:p>
      <w:pPr>
        <w:spacing w:line="360" w:lineRule="auto"/>
        <w:ind w:firstLine="645"/>
        <w:rPr>
          <w:rFonts w:hint="eastAsia" w:ascii="宋体" w:hAnsi="宋体" w:eastAsia="宋体" w:cs="宋体"/>
          <w:sz w:val="24"/>
          <w:szCs w:val="24"/>
        </w:rPr>
      </w:pPr>
      <w:r>
        <w:rPr>
          <w:rFonts w:hint="eastAsia" w:ascii="宋体" w:hAnsi="宋体" w:eastAsia="宋体" w:cs="宋体"/>
          <w:bCs/>
          <w:sz w:val="24"/>
          <w:szCs w:val="24"/>
        </w:rPr>
        <w:t>（三）约定时限内，及时完成</w:t>
      </w:r>
      <w:r>
        <w:rPr>
          <w:rFonts w:hint="eastAsia" w:ascii="宋体" w:hAnsi="宋体" w:eastAsia="宋体" w:cs="宋体"/>
          <w:sz w:val="24"/>
          <w:szCs w:val="24"/>
        </w:rPr>
        <w:t>年度</w:t>
      </w:r>
      <w:r>
        <w:rPr>
          <w:rFonts w:hint="eastAsia" w:ascii="宋体" w:hAnsi="宋体" w:eastAsia="宋体" w:cs="宋体"/>
          <w:bCs/>
          <w:sz w:val="24"/>
          <w:szCs w:val="24"/>
        </w:rPr>
        <w:t>审计服务，并协助</w:t>
      </w:r>
      <w:r>
        <w:rPr>
          <w:rFonts w:hint="eastAsia" w:ascii="宋体" w:hAnsi="宋体" w:eastAsia="宋体" w:cs="宋体"/>
          <w:sz w:val="24"/>
          <w:szCs w:val="24"/>
        </w:rPr>
        <w:t>甲方完成企业所得税汇算清缴、个人所得税年度汇算</w:t>
      </w:r>
      <w:r>
        <w:rPr>
          <w:rFonts w:hint="eastAsia" w:ascii="宋体" w:hAnsi="宋体" w:eastAsia="宋体" w:cs="宋体"/>
          <w:sz w:val="24"/>
          <w:szCs w:val="24"/>
          <w:lang w:val="en-US" w:eastAsia="zh-CN"/>
        </w:rPr>
        <w:t>等工作</w:t>
      </w:r>
      <w:r>
        <w:rPr>
          <w:rFonts w:hint="eastAsia" w:ascii="宋体" w:hAnsi="宋体" w:eastAsia="宋体" w:cs="宋体"/>
          <w:sz w:val="24"/>
          <w:szCs w:val="24"/>
        </w:rPr>
        <w:t>。</w:t>
      </w:r>
    </w:p>
    <w:p>
      <w:pPr>
        <w:spacing w:line="360" w:lineRule="auto"/>
        <w:ind w:firstLine="645"/>
        <w:rPr>
          <w:rFonts w:hint="eastAsia" w:ascii="宋体" w:hAnsi="宋体" w:eastAsia="宋体" w:cs="宋体"/>
          <w:bCs/>
          <w:color w:val="000000"/>
          <w:sz w:val="24"/>
          <w:szCs w:val="24"/>
        </w:rPr>
      </w:pPr>
      <w:r>
        <w:rPr>
          <w:rFonts w:hint="eastAsia" w:ascii="宋体" w:hAnsi="宋体" w:eastAsia="宋体" w:cs="宋体"/>
          <w:bCs/>
          <w:sz w:val="24"/>
          <w:szCs w:val="24"/>
        </w:rPr>
        <w:t>（四）执业审计中，因工作失误或疏漏导致甲方受到监管处罚的，</w:t>
      </w:r>
      <w:r>
        <w:rPr>
          <w:rFonts w:hint="eastAsia" w:ascii="宋体" w:hAnsi="宋体" w:eastAsia="宋体" w:cs="宋体"/>
          <w:bCs/>
          <w:color w:val="000000"/>
          <w:sz w:val="24"/>
          <w:szCs w:val="24"/>
        </w:rPr>
        <w:t>甲方负责补缴税款，乙方承担滞纳金及罚款等由此给甲方造成的</w:t>
      </w:r>
      <w:r>
        <w:rPr>
          <w:rFonts w:hint="eastAsia" w:ascii="宋体" w:hAnsi="宋体" w:eastAsia="宋体" w:cs="宋体"/>
          <w:bCs/>
          <w:color w:val="000000"/>
          <w:sz w:val="24"/>
          <w:szCs w:val="24"/>
          <w:lang w:val="en-US" w:eastAsia="zh-CN"/>
        </w:rPr>
        <w:t>全部</w:t>
      </w:r>
      <w:r>
        <w:rPr>
          <w:rFonts w:hint="eastAsia" w:ascii="宋体" w:hAnsi="宋体" w:eastAsia="宋体" w:cs="宋体"/>
          <w:bCs/>
          <w:color w:val="000000"/>
          <w:sz w:val="24"/>
          <w:szCs w:val="24"/>
        </w:rPr>
        <w:t>损失。</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（五）确保审计适用财税政策的有效性、一致性。</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四、审计期间及审计报告提交</w:t>
      </w:r>
    </w:p>
    <w:p>
      <w:pPr>
        <w:spacing w:line="360" w:lineRule="auto"/>
        <w:ind w:firstLine="645"/>
        <w:rPr>
          <w:rFonts w:hint="eastAsia" w:ascii="宋体" w:hAnsi="宋体" w:eastAsia="宋体" w:cs="宋体"/>
          <w:bCs/>
          <w:sz w:val="24"/>
          <w:szCs w:val="24"/>
        </w:rPr>
      </w:pPr>
      <w:r>
        <w:rPr>
          <w:rFonts w:hint="eastAsia" w:ascii="宋体" w:hAnsi="宋体" w:eastAsia="宋体" w:cs="宋体"/>
          <w:bCs/>
          <w:sz w:val="24"/>
          <w:szCs w:val="24"/>
        </w:rPr>
        <w:t>（一）税务审计委托的会计期间：202</w:t>
      </w:r>
      <w:r>
        <w:rPr>
          <w:rFonts w:hint="eastAsia" w:ascii="宋体" w:hAnsi="宋体" w:eastAsia="宋体" w:cs="宋体"/>
          <w:bCs/>
          <w:sz w:val="24"/>
          <w:szCs w:val="24"/>
          <w:lang w:val="en-US" w:eastAsia="zh-CN"/>
        </w:rPr>
        <w:t>4</w:t>
      </w:r>
      <w:r>
        <w:rPr>
          <w:rFonts w:hint="eastAsia" w:ascii="宋体" w:hAnsi="宋体" w:eastAsia="宋体" w:cs="宋体"/>
          <w:bCs/>
          <w:sz w:val="24"/>
          <w:szCs w:val="24"/>
        </w:rPr>
        <w:t>年1月1日至202</w:t>
      </w:r>
      <w:r>
        <w:rPr>
          <w:rFonts w:hint="eastAsia" w:ascii="宋体" w:hAnsi="宋体" w:eastAsia="宋体" w:cs="宋体"/>
          <w:bCs/>
          <w:sz w:val="24"/>
          <w:szCs w:val="24"/>
          <w:lang w:val="en-US" w:eastAsia="zh-CN"/>
        </w:rPr>
        <w:t>4</w:t>
      </w:r>
      <w:r>
        <w:rPr>
          <w:rFonts w:hint="eastAsia" w:ascii="宋体" w:hAnsi="宋体" w:eastAsia="宋体" w:cs="宋体"/>
          <w:bCs/>
          <w:sz w:val="24"/>
          <w:szCs w:val="24"/>
        </w:rPr>
        <w:t>年12月31日。</w:t>
      </w:r>
    </w:p>
    <w:p>
      <w:pPr>
        <w:spacing w:line="360" w:lineRule="auto"/>
        <w:ind w:firstLine="645"/>
        <w:rPr>
          <w:rFonts w:hint="eastAsia" w:ascii="宋体" w:hAnsi="宋体" w:eastAsia="宋体" w:cs="宋体"/>
          <w:sz w:val="24"/>
          <w:szCs w:val="24"/>
        </w:rPr>
      </w:pPr>
      <w:r>
        <w:rPr>
          <w:rFonts w:hint="eastAsia" w:ascii="宋体" w:hAnsi="宋体" w:eastAsia="宋体" w:cs="宋体"/>
          <w:bCs/>
          <w:sz w:val="24"/>
          <w:szCs w:val="24"/>
        </w:rPr>
        <w:t>（二）乙方应当在202</w:t>
      </w:r>
      <w:r>
        <w:rPr>
          <w:rFonts w:hint="eastAsia" w:ascii="宋体" w:hAnsi="宋体" w:eastAsia="宋体" w:cs="宋体"/>
          <w:bCs/>
          <w:sz w:val="24"/>
          <w:szCs w:val="24"/>
          <w:lang w:val="en-US" w:eastAsia="zh-CN"/>
        </w:rPr>
        <w:t>5</w:t>
      </w:r>
      <w:r>
        <w:rPr>
          <w:rFonts w:hint="eastAsia" w:ascii="宋体" w:hAnsi="宋体" w:eastAsia="宋体" w:cs="宋体"/>
          <w:bCs/>
          <w:sz w:val="24"/>
          <w:szCs w:val="24"/>
        </w:rPr>
        <w:t>年5月31日前向甲方提交正式审计报告纸质版一式二份</w:t>
      </w:r>
      <w:r>
        <w:rPr>
          <w:rFonts w:hint="eastAsia" w:ascii="宋体" w:hAnsi="宋体" w:eastAsia="宋体" w:cs="宋体"/>
          <w:bCs/>
          <w:sz w:val="24"/>
          <w:szCs w:val="24"/>
          <w:lang w:val="en-US" w:eastAsia="zh-CN"/>
        </w:rPr>
        <w:t>以及全套电子版审计资料</w:t>
      </w:r>
      <w:r>
        <w:rPr>
          <w:rFonts w:hint="eastAsia" w:ascii="宋体" w:hAnsi="宋体" w:eastAsia="宋体" w:cs="宋体"/>
          <w:bCs/>
          <w:sz w:val="24"/>
          <w:szCs w:val="24"/>
        </w:rPr>
        <w:t>。</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五、审计费用</w:t>
      </w:r>
    </w:p>
    <w:p>
      <w:pPr>
        <w:spacing w:line="360" w:lineRule="auto"/>
        <w:ind w:firstLine="645"/>
        <w:rPr>
          <w:rFonts w:hint="eastAsia" w:ascii="宋体" w:hAnsi="宋体" w:eastAsia="宋体" w:cs="宋体"/>
          <w:sz w:val="24"/>
          <w:szCs w:val="24"/>
        </w:rPr>
      </w:pPr>
      <w:r>
        <w:rPr>
          <w:rFonts w:hint="eastAsia" w:ascii="宋体" w:hAnsi="宋体" w:eastAsia="宋体" w:cs="宋体"/>
          <w:bCs/>
          <w:sz w:val="24"/>
          <w:szCs w:val="24"/>
        </w:rPr>
        <w:t>年度税务审计代理服务费为元（大写：人民币元整）。乙方</w:t>
      </w:r>
      <w:r>
        <w:rPr>
          <w:rFonts w:hint="eastAsia" w:ascii="宋体" w:hAnsi="宋体" w:eastAsia="宋体" w:cs="宋体"/>
          <w:sz w:val="24"/>
          <w:szCs w:val="24"/>
        </w:rPr>
        <w:t>提交正式审计报告后，开具与付款金额一致的增值税专票，甲方收票后安排一次支付。</w:t>
      </w:r>
    </w:p>
    <w:p>
      <w:pPr>
        <w:spacing w:line="360" w:lineRule="auto"/>
        <w:ind w:firstLine="645"/>
        <w:rPr>
          <w:rFonts w:hint="eastAsia" w:ascii="宋体" w:hAnsi="宋体" w:eastAsia="宋体" w:cs="宋体"/>
          <w:sz w:val="24"/>
          <w:szCs w:val="24"/>
        </w:rPr>
      </w:pPr>
      <w:r>
        <w:rPr>
          <w:rFonts w:hint="eastAsia" w:ascii="宋体" w:hAnsi="宋体" w:eastAsia="宋体" w:cs="宋体"/>
          <w:b/>
          <w:sz w:val="24"/>
          <w:szCs w:val="24"/>
        </w:rPr>
        <w:t>六、</w:t>
      </w:r>
      <w:r>
        <w:rPr>
          <w:rFonts w:hint="eastAsia" w:ascii="宋体" w:hAnsi="宋体" w:eastAsia="宋体" w:cs="宋体"/>
          <w:sz w:val="24"/>
          <w:szCs w:val="24"/>
        </w:rPr>
        <w:t>协议签订，双方按约履行。不履行或不完全履行义务的视为违约，应承担违约责任，并</w:t>
      </w:r>
      <w:r>
        <w:rPr>
          <w:rFonts w:hint="eastAsia" w:ascii="宋体" w:hAnsi="宋体" w:eastAsia="宋体" w:cs="宋体"/>
          <w:sz w:val="24"/>
          <w:szCs w:val="24"/>
          <w:lang w:val="en-US" w:eastAsia="zh-CN"/>
        </w:rPr>
        <w:t>赔偿由此给守约方造成的全部损失</w:t>
      </w:r>
      <w:r>
        <w:rPr>
          <w:rFonts w:hint="eastAsia" w:ascii="宋体" w:hAnsi="宋体" w:eastAsia="宋体" w:cs="宋体"/>
          <w:sz w:val="24"/>
          <w:szCs w:val="24"/>
        </w:rPr>
        <w:t>。</w:t>
      </w:r>
    </w:p>
    <w:p>
      <w:pPr>
        <w:spacing w:line="360" w:lineRule="auto"/>
        <w:ind w:firstLine="645"/>
        <w:rPr>
          <w:rFonts w:hint="eastAsia" w:ascii="宋体" w:hAnsi="宋体" w:eastAsia="宋体" w:cs="宋体"/>
          <w:b/>
          <w:bCs/>
          <w:sz w:val="24"/>
          <w:szCs w:val="24"/>
        </w:rPr>
      </w:pPr>
      <w:r>
        <w:rPr>
          <w:rFonts w:hint="eastAsia" w:ascii="宋体" w:hAnsi="宋体" w:eastAsia="宋体" w:cs="宋体"/>
          <w:b/>
          <w:sz w:val="24"/>
          <w:szCs w:val="24"/>
        </w:rPr>
        <w:t>七</w:t>
      </w:r>
      <w:r>
        <w:rPr>
          <w:rFonts w:hint="eastAsia" w:ascii="宋体" w:hAnsi="宋体" w:eastAsia="宋体" w:cs="宋体"/>
          <w:b/>
          <w:bCs/>
          <w:sz w:val="24"/>
          <w:szCs w:val="24"/>
        </w:rPr>
        <w:t>、协议经甲、乙双方代表人签字，并</w:t>
      </w:r>
      <w:r>
        <w:rPr>
          <w:rFonts w:hint="eastAsia" w:ascii="宋体" w:hAnsi="宋体" w:eastAsia="宋体" w:cs="宋体"/>
          <w:b/>
          <w:bCs/>
          <w:sz w:val="24"/>
          <w:szCs w:val="24"/>
          <w:lang w:val="en-US" w:eastAsia="zh-CN"/>
        </w:rPr>
        <w:t>加盖公章</w:t>
      </w:r>
      <w:r>
        <w:rPr>
          <w:rFonts w:hint="eastAsia" w:ascii="宋体" w:hAnsi="宋体" w:eastAsia="宋体" w:cs="宋体"/>
          <w:b/>
          <w:bCs/>
          <w:sz w:val="24"/>
          <w:szCs w:val="24"/>
        </w:rPr>
        <w:t>后生效。</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八、协议一式四份，甲、乙双方各执二份，具有同等法律效力。</w:t>
      </w:r>
    </w:p>
    <w:p>
      <w:pPr>
        <w:spacing w:line="360" w:lineRule="auto"/>
        <w:ind w:firstLine="645"/>
        <w:rPr>
          <w:rFonts w:hint="eastAsia" w:ascii="宋体" w:hAnsi="宋体" w:eastAsia="宋体" w:cs="宋体"/>
          <w:b/>
          <w:bCs/>
          <w:sz w:val="24"/>
          <w:szCs w:val="24"/>
        </w:rPr>
      </w:pPr>
      <w:r>
        <w:rPr>
          <w:rFonts w:hint="eastAsia" w:ascii="宋体" w:hAnsi="宋体" w:eastAsia="宋体" w:cs="宋体"/>
          <w:b/>
          <w:bCs/>
          <w:sz w:val="24"/>
          <w:szCs w:val="24"/>
        </w:rPr>
        <w:t>九、协议未尽事宜，经双方协商后，可签订补充协议。本协议履行过程中如产生争议，双方应友好协商</w:t>
      </w:r>
      <w:r>
        <w:rPr>
          <w:rFonts w:hint="eastAsia" w:ascii="宋体" w:hAnsi="宋体" w:eastAsia="宋体" w:cs="宋体"/>
          <w:b/>
          <w:bCs/>
          <w:sz w:val="24"/>
          <w:szCs w:val="24"/>
          <w:lang w:val="en-US" w:eastAsia="zh-CN"/>
        </w:rPr>
        <w:t>解决</w:t>
      </w:r>
      <w:r>
        <w:rPr>
          <w:rFonts w:hint="eastAsia" w:ascii="宋体" w:hAnsi="宋体" w:eastAsia="宋体" w:cs="宋体"/>
          <w:b/>
          <w:bCs/>
          <w:sz w:val="24"/>
          <w:szCs w:val="24"/>
        </w:rPr>
        <w:t>，协商不成的，任何一方均可向甲方所在地有管辖权的人民法院提起诉讼解决。</w:t>
      </w: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left="720"/>
        <w:rPr>
          <w:rFonts w:hint="eastAsia" w:ascii="宋体" w:hAnsi="宋体" w:eastAsia="宋体" w:cs="宋体"/>
          <w:bCs/>
          <w:sz w:val="24"/>
          <w:szCs w:val="24"/>
          <w:lang w:eastAsia="zh-Hans"/>
        </w:rPr>
      </w:pPr>
      <w:r>
        <w:rPr>
          <w:rFonts w:hint="eastAsia" w:ascii="宋体" w:hAnsi="宋体" w:eastAsia="宋体" w:cs="宋体"/>
          <w:bCs/>
          <w:sz w:val="24"/>
          <w:szCs w:val="24"/>
          <w:lang w:eastAsia="zh-Hans"/>
        </w:rPr>
        <w:t>签署页（本页无正文）</w:t>
      </w:r>
    </w:p>
    <w:p>
      <w:pPr>
        <w:tabs>
          <w:tab w:val="left" w:pos="1305"/>
        </w:tabs>
        <w:spacing w:line="360" w:lineRule="auto"/>
        <w:ind w:left="720"/>
        <w:rPr>
          <w:rFonts w:hint="eastAsia" w:ascii="宋体" w:hAnsi="宋体" w:eastAsia="宋体" w:cs="宋体"/>
          <w:bCs/>
          <w:sz w:val="24"/>
          <w:szCs w:val="24"/>
          <w:lang w:eastAsia="zh-Hans"/>
        </w:rPr>
      </w:pPr>
    </w:p>
    <w:p>
      <w:pPr>
        <w:tabs>
          <w:tab w:val="left" w:pos="1305"/>
        </w:tabs>
        <w:spacing w:line="360" w:lineRule="auto"/>
        <w:ind w:left="720"/>
        <w:rPr>
          <w:rFonts w:hint="eastAsia" w:ascii="宋体" w:hAnsi="宋体" w:eastAsia="宋体" w:cs="宋体"/>
          <w:bCs/>
          <w:sz w:val="24"/>
          <w:szCs w:val="24"/>
          <w:lang w:eastAsia="zh-Hans"/>
        </w:rPr>
      </w:pPr>
    </w:p>
    <w:p>
      <w:pPr>
        <w:tabs>
          <w:tab w:val="left" w:pos="1305"/>
        </w:tabs>
        <w:spacing w:line="360" w:lineRule="auto"/>
        <w:ind w:left="720"/>
        <w:rPr>
          <w:rFonts w:hint="eastAsia" w:ascii="宋体" w:hAnsi="宋体" w:eastAsia="宋体" w:cs="宋体"/>
          <w:bCs/>
          <w:sz w:val="24"/>
          <w:szCs w:val="24"/>
        </w:rPr>
      </w:pPr>
    </w:p>
    <w:p>
      <w:pPr>
        <w:tabs>
          <w:tab w:val="left" w:pos="1305"/>
        </w:tabs>
        <w:spacing w:line="360" w:lineRule="auto"/>
        <w:ind w:firstLine="236" w:firstLineChars="98"/>
        <w:rPr>
          <w:rFonts w:hint="eastAsia" w:ascii="宋体" w:hAnsi="宋体" w:eastAsia="宋体" w:cs="宋体"/>
          <w:b/>
          <w:bCs/>
          <w:sz w:val="24"/>
          <w:szCs w:val="24"/>
          <w:lang w:eastAsia="zh-CN"/>
        </w:rPr>
      </w:pPr>
      <w:r>
        <w:rPr>
          <w:rFonts w:hint="eastAsia" w:ascii="宋体" w:hAnsi="宋体" w:eastAsia="宋体" w:cs="宋体"/>
          <w:b/>
          <w:bCs/>
          <w:sz w:val="24"/>
          <w:szCs w:val="24"/>
        </w:rPr>
        <w:t>甲方签章</w:t>
      </w:r>
      <w:r>
        <w:rPr>
          <w:rFonts w:hint="eastAsia" w:ascii="宋体" w:hAnsi="宋体" w:eastAsia="宋体" w:cs="宋体"/>
          <w:b/>
          <w:bCs/>
          <w:sz w:val="24"/>
          <w:szCs w:val="24"/>
          <w:lang w:eastAsia="zh-CN"/>
        </w:rPr>
        <w:t>：</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乙方签章</w:t>
      </w:r>
      <w:r>
        <w:rPr>
          <w:rFonts w:hint="eastAsia" w:ascii="宋体" w:hAnsi="宋体" w:eastAsia="宋体" w:cs="宋体"/>
          <w:b/>
          <w:bCs/>
          <w:sz w:val="24"/>
          <w:szCs w:val="24"/>
          <w:lang w:eastAsia="zh-CN"/>
        </w:rPr>
        <w:t>：</w:t>
      </w:r>
    </w:p>
    <w:p>
      <w:pPr>
        <w:tabs>
          <w:tab w:val="left" w:pos="1305"/>
        </w:tabs>
        <w:spacing w:line="360" w:lineRule="auto"/>
        <w:ind w:right="-716" w:rightChars="-341"/>
        <w:rPr>
          <w:rFonts w:hint="eastAsia" w:ascii="宋体" w:hAnsi="宋体" w:eastAsia="宋体" w:cs="宋体"/>
          <w:b/>
          <w:bCs/>
          <w:sz w:val="24"/>
          <w:szCs w:val="24"/>
        </w:rPr>
      </w:pPr>
    </w:p>
    <w:p>
      <w:pPr>
        <w:tabs>
          <w:tab w:val="left" w:pos="1305"/>
        </w:tabs>
        <w:spacing w:line="360" w:lineRule="auto"/>
        <w:ind w:right="-716" w:rightChars="-341"/>
        <w:rPr>
          <w:rFonts w:hint="eastAsia" w:ascii="宋体" w:hAnsi="宋体" w:eastAsia="宋体" w:cs="宋体"/>
          <w:b/>
          <w:bCs/>
          <w:sz w:val="24"/>
          <w:szCs w:val="24"/>
        </w:rPr>
      </w:pPr>
    </w:p>
    <w:p>
      <w:pPr>
        <w:tabs>
          <w:tab w:val="left" w:pos="1305"/>
        </w:tabs>
        <w:spacing w:line="360" w:lineRule="auto"/>
        <w:ind w:right="-716" w:rightChars="-341" w:firstLine="236" w:firstLineChars="98"/>
        <w:rPr>
          <w:rFonts w:hint="eastAsia" w:ascii="宋体" w:hAnsi="宋体" w:eastAsia="宋体" w:cs="宋体"/>
          <w:b/>
          <w:bCs/>
          <w:sz w:val="24"/>
          <w:szCs w:val="24"/>
        </w:rPr>
      </w:pPr>
      <w:r>
        <w:rPr>
          <w:rFonts w:hint="eastAsia" w:ascii="宋体" w:hAnsi="宋体" w:eastAsia="宋体" w:cs="宋体"/>
          <w:b/>
          <w:bCs/>
          <w:sz w:val="24"/>
          <w:szCs w:val="24"/>
        </w:rPr>
        <w:t>甲方代表（签字）:             乙方代表(签字):</w:t>
      </w:r>
    </w:p>
    <w:p>
      <w:pPr>
        <w:tabs>
          <w:tab w:val="left" w:pos="1305"/>
        </w:tabs>
        <w:spacing w:line="360" w:lineRule="auto"/>
        <w:ind w:right="-716" w:rightChars="-341"/>
        <w:rPr>
          <w:rFonts w:hint="eastAsia" w:ascii="宋体" w:hAnsi="宋体" w:eastAsia="宋体" w:cs="宋体"/>
          <w:b/>
          <w:bCs/>
          <w:sz w:val="24"/>
          <w:szCs w:val="24"/>
        </w:rPr>
      </w:pPr>
    </w:p>
    <w:p>
      <w:pPr>
        <w:tabs>
          <w:tab w:val="left" w:pos="1305"/>
        </w:tabs>
        <w:spacing w:line="360" w:lineRule="auto"/>
        <w:ind w:right="-716" w:rightChars="-341"/>
        <w:rPr>
          <w:rFonts w:hint="eastAsia" w:ascii="宋体" w:hAnsi="宋体" w:eastAsia="宋体" w:cs="宋体"/>
          <w:b/>
          <w:bCs/>
          <w:sz w:val="24"/>
          <w:szCs w:val="24"/>
        </w:rPr>
      </w:pPr>
    </w:p>
    <w:p>
      <w:pPr>
        <w:tabs>
          <w:tab w:val="left" w:pos="1305"/>
        </w:tabs>
        <w:spacing w:line="360" w:lineRule="auto"/>
        <w:ind w:right="-716" w:rightChars="-341"/>
        <w:rPr>
          <w:rFonts w:hint="eastAsia" w:ascii="宋体" w:hAnsi="宋体" w:eastAsia="宋体" w:cs="宋体"/>
          <w:b/>
          <w:bCs/>
          <w:sz w:val="24"/>
          <w:szCs w:val="24"/>
        </w:rPr>
      </w:pPr>
      <w:r>
        <w:rPr>
          <w:rFonts w:hint="eastAsia" w:ascii="宋体" w:hAnsi="宋体" w:eastAsia="宋体" w:cs="宋体"/>
          <w:b/>
          <w:bCs/>
          <w:sz w:val="24"/>
          <w:szCs w:val="24"/>
        </w:rPr>
        <w:t xml:space="preserve">  20</w:t>
      </w:r>
      <w:r>
        <w:rPr>
          <w:rFonts w:hint="eastAsia" w:ascii="宋体" w:hAnsi="宋体" w:cs="宋体"/>
          <w:b/>
          <w:bCs/>
          <w:sz w:val="24"/>
          <w:szCs w:val="24"/>
          <w:lang w:val="en-US" w:eastAsia="zh-CN"/>
        </w:rPr>
        <w:t>XX</w:t>
      </w:r>
      <w:r>
        <w:rPr>
          <w:rFonts w:hint="eastAsia" w:ascii="宋体" w:hAnsi="宋体" w:eastAsia="宋体" w:cs="宋体"/>
          <w:b/>
          <w:bCs/>
          <w:sz w:val="24"/>
          <w:szCs w:val="24"/>
        </w:rPr>
        <w:t>年</w:t>
      </w:r>
      <w:r>
        <w:rPr>
          <w:rFonts w:hint="eastAsia" w:ascii="宋体" w:hAnsi="宋体" w:cs="宋体"/>
          <w:b/>
          <w:bCs/>
          <w:sz w:val="24"/>
          <w:szCs w:val="24"/>
          <w:lang w:val="en-US" w:eastAsia="zh-CN"/>
        </w:rPr>
        <w:t>XX</w:t>
      </w:r>
      <w:r>
        <w:rPr>
          <w:rFonts w:hint="eastAsia" w:ascii="宋体" w:hAnsi="宋体" w:eastAsia="宋体" w:cs="宋体"/>
          <w:b/>
          <w:bCs/>
          <w:sz w:val="24"/>
          <w:szCs w:val="24"/>
        </w:rPr>
        <w:t>月</w:t>
      </w:r>
      <w:r>
        <w:rPr>
          <w:rFonts w:hint="eastAsia" w:ascii="宋体" w:hAnsi="宋体" w:cs="宋体"/>
          <w:b/>
          <w:bCs/>
          <w:sz w:val="24"/>
          <w:szCs w:val="24"/>
          <w:lang w:val="en-US" w:eastAsia="zh-CN"/>
        </w:rPr>
        <w:t>XX</w:t>
      </w:r>
      <w:r>
        <w:rPr>
          <w:rFonts w:hint="eastAsia" w:ascii="宋体" w:hAnsi="宋体" w:eastAsia="宋体" w:cs="宋体"/>
          <w:b/>
          <w:bCs/>
          <w:sz w:val="24"/>
          <w:szCs w:val="24"/>
        </w:rPr>
        <w:t>日              20</w:t>
      </w:r>
      <w:r>
        <w:rPr>
          <w:rFonts w:hint="eastAsia" w:ascii="宋体" w:hAnsi="宋体" w:cs="宋体"/>
          <w:b/>
          <w:bCs/>
          <w:sz w:val="24"/>
          <w:szCs w:val="24"/>
          <w:lang w:val="en-US" w:eastAsia="zh-CN"/>
        </w:rPr>
        <w:t>XX</w:t>
      </w:r>
      <w:r>
        <w:rPr>
          <w:rFonts w:hint="eastAsia" w:ascii="宋体" w:hAnsi="宋体" w:eastAsia="宋体" w:cs="宋体"/>
          <w:b/>
          <w:bCs/>
          <w:sz w:val="24"/>
          <w:szCs w:val="24"/>
        </w:rPr>
        <w:t>年</w:t>
      </w:r>
      <w:r>
        <w:rPr>
          <w:rFonts w:hint="eastAsia" w:ascii="宋体" w:hAnsi="宋体" w:cs="宋体"/>
          <w:b/>
          <w:bCs/>
          <w:sz w:val="24"/>
          <w:szCs w:val="24"/>
          <w:lang w:val="en-US" w:eastAsia="zh-CN"/>
        </w:rPr>
        <w:t>XX</w:t>
      </w:r>
      <w:r>
        <w:rPr>
          <w:rFonts w:hint="eastAsia" w:ascii="宋体" w:hAnsi="宋体" w:eastAsia="宋体" w:cs="宋体"/>
          <w:b/>
          <w:bCs/>
          <w:sz w:val="24"/>
          <w:szCs w:val="24"/>
        </w:rPr>
        <w:t>月</w:t>
      </w:r>
      <w:r>
        <w:rPr>
          <w:rFonts w:hint="eastAsia" w:ascii="宋体" w:hAnsi="宋体" w:cs="宋体"/>
          <w:b/>
          <w:bCs/>
          <w:sz w:val="24"/>
          <w:szCs w:val="24"/>
          <w:lang w:val="en-US" w:eastAsia="zh-CN"/>
        </w:rPr>
        <w:t>XX</w:t>
      </w:r>
      <w:r>
        <w:rPr>
          <w:rFonts w:hint="eastAsia" w:ascii="宋体" w:hAnsi="宋体" w:eastAsia="宋体" w:cs="宋体"/>
          <w:b/>
          <w:bCs/>
          <w:sz w:val="24"/>
          <w:szCs w:val="24"/>
        </w:rPr>
        <w:t>日</w:t>
      </w:r>
    </w:p>
    <w:p>
      <w:pPr>
        <w:tabs>
          <w:tab w:val="left" w:pos="1305"/>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  </w:t>
      </w:r>
    </w:p>
    <w:p>
      <w:pPr>
        <w:tabs>
          <w:tab w:val="left" w:pos="1305"/>
        </w:tabs>
        <w:spacing w:line="360" w:lineRule="auto"/>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 xml:space="preserve">联系人：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联系人： </w:t>
      </w:r>
    </w:p>
    <w:p>
      <w:pPr>
        <w:tabs>
          <w:tab w:val="left" w:pos="1305"/>
          <w:tab w:val="left" w:pos="4200"/>
          <w:tab w:val="left" w:pos="4305"/>
        </w:tabs>
        <w:spacing w:line="360" w:lineRule="auto"/>
        <w:ind w:firstLine="236" w:firstLineChars="98"/>
        <w:rPr>
          <w:rFonts w:hint="eastAsia" w:ascii="宋体" w:hAnsi="宋体" w:eastAsia="宋体" w:cs="宋体"/>
          <w:b/>
          <w:bCs/>
          <w:sz w:val="24"/>
          <w:szCs w:val="24"/>
        </w:rPr>
      </w:pPr>
      <w:r>
        <w:rPr>
          <w:rFonts w:hint="eastAsia" w:ascii="宋体" w:hAnsi="宋体" w:eastAsia="宋体" w:cs="宋体"/>
          <w:b/>
          <w:bCs/>
          <w:sz w:val="24"/>
          <w:szCs w:val="24"/>
        </w:rPr>
        <w:t xml:space="preserve">电话：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电话：</w:t>
      </w:r>
      <w:bookmarkStart w:id="14" w:name="_GoBack"/>
      <w:bookmarkEnd w:id="14"/>
    </w:p>
    <w:p>
      <w:pPr>
        <w:tabs>
          <w:tab w:val="left" w:pos="1305"/>
          <w:tab w:val="left" w:pos="4200"/>
          <w:tab w:val="left" w:pos="4305"/>
        </w:tabs>
        <w:spacing w:line="360" w:lineRule="auto"/>
        <w:ind w:left="6425" w:hanging="6425" w:hangingChars="2000"/>
        <w:rPr>
          <w:rFonts w:hint="eastAsia" w:ascii="仿宋" w:hAnsi="仿宋" w:eastAsia="仿宋"/>
          <w:bCs/>
          <w:sz w:val="32"/>
          <w:szCs w:val="32"/>
        </w:rPr>
      </w:pPr>
      <w:r>
        <w:rPr>
          <w:rFonts w:hint="eastAsia" w:ascii="仿宋" w:hAnsi="仿宋" w:eastAsia="仿宋"/>
          <w:b/>
          <w:bCs/>
          <w:sz w:val="32"/>
          <w:szCs w:val="32"/>
        </w:rPr>
        <w:t xml:space="preserve">                            </w:t>
      </w:r>
      <w:r>
        <w:rPr>
          <w:rFonts w:ascii="仿宋" w:hAnsi="仿宋" w:eastAsia="仿宋"/>
          <w:b/>
          <w:bCs/>
          <w:sz w:val="32"/>
          <w:szCs w:val="32"/>
        </w:rPr>
        <w:t xml:space="preserve"> </w:t>
      </w:r>
      <w:r>
        <w:rPr>
          <w:rFonts w:hint="eastAsia" w:ascii="仿宋" w:hAnsi="仿宋" w:eastAsia="仿宋"/>
          <w:b/>
          <w:bCs/>
          <w:sz w:val="32"/>
          <w:szCs w:val="32"/>
        </w:rPr>
        <w:t xml:space="preserve">  </w:t>
      </w:r>
      <w:r>
        <w:rPr>
          <w:rFonts w:hint="eastAsia" w:ascii="仿宋" w:hAnsi="仿宋" w:eastAsia="仿宋"/>
          <w:bCs/>
          <w:sz w:val="32"/>
          <w:szCs w:val="32"/>
        </w:rPr>
        <w:t xml:space="preserve">   </w:t>
      </w:r>
    </w:p>
    <w:p>
      <w:pPr>
        <w:pStyle w:val="2"/>
        <w:rPr>
          <w:rFonts w:hint="eastAsia" w:ascii="仿宋" w:hAnsi="仿宋" w:eastAsia="仿宋"/>
          <w:bCs/>
          <w:sz w:val="32"/>
          <w:szCs w:val="32"/>
        </w:rPr>
      </w:pPr>
    </w:p>
    <w:p>
      <w:pPr>
        <w:rPr>
          <w:rFonts w:hint="eastAsia" w:ascii="仿宋" w:hAnsi="仿宋" w:eastAsia="仿宋"/>
          <w:bCs/>
          <w:sz w:val="32"/>
          <w:szCs w:val="32"/>
        </w:rPr>
      </w:pPr>
    </w:p>
    <w:p>
      <w:pPr>
        <w:pStyle w:val="2"/>
        <w:rPr>
          <w:rFonts w:hint="eastAsia" w:ascii="仿宋" w:hAnsi="仿宋" w:eastAsia="仿宋"/>
          <w:bCs/>
          <w:sz w:val="32"/>
          <w:szCs w:val="32"/>
        </w:rPr>
      </w:pPr>
    </w:p>
    <w:p>
      <w:pPr>
        <w:rPr>
          <w:rFonts w:hint="eastAsia" w:ascii="仿宋" w:hAnsi="仿宋" w:eastAsia="仿宋"/>
          <w:bCs/>
          <w:sz w:val="32"/>
          <w:szCs w:val="32"/>
        </w:rPr>
      </w:pPr>
    </w:p>
    <w:p>
      <w:pPr>
        <w:pStyle w:val="2"/>
        <w:rPr>
          <w:rFonts w:hint="eastAsia" w:ascii="仿宋" w:hAnsi="仿宋" w:eastAsia="仿宋"/>
          <w:bCs/>
          <w:sz w:val="32"/>
          <w:szCs w:val="32"/>
        </w:rPr>
      </w:pPr>
    </w:p>
    <w:p>
      <w:pPr>
        <w:rPr>
          <w:rFonts w:hint="eastAsia" w:ascii="仿宋" w:hAnsi="仿宋" w:eastAsia="仿宋"/>
          <w:bCs/>
          <w:sz w:val="32"/>
          <w:szCs w:val="32"/>
        </w:rPr>
      </w:pPr>
    </w:p>
    <w:p>
      <w:pPr>
        <w:pStyle w:val="5"/>
        <w:numPr>
          <w:ilvl w:val="0"/>
          <w:numId w:val="0"/>
        </w:numPr>
        <w:jc w:val="both"/>
        <w:rPr>
          <w:rFonts w:hint="eastAsia"/>
        </w:rPr>
      </w:pPr>
    </w:p>
    <w:p>
      <w:pPr>
        <w:rPr>
          <w:rFonts w:hint="eastAsia"/>
        </w:rPr>
      </w:pPr>
    </w:p>
    <w:p>
      <w:pPr>
        <w:pStyle w:val="5"/>
        <w:numPr>
          <w:ilvl w:val="0"/>
          <w:numId w:val="0"/>
        </w:numPr>
        <w:ind w:left="141"/>
        <w:jc w:val="center"/>
      </w:pPr>
      <w:r>
        <w:rPr>
          <w:rFonts w:hint="eastAsia"/>
        </w:rPr>
        <w:t>信息安全采购要求承诺函</w:t>
      </w:r>
      <w:bookmarkEnd w:id="13"/>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hint="eastAsia" w:ascii="仿宋_GB2312" w:hAnsi="宋体" w:eastAsia="仿宋_GB2312"/>
          <w:color w:val="000000" w:themeColor="text1"/>
          <w:kern w:val="0"/>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1"/>
    <w:bookmarkEnd w:id="12"/>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宋体" w:hAnsi="宋体" w:eastAsia="宋体" w:cs="宋体"/>
          <w:sz w:val="24"/>
          <w:szCs w:val="24"/>
        </w:rPr>
      </w:pPr>
      <w:r>
        <w:rPr>
          <w:rFonts w:hint="eastAsia" w:ascii="宋体" w:hAnsi="宋体" w:eastAsia="宋体" w:cs="宋体"/>
          <w:sz w:val="24"/>
          <w:szCs w:val="24"/>
        </w:rPr>
        <w:t>选取一家税务师事务所为我公司</w:t>
      </w:r>
      <w:r>
        <w:rPr>
          <w:rFonts w:hint="eastAsia" w:ascii="宋体" w:hAnsi="宋体" w:eastAsia="宋体" w:cs="宋体"/>
          <w:sz w:val="24"/>
          <w:szCs w:val="24"/>
          <w:lang w:eastAsia="zh-CN"/>
        </w:rPr>
        <w:t>提供</w:t>
      </w:r>
      <w:r>
        <w:rPr>
          <w:rFonts w:hint="eastAsia" w:ascii="宋体" w:hAnsi="宋体" w:eastAsia="宋体" w:cs="宋体"/>
          <w:sz w:val="24"/>
          <w:szCs w:val="24"/>
        </w:rPr>
        <w:t>202</w:t>
      </w:r>
      <w:r>
        <w:rPr>
          <w:rFonts w:hint="eastAsia" w:ascii="宋体" w:hAnsi="宋体" w:eastAsia="宋体" w:cs="宋体"/>
          <w:sz w:val="24"/>
          <w:szCs w:val="24"/>
          <w:lang w:val="en-US" w:eastAsia="zh-CN"/>
        </w:rPr>
        <w:t>4</w:t>
      </w:r>
      <w:r>
        <w:rPr>
          <w:rFonts w:hint="eastAsia" w:ascii="宋体" w:hAnsi="宋体" w:eastAsia="宋体" w:cs="宋体"/>
          <w:sz w:val="24"/>
          <w:szCs w:val="24"/>
        </w:rPr>
        <w:t>年度税务审计服务。</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服务内容如下：</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根据</w:t>
      </w:r>
      <w:r>
        <w:rPr>
          <w:rFonts w:hint="eastAsia" w:ascii="宋体" w:hAnsi="宋体" w:eastAsia="宋体" w:cs="宋体"/>
          <w:sz w:val="24"/>
          <w:szCs w:val="24"/>
          <w:lang w:eastAsia="zh-CN"/>
        </w:rPr>
        <w:t>公司</w:t>
      </w:r>
      <w:r>
        <w:rPr>
          <w:rFonts w:hint="eastAsia" w:ascii="宋体" w:hAnsi="宋体" w:eastAsia="宋体" w:cs="宋体"/>
          <w:bCs/>
          <w:sz w:val="24"/>
          <w:szCs w:val="24"/>
          <w:lang w:val="en-US" w:eastAsia="zh-CN"/>
        </w:rPr>
        <w:t>业务</w:t>
      </w:r>
      <w:r>
        <w:rPr>
          <w:rFonts w:hint="eastAsia" w:ascii="宋体" w:hAnsi="宋体" w:eastAsia="宋体" w:cs="宋体"/>
          <w:color w:val="000000"/>
          <w:sz w:val="24"/>
          <w:szCs w:val="24"/>
        </w:rPr>
        <w:t>涉税事项及</w:t>
      </w:r>
      <w:r>
        <w:rPr>
          <w:rFonts w:hint="eastAsia" w:ascii="宋体" w:hAnsi="宋体" w:eastAsia="宋体" w:cs="宋体"/>
          <w:color w:val="000000"/>
          <w:sz w:val="24"/>
          <w:szCs w:val="24"/>
          <w:lang w:val="en-US" w:eastAsia="zh-CN"/>
        </w:rPr>
        <w:t>各税种</w:t>
      </w:r>
      <w:r>
        <w:rPr>
          <w:rFonts w:hint="eastAsia" w:ascii="宋体" w:hAnsi="宋体" w:eastAsia="宋体" w:cs="宋体"/>
          <w:color w:val="000000"/>
          <w:sz w:val="24"/>
          <w:szCs w:val="24"/>
        </w:rPr>
        <w:t>纳税情况</w:t>
      </w:r>
      <w:r>
        <w:rPr>
          <w:rFonts w:hint="eastAsia" w:ascii="宋体" w:hAnsi="宋体" w:eastAsia="宋体" w:cs="宋体"/>
          <w:sz w:val="24"/>
          <w:szCs w:val="24"/>
        </w:rPr>
        <w:t>，出具</w:t>
      </w:r>
      <w:r>
        <w:rPr>
          <w:rFonts w:hint="eastAsia" w:ascii="宋体" w:hAnsi="宋体" w:eastAsia="宋体" w:cs="宋体"/>
          <w:sz w:val="24"/>
          <w:szCs w:val="24"/>
          <w:lang w:eastAsia="zh-CN"/>
        </w:rPr>
        <w:t>税务</w:t>
      </w:r>
      <w:r>
        <w:rPr>
          <w:rFonts w:hint="eastAsia" w:ascii="宋体" w:hAnsi="宋体" w:eastAsia="宋体" w:cs="宋体"/>
          <w:sz w:val="24"/>
          <w:szCs w:val="24"/>
        </w:rPr>
        <w:t>审计报告，并协助完成年度所得税汇算清缴等工作</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kern w:val="0"/>
          <w:sz w:val="24"/>
          <w:szCs w:val="24"/>
          <w:lang w:val="en-US" w:eastAsia="zh-CN"/>
        </w:rPr>
        <w:t>提供</w:t>
      </w:r>
      <w:r>
        <w:rPr>
          <w:rFonts w:hint="eastAsia" w:ascii="宋体" w:hAnsi="宋体" w:eastAsia="宋体" w:cs="宋体"/>
          <w:sz w:val="24"/>
          <w:szCs w:val="24"/>
        </w:rPr>
        <w:t>涉税咨询</w:t>
      </w:r>
      <w:r>
        <w:rPr>
          <w:rFonts w:hint="eastAsia" w:ascii="宋体" w:hAnsi="宋体" w:eastAsia="宋体" w:cs="宋体"/>
          <w:bCs/>
          <w:sz w:val="24"/>
          <w:szCs w:val="24"/>
        </w:rPr>
        <w:t>服务</w:t>
      </w:r>
      <w:r>
        <w:rPr>
          <w:rFonts w:hint="eastAsia" w:ascii="宋体" w:hAnsi="宋体" w:eastAsia="宋体" w:cs="宋体"/>
          <w:sz w:val="24"/>
          <w:szCs w:val="24"/>
        </w:rPr>
        <w:t>，解读财税政策</w:t>
      </w:r>
      <w:r>
        <w:rPr>
          <w:rFonts w:hint="eastAsia" w:ascii="宋体" w:hAnsi="宋体" w:eastAsia="宋体" w:cs="宋体"/>
          <w:sz w:val="24"/>
          <w:szCs w:val="24"/>
          <w:lang w:eastAsia="zh-CN"/>
        </w:rPr>
        <w:t>；</w:t>
      </w:r>
    </w:p>
    <w:p>
      <w:pPr>
        <w:pStyle w:val="2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cs="宋体"/>
          <w:sz w:val="24"/>
          <w:szCs w:val="24"/>
          <w:lang w:val="en-US" w:eastAsia="zh-CN"/>
        </w:rPr>
        <w:t xml:space="preserve"> </w:t>
      </w:r>
      <w:r>
        <w:rPr>
          <w:rFonts w:hint="eastAsia" w:ascii="宋体" w:hAnsi="宋体" w:eastAsia="宋体" w:cs="宋体"/>
          <w:sz w:val="24"/>
          <w:szCs w:val="24"/>
          <w:lang w:eastAsia="zh-CN"/>
        </w:rPr>
        <w:t>（</w:t>
      </w:r>
      <w:r>
        <w:rPr>
          <w:rFonts w:hint="eastAsia" w:cs="宋体"/>
          <w:sz w:val="24"/>
          <w:szCs w:val="24"/>
          <w:lang w:val="en-US" w:eastAsia="zh-CN"/>
        </w:rPr>
        <w:t>3</w:t>
      </w:r>
      <w:r>
        <w:rPr>
          <w:rFonts w:hint="eastAsia" w:ascii="宋体" w:hAnsi="宋体" w:eastAsia="宋体" w:cs="宋体"/>
          <w:sz w:val="24"/>
          <w:szCs w:val="24"/>
          <w:lang w:val="en-US" w:eastAsia="zh-CN"/>
        </w:rPr>
        <w:t>）</w:t>
      </w:r>
      <w:r>
        <w:rPr>
          <w:rFonts w:hint="eastAsia" w:ascii="宋体" w:hAnsi="宋体" w:eastAsia="宋体" w:cs="宋体"/>
          <w:color w:val="auto"/>
          <w:sz w:val="24"/>
          <w:szCs w:val="24"/>
          <w:lang w:val="en-US" w:eastAsia="zh-CN"/>
        </w:rPr>
        <w:t>协助公司开展税收专项风险排查工作；</w:t>
      </w:r>
    </w:p>
    <w:p>
      <w:pPr>
        <w:keepNext w:val="0"/>
        <w:keepLines w:val="0"/>
        <w:pageBreakBefore w:val="0"/>
        <w:widowControl w:val="0"/>
        <w:kinsoku/>
        <w:wordWrap/>
        <w:overflowPunct/>
        <w:topLinePunct w:val="0"/>
        <w:autoSpaceDE/>
        <w:autoSpaceDN/>
        <w:bidi w:val="0"/>
        <w:adjustRightInd/>
        <w:snapToGrid/>
        <w:spacing w:line="600" w:lineRule="exact"/>
        <w:ind w:firstLine="646"/>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4）搭建</w:t>
      </w:r>
      <w:r>
        <w:rPr>
          <w:rFonts w:hint="eastAsia" w:ascii="宋体" w:hAnsi="宋体" w:eastAsia="宋体" w:cs="宋体"/>
          <w:sz w:val="24"/>
          <w:szCs w:val="24"/>
        </w:rPr>
        <w:t>与财税部门良好快捷的沟通渠道</w:t>
      </w:r>
      <w:r>
        <w:rPr>
          <w:rFonts w:hint="eastAsia" w:ascii="宋体" w:hAnsi="宋体" w:eastAsia="宋体" w:cs="宋体"/>
          <w:sz w:val="24"/>
          <w:szCs w:val="24"/>
          <w:lang w:eastAsia="zh-CN"/>
        </w:rPr>
        <w:t>，</w:t>
      </w:r>
      <w:r>
        <w:rPr>
          <w:rFonts w:hint="eastAsia" w:ascii="宋体" w:hAnsi="宋体" w:eastAsia="宋体" w:cs="宋体"/>
          <w:sz w:val="24"/>
          <w:szCs w:val="24"/>
        </w:rPr>
        <w:t>参与财税稽查事项的协调沟通</w:t>
      </w:r>
      <w:r>
        <w:rPr>
          <w:rFonts w:hint="eastAsia" w:ascii="宋体" w:hAnsi="宋体" w:eastAsia="宋体" w:cs="宋体"/>
          <w:sz w:val="24"/>
          <w:szCs w:val="24"/>
          <w:lang w:eastAsia="zh-CN"/>
        </w:rPr>
        <w:t>，</w:t>
      </w:r>
      <w:r>
        <w:rPr>
          <w:rFonts w:hint="eastAsia" w:ascii="宋体" w:hAnsi="宋体" w:eastAsia="宋体" w:cs="宋体"/>
          <w:kern w:val="0"/>
          <w:sz w:val="24"/>
          <w:szCs w:val="24"/>
        </w:rPr>
        <w:t>降低化解</w:t>
      </w:r>
      <w:r>
        <w:rPr>
          <w:rFonts w:hint="eastAsia" w:ascii="宋体" w:hAnsi="宋体" w:eastAsia="宋体" w:cs="宋体"/>
          <w:kern w:val="0"/>
          <w:sz w:val="24"/>
          <w:szCs w:val="24"/>
          <w:lang w:val="en-US" w:eastAsia="zh-CN"/>
        </w:rPr>
        <w:t>公司</w:t>
      </w:r>
      <w:r>
        <w:rPr>
          <w:rFonts w:hint="eastAsia" w:ascii="宋体" w:hAnsi="宋体" w:eastAsia="宋体" w:cs="宋体"/>
          <w:kern w:val="0"/>
          <w:sz w:val="24"/>
          <w:szCs w:val="24"/>
        </w:rPr>
        <w:t>税务风险</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600" w:lineRule="exact"/>
        <w:ind w:firstLine="646"/>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服务要求如下：</w:t>
      </w:r>
    </w:p>
    <w:p>
      <w:pPr>
        <w:keepNext w:val="0"/>
        <w:keepLines w:val="0"/>
        <w:pageBreakBefore w:val="0"/>
        <w:widowControl w:val="0"/>
        <w:kinsoku/>
        <w:wordWrap/>
        <w:overflowPunct/>
        <w:topLinePunct w:val="0"/>
        <w:autoSpaceDE/>
        <w:autoSpaceDN/>
        <w:bidi w:val="0"/>
        <w:adjustRightInd/>
        <w:snapToGrid/>
        <w:spacing w:line="600" w:lineRule="exact"/>
        <w:ind w:firstLine="646"/>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组建审计工作小组，</w:t>
      </w:r>
      <w:r>
        <w:rPr>
          <w:rFonts w:hint="eastAsia" w:ascii="宋体" w:hAnsi="宋体" w:eastAsia="宋体" w:cs="宋体"/>
          <w:sz w:val="24"/>
          <w:szCs w:val="24"/>
          <w:lang w:eastAsia="zh-CN"/>
        </w:rPr>
        <w:t>明确责任分工</w:t>
      </w:r>
      <w:r>
        <w:rPr>
          <w:rFonts w:hint="eastAsia" w:ascii="宋体" w:hAnsi="宋体" w:eastAsia="宋体" w:cs="宋体"/>
          <w:sz w:val="24"/>
          <w:szCs w:val="24"/>
        </w:rPr>
        <w:t>，</w:t>
      </w:r>
      <w:r>
        <w:rPr>
          <w:rFonts w:hint="eastAsia" w:ascii="宋体" w:hAnsi="宋体" w:eastAsia="宋体" w:cs="宋体"/>
          <w:sz w:val="24"/>
          <w:szCs w:val="24"/>
          <w:lang w:eastAsia="zh-CN"/>
        </w:rPr>
        <w:t>制定</w:t>
      </w:r>
      <w:r>
        <w:rPr>
          <w:rFonts w:hint="eastAsia" w:ascii="宋体" w:hAnsi="宋体" w:eastAsia="宋体" w:cs="宋体"/>
          <w:sz w:val="24"/>
          <w:szCs w:val="24"/>
        </w:rPr>
        <w:t>审计方</w:t>
      </w:r>
      <w:r>
        <w:rPr>
          <w:rFonts w:hint="eastAsia" w:ascii="宋体" w:hAnsi="宋体" w:eastAsia="宋体" w:cs="宋体"/>
          <w:sz w:val="24"/>
          <w:szCs w:val="24"/>
          <w:lang w:eastAsia="zh-CN"/>
        </w:rPr>
        <w:t>工作方</w:t>
      </w:r>
      <w:r>
        <w:rPr>
          <w:rFonts w:hint="eastAsia" w:ascii="宋体" w:hAnsi="宋体" w:eastAsia="宋体" w:cs="宋体"/>
          <w:sz w:val="24"/>
          <w:szCs w:val="24"/>
        </w:rPr>
        <w:t>案</w:t>
      </w:r>
      <w:r>
        <w:rPr>
          <w:rFonts w:hint="eastAsia" w:ascii="宋体" w:hAnsi="宋体" w:eastAsia="宋体" w:cs="宋体"/>
          <w:sz w:val="24"/>
          <w:szCs w:val="24"/>
          <w:lang w:eastAsia="zh-CN"/>
        </w:rPr>
        <w:t>，方案内容</w:t>
      </w:r>
      <w:r>
        <w:rPr>
          <w:rFonts w:hint="eastAsia" w:ascii="宋体" w:hAnsi="宋体" w:eastAsia="宋体" w:cs="宋体"/>
          <w:sz w:val="24"/>
          <w:szCs w:val="24"/>
        </w:rPr>
        <w:t>完整</w:t>
      </w:r>
      <w:r>
        <w:rPr>
          <w:rFonts w:hint="eastAsia" w:ascii="宋体" w:hAnsi="宋体" w:eastAsia="宋体" w:cs="宋体"/>
          <w:sz w:val="24"/>
          <w:szCs w:val="24"/>
          <w:lang w:eastAsia="zh-CN"/>
        </w:rPr>
        <w:t>、合理</w:t>
      </w:r>
      <w:r>
        <w:rPr>
          <w:rFonts w:hint="eastAsia" w:ascii="宋体" w:hAnsi="宋体" w:eastAsia="宋体" w:cs="宋体"/>
          <w:sz w:val="24"/>
          <w:szCs w:val="24"/>
        </w:rPr>
        <w:t>，收集</w:t>
      </w:r>
      <w:r>
        <w:rPr>
          <w:rFonts w:hint="eastAsia" w:ascii="宋体" w:hAnsi="宋体" w:eastAsia="宋体" w:cs="宋体"/>
          <w:sz w:val="24"/>
          <w:szCs w:val="24"/>
          <w:lang w:eastAsia="zh-CN"/>
        </w:rPr>
        <w:t>整理</w:t>
      </w:r>
      <w:r>
        <w:rPr>
          <w:rFonts w:hint="eastAsia" w:ascii="宋体" w:hAnsi="宋体" w:eastAsia="宋体" w:cs="宋体"/>
          <w:sz w:val="24"/>
          <w:szCs w:val="24"/>
        </w:rPr>
        <w:t>税务审计相关资料，逐一核查</w:t>
      </w:r>
      <w:r>
        <w:rPr>
          <w:rFonts w:hint="eastAsia" w:ascii="宋体" w:hAnsi="宋体" w:eastAsia="宋体" w:cs="宋体"/>
          <w:sz w:val="24"/>
          <w:szCs w:val="24"/>
          <w:lang w:eastAsia="zh-CN"/>
        </w:rPr>
        <w:t>和</w:t>
      </w:r>
      <w:r>
        <w:rPr>
          <w:rFonts w:hint="eastAsia" w:ascii="宋体" w:hAnsi="宋体" w:eastAsia="宋体" w:cs="宋体"/>
          <w:sz w:val="24"/>
          <w:szCs w:val="24"/>
        </w:rPr>
        <w:t>分析。</w:t>
      </w:r>
    </w:p>
    <w:p>
      <w:pPr>
        <w:keepNext w:val="0"/>
        <w:keepLines w:val="0"/>
        <w:pageBreakBefore w:val="0"/>
        <w:widowControl w:val="0"/>
        <w:kinsoku/>
        <w:wordWrap/>
        <w:overflowPunct/>
        <w:topLinePunct w:val="0"/>
        <w:autoSpaceDE/>
        <w:autoSpaceDN/>
        <w:bidi w:val="0"/>
        <w:adjustRightInd/>
        <w:snapToGrid/>
        <w:spacing w:line="600" w:lineRule="exact"/>
        <w:ind w:firstLine="64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在税务审计过程中，必须保持客观、公正</w:t>
      </w:r>
      <w:r>
        <w:rPr>
          <w:rFonts w:hint="eastAsia" w:ascii="宋体" w:hAnsi="宋体" w:eastAsia="宋体" w:cs="宋体"/>
          <w:sz w:val="24"/>
          <w:szCs w:val="24"/>
          <w:lang w:eastAsia="zh-CN"/>
        </w:rPr>
        <w:t>的态度保质保量的完成</w:t>
      </w:r>
      <w:r>
        <w:rPr>
          <w:rFonts w:hint="eastAsia" w:ascii="宋体" w:hAnsi="宋体" w:eastAsia="宋体" w:cs="宋体"/>
          <w:sz w:val="24"/>
          <w:szCs w:val="24"/>
        </w:rPr>
        <w:t>审计工作。</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在初步审计报告完成后，向</w:t>
      </w:r>
      <w:r>
        <w:rPr>
          <w:rFonts w:hint="eastAsia" w:ascii="宋体" w:hAnsi="宋体" w:eastAsia="宋体" w:cs="宋体"/>
          <w:sz w:val="24"/>
          <w:szCs w:val="24"/>
          <w:lang w:eastAsia="zh-CN"/>
        </w:rPr>
        <w:t>公司</w:t>
      </w:r>
      <w:r>
        <w:rPr>
          <w:rFonts w:hint="eastAsia" w:ascii="宋体" w:hAnsi="宋体" w:eastAsia="宋体" w:cs="宋体"/>
          <w:sz w:val="24"/>
          <w:szCs w:val="24"/>
        </w:rPr>
        <w:t>提出审计建议，与</w:t>
      </w:r>
      <w:r>
        <w:rPr>
          <w:rFonts w:hint="eastAsia" w:ascii="宋体" w:hAnsi="宋体" w:eastAsia="宋体" w:cs="宋体"/>
          <w:sz w:val="24"/>
          <w:szCs w:val="24"/>
          <w:lang w:eastAsia="zh-CN"/>
        </w:rPr>
        <w:t>公司</w:t>
      </w:r>
      <w:r>
        <w:rPr>
          <w:rFonts w:hint="eastAsia" w:ascii="宋体" w:hAnsi="宋体" w:eastAsia="宋体" w:cs="宋体"/>
          <w:sz w:val="24"/>
          <w:szCs w:val="24"/>
        </w:rPr>
        <w:t>充分沟通后，确定审计意见，最终出具税务审计报告。</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供应商根据服务内容按总价报价。</w:t>
      </w:r>
    </w:p>
    <w:p>
      <w:pPr>
        <w:pStyle w:val="4"/>
        <w:numPr>
          <w:ilvl w:val="0"/>
          <w:numId w:val="0"/>
        </w:numPr>
        <w:spacing w:line="240" w:lineRule="auto"/>
        <w:rPr>
          <w:rFonts w:hint="eastAsia"/>
          <w:sz w:val="24"/>
          <w:szCs w:val="24"/>
        </w:rPr>
      </w:pPr>
    </w:p>
    <w:p>
      <w:pPr>
        <w:rPr>
          <w:rFonts w:hint="eastAsia"/>
          <w:sz w:val="24"/>
          <w:szCs w:val="24"/>
        </w:rPr>
      </w:pPr>
    </w:p>
    <w:p>
      <w:pPr>
        <w:pStyle w:val="29"/>
        <w:rPr>
          <w:rFonts w:hint="eastAsia"/>
          <w:sz w:val="24"/>
          <w:szCs w:val="24"/>
        </w:rPr>
      </w:pPr>
    </w:p>
    <w:p>
      <w:pPr>
        <w:pStyle w:val="4"/>
        <w:numPr>
          <w:ilvl w:val="0"/>
          <w:numId w:val="0"/>
        </w:numPr>
        <w:spacing w:line="240" w:lineRule="auto"/>
        <w:rPr>
          <w:rFonts w:hint="eastAsia"/>
          <w:sz w:val="24"/>
          <w:szCs w:val="24"/>
        </w:rPr>
      </w:pPr>
    </w:p>
    <w:p>
      <w:pPr>
        <w:rPr>
          <w:rFonts w:hint="eastAsia"/>
          <w:sz w:val="24"/>
          <w:szCs w:val="24"/>
        </w:rPr>
      </w:pPr>
    </w:p>
    <w:p>
      <w:pPr>
        <w:pStyle w:val="29"/>
        <w:rPr>
          <w:rFonts w:hint="eastAsia"/>
          <w:sz w:val="24"/>
          <w:szCs w:val="24"/>
        </w:rPr>
      </w:pPr>
    </w:p>
    <w:p>
      <w:pPr>
        <w:pStyle w:val="29"/>
        <w:rPr>
          <w:rFonts w:hint="eastAsia"/>
          <w:sz w:val="24"/>
          <w:szCs w:val="24"/>
        </w:rPr>
      </w:pP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headerReference r:id="rId3" w:type="default"/>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3"/>
      </w:rPr>
    </w:pPr>
    <w:r>
      <w:fldChar w:fldCharType="begin"/>
    </w:r>
    <w:r>
      <w:rPr>
        <w:rStyle w:val="33"/>
      </w:rPr>
      <w:instrText xml:space="preserve">PAGE  </w:instrText>
    </w:r>
    <w:r>
      <w:fldChar w:fldCharType="end"/>
    </w:r>
  </w:p>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drawing>
        <wp:anchor distT="0" distB="0" distL="114300" distR="114300" simplePos="0" relativeHeight="251659264" behindDoc="0" locked="0" layoutInCell="1" allowOverlap="1">
          <wp:simplePos x="0" y="0"/>
          <wp:positionH relativeFrom="column">
            <wp:posOffset>-913130</wp:posOffset>
          </wp:positionH>
          <wp:positionV relativeFrom="paragraph">
            <wp:posOffset>-422275</wp:posOffset>
          </wp:positionV>
          <wp:extent cx="1369060" cy="59690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369060" cy="5969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9BF35B"/>
    <w:multiLevelType w:val="singleLevel"/>
    <w:tmpl w:val="B69BF35B"/>
    <w:lvl w:ilvl="0" w:tentative="0">
      <w:start w:val="3"/>
      <w:numFmt w:val="chineseCounting"/>
      <w:suff w:val="nothing"/>
      <w:lvlText w:val="（%1）"/>
      <w:lvlJc w:val="left"/>
      <w:rPr>
        <w:rFonts w:hint="eastAsia"/>
      </w:rPr>
    </w:lvl>
  </w:abstractNum>
  <w:abstractNum w:abstractNumId="1">
    <w:nsid w:val="0778A5BB"/>
    <w:multiLevelType w:val="singleLevel"/>
    <w:tmpl w:val="0778A5BB"/>
    <w:lvl w:ilvl="0" w:tentative="0">
      <w:start w:val="1"/>
      <w:numFmt w:val="decimal"/>
      <w:suff w:val="nothing"/>
      <w:lvlText w:val="%1）"/>
      <w:lvlJc w:val="left"/>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550F52E6"/>
    <w:multiLevelType w:val="singleLevel"/>
    <w:tmpl w:val="550F52E6"/>
    <w:lvl w:ilvl="0" w:tentative="0">
      <w:start w:val="2"/>
      <w:numFmt w:val="chineseCounting"/>
      <w:suff w:val="nothing"/>
      <w:lvlText w:val="（%1）"/>
      <w:lvlJc w:val="left"/>
      <w:rPr>
        <w:rFonts w:hint="eastAsia"/>
      </w:rPr>
    </w:lvl>
  </w:abstractNum>
  <w:num w:numId="1">
    <w:abstractNumId w:val="3"/>
  </w:num>
  <w:num w:numId="2">
    <w:abstractNumId w:val="4"/>
  </w:num>
  <w:num w:numId="3">
    <w:abstractNumId w:val="1"/>
  </w:num>
  <w:num w:numId="4">
    <w:abstractNumId w:val="2"/>
    <w:lvlOverride w:ilvl="0">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6F31"/>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268142D"/>
    <w:rsid w:val="03157E45"/>
    <w:rsid w:val="04571418"/>
    <w:rsid w:val="07B973B9"/>
    <w:rsid w:val="08A05F2E"/>
    <w:rsid w:val="0925770E"/>
    <w:rsid w:val="0C0C18D2"/>
    <w:rsid w:val="0E0F40AA"/>
    <w:rsid w:val="119457FF"/>
    <w:rsid w:val="126B5C8F"/>
    <w:rsid w:val="159F6110"/>
    <w:rsid w:val="160E730F"/>
    <w:rsid w:val="16D0107A"/>
    <w:rsid w:val="1A281877"/>
    <w:rsid w:val="1C7E0123"/>
    <w:rsid w:val="1D34206D"/>
    <w:rsid w:val="1DEF672A"/>
    <w:rsid w:val="1F1330A4"/>
    <w:rsid w:val="1F2951AD"/>
    <w:rsid w:val="21D917E7"/>
    <w:rsid w:val="231102E1"/>
    <w:rsid w:val="24127EF7"/>
    <w:rsid w:val="24466FD8"/>
    <w:rsid w:val="24684952"/>
    <w:rsid w:val="266F6CBA"/>
    <w:rsid w:val="26705B30"/>
    <w:rsid w:val="26DD103B"/>
    <w:rsid w:val="27657FB0"/>
    <w:rsid w:val="27A10717"/>
    <w:rsid w:val="295E4748"/>
    <w:rsid w:val="2A712364"/>
    <w:rsid w:val="2AF8542E"/>
    <w:rsid w:val="2B4D6EF0"/>
    <w:rsid w:val="2D726F1C"/>
    <w:rsid w:val="2DA63E48"/>
    <w:rsid w:val="2E2E5142"/>
    <w:rsid w:val="2E450300"/>
    <w:rsid w:val="30562C99"/>
    <w:rsid w:val="30A74AA5"/>
    <w:rsid w:val="32E80292"/>
    <w:rsid w:val="341579FF"/>
    <w:rsid w:val="36C47447"/>
    <w:rsid w:val="39E41315"/>
    <w:rsid w:val="3B212110"/>
    <w:rsid w:val="3B703AAE"/>
    <w:rsid w:val="3C452DE2"/>
    <w:rsid w:val="3C977029"/>
    <w:rsid w:val="3D937AD8"/>
    <w:rsid w:val="3E6964DB"/>
    <w:rsid w:val="41AD34E9"/>
    <w:rsid w:val="41B10755"/>
    <w:rsid w:val="42930D08"/>
    <w:rsid w:val="42CC3426"/>
    <w:rsid w:val="437F06C5"/>
    <w:rsid w:val="44966DD0"/>
    <w:rsid w:val="478B183F"/>
    <w:rsid w:val="47B70FB5"/>
    <w:rsid w:val="48A86B60"/>
    <w:rsid w:val="48BA006E"/>
    <w:rsid w:val="49190F7D"/>
    <w:rsid w:val="4B7642C3"/>
    <w:rsid w:val="4C187E6D"/>
    <w:rsid w:val="50993895"/>
    <w:rsid w:val="516D2A12"/>
    <w:rsid w:val="544D2070"/>
    <w:rsid w:val="5A6C0A86"/>
    <w:rsid w:val="5CB57151"/>
    <w:rsid w:val="5DBB72DF"/>
    <w:rsid w:val="5F260A43"/>
    <w:rsid w:val="607109A5"/>
    <w:rsid w:val="61B81661"/>
    <w:rsid w:val="6220773F"/>
    <w:rsid w:val="64105038"/>
    <w:rsid w:val="64B8674B"/>
    <w:rsid w:val="669A7F65"/>
    <w:rsid w:val="6AAE7116"/>
    <w:rsid w:val="6DF16DE7"/>
    <w:rsid w:val="73A72A69"/>
    <w:rsid w:val="74645F02"/>
    <w:rsid w:val="74786AE2"/>
    <w:rsid w:val="78BB1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8"/>
    <w:unhideWhenUsed/>
    <w:qFormat/>
    <w:uiPriority w:val="99"/>
    <w:pPr>
      <w:tabs>
        <w:tab w:val="center" w:pos="4153"/>
        <w:tab w:val="right" w:pos="8306"/>
      </w:tabs>
      <w:snapToGrid w:val="0"/>
      <w:jc w:val="left"/>
    </w:pPr>
    <w:rPr>
      <w:sz w:val="18"/>
      <w:szCs w:val="18"/>
    </w:rPr>
  </w:style>
  <w:style w:type="paragraph" w:styleId="20">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60"/>
    <w:unhideWhenUsed/>
    <w:qFormat/>
    <w:uiPriority w:val="0"/>
    <w:rPr>
      <w:rFonts w:asciiTheme="minorHAnsi" w:hAnsiTheme="minorHAnsi" w:cstheme="minorBidi"/>
      <w:b/>
      <w:bCs/>
      <w:lang w:val="zh-CN" w:eastAsia="zh-CN"/>
    </w:rPr>
  </w:style>
  <w:style w:type="paragraph" w:styleId="29">
    <w:name w:val="Body Text First Indent"/>
    <w:basedOn w:val="2"/>
    <w:qFormat/>
    <w:uiPriority w:val="0"/>
    <w:pPr>
      <w:ind w:firstLine="420" w:firstLineChars="100"/>
    </w:p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0"/>
    <w:qFormat/>
    <w:uiPriority w:val="99"/>
    <w:rPr>
      <w:sz w:val="18"/>
      <w:szCs w:val="18"/>
    </w:rPr>
  </w:style>
  <w:style w:type="character" w:customStyle="1" w:styleId="38">
    <w:name w:val="页脚 Char"/>
    <w:basedOn w:val="32"/>
    <w:link w:val="19"/>
    <w:qFormat/>
    <w:uiPriority w:val="99"/>
    <w:rPr>
      <w:sz w:val="18"/>
      <w:szCs w:val="18"/>
    </w:rPr>
  </w:style>
  <w:style w:type="character" w:customStyle="1" w:styleId="39">
    <w:name w:val="标题 1 Char"/>
    <w:basedOn w:val="32"/>
    <w:link w:val="3"/>
    <w:qFormat/>
    <w:uiPriority w:val="9"/>
    <w:rPr>
      <w:rFonts w:ascii="宋体" w:hAnsi="宋体" w:eastAsia="宋体" w:cs="宋体"/>
      <w:b/>
      <w:bCs/>
      <w:kern w:val="36"/>
      <w:szCs w:val="21"/>
    </w:rPr>
  </w:style>
  <w:style w:type="character" w:customStyle="1" w:styleId="40">
    <w:name w:val="标题 2 Char"/>
    <w:basedOn w:val="32"/>
    <w:link w:val="4"/>
    <w:qFormat/>
    <w:uiPriority w:val="9"/>
    <w:rPr>
      <w:rFonts w:ascii="Calibri Light" w:hAnsi="Calibri Light" w:eastAsia="宋体" w:cs="Times New Roman"/>
      <w:b/>
      <w:bCs/>
      <w:sz w:val="32"/>
      <w:szCs w:val="32"/>
    </w:rPr>
  </w:style>
  <w:style w:type="character" w:customStyle="1" w:styleId="41">
    <w:name w:val="标题 3 Char"/>
    <w:basedOn w:val="32"/>
    <w:link w:val="5"/>
    <w:qFormat/>
    <w:uiPriority w:val="9"/>
    <w:rPr>
      <w:rFonts w:ascii="Times New Roman" w:hAnsi="Times New Roman" w:eastAsia="宋体" w:cs="Times New Roman"/>
      <w:b/>
      <w:bCs/>
      <w:kern w:val="0"/>
      <w:sz w:val="32"/>
      <w:szCs w:val="32"/>
    </w:rPr>
  </w:style>
  <w:style w:type="character" w:customStyle="1" w:styleId="42">
    <w:name w:val="标题 4 Char"/>
    <w:basedOn w:val="32"/>
    <w:link w:val="6"/>
    <w:qFormat/>
    <w:uiPriority w:val="9"/>
    <w:rPr>
      <w:rFonts w:ascii="Calibri Light" w:hAnsi="Calibri Light" w:eastAsia="宋体" w:cs="Times New Roman"/>
      <w:b/>
      <w:bCs/>
      <w:sz w:val="28"/>
      <w:szCs w:val="28"/>
    </w:rPr>
  </w:style>
  <w:style w:type="character" w:customStyle="1" w:styleId="43">
    <w:name w:val="标题 5 Char"/>
    <w:basedOn w:val="32"/>
    <w:link w:val="7"/>
    <w:qFormat/>
    <w:uiPriority w:val="9"/>
    <w:rPr>
      <w:rFonts w:ascii="Times New Roman" w:hAnsi="Times New Roman" w:eastAsia="宋体" w:cs="Times New Roman"/>
      <w:b/>
      <w:bCs/>
      <w:sz w:val="28"/>
      <w:szCs w:val="28"/>
    </w:rPr>
  </w:style>
  <w:style w:type="character" w:customStyle="1" w:styleId="44">
    <w:name w:val="标题 6 Char"/>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eastAsia="zh-CN"/>
    </w:rPr>
  </w:style>
  <w:style w:type="character" w:customStyle="1" w:styleId="60">
    <w:name w:val="批注主题 Char"/>
    <w:link w:val="28"/>
    <w:qFormat/>
    <w:uiPriority w:val="0"/>
    <w:rPr>
      <w:rFonts w:eastAsia="楷体"/>
      <w:b/>
      <w:bCs/>
      <w:sz w:val="24"/>
      <w:lang w:val="zh-CN" w:eastAsia="zh-CN"/>
    </w:rPr>
  </w:style>
  <w:style w:type="paragraph" w:customStyle="1" w:styleId="61">
    <w:name w:val="批注框文本1"/>
    <w:basedOn w:val="1"/>
    <w:next w:val="18"/>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7"/>
    <w:qFormat/>
    <w:uiPriority w:val="10"/>
    <w:rPr>
      <w:rFonts w:ascii="Calibri Light" w:hAnsi="Calibri Light"/>
      <w:b/>
      <w:bCs/>
      <w:sz w:val="32"/>
      <w:szCs w:val="32"/>
    </w:rPr>
  </w:style>
  <w:style w:type="character" w:customStyle="1" w:styleId="118">
    <w:name w:val="文档结构图 Char1"/>
    <w:basedOn w:val="32"/>
    <w:link w:val="11"/>
    <w:qFormat/>
    <w:uiPriority w:val="99"/>
    <w:rPr>
      <w:rFonts w:ascii="Microsoft YaHei UI" w:hAnsi="Calibri" w:eastAsia="Microsoft YaHei UI" w:cs="Times New Roman"/>
      <w:sz w:val="18"/>
      <w:szCs w:val="18"/>
    </w:rPr>
  </w:style>
  <w:style w:type="character" w:customStyle="1" w:styleId="119">
    <w:name w:val="批注文字 Char1"/>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8"/>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6</TotalTime>
  <ScaleCrop>false</ScaleCrop>
  <LinksUpToDate>false</LinksUpToDate>
  <CharactersWithSpaces>11754</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吴姝媛</cp:lastModifiedBy>
  <dcterms:modified xsi:type="dcterms:W3CDTF">2024-12-26T03:17:49Z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30B0688A5A654370AF7144F57E581E16</vt:lpwstr>
  </property>
</Properties>
</file>