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hd w:val="clear"/>
        <w:rPr>
          <w:color w:val="auto"/>
          <w:highlight w:val="none"/>
        </w:rPr>
      </w:pPr>
    </w:p>
    <w:p>
      <w:pPr>
        <w:shd w:val="clear"/>
        <w:snapToGrid w:val="0"/>
        <w:spacing w:line="360" w:lineRule="auto"/>
        <w:jc w:val="center"/>
        <w:rPr>
          <w:rFonts w:hint="eastAsia" w:ascii="仿宋" w:hAnsi="仿宋" w:eastAsia="仿宋" w:cs="仿宋"/>
          <w:color w:val="auto"/>
          <w:sz w:val="44"/>
          <w:szCs w:val="20"/>
          <w:highlight w:val="none"/>
          <w:u w:val="single"/>
          <w:lang w:eastAsia="zh-CN"/>
        </w:rPr>
      </w:pPr>
      <w:r>
        <w:rPr>
          <w:rFonts w:hint="eastAsia" w:ascii="仿宋" w:hAnsi="仿宋" w:eastAsia="仿宋" w:cs="仿宋"/>
          <w:b/>
          <w:bCs/>
          <w:color w:val="auto"/>
          <w:sz w:val="40"/>
          <w:szCs w:val="40"/>
          <w:highlight w:val="none"/>
          <w:lang w:eastAsia="zh-CN"/>
        </w:rPr>
        <w:t>2025-2027年车险物损修复第三方服务资格入库项目</w:t>
      </w:r>
    </w:p>
    <w:p>
      <w:pPr>
        <w:shd w:val="clear"/>
        <w:snapToGrid w:val="0"/>
        <w:spacing w:line="300" w:lineRule="auto"/>
        <w:jc w:val="center"/>
        <w:rPr>
          <w:rFonts w:ascii="仿宋" w:hAnsi="仿宋" w:eastAsia="仿宋" w:cs="仿宋"/>
          <w:b/>
          <w:color w:val="auto"/>
          <w:spacing w:val="26"/>
          <w:sz w:val="84"/>
          <w:szCs w:val="84"/>
          <w:highlight w:val="none"/>
        </w:rPr>
      </w:pPr>
    </w:p>
    <w:p>
      <w:pPr>
        <w:pStyle w:val="19"/>
        <w:shd w:val="clear"/>
        <w:rPr>
          <w:highlight w:val="none"/>
        </w:rPr>
      </w:pPr>
    </w:p>
    <w:p>
      <w:pPr>
        <w:pStyle w:val="19"/>
        <w:shd w:val="clear"/>
        <w:rPr>
          <w:color w:val="auto"/>
          <w:highlight w:val="none"/>
        </w:rPr>
      </w:pPr>
    </w:p>
    <w:p>
      <w:pPr>
        <w:shd w:val="clear"/>
        <w:spacing w:line="360" w:lineRule="auto"/>
        <w:jc w:val="center"/>
        <w:rPr>
          <w:rFonts w:ascii="宋体" w:hAnsi="宋体"/>
          <w:b/>
          <w:color w:val="auto"/>
          <w:sz w:val="96"/>
          <w:szCs w:val="96"/>
          <w:highlight w:val="none"/>
        </w:rPr>
      </w:pPr>
      <w:r>
        <w:rPr>
          <w:rFonts w:hint="eastAsia" w:ascii="宋体" w:hAnsi="宋体"/>
          <w:b/>
          <w:color w:val="auto"/>
          <w:sz w:val="96"/>
          <w:szCs w:val="96"/>
          <w:highlight w:val="none"/>
        </w:rPr>
        <w:t>招 标 文 件</w:t>
      </w:r>
    </w:p>
    <w:p>
      <w:pPr>
        <w:pStyle w:val="19"/>
        <w:shd w:val="clear"/>
        <w:rPr>
          <w:color w:val="auto"/>
          <w:highlight w:val="none"/>
        </w:rPr>
      </w:pPr>
    </w:p>
    <w:p>
      <w:pPr>
        <w:shd w:val="clear"/>
        <w:snapToGrid w:val="0"/>
        <w:spacing w:line="300" w:lineRule="auto"/>
        <w:jc w:val="center"/>
        <w:rPr>
          <w:rFonts w:ascii="仿宋" w:hAnsi="仿宋" w:eastAsia="仿宋" w:cs="仿宋"/>
          <w:b/>
          <w:color w:val="auto"/>
          <w:spacing w:val="26"/>
          <w:sz w:val="52"/>
          <w:highlight w:val="none"/>
        </w:rPr>
      </w:pPr>
    </w:p>
    <w:p>
      <w:pPr>
        <w:pStyle w:val="19"/>
        <w:shd w:val="clear"/>
        <w:rPr>
          <w:rFonts w:ascii="仿宋" w:hAnsi="仿宋" w:eastAsia="仿宋" w:cs="仿宋"/>
          <w:b/>
          <w:color w:val="auto"/>
          <w:spacing w:val="26"/>
          <w:sz w:val="52"/>
          <w:highlight w:val="none"/>
        </w:rPr>
      </w:pPr>
    </w:p>
    <w:p>
      <w:pPr>
        <w:pStyle w:val="19"/>
        <w:shd w:val="clear"/>
        <w:rPr>
          <w:rFonts w:ascii="仿宋" w:hAnsi="仿宋" w:eastAsia="仿宋" w:cs="仿宋"/>
          <w:b/>
          <w:color w:val="auto"/>
          <w:spacing w:val="26"/>
          <w:sz w:val="52"/>
          <w:highlight w:val="none"/>
        </w:rPr>
      </w:pPr>
    </w:p>
    <w:p>
      <w:pPr>
        <w:shd w:val="clear"/>
        <w:spacing w:line="600" w:lineRule="auto"/>
        <w:ind w:leftChars="500"/>
        <w:rPr>
          <w:rFonts w:hint="eastAsia" w:ascii="仿宋" w:hAnsi="仿宋" w:eastAsia="仿宋" w:cs="仿宋"/>
          <w:b/>
          <w:color w:val="auto"/>
          <w:sz w:val="32"/>
          <w:szCs w:val="32"/>
          <w:highlight w:val="none"/>
          <w:u w:val="single"/>
          <w:lang w:eastAsia="zh-CN"/>
        </w:rPr>
      </w:pPr>
      <w:r>
        <w:rPr>
          <w:rFonts w:hint="eastAsia" w:ascii="仿宋" w:hAnsi="仿宋" w:eastAsia="仿宋" w:cs="仿宋"/>
          <w:b/>
          <w:color w:val="auto"/>
          <w:sz w:val="32"/>
          <w:szCs w:val="32"/>
          <w:highlight w:val="none"/>
        </w:rPr>
        <w:t>招标编号：</w:t>
      </w:r>
      <w:r>
        <w:rPr>
          <w:rFonts w:hint="eastAsia" w:ascii="仿宋" w:hAnsi="仿宋" w:eastAsia="仿宋" w:cs="仿宋"/>
          <w:b/>
          <w:color w:val="auto"/>
          <w:sz w:val="32"/>
          <w:szCs w:val="32"/>
          <w:highlight w:val="none"/>
          <w:u w:val="single"/>
          <w:lang w:eastAsia="zh-CN"/>
        </w:rPr>
        <w:t>M4400000707528613</w:t>
      </w:r>
    </w:p>
    <w:p>
      <w:pPr>
        <w:shd w:val="clear"/>
        <w:spacing w:line="600" w:lineRule="auto"/>
        <w:ind w:leftChars="500"/>
        <w:rPr>
          <w:rFonts w:hint="eastAsia" w:ascii="仿宋" w:hAnsi="仿宋" w:eastAsia="仿宋" w:cs="仿宋"/>
          <w:b/>
          <w:color w:val="auto"/>
          <w:sz w:val="32"/>
          <w:szCs w:val="32"/>
          <w:highlight w:val="none"/>
          <w:u w:val="single"/>
          <w:lang w:eastAsia="zh-CN"/>
        </w:rPr>
      </w:pPr>
      <w:r>
        <w:rPr>
          <w:rFonts w:hint="eastAsia" w:ascii="仿宋" w:hAnsi="仿宋" w:eastAsia="仿宋" w:cs="仿宋"/>
          <w:b/>
          <w:color w:val="auto"/>
          <w:sz w:val="32"/>
          <w:szCs w:val="32"/>
          <w:highlight w:val="none"/>
        </w:rPr>
        <w:t>招 标 人：</w:t>
      </w:r>
      <w:r>
        <w:rPr>
          <w:rFonts w:hint="eastAsia" w:ascii="仿宋" w:hAnsi="仿宋" w:eastAsia="仿宋" w:cs="仿宋"/>
          <w:b/>
          <w:color w:val="auto"/>
          <w:sz w:val="32"/>
          <w:szCs w:val="32"/>
          <w:highlight w:val="none"/>
          <w:u w:val="single"/>
          <w:lang w:eastAsia="zh-CN"/>
        </w:rPr>
        <w:t>中国人民财产保险股份有限公司东莞市分公司</w:t>
      </w:r>
    </w:p>
    <w:p>
      <w:pPr>
        <w:shd w:val="clear"/>
        <w:spacing w:line="600" w:lineRule="auto"/>
        <w:ind w:leftChars="500"/>
        <w:rPr>
          <w:rFonts w:ascii="仿宋" w:hAnsi="仿宋" w:eastAsia="仿宋" w:cs="仿宋"/>
          <w:b/>
          <w:color w:val="auto"/>
          <w:spacing w:val="40"/>
          <w:sz w:val="36"/>
          <w:szCs w:val="36"/>
          <w:highlight w:val="none"/>
        </w:rPr>
      </w:pPr>
      <w:r>
        <w:rPr>
          <w:rFonts w:hint="eastAsia" w:ascii="仿宋" w:hAnsi="仿宋" w:eastAsia="仿宋" w:cs="仿宋"/>
          <w:b/>
          <w:color w:val="auto"/>
          <w:sz w:val="32"/>
          <w:szCs w:val="32"/>
          <w:highlight w:val="none"/>
        </w:rPr>
        <w:t>代理机构：</w:t>
      </w:r>
      <w:r>
        <w:rPr>
          <w:rFonts w:hint="eastAsia" w:ascii="仿宋" w:hAnsi="仿宋" w:eastAsia="仿宋" w:cs="仿宋"/>
          <w:b/>
          <w:color w:val="auto"/>
          <w:sz w:val="32"/>
          <w:szCs w:val="32"/>
          <w:highlight w:val="none"/>
          <w:u w:val="single"/>
        </w:rPr>
        <w:t>广东省机电设备招标有限公司</w:t>
      </w:r>
    </w:p>
    <w:p>
      <w:pPr>
        <w:pStyle w:val="19"/>
        <w:shd w:val="clear"/>
        <w:rPr>
          <w:color w:val="auto"/>
          <w:highlight w:val="none"/>
        </w:rPr>
      </w:pPr>
    </w:p>
    <w:p>
      <w:pPr>
        <w:pStyle w:val="73"/>
        <w:shd w:val="clear"/>
        <w:jc w:val="center"/>
        <w:rPr>
          <w:rFonts w:ascii="仿宋" w:hAnsi="仿宋" w:eastAsia="仿宋" w:cs="仿宋"/>
          <w:b/>
          <w:color w:val="auto"/>
          <w:spacing w:val="40"/>
          <w:sz w:val="32"/>
          <w:szCs w:val="32"/>
          <w:highlight w:val="none"/>
        </w:rPr>
        <w:sectPr>
          <w:pgSz w:w="11907" w:h="16840"/>
          <w:pgMar w:top="1440" w:right="1080" w:bottom="1440" w:left="1080" w:header="720" w:footer="720" w:gutter="0"/>
          <w:pgNumType w:start="1"/>
          <w:cols w:space="720" w:num="1"/>
          <w:docGrid w:linePitch="285" w:charSpace="0"/>
        </w:sectPr>
      </w:pPr>
      <w:r>
        <w:rPr>
          <w:rFonts w:hint="eastAsia" w:ascii="仿宋" w:hAnsi="仿宋" w:eastAsia="仿宋" w:cs="仿宋"/>
          <w:b/>
          <w:color w:val="auto"/>
          <w:spacing w:val="40"/>
          <w:sz w:val="32"/>
          <w:szCs w:val="32"/>
          <w:highlight w:val="none"/>
        </w:rPr>
        <w:t>202</w:t>
      </w:r>
      <w:r>
        <w:rPr>
          <w:rFonts w:hint="eastAsia" w:ascii="仿宋" w:hAnsi="仿宋" w:eastAsia="仿宋" w:cs="仿宋"/>
          <w:b/>
          <w:color w:val="auto"/>
          <w:spacing w:val="40"/>
          <w:sz w:val="32"/>
          <w:szCs w:val="32"/>
          <w:highlight w:val="none"/>
          <w:lang w:val="en-US" w:eastAsia="zh-CN"/>
        </w:rPr>
        <w:t>5</w:t>
      </w:r>
      <w:r>
        <w:rPr>
          <w:rFonts w:hint="eastAsia" w:ascii="仿宋" w:hAnsi="仿宋" w:eastAsia="仿宋" w:cs="仿宋"/>
          <w:b/>
          <w:color w:val="auto"/>
          <w:spacing w:val="40"/>
          <w:sz w:val="32"/>
          <w:szCs w:val="32"/>
          <w:highlight w:val="none"/>
        </w:rPr>
        <w:t>年</w:t>
      </w:r>
      <w:r>
        <w:rPr>
          <w:rFonts w:hint="eastAsia" w:ascii="仿宋" w:hAnsi="仿宋" w:eastAsia="仿宋" w:cs="仿宋"/>
          <w:b/>
          <w:color w:val="auto"/>
          <w:spacing w:val="40"/>
          <w:sz w:val="32"/>
          <w:szCs w:val="32"/>
          <w:highlight w:val="none"/>
          <w:lang w:val="en-US" w:eastAsia="zh-CN"/>
        </w:rPr>
        <w:t>1</w:t>
      </w:r>
      <w:r>
        <w:rPr>
          <w:rFonts w:hint="eastAsia" w:ascii="仿宋" w:hAnsi="仿宋" w:eastAsia="仿宋" w:cs="仿宋"/>
          <w:b/>
          <w:color w:val="auto"/>
          <w:spacing w:val="40"/>
          <w:sz w:val="32"/>
          <w:szCs w:val="32"/>
          <w:highlight w:val="none"/>
        </w:rPr>
        <w:t>月</w:t>
      </w:r>
      <w:bookmarkStart w:id="0" w:name="_Toc14283"/>
      <w:bookmarkStart w:id="1" w:name="_Toc530"/>
      <w:bookmarkStart w:id="2" w:name="_Toc28259"/>
      <w:bookmarkStart w:id="3" w:name="_Toc2269"/>
      <w:bookmarkStart w:id="4" w:name="_Toc152042287"/>
      <w:bookmarkStart w:id="5" w:name="_Toc152045511"/>
      <w:bookmarkStart w:id="6" w:name="_Toc144974479"/>
    </w:p>
    <w:p>
      <w:pPr>
        <w:pStyle w:val="73"/>
        <w:shd w:val="clear"/>
        <w:jc w:val="center"/>
        <w:rPr>
          <w:rFonts w:ascii="仿宋" w:hAnsi="仿宋" w:eastAsia="仿宋" w:cs="仿宋"/>
          <w:b/>
          <w:bCs/>
          <w:color w:val="auto"/>
          <w:sz w:val="40"/>
          <w:szCs w:val="32"/>
          <w:highlight w:val="none"/>
          <w:lang w:val="zh-CN"/>
        </w:rPr>
      </w:pPr>
      <w:r>
        <w:rPr>
          <w:rFonts w:hint="eastAsia" w:ascii="仿宋" w:hAnsi="仿宋" w:eastAsia="仿宋" w:cs="仿宋"/>
          <w:b/>
          <w:bCs/>
          <w:color w:val="auto"/>
          <w:sz w:val="40"/>
          <w:szCs w:val="32"/>
          <w:highlight w:val="none"/>
          <w:lang w:val="zh-CN"/>
        </w:rPr>
        <w:t>目  录</w:t>
      </w:r>
      <w:bookmarkEnd w:id="0"/>
      <w:bookmarkEnd w:id="1"/>
      <w:bookmarkEnd w:id="2"/>
      <w:bookmarkEnd w:id="3"/>
    </w:p>
    <w:p>
      <w:pPr>
        <w:pStyle w:val="29"/>
        <w:shd w:val="clear"/>
        <w:tabs>
          <w:tab w:val="right" w:leader="dot" w:pos="9747"/>
        </w:tabs>
        <w:spacing w:line="480" w:lineRule="auto"/>
        <w:rPr>
          <w:rFonts w:ascii="宋体" w:hAnsi="宋体" w:cs="宋体"/>
          <w:color w:val="auto"/>
          <w:sz w:val="28"/>
          <w:szCs w:val="28"/>
          <w:highlight w:val="none"/>
          <w:lang w:val="zh-CN"/>
        </w:rPr>
      </w:pPr>
    </w:p>
    <w:p>
      <w:pPr>
        <w:pStyle w:val="29"/>
        <w:shd w:val="clear"/>
        <w:tabs>
          <w:tab w:val="right" w:leader="dot" w:pos="9747"/>
        </w:tabs>
        <w:spacing w:line="48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fldChar w:fldCharType="begin"/>
      </w:r>
      <w:r>
        <w:rPr>
          <w:rFonts w:hint="eastAsia" w:ascii="宋体" w:hAnsi="宋体" w:cs="宋体"/>
          <w:color w:val="auto"/>
          <w:sz w:val="28"/>
          <w:szCs w:val="28"/>
          <w:highlight w:val="none"/>
          <w:lang w:val="zh-CN"/>
        </w:rPr>
        <w:instrText xml:space="preserve"> TOC \o "1-1" \h \z \u </w:instrText>
      </w:r>
      <w:r>
        <w:rPr>
          <w:rFonts w:hint="eastAsia" w:ascii="宋体" w:hAnsi="宋体" w:cs="宋体"/>
          <w:color w:val="auto"/>
          <w:sz w:val="28"/>
          <w:szCs w:val="28"/>
          <w:highlight w:val="none"/>
          <w:lang w:val="zh-CN"/>
        </w:rPr>
        <w:fldChar w:fldCharType="separate"/>
      </w:r>
      <w:r>
        <w:rPr>
          <w:color w:val="auto"/>
          <w:highlight w:val="none"/>
        </w:rPr>
        <w:fldChar w:fldCharType="begin"/>
      </w:r>
      <w:r>
        <w:rPr>
          <w:color w:val="auto"/>
          <w:highlight w:val="none"/>
        </w:rPr>
        <w:instrText xml:space="preserve"> HYPERLINK \l "_Toc5950" </w:instrText>
      </w:r>
      <w:r>
        <w:rPr>
          <w:color w:val="auto"/>
          <w:highlight w:val="none"/>
        </w:rPr>
        <w:fldChar w:fldCharType="separate"/>
      </w:r>
      <w:r>
        <w:rPr>
          <w:rFonts w:hint="eastAsia" w:ascii="宋体" w:hAnsi="宋体" w:cs="宋体"/>
          <w:bCs/>
          <w:color w:val="auto"/>
          <w:sz w:val="28"/>
          <w:szCs w:val="28"/>
          <w:highlight w:val="none"/>
        </w:rPr>
        <w:t>第一章 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_Toc5950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9"/>
        <w:shd w:val="clear"/>
        <w:tabs>
          <w:tab w:val="right" w:leader="dot" w:pos="9747"/>
        </w:tabs>
        <w:spacing w:line="48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"_Toc16069" </w:instrText>
      </w:r>
      <w:r>
        <w:rPr>
          <w:color w:val="auto"/>
          <w:highlight w:val="none"/>
        </w:rPr>
        <w:fldChar w:fldCharType="separate"/>
      </w:r>
      <w:r>
        <w:rPr>
          <w:rFonts w:hint="eastAsia" w:ascii="宋体" w:hAnsi="宋体" w:cs="宋体"/>
          <w:bCs/>
          <w:color w:val="auto"/>
          <w:sz w:val="28"/>
          <w:szCs w:val="28"/>
          <w:highlight w:val="none"/>
        </w:rPr>
        <w:t>第二章 投标人须知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_Toc16069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9"/>
        <w:shd w:val="clear"/>
        <w:tabs>
          <w:tab w:val="right" w:leader="dot" w:pos="9747"/>
        </w:tabs>
        <w:spacing w:line="48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"_Toc6491" </w:instrText>
      </w:r>
      <w:r>
        <w:rPr>
          <w:color w:val="auto"/>
          <w:highlight w:val="none"/>
        </w:rPr>
        <w:fldChar w:fldCharType="separate"/>
      </w:r>
      <w:r>
        <w:rPr>
          <w:rFonts w:hint="eastAsia" w:ascii="宋体" w:hAnsi="宋体" w:cs="宋体"/>
          <w:bCs/>
          <w:color w:val="auto"/>
          <w:sz w:val="28"/>
          <w:szCs w:val="28"/>
          <w:highlight w:val="none"/>
        </w:rPr>
        <w:t>第三章 评标办法（综合评估法）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_Toc6491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9"/>
        <w:shd w:val="clear"/>
        <w:tabs>
          <w:tab w:val="right" w:leader="dot" w:pos="9747"/>
        </w:tabs>
        <w:spacing w:line="48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"_Toc32470" </w:instrText>
      </w:r>
      <w:r>
        <w:rPr>
          <w:color w:val="auto"/>
          <w:highlight w:val="none"/>
        </w:rPr>
        <w:fldChar w:fldCharType="separate"/>
      </w:r>
      <w:r>
        <w:rPr>
          <w:rFonts w:hint="eastAsia" w:ascii="宋体" w:hAnsi="宋体" w:cs="宋体"/>
          <w:bCs/>
          <w:color w:val="auto"/>
          <w:sz w:val="28"/>
          <w:szCs w:val="28"/>
          <w:highlight w:val="none"/>
        </w:rPr>
        <w:t>第四章 合同条款及格式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_Toc32470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9"/>
        <w:shd w:val="clear"/>
        <w:tabs>
          <w:tab w:val="right" w:leader="dot" w:pos="9747"/>
        </w:tabs>
        <w:spacing w:line="48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"_Toc7972" </w:instrText>
      </w:r>
      <w:r>
        <w:rPr>
          <w:color w:val="auto"/>
          <w:highlight w:val="none"/>
        </w:rPr>
        <w:fldChar w:fldCharType="separate"/>
      </w:r>
      <w:r>
        <w:rPr>
          <w:rFonts w:hint="eastAsia" w:ascii="宋体" w:hAnsi="宋体" w:cs="宋体"/>
          <w:bCs/>
          <w:color w:val="auto"/>
          <w:sz w:val="28"/>
          <w:szCs w:val="28"/>
          <w:highlight w:val="none"/>
        </w:rPr>
        <w:t>第五章 项目用户需求书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_Toc7972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69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9"/>
        <w:shd w:val="clear"/>
        <w:tabs>
          <w:tab w:val="right" w:leader="dot" w:pos="9747"/>
        </w:tabs>
        <w:spacing w:line="48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"_Toc27261" </w:instrText>
      </w:r>
      <w:r>
        <w:rPr>
          <w:color w:val="auto"/>
          <w:highlight w:val="none"/>
        </w:rPr>
        <w:fldChar w:fldCharType="separate"/>
      </w:r>
      <w:r>
        <w:rPr>
          <w:rFonts w:hint="eastAsia" w:ascii="宋体" w:hAnsi="宋体" w:cs="宋体"/>
          <w:bCs/>
          <w:color w:val="auto"/>
          <w:sz w:val="28"/>
          <w:szCs w:val="28"/>
          <w:highlight w:val="none"/>
        </w:rPr>
        <w:t>第六章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_Toc27261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79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shd w:val="clear"/>
        <w:spacing w:line="480" w:lineRule="auto"/>
        <w:rPr>
          <w:rFonts w:ascii="仿宋" w:hAnsi="仿宋" w:eastAsia="仿宋" w:cs="仿宋"/>
          <w:color w:val="auto"/>
          <w:sz w:val="28"/>
          <w:szCs w:val="28"/>
          <w:highlight w:val="none"/>
          <w:lang w:val="zh-CN"/>
        </w:rPr>
        <w:sectPr>
          <w:footerReference r:id="rId3" w:type="default"/>
          <w:pgSz w:w="11907" w:h="16840"/>
          <w:pgMar w:top="1440" w:right="1080" w:bottom="1440" w:left="1080" w:header="720" w:footer="720" w:gutter="0"/>
          <w:pgNumType w:start="1"/>
          <w:cols w:space="720" w:num="1"/>
          <w:docGrid w:linePitch="285" w:charSpace="0"/>
        </w:sectPr>
      </w:pPr>
      <w:r>
        <w:rPr>
          <w:rFonts w:hint="eastAsia" w:ascii="宋体" w:hAnsi="宋体" w:cs="宋体"/>
          <w:color w:val="auto"/>
          <w:sz w:val="28"/>
          <w:szCs w:val="28"/>
          <w:highlight w:val="none"/>
          <w:lang w:val="zh-CN"/>
        </w:rPr>
        <w:fldChar w:fldCharType="end"/>
      </w:r>
    </w:p>
    <w:p>
      <w:pPr>
        <w:pStyle w:val="3"/>
        <w:shd w:val="clear"/>
        <w:spacing w:line="240" w:lineRule="auto"/>
        <w:jc w:val="center"/>
        <w:rPr>
          <w:rFonts w:ascii="仿宋" w:hAnsi="仿宋" w:eastAsia="仿宋" w:cs="仿宋"/>
          <w:color w:val="auto"/>
          <w:highlight w:val="none"/>
        </w:rPr>
      </w:pPr>
      <w:bookmarkStart w:id="7" w:name="_Toc5950"/>
      <w:bookmarkStart w:id="8" w:name="_Toc56856833"/>
      <w:r>
        <w:rPr>
          <w:rFonts w:hint="eastAsia" w:ascii="仿宋" w:hAnsi="仿宋" w:eastAsia="仿宋" w:cs="仿宋"/>
          <w:b/>
          <w:bCs/>
          <w:color w:val="auto"/>
          <w:highlight w:val="none"/>
        </w:rPr>
        <w:t>第一章 招标公告</w:t>
      </w:r>
      <w:bookmarkEnd w:id="7"/>
      <w:bookmarkEnd w:id="8"/>
    </w:p>
    <w:p>
      <w:pPr>
        <w:keepNext/>
        <w:keepLines/>
        <w:shd w:val="clear"/>
        <w:spacing w:before="260" w:after="260"/>
        <w:outlineLvl w:val="1"/>
        <w:rPr>
          <w:rFonts w:ascii="仿宋" w:hAnsi="仿宋" w:eastAsia="仿宋" w:cs="仿宋"/>
          <w:b/>
          <w:color w:val="auto"/>
          <w:sz w:val="32"/>
          <w:szCs w:val="20"/>
          <w:highlight w:val="none"/>
        </w:rPr>
      </w:pPr>
      <w:bookmarkStart w:id="9" w:name="_Toc38791393"/>
      <w:bookmarkStart w:id="10" w:name="_Toc6557025"/>
      <w:bookmarkStart w:id="11" w:name="_Toc56856834"/>
      <w:r>
        <w:rPr>
          <w:rFonts w:hint="eastAsia" w:ascii="仿宋" w:hAnsi="仿宋" w:eastAsia="仿宋" w:cs="仿宋"/>
          <w:b/>
          <w:color w:val="auto"/>
          <w:sz w:val="32"/>
          <w:szCs w:val="20"/>
          <w:highlight w:val="none"/>
        </w:rPr>
        <w:t>1. 招标条件</w:t>
      </w:r>
      <w:bookmarkEnd w:id="9"/>
      <w:bookmarkEnd w:id="10"/>
      <w:bookmarkEnd w:id="11"/>
      <w:r>
        <w:rPr>
          <w:rFonts w:hint="eastAsia" w:ascii="仿宋" w:hAnsi="仿宋" w:eastAsia="仿宋" w:cs="仿宋"/>
          <w:b/>
          <w:color w:val="auto"/>
          <w:sz w:val="32"/>
          <w:szCs w:val="20"/>
          <w:highlight w:val="none"/>
        </w:rPr>
        <w:t xml:space="preserve"> </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本招标项目</w:t>
      </w:r>
      <w:r>
        <w:rPr>
          <w:rFonts w:hint="eastAsia" w:ascii="仿宋" w:hAnsi="仿宋" w:eastAsia="仿宋" w:cs="仿宋"/>
          <w:color w:val="auto"/>
          <w:highlight w:val="none"/>
          <w:u w:val="single"/>
          <w:lang w:eastAsia="zh-CN"/>
        </w:rPr>
        <w:t>2025-2027年车险物损修复第三方服务资格入库项目</w:t>
      </w:r>
      <w:r>
        <w:rPr>
          <w:rFonts w:hint="eastAsia" w:ascii="仿宋" w:hAnsi="仿宋" w:eastAsia="仿宋" w:cs="仿宋"/>
          <w:color w:val="auto"/>
          <w:highlight w:val="none"/>
        </w:rPr>
        <w:t>招标人为</w:t>
      </w:r>
      <w:r>
        <w:rPr>
          <w:rFonts w:hint="eastAsia" w:ascii="仿宋" w:hAnsi="仿宋" w:eastAsia="仿宋" w:cs="仿宋"/>
          <w:color w:val="auto"/>
          <w:highlight w:val="none"/>
          <w:u w:val="single"/>
          <w:lang w:eastAsia="zh-CN"/>
        </w:rPr>
        <w:t>中国人民财产保险股份有限公司东莞市分公司</w:t>
      </w:r>
      <w:r>
        <w:rPr>
          <w:rFonts w:hint="eastAsia" w:ascii="仿宋" w:hAnsi="仿宋" w:eastAsia="仿宋" w:cs="仿宋"/>
          <w:color w:val="auto"/>
          <w:highlight w:val="none"/>
        </w:rPr>
        <w:t>。本项目已具备招标条件，现对</w:t>
      </w:r>
      <w:r>
        <w:rPr>
          <w:rFonts w:hint="eastAsia" w:ascii="仿宋" w:hAnsi="仿宋" w:eastAsia="仿宋" w:cs="仿宋"/>
          <w:color w:val="auto"/>
          <w:highlight w:val="none"/>
          <w:u w:val="single"/>
          <w:lang w:eastAsia="zh-CN"/>
        </w:rPr>
        <w:t>2025-2027年车险物损修复第三方服务资格入库项目</w:t>
      </w:r>
      <w:r>
        <w:rPr>
          <w:rFonts w:hint="eastAsia" w:ascii="仿宋" w:hAnsi="仿宋" w:eastAsia="仿宋" w:cs="仿宋"/>
          <w:color w:val="auto"/>
          <w:highlight w:val="none"/>
        </w:rPr>
        <w:t>项目进行公开招标。</w:t>
      </w:r>
    </w:p>
    <w:p>
      <w:pPr>
        <w:keepNext/>
        <w:keepLines/>
        <w:shd w:val="clear"/>
        <w:spacing w:before="260" w:after="260"/>
        <w:outlineLvl w:val="1"/>
        <w:rPr>
          <w:rFonts w:ascii="仿宋" w:hAnsi="仿宋" w:eastAsia="仿宋" w:cs="仿宋"/>
          <w:b/>
          <w:color w:val="auto"/>
          <w:sz w:val="32"/>
          <w:szCs w:val="20"/>
          <w:highlight w:val="none"/>
        </w:rPr>
      </w:pPr>
      <w:bookmarkStart w:id="12" w:name="_Toc38791394"/>
      <w:bookmarkStart w:id="13" w:name="_Toc6557026"/>
      <w:bookmarkStart w:id="14" w:name="_Toc56856835"/>
      <w:r>
        <w:rPr>
          <w:rFonts w:hint="eastAsia" w:ascii="仿宋" w:hAnsi="仿宋" w:eastAsia="仿宋" w:cs="仿宋"/>
          <w:b/>
          <w:color w:val="auto"/>
          <w:sz w:val="32"/>
          <w:szCs w:val="20"/>
          <w:highlight w:val="none"/>
        </w:rPr>
        <w:t>2. 项目概况与招标范围</w:t>
      </w:r>
      <w:bookmarkEnd w:id="12"/>
      <w:bookmarkEnd w:id="13"/>
      <w:bookmarkEnd w:id="14"/>
    </w:p>
    <w:p>
      <w:pPr>
        <w:shd w:val="clear"/>
        <w:spacing w:line="400" w:lineRule="exact"/>
        <w:ind w:firstLine="420"/>
        <w:rPr>
          <w:rFonts w:ascii="仿宋" w:hAnsi="仿宋" w:eastAsia="仿宋" w:cs="仿宋"/>
          <w:color w:val="auto"/>
          <w:highlight w:val="none"/>
        </w:rPr>
      </w:pPr>
      <w:r>
        <w:rPr>
          <w:rFonts w:hint="eastAsia" w:ascii="仿宋" w:hAnsi="仿宋" w:eastAsia="仿宋" w:cs="仿宋"/>
          <w:color w:val="auto"/>
          <w:highlight w:val="none"/>
        </w:rPr>
        <w:t>2.1 招标项目概况</w:t>
      </w:r>
    </w:p>
    <w:p>
      <w:pPr>
        <w:shd w:val="clear"/>
        <w:spacing w:line="400" w:lineRule="exact"/>
        <w:ind w:firstLine="420"/>
        <w:rPr>
          <w:rFonts w:hint="eastAsia" w:ascii="仿宋" w:hAnsi="仿宋" w:eastAsia="仿宋" w:cs="仿宋"/>
          <w:color w:val="auto"/>
          <w:highlight w:val="none"/>
          <w:lang w:eastAsia="zh-CN"/>
        </w:rPr>
      </w:pPr>
      <w:r>
        <w:rPr>
          <w:rFonts w:hint="eastAsia" w:ascii="仿宋" w:hAnsi="仿宋" w:eastAsia="仿宋" w:cs="仿宋"/>
          <w:color w:val="auto"/>
          <w:highlight w:val="none"/>
        </w:rPr>
        <w:t>招标项目名称：</w:t>
      </w:r>
      <w:r>
        <w:rPr>
          <w:rFonts w:hint="eastAsia" w:ascii="仿宋" w:hAnsi="仿宋" w:eastAsia="仿宋" w:cs="仿宋"/>
          <w:color w:val="auto"/>
          <w:highlight w:val="none"/>
          <w:lang w:eastAsia="zh-CN"/>
        </w:rPr>
        <w:t>2025-2027年车险物损修复第三方服务资格入库项目</w:t>
      </w:r>
    </w:p>
    <w:p>
      <w:pPr>
        <w:shd w:val="clear"/>
        <w:spacing w:line="400" w:lineRule="exact"/>
        <w:ind w:firstLine="420"/>
        <w:rPr>
          <w:rFonts w:hint="eastAsia" w:ascii="仿宋" w:hAnsi="仿宋" w:eastAsia="仿宋" w:cs="仿宋"/>
          <w:color w:val="auto"/>
          <w:highlight w:val="none"/>
          <w:lang w:eastAsia="zh-CN"/>
        </w:rPr>
      </w:pPr>
      <w:r>
        <w:rPr>
          <w:rFonts w:hint="eastAsia" w:ascii="仿宋" w:hAnsi="仿宋" w:eastAsia="仿宋" w:cs="仿宋"/>
          <w:color w:val="auto"/>
          <w:highlight w:val="none"/>
        </w:rPr>
        <w:t>项目编号：</w:t>
      </w:r>
      <w:r>
        <w:rPr>
          <w:rFonts w:hint="eastAsia" w:ascii="仿宋" w:hAnsi="仿宋" w:eastAsia="仿宋" w:cs="仿宋"/>
          <w:color w:val="auto"/>
          <w:highlight w:val="none"/>
          <w:lang w:eastAsia="zh-CN"/>
        </w:rPr>
        <w:t>M4400000707528613</w:t>
      </w:r>
    </w:p>
    <w:p>
      <w:pPr>
        <w:shd w:val="clear"/>
        <w:spacing w:line="400" w:lineRule="exact"/>
        <w:ind w:firstLine="420"/>
        <w:rPr>
          <w:rFonts w:ascii="仿宋" w:hAnsi="仿宋" w:eastAsia="仿宋" w:cs="仿宋"/>
          <w:color w:val="auto"/>
          <w:highlight w:val="none"/>
        </w:rPr>
      </w:pPr>
      <w:r>
        <w:rPr>
          <w:rFonts w:hint="eastAsia" w:ascii="仿宋" w:hAnsi="仿宋" w:eastAsia="仿宋" w:cs="仿宋"/>
          <w:color w:val="auto"/>
          <w:highlight w:val="none"/>
        </w:rPr>
        <w:t>项目概况：</w:t>
      </w:r>
      <w:r>
        <w:rPr>
          <w:rFonts w:hint="eastAsia" w:ascii="仿宋" w:hAnsi="仿宋" w:eastAsia="仿宋" w:cs="仿宋"/>
          <w:color w:val="auto"/>
          <w:highlight w:val="none"/>
          <w:lang w:val="en-US" w:eastAsia="zh-CN"/>
        </w:rPr>
        <w:t>本项目建立东莞市分公司2025-2027年物损修复第三方服务供应商库，本次拟入库6家服务供应商为我司提供机动车保险事故三者财产损失市场化询价及维修服务，并保证其维修质量符合国家标准、行业标准。对于没有国家标准、行业标准的，按照通常标准或者合同目的的特定标准</w:t>
      </w:r>
      <w:r>
        <w:rPr>
          <w:rFonts w:hint="eastAsia" w:ascii="仿宋" w:hAnsi="仿宋" w:eastAsia="仿宋" w:cs="仿宋"/>
          <w:color w:val="auto"/>
          <w:highlight w:val="none"/>
        </w:rPr>
        <w:t>。</w:t>
      </w:r>
      <w:r>
        <w:rPr>
          <w:rFonts w:hint="eastAsia" w:ascii="仿宋" w:hAnsi="仿宋" w:eastAsia="仿宋" w:cs="仿宋"/>
          <w:color w:val="auto"/>
          <w:szCs w:val="21"/>
          <w:highlight w:val="none"/>
        </w:rPr>
        <w:t>具体详见项目需求书</w:t>
      </w:r>
      <w:r>
        <w:rPr>
          <w:rFonts w:hint="eastAsia" w:ascii="仿宋" w:hAnsi="仿宋" w:eastAsia="仿宋" w:cs="仿宋"/>
          <w:color w:val="auto"/>
          <w:highlight w:val="none"/>
        </w:rPr>
        <w:t>。</w:t>
      </w:r>
    </w:p>
    <w:p>
      <w:pPr>
        <w:shd w:val="clear"/>
        <w:spacing w:line="400" w:lineRule="exact"/>
        <w:ind w:firstLine="420"/>
        <w:rPr>
          <w:rFonts w:ascii="仿宋" w:hAnsi="仿宋" w:eastAsia="仿宋" w:cs="仿宋"/>
          <w:color w:val="auto"/>
          <w:highlight w:val="none"/>
        </w:rPr>
      </w:pPr>
      <w:r>
        <w:rPr>
          <w:rFonts w:hint="eastAsia" w:ascii="仿宋" w:hAnsi="仿宋" w:eastAsia="仿宋" w:cs="仿宋"/>
          <w:color w:val="auto"/>
          <w:highlight w:val="none"/>
        </w:rPr>
        <w:t>2.2招标范围</w:t>
      </w:r>
    </w:p>
    <w:p>
      <w:pPr>
        <w:shd w:val="clear"/>
        <w:spacing w:line="400" w:lineRule="exact"/>
        <w:ind w:firstLine="420"/>
        <w:rPr>
          <w:rFonts w:ascii="仿宋" w:hAnsi="仿宋" w:eastAsia="仿宋" w:cs="仿宋"/>
          <w:color w:val="auto"/>
          <w:highlight w:val="none"/>
        </w:rPr>
      </w:pPr>
      <w:r>
        <w:rPr>
          <w:rFonts w:hint="eastAsia" w:ascii="仿宋" w:hAnsi="仿宋" w:eastAsia="仿宋" w:cs="仿宋"/>
          <w:color w:val="auto"/>
          <w:highlight w:val="none"/>
        </w:rPr>
        <w:t>标段划分：本招标项目分为</w:t>
      </w:r>
      <w:r>
        <w:rPr>
          <w:rFonts w:hint="eastAsia" w:ascii="仿宋" w:hAnsi="仿宋" w:eastAsia="仿宋" w:cs="仿宋"/>
          <w:color w:val="auto"/>
          <w:highlight w:val="none"/>
          <w:u w:val="single"/>
        </w:rPr>
        <w:t xml:space="preserve"> 1 </w:t>
      </w:r>
      <w:r>
        <w:rPr>
          <w:rFonts w:hint="eastAsia" w:ascii="仿宋" w:hAnsi="仿宋" w:eastAsia="仿宋" w:cs="仿宋"/>
          <w:color w:val="auto"/>
          <w:highlight w:val="none"/>
        </w:rPr>
        <w:t>个标段。</w:t>
      </w:r>
    </w:p>
    <w:p>
      <w:pPr>
        <w:shd w:val="clear"/>
        <w:spacing w:line="400" w:lineRule="exact"/>
        <w:ind w:firstLine="420"/>
        <w:rPr>
          <w:rFonts w:ascii="仿宋" w:hAnsi="仿宋" w:eastAsia="仿宋" w:cs="仿宋"/>
          <w:color w:val="auto"/>
          <w:highlight w:val="none"/>
        </w:rPr>
      </w:pPr>
      <w:r>
        <w:rPr>
          <w:rFonts w:hint="eastAsia" w:ascii="仿宋" w:hAnsi="仿宋" w:eastAsia="仿宋" w:cs="仿宋"/>
          <w:color w:val="auto"/>
          <w:highlight w:val="none"/>
        </w:rPr>
        <w:t>招标范围：</w:t>
      </w:r>
      <w:r>
        <w:rPr>
          <w:rFonts w:hint="eastAsia" w:ascii="仿宋" w:hAnsi="仿宋" w:eastAsia="仿宋" w:cs="仿宋"/>
          <w:color w:val="auto"/>
          <w:highlight w:val="none"/>
          <w:lang w:eastAsia="zh-CN"/>
        </w:rPr>
        <w:t>中国人民财产保险股份有限公司东莞市分公司2025-2027年物损修复第三方服务</w:t>
      </w:r>
      <w:r>
        <w:rPr>
          <w:rFonts w:hint="eastAsia" w:ascii="仿宋" w:hAnsi="仿宋" w:eastAsia="仿宋" w:cs="仿宋"/>
          <w:color w:val="auto"/>
          <w:highlight w:val="none"/>
        </w:rPr>
        <w:t>，</w:t>
      </w:r>
      <w:r>
        <w:rPr>
          <w:rFonts w:hint="eastAsia" w:ascii="仿宋" w:hAnsi="仿宋" w:eastAsia="仿宋" w:cs="仿宋"/>
          <w:color w:val="auto"/>
          <w:szCs w:val="21"/>
          <w:highlight w:val="none"/>
        </w:rPr>
        <w:t>具体以项目需求书为准。</w:t>
      </w:r>
    </w:p>
    <w:p>
      <w:pPr>
        <w:shd w:val="clear"/>
        <w:spacing w:line="400" w:lineRule="exact"/>
        <w:ind w:firstLine="420"/>
        <w:rPr>
          <w:rFonts w:ascii="仿宋" w:hAnsi="仿宋" w:eastAsia="仿宋" w:cs="仿宋"/>
          <w:color w:val="auto"/>
          <w:highlight w:val="none"/>
        </w:rPr>
      </w:pPr>
      <w:r>
        <w:rPr>
          <w:rFonts w:hint="eastAsia" w:ascii="仿宋" w:hAnsi="仿宋" w:eastAsia="仿宋" w:cs="仿宋"/>
          <w:color w:val="auto"/>
          <w:highlight w:val="none"/>
        </w:rPr>
        <w:t>服务期限：</w:t>
      </w:r>
      <w:r>
        <w:rPr>
          <w:rFonts w:hint="eastAsia" w:ascii="仿宋" w:hAnsi="仿宋" w:eastAsia="仿宋" w:cs="仿宋"/>
          <w:color w:val="auto"/>
          <w:highlight w:val="none"/>
          <w:lang w:val="en-US" w:eastAsia="zh-CN"/>
        </w:rPr>
        <w:t>2025年2月14日到2027年2月13日。</w:t>
      </w:r>
    </w:p>
    <w:p>
      <w:pPr>
        <w:shd w:val="clear"/>
        <w:spacing w:line="400" w:lineRule="exact"/>
        <w:ind w:firstLine="420"/>
        <w:rPr>
          <w:rFonts w:hint="eastAsia" w:ascii="仿宋" w:hAnsi="仿宋" w:eastAsia="仿宋" w:cs="仿宋"/>
          <w:color w:val="auto"/>
          <w:highlight w:val="none"/>
          <w:lang w:eastAsia="zh-CN"/>
        </w:rPr>
      </w:pPr>
      <w:r>
        <w:rPr>
          <w:rFonts w:hint="eastAsia" w:ascii="仿宋" w:hAnsi="仿宋" w:eastAsia="仿宋" w:cs="仿宋"/>
          <w:b w:val="0"/>
          <w:bCs w:val="0"/>
          <w:color w:val="auto"/>
          <w:highlight w:val="none"/>
          <w:lang w:val="en-US" w:eastAsia="zh-CN"/>
        </w:rPr>
        <w:t>2.3</w:t>
      </w:r>
      <w:r>
        <w:rPr>
          <w:rFonts w:hint="eastAsia" w:ascii="仿宋" w:hAnsi="仿宋" w:eastAsia="仿宋" w:cs="仿宋"/>
          <w:b/>
          <w:bCs/>
          <w:color w:val="auto"/>
          <w:highlight w:val="none"/>
        </w:rPr>
        <w:t>最高投标限价：</w:t>
      </w:r>
      <w:r>
        <w:rPr>
          <w:rFonts w:hint="eastAsia" w:ascii="仿宋" w:hAnsi="仿宋" w:eastAsia="仿宋" w:cs="仿宋"/>
          <w:color w:val="auto"/>
          <w:highlight w:val="none"/>
          <w:u w:val="none"/>
        </w:rPr>
        <w:t>人民币</w:t>
      </w:r>
      <w:r>
        <w:rPr>
          <w:rFonts w:hint="eastAsia" w:ascii="仿宋" w:hAnsi="仿宋" w:eastAsia="仿宋" w:cs="仿宋"/>
          <w:color w:val="auto"/>
          <w:highlight w:val="none"/>
          <w:u w:val="none"/>
          <w:lang w:val="en-US" w:eastAsia="zh-CN"/>
        </w:rPr>
        <w:t>1200万元</w:t>
      </w:r>
      <w:r>
        <w:rPr>
          <w:rFonts w:hint="eastAsia" w:ascii="仿宋" w:hAnsi="仿宋" w:eastAsia="仿宋" w:cs="仿宋"/>
          <w:color w:val="auto"/>
          <w:highlight w:val="none"/>
          <w:lang w:eastAsia="zh-CN"/>
        </w:rPr>
        <w:t>，按</w:t>
      </w:r>
      <w:r>
        <w:rPr>
          <w:rFonts w:hint="eastAsia" w:ascii="仿宋" w:hAnsi="仿宋" w:eastAsia="仿宋" w:cs="仿宋"/>
          <w:color w:val="auto"/>
          <w:highlight w:val="none"/>
          <w:lang w:val="en-US" w:eastAsia="zh-CN"/>
        </w:rPr>
        <w:t>实际发生</w:t>
      </w:r>
      <w:r>
        <w:rPr>
          <w:rFonts w:hint="eastAsia" w:ascii="仿宋" w:hAnsi="仿宋" w:eastAsia="仿宋" w:cs="仿宋"/>
          <w:color w:val="auto"/>
          <w:highlight w:val="none"/>
          <w:lang w:eastAsia="zh-CN"/>
        </w:rPr>
        <w:t>活动</w:t>
      </w:r>
      <w:r>
        <w:rPr>
          <w:rFonts w:hint="eastAsia" w:ascii="仿宋" w:hAnsi="仿宋" w:eastAsia="仿宋" w:cs="仿宋"/>
          <w:color w:val="auto"/>
          <w:highlight w:val="none"/>
          <w:lang w:val="en-US" w:eastAsia="zh-CN"/>
        </w:rPr>
        <w:t>进行结算。</w:t>
      </w:r>
    </w:p>
    <w:p>
      <w:pPr>
        <w:keepNext/>
        <w:keepLines/>
        <w:shd w:val="clear"/>
        <w:spacing w:before="260" w:after="260"/>
        <w:outlineLvl w:val="1"/>
        <w:rPr>
          <w:rFonts w:ascii="仿宋" w:hAnsi="仿宋" w:eastAsia="仿宋" w:cs="仿宋"/>
          <w:b/>
          <w:color w:val="auto"/>
          <w:sz w:val="32"/>
          <w:szCs w:val="20"/>
          <w:highlight w:val="none"/>
        </w:rPr>
      </w:pPr>
      <w:bookmarkStart w:id="15" w:name="_Toc38791395"/>
      <w:bookmarkStart w:id="16" w:name="_Toc56856836"/>
      <w:bookmarkStart w:id="17" w:name="_Toc6557027"/>
      <w:r>
        <w:rPr>
          <w:rFonts w:hint="eastAsia" w:ascii="仿宋" w:hAnsi="仿宋" w:eastAsia="仿宋" w:cs="仿宋"/>
          <w:b/>
          <w:color w:val="auto"/>
          <w:sz w:val="32"/>
          <w:szCs w:val="20"/>
          <w:highlight w:val="none"/>
        </w:rPr>
        <w:t>3. 投标人资格要求</w:t>
      </w:r>
      <w:bookmarkEnd w:id="15"/>
      <w:bookmarkEnd w:id="16"/>
      <w:bookmarkEnd w:id="17"/>
    </w:p>
    <w:p>
      <w:pPr>
        <w:widowControl/>
        <w:shd w:val="clea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1、在中华人民共和国境内注册的具有独立承担民事责任能力的法人，投标时须提交有效的企业法人营业执照副本复印件。</w:t>
      </w:r>
    </w:p>
    <w:p>
      <w:pPr>
        <w:widowControl/>
        <w:shd w:val="clea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2、具有履行合同所必需的设备和专业技术能力：投标人按规定格式签字盖章《投标申请人声明》（格式见本招标公告附件1）。</w:t>
      </w:r>
    </w:p>
    <w:p>
      <w:pPr>
        <w:widowControl/>
        <w:shd w:val="clea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、投标人单位负责人为同一人或者存在控股、管理等关联关系的不同单位，不得同时参加本招标项目的投标，投标人按规定格式签字盖章《投标申请人声明》（格式见本招标公告附件1）。</w:t>
      </w:r>
    </w:p>
    <w:p>
      <w:pPr>
        <w:widowControl/>
        <w:shd w:val="clea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投标人未被列入“信用中国”网站中记录失信被执行人或重大税收违法失信主体或政府采购严重违法失信行为记录名单；不处于“中国政府采购网”中政府采购严重违法失信行为信息记录的禁止参加政府采购活动期间。（以评标委员会于资格审查时在“信用中国”网站(www.creditchina.gov.cn)、中国政府采购网（www.ccgp.gov.cn）的查询结果为准，如在上述网站查询结果均显示没有相关记录，视为没有上述不良信用记录。对列入失信被执行人、重大税收违法失信主体、政府采购严重违法失信行为记录名单的，其投标将作无效投标处理。）。</w:t>
      </w:r>
    </w:p>
    <w:p>
      <w:pPr>
        <w:widowControl/>
        <w:shd w:val="clea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、本项目不接受联合体投标。</w:t>
      </w:r>
    </w:p>
    <w:p>
      <w:pPr>
        <w:keepNext/>
        <w:keepLines/>
        <w:shd w:val="clear"/>
        <w:spacing w:before="260" w:after="260"/>
        <w:outlineLvl w:val="1"/>
        <w:rPr>
          <w:rFonts w:ascii="仿宋" w:hAnsi="仿宋" w:eastAsia="仿宋" w:cs="仿宋"/>
          <w:color w:val="auto"/>
          <w:highlight w:val="none"/>
        </w:rPr>
      </w:pPr>
      <w:bookmarkStart w:id="18" w:name="_Toc38791396"/>
      <w:bookmarkStart w:id="19" w:name="_Toc6557028"/>
      <w:bookmarkStart w:id="20" w:name="_Toc56856837"/>
      <w:r>
        <w:rPr>
          <w:rFonts w:hint="eastAsia" w:ascii="仿宋" w:hAnsi="仿宋" w:eastAsia="仿宋" w:cs="仿宋"/>
          <w:b/>
          <w:color w:val="auto"/>
          <w:sz w:val="32"/>
          <w:szCs w:val="20"/>
          <w:highlight w:val="none"/>
        </w:rPr>
        <w:t>4. 招标文件的获取</w:t>
      </w:r>
      <w:bookmarkEnd w:id="18"/>
      <w:bookmarkEnd w:id="19"/>
      <w:bookmarkEnd w:id="20"/>
    </w:p>
    <w:p>
      <w:pPr>
        <w:shd w:val="clear"/>
        <w:topLinePunct/>
        <w:spacing w:line="360" w:lineRule="auto"/>
        <w:ind w:firstLine="420" w:firstLineChars="200"/>
        <w:textAlignment w:val="baseline"/>
        <w:rPr>
          <w:rFonts w:ascii="仿宋" w:hAnsi="仿宋" w:eastAsia="仿宋" w:cs="仿宋"/>
          <w:color w:val="auto"/>
          <w:highlight w:val="none"/>
        </w:rPr>
      </w:pPr>
      <w:bookmarkStart w:id="21" w:name="_Toc6557029"/>
      <w:bookmarkStart w:id="22" w:name="_Toc38791397"/>
      <w:r>
        <w:rPr>
          <w:rFonts w:hint="eastAsia" w:ascii="仿宋" w:hAnsi="仿宋" w:eastAsia="仿宋" w:cs="仿宋"/>
          <w:color w:val="auto"/>
          <w:highlight w:val="none"/>
        </w:rPr>
        <w:t>1、时间：202</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年</w:t>
      </w:r>
      <w:r>
        <w:rPr>
          <w:rFonts w:hint="eastAsia" w:ascii="仿宋" w:hAnsi="仿宋" w:eastAsia="仿宋" w:cs="仿宋"/>
          <w:color w:val="auto"/>
          <w:highlight w:val="none"/>
          <w:lang w:val="en-US" w:eastAsia="zh-CN"/>
        </w:rPr>
        <w:t xml:space="preserve"> 1 </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 xml:space="preserve"> 23 </w:t>
      </w:r>
      <w:r>
        <w:rPr>
          <w:rFonts w:hint="eastAsia" w:ascii="仿宋" w:hAnsi="仿宋" w:eastAsia="仿宋" w:cs="仿宋"/>
          <w:color w:val="auto"/>
          <w:highlight w:val="none"/>
        </w:rPr>
        <w:t>日至202</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年</w:t>
      </w:r>
      <w:r>
        <w:rPr>
          <w:rFonts w:hint="eastAsia" w:ascii="仿宋" w:hAnsi="仿宋" w:eastAsia="仿宋" w:cs="仿宋"/>
          <w:color w:val="auto"/>
          <w:highlight w:val="none"/>
          <w:lang w:val="en-US" w:eastAsia="zh-CN"/>
        </w:rPr>
        <w:t xml:space="preserve"> 2 </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 xml:space="preserve"> 11 </w:t>
      </w:r>
      <w:r>
        <w:rPr>
          <w:rFonts w:hint="eastAsia" w:ascii="仿宋" w:hAnsi="仿宋" w:eastAsia="仿宋" w:cs="仿宋"/>
          <w:color w:val="auto"/>
          <w:highlight w:val="none"/>
        </w:rPr>
        <w:t>日，每天上午00:00至12:00，下午12:00至23:59（北京时间，法定节假日除外），招标文件费：</w:t>
      </w:r>
      <w:r>
        <w:rPr>
          <w:rFonts w:hint="eastAsia" w:ascii="仿宋" w:hAnsi="仿宋" w:eastAsia="仿宋" w:cs="仿宋"/>
          <w:color w:val="auto"/>
          <w:highlight w:val="none"/>
          <w:u w:val="single"/>
        </w:rPr>
        <w:t>150元</w:t>
      </w:r>
      <w:r>
        <w:rPr>
          <w:rFonts w:hint="eastAsia" w:ascii="仿宋" w:hAnsi="仿宋" w:eastAsia="仿宋" w:cs="仿宋"/>
          <w:color w:val="auto"/>
          <w:highlight w:val="none"/>
        </w:rPr>
        <w:t>人民币。</w:t>
      </w:r>
    </w:p>
    <w:p>
      <w:pPr>
        <w:shd w:val="clear"/>
        <w:topLinePunct/>
        <w:spacing w:line="360" w:lineRule="auto"/>
        <w:ind w:firstLine="42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2、本项目采取网上获取招标文件，潜在投标人可访问广咨电子招投标交易平台网站（https://</w:t>
      </w:r>
      <w:r>
        <w:rPr>
          <w:rFonts w:hint="eastAsia" w:ascii="仿宋" w:hAnsi="仿宋" w:eastAsia="仿宋" w:cs="仿宋"/>
          <w:color w:val="auto"/>
          <w:highlight w:val="none"/>
          <w:lang w:eastAsia="zh-CN"/>
        </w:rPr>
        <w:t>www</w:t>
      </w:r>
      <w:r>
        <w:rPr>
          <w:rFonts w:hint="eastAsia" w:ascii="仿宋" w:hAnsi="仿宋" w:eastAsia="仿宋" w:cs="仿宋"/>
          <w:color w:val="auto"/>
          <w:highlight w:val="none"/>
        </w:rPr>
        <w:t>.gzebid.cn）进行网上获取招标文件。如投标人尚未注册，请根据网站指引进行注册，注册后完善主体资料并经平台审核后进行网上获取招标文件。</w:t>
      </w:r>
    </w:p>
    <w:p>
      <w:pPr>
        <w:shd w:val="clear"/>
        <w:topLinePunct/>
        <w:spacing w:line="360" w:lineRule="auto"/>
        <w:ind w:firstLine="42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获取招标文件、注册、完善主体资料的相关操作见网站“平台服务》操作手册》广咨国际数字化采购咨询平台供应商操作手册”</w:t>
      </w:r>
    </w:p>
    <w:p>
      <w:pPr>
        <w:shd w:val="clear"/>
        <w:topLinePunct/>
        <w:spacing w:line="360" w:lineRule="auto"/>
        <w:ind w:firstLine="42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招标文件购买支持微信、支付宝两种方式，支付成功后即可下载招标文件，同时我司会为您开具增值税普通电子发票，您可以登录系统选择对应项目下载电子发票。</w:t>
      </w:r>
    </w:p>
    <w:p>
      <w:pPr>
        <w:shd w:val="clear"/>
        <w:topLinePunct/>
        <w:spacing w:line="360" w:lineRule="auto"/>
        <w:ind w:firstLine="42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（1）【广咨平台操作指引】热线电话：400-9030-870，网站客服QQ：2136118347；</w:t>
      </w:r>
    </w:p>
    <w:p>
      <w:pPr>
        <w:shd w:val="clear"/>
        <w:topLinePunct/>
        <w:spacing w:line="360" w:lineRule="auto"/>
        <w:ind w:firstLine="42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（2）【标信通APP移动CA及电子签章】客服热线：400-658-7878；</w:t>
      </w:r>
    </w:p>
    <w:p>
      <w:pPr>
        <w:shd w:val="clear"/>
        <w:topLinePunct/>
        <w:spacing w:line="360" w:lineRule="auto"/>
        <w:ind w:firstLine="42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（3）【广咨平台技术支持】QQ群：415893172，服务QQ：1592177016</w:t>
      </w:r>
    </w:p>
    <w:p>
      <w:pPr>
        <w:pStyle w:val="2"/>
        <w:shd w:val="clear"/>
        <w:ind w:firstLine="420" w:firstLineChars="200"/>
        <w:rPr>
          <w:rFonts w:ascii="仿宋" w:hAnsi="仿宋" w:eastAsia="仿宋" w:cs="仿宋"/>
          <w:color w:val="auto"/>
          <w:highlight w:val="none"/>
        </w:rPr>
      </w:pPr>
      <w:r>
        <w:rPr>
          <w:rFonts w:hint="eastAsia" w:ascii="仿宋" w:hAnsi="仿宋" w:eastAsia="仿宋" w:cs="仿宋"/>
          <w:color w:val="auto"/>
          <w:highlight w:val="none"/>
        </w:rPr>
        <w:t>注：上述费用在获取招标文件后不予退还。</w:t>
      </w:r>
    </w:p>
    <w:p>
      <w:pPr>
        <w:keepNext/>
        <w:keepLines/>
        <w:shd w:val="clear"/>
        <w:spacing w:before="260" w:after="260"/>
        <w:outlineLvl w:val="1"/>
        <w:rPr>
          <w:rFonts w:ascii="仿宋" w:hAnsi="仿宋" w:eastAsia="仿宋" w:cs="仿宋"/>
          <w:b/>
          <w:color w:val="auto"/>
          <w:sz w:val="32"/>
          <w:szCs w:val="20"/>
          <w:highlight w:val="none"/>
        </w:rPr>
      </w:pPr>
      <w:bookmarkStart w:id="23" w:name="_Toc56856838"/>
      <w:r>
        <w:rPr>
          <w:rFonts w:hint="eastAsia" w:ascii="仿宋" w:hAnsi="仿宋" w:eastAsia="仿宋" w:cs="仿宋"/>
          <w:b/>
          <w:color w:val="auto"/>
          <w:sz w:val="32"/>
          <w:szCs w:val="20"/>
          <w:highlight w:val="none"/>
        </w:rPr>
        <w:t>5. 投标文件的递交</w:t>
      </w:r>
      <w:bookmarkEnd w:id="21"/>
      <w:bookmarkEnd w:id="22"/>
      <w:bookmarkEnd w:id="23"/>
      <w:r>
        <w:rPr>
          <w:rFonts w:hint="eastAsia" w:ascii="仿宋" w:hAnsi="仿宋" w:eastAsia="仿宋" w:cs="仿宋"/>
          <w:b/>
          <w:color w:val="auto"/>
          <w:sz w:val="32"/>
          <w:szCs w:val="20"/>
          <w:highlight w:val="none"/>
        </w:rPr>
        <w:t>及开标时间</w:t>
      </w:r>
    </w:p>
    <w:p>
      <w:pPr>
        <w:shd w:val="clear"/>
        <w:spacing w:line="360" w:lineRule="auto"/>
        <w:ind w:firstLine="420" w:firstLineChars="200"/>
        <w:rPr>
          <w:rFonts w:ascii="仿宋" w:hAnsi="仿宋" w:eastAsia="仿宋" w:cs="仿宋"/>
          <w:color w:val="auto"/>
          <w:highlight w:val="none"/>
        </w:rPr>
      </w:pPr>
      <w:r>
        <w:rPr>
          <w:rFonts w:hint="eastAsia" w:ascii="仿宋" w:hAnsi="仿宋" w:eastAsia="仿宋" w:cs="仿宋"/>
          <w:color w:val="auto"/>
          <w:highlight w:val="none"/>
        </w:rPr>
        <w:t>1、投标文件递交的截止时间为</w:t>
      </w:r>
      <w:r>
        <w:rPr>
          <w:rFonts w:hint="eastAsia" w:ascii="仿宋" w:hAnsi="仿宋" w:eastAsia="仿宋" w:cs="仿宋"/>
          <w:color w:val="auto"/>
          <w:highlight w:val="none"/>
          <w:u w:val="single"/>
        </w:rPr>
        <w:t>202</w:t>
      </w:r>
      <w:r>
        <w:rPr>
          <w:rFonts w:hint="eastAsia" w:ascii="仿宋" w:hAnsi="仿宋" w:eastAsia="仿宋" w:cs="仿宋"/>
          <w:color w:val="auto"/>
          <w:highlight w:val="none"/>
          <w:u w:val="single"/>
          <w:lang w:val="en-US" w:eastAsia="zh-CN"/>
        </w:rPr>
        <w:t>5</w:t>
      </w:r>
      <w:r>
        <w:rPr>
          <w:rFonts w:hint="eastAsia" w:ascii="仿宋" w:hAnsi="仿宋" w:eastAsia="仿宋" w:cs="仿宋"/>
          <w:color w:val="auto"/>
          <w:highlight w:val="none"/>
          <w:u w:val="single"/>
        </w:rPr>
        <w:t>年</w:t>
      </w:r>
      <w:r>
        <w:rPr>
          <w:rFonts w:hint="eastAsia" w:ascii="仿宋" w:hAnsi="仿宋" w:eastAsia="仿宋" w:cs="仿宋"/>
          <w:color w:val="auto"/>
          <w:highlight w:val="none"/>
          <w:u w:val="single"/>
          <w:lang w:val="en-US" w:eastAsia="zh-CN"/>
        </w:rPr>
        <w:t xml:space="preserve"> 2 </w:t>
      </w:r>
      <w:r>
        <w:rPr>
          <w:rFonts w:hint="eastAsia" w:ascii="仿宋" w:hAnsi="仿宋" w:eastAsia="仿宋" w:cs="仿宋"/>
          <w:color w:val="auto"/>
          <w:highlight w:val="none"/>
          <w:u w:val="single"/>
        </w:rPr>
        <w:t>月</w:t>
      </w:r>
      <w:r>
        <w:rPr>
          <w:rFonts w:hint="eastAsia" w:ascii="仿宋" w:hAnsi="仿宋" w:eastAsia="仿宋" w:cs="仿宋"/>
          <w:color w:val="auto"/>
          <w:highlight w:val="none"/>
          <w:u w:val="single"/>
          <w:lang w:val="en-US" w:eastAsia="zh-CN"/>
        </w:rPr>
        <w:t xml:space="preserve"> 13 </w:t>
      </w:r>
      <w:r>
        <w:rPr>
          <w:rFonts w:hint="eastAsia" w:ascii="仿宋" w:hAnsi="仿宋" w:eastAsia="仿宋" w:cs="仿宋"/>
          <w:color w:val="auto"/>
          <w:highlight w:val="none"/>
          <w:u w:val="single"/>
        </w:rPr>
        <w:t>日9时30分</w:t>
      </w:r>
      <w:r>
        <w:rPr>
          <w:rFonts w:hint="eastAsia" w:ascii="仿宋" w:hAnsi="仿宋" w:eastAsia="仿宋" w:cs="仿宋"/>
          <w:color w:val="auto"/>
          <w:highlight w:val="none"/>
        </w:rPr>
        <w:t>。投标人应在截止时间前通过广咨电子招投标交易平台（https://</w:t>
      </w:r>
      <w:r>
        <w:rPr>
          <w:rFonts w:hint="eastAsia" w:ascii="仿宋" w:hAnsi="仿宋" w:eastAsia="仿宋" w:cs="仿宋"/>
          <w:color w:val="auto"/>
          <w:highlight w:val="none"/>
          <w:lang w:eastAsia="zh-CN"/>
        </w:rPr>
        <w:t>www</w:t>
      </w:r>
      <w:r>
        <w:rPr>
          <w:rFonts w:hint="eastAsia" w:ascii="仿宋" w:hAnsi="仿宋" w:eastAsia="仿宋" w:cs="仿宋"/>
          <w:color w:val="auto"/>
          <w:highlight w:val="none"/>
        </w:rPr>
        <w:t>.gzebid.cn）递交电子投标文件。逾期送达的投标文件，电子招标投标交易平台将予以拒收。</w:t>
      </w:r>
    </w:p>
    <w:p>
      <w:pPr>
        <w:shd w:val="clear"/>
        <w:spacing w:line="360" w:lineRule="auto"/>
        <w:ind w:firstLine="420" w:firstLineChars="200"/>
        <w:rPr>
          <w:rFonts w:ascii="仿宋" w:hAnsi="仿宋" w:eastAsia="仿宋" w:cs="仿宋"/>
          <w:color w:val="auto"/>
          <w:highlight w:val="none"/>
        </w:rPr>
      </w:pPr>
      <w:r>
        <w:rPr>
          <w:rFonts w:hint="eastAsia" w:ascii="仿宋" w:hAnsi="仿宋" w:eastAsia="仿宋" w:cs="仿宋"/>
          <w:color w:val="auto"/>
          <w:highlight w:val="none"/>
        </w:rPr>
        <w:t>2、开标时间：</w:t>
      </w:r>
      <w:r>
        <w:rPr>
          <w:rFonts w:hint="eastAsia" w:ascii="仿宋" w:hAnsi="仿宋" w:eastAsia="仿宋" w:cs="仿宋"/>
          <w:color w:val="auto"/>
          <w:highlight w:val="none"/>
          <w:u w:val="single"/>
        </w:rPr>
        <w:t>202</w:t>
      </w:r>
      <w:r>
        <w:rPr>
          <w:rFonts w:hint="eastAsia" w:ascii="仿宋" w:hAnsi="仿宋" w:eastAsia="仿宋" w:cs="仿宋"/>
          <w:color w:val="auto"/>
          <w:highlight w:val="none"/>
          <w:u w:val="single"/>
          <w:lang w:val="en-US" w:eastAsia="zh-CN"/>
        </w:rPr>
        <w:t>5</w:t>
      </w:r>
      <w:r>
        <w:rPr>
          <w:rFonts w:hint="eastAsia" w:ascii="仿宋" w:hAnsi="仿宋" w:eastAsia="仿宋" w:cs="仿宋"/>
          <w:color w:val="auto"/>
          <w:highlight w:val="none"/>
          <w:u w:val="single"/>
        </w:rPr>
        <w:t>年</w:t>
      </w:r>
      <w:r>
        <w:rPr>
          <w:rFonts w:hint="eastAsia" w:ascii="仿宋" w:hAnsi="仿宋" w:eastAsia="仿宋" w:cs="仿宋"/>
          <w:color w:val="auto"/>
          <w:highlight w:val="none"/>
          <w:u w:val="single"/>
          <w:lang w:val="en-US" w:eastAsia="zh-CN"/>
        </w:rPr>
        <w:t xml:space="preserve"> 2 </w:t>
      </w:r>
      <w:r>
        <w:rPr>
          <w:rFonts w:hint="eastAsia" w:ascii="仿宋" w:hAnsi="仿宋" w:eastAsia="仿宋" w:cs="仿宋"/>
          <w:color w:val="auto"/>
          <w:highlight w:val="none"/>
          <w:u w:val="single"/>
        </w:rPr>
        <w:t>月</w:t>
      </w:r>
      <w:r>
        <w:rPr>
          <w:rFonts w:hint="eastAsia" w:ascii="仿宋" w:hAnsi="仿宋" w:eastAsia="仿宋" w:cs="仿宋"/>
          <w:color w:val="auto"/>
          <w:highlight w:val="none"/>
          <w:u w:val="single"/>
          <w:lang w:val="en-US" w:eastAsia="zh-CN"/>
        </w:rPr>
        <w:t xml:space="preserve"> 13 </w:t>
      </w:r>
      <w:r>
        <w:rPr>
          <w:rFonts w:hint="eastAsia" w:ascii="仿宋" w:hAnsi="仿宋" w:eastAsia="仿宋" w:cs="仿宋"/>
          <w:color w:val="auto"/>
          <w:highlight w:val="none"/>
          <w:u w:val="single"/>
        </w:rPr>
        <w:t>日9时30分</w:t>
      </w:r>
      <w:r>
        <w:rPr>
          <w:rFonts w:hint="eastAsia" w:ascii="仿宋" w:hAnsi="仿宋" w:eastAsia="仿宋" w:cs="仿宋"/>
          <w:color w:val="auto"/>
          <w:highlight w:val="none"/>
        </w:rPr>
        <w:t>，开标地点：广州市越秀区环市中路316号金鹰大厦10楼/ 广咨电子招投标交易平台（https://</w:t>
      </w:r>
      <w:r>
        <w:rPr>
          <w:rFonts w:hint="eastAsia" w:ascii="仿宋" w:hAnsi="仿宋" w:eastAsia="仿宋" w:cs="仿宋"/>
          <w:color w:val="auto"/>
          <w:highlight w:val="none"/>
          <w:lang w:eastAsia="zh-CN"/>
        </w:rPr>
        <w:t>www</w:t>
      </w:r>
      <w:r>
        <w:rPr>
          <w:rFonts w:hint="eastAsia" w:ascii="仿宋" w:hAnsi="仿宋" w:eastAsia="仿宋" w:cs="仿宋"/>
          <w:color w:val="auto"/>
          <w:highlight w:val="none"/>
        </w:rPr>
        <w:t>.gzebid.cn）开标系统</w:t>
      </w:r>
    </w:p>
    <w:p>
      <w:pPr>
        <w:shd w:val="clear"/>
        <w:spacing w:line="360" w:lineRule="auto"/>
        <w:ind w:firstLine="420" w:firstLineChars="200"/>
        <w:rPr>
          <w:rFonts w:ascii="仿宋" w:hAnsi="仿宋" w:eastAsia="仿宋" w:cs="仿宋"/>
          <w:color w:val="auto"/>
          <w:highlight w:val="none"/>
        </w:rPr>
      </w:pPr>
      <w:r>
        <w:rPr>
          <w:rFonts w:hint="eastAsia" w:ascii="仿宋" w:hAnsi="仿宋" w:eastAsia="仿宋" w:cs="仿宋"/>
          <w:color w:val="auto"/>
          <w:highlight w:val="none"/>
        </w:rPr>
        <w:t>注：本项目为全流程电子招投标项目，投标人需于投标截止时间前在广咨电子招投标交易平台（https://</w:t>
      </w:r>
      <w:r>
        <w:rPr>
          <w:rFonts w:hint="eastAsia" w:ascii="仿宋" w:hAnsi="仿宋" w:eastAsia="仿宋" w:cs="仿宋"/>
          <w:color w:val="auto"/>
          <w:highlight w:val="none"/>
          <w:lang w:eastAsia="zh-CN"/>
        </w:rPr>
        <w:t>www</w:t>
      </w:r>
      <w:r>
        <w:rPr>
          <w:rFonts w:hint="eastAsia" w:ascii="仿宋" w:hAnsi="仿宋" w:eastAsia="仿宋" w:cs="仿宋"/>
          <w:color w:val="auto"/>
          <w:highlight w:val="none"/>
        </w:rPr>
        <w:t>.gzebid.cn）上传电子投标文件。</w:t>
      </w:r>
    </w:p>
    <w:p>
      <w:pPr>
        <w:keepNext/>
        <w:keepLines/>
        <w:shd w:val="clear"/>
        <w:spacing w:before="260" w:after="260"/>
        <w:outlineLvl w:val="1"/>
        <w:rPr>
          <w:rFonts w:ascii="仿宋" w:hAnsi="仿宋" w:eastAsia="仿宋" w:cs="仿宋"/>
          <w:b/>
          <w:color w:val="auto"/>
          <w:sz w:val="32"/>
          <w:szCs w:val="20"/>
          <w:highlight w:val="none"/>
        </w:rPr>
      </w:pPr>
      <w:bookmarkStart w:id="24" w:name="_Toc38791398"/>
      <w:bookmarkStart w:id="25" w:name="_Toc6557030"/>
      <w:bookmarkStart w:id="26" w:name="_Toc56856839"/>
      <w:r>
        <w:rPr>
          <w:rFonts w:hint="eastAsia" w:ascii="仿宋" w:hAnsi="仿宋" w:eastAsia="仿宋" w:cs="仿宋"/>
          <w:b/>
          <w:color w:val="auto"/>
          <w:sz w:val="32"/>
          <w:szCs w:val="20"/>
          <w:highlight w:val="none"/>
        </w:rPr>
        <w:t>6. 发布公告的媒介</w:t>
      </w:r>
      <w:bookmarkEnd w:id="24"/>
      <w:bookmarkEnd w:id="25"/>
      <w:bookmarkEnd w:id="26"/>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本次招标公告同时在广咨电子招投标交易平台网站（http://www.gzebid.cn）、中国招标投标公共服务平台（网址：http://www.cebpubservice.com/）上发布。本公告的修改、补充，在广咨电子招投标交易平台网站发布。</w:t>
      </w:r>
    </w:p>
    <w:p>
      <w:pPr>
        <w:keepNext/>
        <w:keepLines/>
        <w:shd w:val="clear"/>
        <w:spacing w:before="260" w:after="260"/>
        <w:outlineLvl w:val="1"/>
        <w:rPr>
          <w:rFonts w:ascii="仿宋" w:hAnsi="仿宋" w:eastAsia="仿宋" w:cs="仿宋"/>
          <w:b/>
          <w:color w:val="auto"/>
          <w:sz w:val="32"/>
          <w:szCs w:val="20"/>
          <w:highlight w:val="none"/>
        </w:rPr>
      </w:pPr>
      <w:bookmarkStart w:id="27" w:name="_Toc56856840"/>
      <w:r>
        <w:rPr>
          <w:rFonts w:hint="eastAsia" w:ascii="仿宋" w:hAnsi="仿宋" w:eastAsia="仿宋" w:cs="仿宋"/>
          <w:b/>
          <w:color w:val="auto"/>
          <w:sz w:val="32"/>
          <w:szCs w:val="20"/>
          <w:highlight w:val="none"/>
        </w:rPr>
        <w:t>7. 其他</w:t>
      </w:r>
      <w:bookmarkEnd w:id="27"/>
    </w:p>
    <w:p>
      <w:pPr>
        <w:shd w:val="clear"/>
        <w:spacing w:line="400" w:lineRule="exact"/>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若本项目递交投标文件的投标人或通过初步评审的投标人不足</w:t>
      </w:r>
      <w:r>
        <w:rPr>
          <w:rFonts w:hint="eastAsia" w:ascii="仿宋" w:hAnsi="仿宋" w:eastAsia="仿宋" w:cs="仿宋"/>
          <w:color w:val="auto"/>
          <w:highlight w:val="none"/>
          <w:lang w:val="en-US" w:eastAsia="zh-CN"/>
        </w:rPr>
        <w:t>最低有效投标单位数量要求</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本次招</w:t>
      </w:r>
      <w:r>
        <w:rPr>
          <w:rFonts w:hint="eastAsia" w:ascii="仿宋" w:hAnsi="仿宋" w:eastAsia="仿宋" w:cs="仿宋"/>
          <w:color w:val="auto"/>
          <w:highlight w:val="none"/>
        </w:rPr>
        <w:t>标失败。招标人分析招标失败原因，修正招标方案，重新组织招标。</w:t>
      </w:r>
    </w:p>
    <w:p>
      <w:pPr>
        <w:keepNext/>
        <w:keepLines/>
        <w:shd w:val="clear"/>
        <w:spacing w:before="260" w:after="260"/>
        <w:outlineLvl w:val="1"/>
        <w:rPr>
          <w:rFonts w:ascii="仿宋" w:hAnsi="仿宋" w:eastAsia="仿宋" w:cs="仿宋"/>
          <w:color w:val="auto"/>
          <w:highlight w:val="none"/>
        </w:rPr>
      </w:pPr>
      <w:bookmarkStart w:id="28" w:name="_Toc56856841"/>
      <w:bookmarkStart w:id="29" w:name="_Toc38791399"/>
      <w:bookmarkStart w:id="30" w:name="_Toc6557031"/>
      <w:r>
        <w:rPr>
          <w:rFonts w:hint="eastAsia" w:ascii="仿宋" w:hAnsi="仿宋" w:eastAsia="仿宋" w:cs="仿宋"/>
          <w:b/>
          <w:color w:val="auto"/>
          <w:sz w:val="32"/>
          <w:szCs w:val="20"/>
          <w:highlight w:val="none"/>
        </w:rPr>
        <w:t>8. 联系方式</w:t>
      </w:r>
      <w:bookmarkEnd w:id="28"/>
      <w:bookmarkEnd w:id="29"/>
      <w:bookmarkEnd w:id="30"/>
      <w:bookmarkStart w:id="31" w:name="_Toc152045513"/>
      <w:bookmarkEnd w:id="31"/>
      <w:bookmarkStart w:id="32" w:name="_Toc361508562"/>
      <w:bookmarkEnd w:id="32"/>
      <w:bookmarkStart w:id="33" w:name="_Toc352691455"/>
      <w:bookmarkEnd w:id="33"/>
      <w:bookmarkStart w:id="34" w:name="_Toc17972"/>
      <w:bookmarkEnd w:id="34"/>
      <w:bookmarkStart w:id="35" w:name="_Toc300834929"/>
      <w:bookmarkEnd w:id="35"/>
      <w:bookmarkStart w:id="36" w:name="_Toc384308185"/>
      <w:bookmarkEnd w:id="36"/>
      <w:bookmarkStart w:id="37" w:name="_Toc369531495"/>
      <w:bookmarkEnd w:id="37"/>
      <w:bookmarkStart w:id="38" w:name="_Toc30817"/>
      <w:bookmarkEnd w:id="38"/>
      <w:bookmarkStart w:id="39" w:name="_Toc384308187"/>
      <w:bookmarkEnd w:id="39"/>
      <w:bookmarkStart w:id="40" w:name="_Toc247513935"/>
      <w:bookmarkEnd w:id="40"/>
      <w:bookmarkStart w:id="41" w:name="_Toc247513934"/>
      <w:bookmarkEnd w:id="41"/>
      <w:bookmarkStart w:id="42" w:name="_Toc144974480"/>
      <w:bookmarkEnd w:id="42"/>
      <w:bookmarkStart w:id="43" w:name="_Toc369531497"/>
      <w:bookmarkEnd w:id="43"/>
      <w:bookmarkStart w:id="44" w:name="_Toc369531498"/>
      <w:bookmarkEnd w:id="44"/>
      <w:bookmarkStart w:id="45" w:name="_Toc300834930"/>
      <w:bookmarkEnd w:id="45"/>
      <w:bookmarkStart w:id="46" w:name="_Toc247527536"/>
      <w:bookmarkEnd w:id="46"/>
      <w:bookmarkStart w:id="47" w:name="_Toc361508563"/>
      <w:bookmarkEnd w:id="47"/>
      <w:bookmarkStart w:id="48" w:name="_Toc352691453"/>
      <w:bookmarkEnd w:id="48"/>
      <w:bookmarkStart w:id="49" w:name="_Toc152045512"/>
      <w:bookmarkEnd w:id="49"/>
      <w:bookmarkStart w:id="50" w:name="_Toc152042288"/>
      <w:bookmarkEnd w:id="50"/>
      <w:bookmarkStart w:id="51" w:name="_Toc152042289"/>
      <w:bookmarkEnd w:id="51"/>
      <w:bookmarkStart w:id="52" w:name="_Toc144974481"/>
      <w:bookmarkEnd w:id="52"/>
      <w:bookmarkStart w:id="53" w:name="_Toc300834927"/>
      <w:bookmarkEnd w:id="53"/>
      <w:bookmarkStart w:id="54" w:name="_Toc352691456"/>
      <w:bookmarkEnd w:id="54"/>
      <w:bookmarkStart w:id="55" w:name="_Toc361508560"/>
      <w:bookmarkEnd w:id="55"/>
      <w:bookmarkStart w:id="56" w:name="_Toc384308188"/>
      <w:bookmarkEnd w:id="56"/>
      <w:bookmarkStart w:id="57" w:name="_Toc10785"/>
      <w:bookmarkEnd w:id="57"/>
      <w:bookmarkStart w:id="58" w:name="_Toc247527535"/>
      <w:bookmarkEnd w:id="58"/>
    </w:p>
    <w:p>
      <w:pPr>
        <w:shd w:val="clear"/>
        <w:topLinePunct/>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招标人：</w:t>
      </w:r>
      <w:r>
        <w:rPr>
          <w:rFonts w:hint="eastAsia" w:ascii="仿宋" w:hAnsi="仿宋" w:eastAsia="仿宋" w:cs="仿宋"/>
          <w:color w:val="auto"/>
          <w:highlight w:val="none"/>
          <w:u w:val="single"/>
          <w:lang w:eastAsia="zh-CN"/>
        </w:rPr>
        <w:t>中国人民财产保险股份有限公司东莞市分公司</w:t>
      </w:r>
      <w:r>
        <w:rPr>
          <w:rFonts w:hint="eastAsia" w:ascii="仿宋" w:hAnsi="仿宋" w:eastAsia="仿宋" w:cs="仿宋"/>
          <w:color w:val="auto"/>
          <w:highlight w:val="none"/>
        </w:rPr>
        <w:t xml:space="preserve"> </w:t>
      </w:r>
    </w:p>
    <w:p>
      <w:pPr>
        <w:shd w:val="clear"/>
        <w:topLinePunct/>
        <w:spacing w:line="400" w:lineRule="exact"/>
        <w:ind w:firstLine="420" w:firstLineChars="200"/>
        <w:rPr>
          <w:rFonts w:hint="default" w:ascii="仿宋" w:hAnsi="仿宋" w:eastAsia="仿宋" w:cs="仿宋"/>
          <w:color w:val="auto"/>
          <w:highlight w:val="none"/>
          <w:lang w:val="en-US" w:eastAsia="zh-CN"/>
        </w:rPr>
      </w:pPr>
      <w:r>
        <w:rPr>
          <w:rFonts w:hint="eastAsia" w:ascii="仿宋" w:hAnsi="仿宋" w:eastAsia="仿宋" w:cs="仿宋"/>
          <w:color w:val="auto"/>
          <w:highlight w:val="none"/>
        </w:rPr>
        <w:t>联系人：</w:t>
      </w:r>
      <w:r>
        <w:rPr>
          <w:rFonts w:hint="eastAsia" w:ascii="仿宋" w:hAnsi="仿宋" w:eastAsia="仿宋" w:cs="仿宋"/>
          <w:color w:val="auto"/>
          <w:highlight w:val="none"/>
          <w:u w:val="single"/>
          <w:lang w:val="en-US" w:eastAsia="zh-CN"/>
        </w:rPr>
        <w:t xml:space="preserve"> 黄先生 </w:t>
      </w:r>
    </w:p>
    <w:p>
      <w:pPr>
        <w:shd w:val="clear"/>
        <w:topLinePunct/>
        <w:spacing w:line="400" w:lineRule="exact"/>
        <w:ind w:firstLine="420" w:firstLineChars="200"/>
        <w:rPr>
          <w:rFonts w:hint="default" w:ascii="仿宋" w:hAnsi="仿宋" w:eastAsia="仿宋" w:cs="仿宋"/>
          <w:color w:val="auto"/>
          <w:highlight w:val="none"/>
          <w:lang w:val="en-US"/>
        </w:rPr>
      </w:pPr>
      <w:r>
        <w:rPr>
          <w:rFonts w:hint="eastAsia" w:ascii="仿宋" w:hAnsi="仿宋" w:eastAsia="仿宋" w:cs="仿宋"/>
          <w:color w:val="auto"/>
          <w:highlight w:val="none"/>
        </w:rPr>
        <w:t>电  话：</w:t>
      </w:r>
      <w:r>
        <w:rPr>
          <w:rFonts w:hint="eastAsia" w:ascii="仿宋" w:hAnsi="仿宋" w:eastAsia="仿宋" w:cs="仿宋"/>
          <w:color w:val="auto"/>
          <w:highlight w:val="none"/>
          <w:u w:val="single"/>
          <w:lang w:val="en-US" w:eastAsia="zh-CN"/>
        </w:rPr>
        <w:t xml:space="preserve"> 13650165012 </w:t>
      </w:r>
    </w:p>
    <w:p>
      <w:pPr>
        <w:shd w:val="clear"/>
        <w:topLinePunct/>
        <w:ind w:firstLine="420" w:firstLineChars="200"/>
        <w:rPr>
          <w:rFonts w:ascii="仿宋" w:hAnsi="仿宋" w:eastAsia="仿宋" w:cs="仿宋"/>
          <w:color w:val="auto"/>
          <w:highlight w:val="none"/>
        </w:rPr>
      </w:pPr>
    </w:p>
    <w:p>
      <w:pPr>
        <w:shd w:val="clear"/>
        <w:topLinePunct/>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招标代理机构：</w:t>
      </w:r>
      <w:r>
        <w:rPr>
          <w:rFonts w:hint="eastAsia" w:ascii="仿宋" w:hAnsi="仿宋" w:eastAsia="仿宋" w:cs="仿宋"/>
          <w:color w:val="auto"/>
          <w:highlight w:val="none"/>
          <w:u w:val="single"/>
        </w:rPr>
        <w:t>广东省机电设备招标有限公司</w:t>
      </w:r>
    </w:p>
    <w:p>
      <w:pPr>
        <w:shd w:val="clear"/>
        <w:topLinePunct/>
        <w:spacing w:line="400" w:lineRule="exact"/>
        <w:ind w:firstLine="420" w:firstLineChars="200"/>
        <w:rPr>
          <w:rFonts w:hint="default" w:ascii="仿宋" w:hAnsi="仿宋" w:eastAsia="仿宋" w:cs="仿宋"/>
          <w:color w:val="auto"/>
          <w:highlight w:val="none"/>
          <w:u w:val="single"/>
          <w:lang w:val="en-US" w:eastAsia="zh-CN"/>
        </w:rPr>
      </w:pPr>
      <w:r>
        <w:rPr>
          <w:rFonts w:hint="eastAsia" w:ascii="仿宋" w:hAnsi="仿宋" w:eastAsia="仿宋" w:cs="仿宋"/>
          <w:color w:val="auto"/>
          <w:highlight w:val="none"/>
        </w:rPr>
        <w:t>联 系 人：</w:t>
      </w:r>
      <w:r>
        <w:rPr>
          <w:rFonts w:hint="eastAsia" w:ascii="仿宋" w:hAnsi="仿宋" w:eastAsia="仿宋" w:cs="仿宋"/>
          <w:color w:val="auto"/>
          <w:highlight w:val="none"/>
          <w:u w:val="single"/>
          <w:lang w:val="en-US" w:eastAsia="zh-CN"/>
        </w:rPr>
        <w:t>罗</w:t>
      </w:r>
      <w:r>
        <w:rPr>
          <w:rFonts w:hint="eastAsia" w:ascii="仿宋" w:hAnsi="仿宋" w:eastAsia="仿宋" w:cs="仿宋"/>
          <w:color w:val="auto"/>
          <w:highlight w:val="none"/>
          <w:u w:val="single"/>
        </w:rPr>
        <w:t>工</w:t>
      </w:r>
      <w:r>
        <w:rPr>
          <w:rFonts w:hint="eastAsia" w:ascii="仿宋" w:hAnsi="仿宋" w:eastAsia="仿宋" w:cs="仿宋"/>
          <w:color w:val="auto"/>
          <w:highlight w:val="none"/>
          <w:u w:val="single"/>
          <w:lang w:eastAsia="zh-CN"/>
        </w:rPr>
        <w:t>、</w:t>
      </w:r>
      <w:r>
        <w:rPr>
          <w:rFonts w:hint="eastAsia" w:ascii="仿宋" w:hAnsi="仿宋" w:eastAsia="仿宋" w:cs="仿宋"/>
          <w:color w:val="auto"/>
          <w:highlight w:val="none"/>
          <w:u w:val="single"/>
          <w:lang w:val="en-US" w:eastAsia="zh-CN"/>
        </w:rPr>
        <w:t>欧工、李工</w:t>
      </w:r>
    </w:p>
    <w:p>
      <w:pPr>
        <w:shd w:val="clear"/>
        <w:topLinePunct/>
        <w:spacing w:line="400" w:lineRule="exact"/>
        <w:ind w:firstLine="420" w:firstLineChars="200"/>
        <w:rPr>
          <w:rFonts w:hint="default" w:ascii="仿宋" w:hAnsi="仿宋" w:eastAsia="仿宋" w:cs="仿宋"/>
          <w:color w:val="auto"/>
          <w:highlight w:val="none"/>
          <w:u w:val="single"/>
          <w:lang w:val="en-US" w:eastAsia="zh-CN"/>
        </w:rPr>
      </w:pPr>
      <w:r>
        <w:rPr>
          <w:rFonts w:hint="eastAsia" w:ascii="仿宋" w:hAnsi="仿宋" w:eastAsia="仿宋" w:cs="仿宋"/>
          <w:color w:val="auto"/>
          <w:highlight w:val="none"/>
        </w:rPr>
        <w:t>电    话：</w:t>
      </w:r>
      <w:r>
        <w:rPr>
          <w:rFonts w:hint="eastAsia" w:ascii="仿宋" w:hAnsi="仿宋" w:eastAsia="仿宋" w:cs="仿宋"/>
          <w:color w:val="auto"/>
          <w:highlight w:val="none"/>
          <w:u w:val="single"/>
        </w:rPr>
        <w:t>020-8354</w:t>
      </w:r>
      <w:r>
        <w:rPr>
          <w:rFonts w:hint="eastAsia" w:ascii="仿宋" w:hAnsi="仿宋" w:eastAsia="仿宋" w:cs="仿宋"/>
          <w:color w:val="auto"/>
          <w:highlight w:val="none"/>
          <w:u w:val="single"/>
          <w:lang w:val="en-US" w:eastAsia="zh-CN"/>
        </w:rPr>
        <w:t>1707</w:t>
      </w:r>
    </w:p>
    <w:p>
      <w:pPr>
        <w:shd w:val="clear"/>
        <w:topLinePunct/>
        <w:spacing w:line="400" w:lineRule="exact"/>
        <w:ind w:firstLine="420" w:firstLineChars="200"/>
        <w:rPr>
          <w:rFonts w:ascii="仿宋" w:hAnsi="仿宋" w:eastAsia="仿宋" w:cs="仿宋"/>
          <w:color w:val="auto"/>
          <w:highlight w:val="none"/>
          <w:u w:val="single"/>
        </w:rPr>
      </w:pPr>
      <w:r>
        <w:rPr>
          <w:rFonts w:hint="eastAsia" w:ascii="仿宋" w:hAnsi="仿宋" w:eastAsia="仿宋" w:cs="仿宋"/>
          <w:color w:val="auto"/>
          <w:highlight w:val="none"/>
        </w:rPr>
        <w:t>电子邮件：</w:t>
      </w:r>
      <w:r>
        <w:rPr>
          <w:rFonts w:hint="eastAsia" w:ascii="仿宋" w:hAnsi="仿宋" w:eastAsia="仿宋" w:cs="仿宋"/>
          <w:color w:val="auto"/>
          <w:highlight w:val="none"/>
          <w:u w:val="single"/>
        </w:rPr>
        <w:t>zbgs6b@126.com</w:t>
      </w:r>
    </w:p>
    <w:p>
      <w:pPr>
        <w:shd w:val="clear"/>
        <w:spacing w:line="400" w:lineRule="exact"/>
        <w:ind w:right="210" w:firstLine="420" w:firstLineChars="200"/>
        <w:jc w:val="right"/>
        <w:rPr>
          <w:rFonts w:ascii="仿宋" w:hAnsi="仿宋" w:eastAsia="仿宋" w:cs="仿宋"/>
          <w:color w:val="auto"/>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u w:val="single"/>
        </w:rPr>
        <w:t>202</w:t>
      </w:r>
      <w:r>
        <w:rPr>
          <w:rFonts w:hint="eastAsia" w:ascii="仿宋" w:hAnsi="仿宋" w:eastAsia="仿宋" w:cs="仿宋"/>
          <w:color w:val="auto"/>
          <w:highlight w:val="none"/>
          <w:u w:val="single"/>
          <w:lang w:val="en-US" w:eastAsia="zh-CN"/>
        </w:rPr>
        <w:t>5</w:t>
      </w:r>
      <w:r>
        <w:rPr>
          <w:rFonts w:hint="eastAsia" w:ascii="仿宋" w:hAnsi="仿宋" w:eastAsia="仿宋" w:cs="仿宋"/>
          <w:color w:val="auto"/>
          <w:highlight w:val="none"/>
        </w:rPr>
        <w:t>年</w:t>
      </w:r>
      <w:r>
        <w:rPr>
          <w:rFonts w:hint="eastAsia" w:ascii="仿宋" w:hAnsi="仿宋" w:eastAsia="仿宋" w:cs="仿宋"/>
          <w:color w:val="auto"/>
          <w:highlight w:val="none"/>
          <w:u w:val="single"/>
          <w:lang w:val="en-US" w:eastAsia="zh-CN"/>
        </w:rPr>
        <w:t>1</w:t>
      </w:r>
      <w:r>
        <w:rPr>
          <w:rFonts w:hint="eastAsia" w:ascii="仿宋" w:hAnsi="仿宋" w:eastAsia="仿宋" w:cs="仿宋"/>
          <w:color w:val="auto"/>
          <w:highlight w:val="none"/>
        </w:rPr>
        <w:t>月</w:t>
      </w:r>
      <w:r>
        <w:rPr>
          <w:rFonts w:hint="eastAsia" w:ascii="仿宋" w:hAnsi="仿宋" w:eastAsia="仿宋" w:cs="仿宋"/>
          <w:color w:val="auto"/>
          <w:highlight w:val="none"/>
          <w:u w:val="single"/>
          <w:lang w:val="en-US" w:eastAsia="zh-CN"/>
        </w:rPr>
        <w:t xml:space="preserve"> 23 </w:t>
      </w:r>
      <w:r>
        <w:rPr>
          <w:rFonts w:hint="eastAsia" w:ascii="仿宋" w:hAnsi="仿宋" w:eastAsia="仿宋" w:cs="仿宋"/>
          <w:color w:val="auto"/>
          <w:highlight w:val="none"/>
        </w:rPr>
        <w:t>日</w:t>
      </w:r>
    </w:p>
    <w:p>
      <w:pPr>
        <w:widowControl/>
        <w:shd w:val="clear"/>
        <w:jc w:val="left"/>
        <w:rPr>
          <w:rFonts w:ascii="仿宋" w:hAnsi="仿宋" w:eastAsia="仿宋" w:cs="仿宋"/>
          <w:color w:val="auto"/>
          <w:highlight w:val="none"/>
        </w:rPr>
      </w:pPr>
      <w:r>
        <w:rPr>
          <w:rFonts w:hint="eastAsia" w:ascii="仿宋" w:hAnsi="仿宋" w:eastAsia="仿宋" w:cs="仿宋"/>
          <w:color w:val="auto"/>
          <w:highlight w:val="none"/>
        </w:rPr>
        <w:br w:type="page"/>
      </w:r>
    </w:p>
    <w:p>
      <w:pPr>
        <w:shd w:val="clear"/>
        <w:ind w:right="-57" w:rightChars="-27"/>
        <w:rPr>
          <w:rFonts w:ascii="仿宋" w:hAnsi="仿宋" w:eastAsia="仿宋" w:cs="仿宋"/>
          <w:b/>
          <w:color w:val="auto"/>
          <w:szCs w:val="21"/>
          <w:highlight w:val="none"/>
        </w:rPr>
      </w:pPr>
      <w:r>
        <w:rPr>
          <w:rFonts w:hint="eastAsia" w:ascii="仿宋" w:hAnsi="仿宋" w:eastAsia="仿宋" w:cs="仿宋"/>
          <w:b/>
          <w:color w:val="auto"/>
          <w:szCs w:val="21"/>
          <w:highlight w:val="none"/>
        </w:rPr>
        <w:t>附件一：</w:t>
      </w:r>
    </w:p>
    <w:p>
      <w:pPr>
        <w:shd w:val="clear"/>
        <w:ind w:right="-57" w:rightChars="-27"/>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投标申请人声明</w:t>
      </w:r>
    </w:p>
    <w:p>
      <w:pPr>
        <w:shd w:val="clear"/>
        <w:spacing w:line="360" w:lineRule="auto"/>
        <w:ind w:right="-57" w:rightChars="-27"/>
        <w:jc w:val="left"/>
        <w:rPr>
          <w:rFonts w:ascii="仿宋" w:hAnsi="仿宋" w:eastAsia="仿宋" w:cs="仿宋"/>
          <w:color w:val="auto"/>
          <w:szCs w:val="21"/>
          <w:highlight w:val="none"/>
        </w:rPr>
      </w:pPr>
    </w:p>
    <w:p>
      <w:pPr>
        <w:shd w:val="clear"/>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中国人民财产保险股份有限公司东莞市分公司</w:t>
      </w:r>
      <w:r>
        <w:rPr>
          <w:rFonts w:hint="eastAsia" w:ascii="仿宋" w:hAnsi="仿宋" w:eastAsia="仿宋" w:cs="仿宋"/>
          <w:color w:val="auto"/>
          <w:kern w:val="0"/>
          <w:szCs w:val="21"/>
          <w:highlight w:val="none"/>
        </w:rPr>
        <w:t>、广东省机电设备招标有限公司：</w:t>
      </w:r>
    </w:p>
    <w:p>
      <w:pPr>
        <w:shd w:val="clear"/>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本公司就参加</w:t>
      </w:r>
      <w:r>
        <w:rPr>
          <w:rFonts w:hint="eastAsia" w:ascii="仿宋" w:hAnsi="仿宋" w:eastAsia="仿宋" w:cs="仿宋"/>
          <w:color w:val="auto"/>
          <w:highlight w:val="none"/>
          <w:u w:val="single"/>
          <w:lang w:eastAsia="zh-CN"/>
        </w:rPr>
        <w:t>2025-2027年车险物损修复第三方服务资格入库项目</w:t>
      </w:r>
      <w:r>
        <w:rPr>
          <w:rFonts w:hint="eastAsia" w:ascii="仿宋" w:hAnsi="仿宋" w:eastAsia="仿宋" w:cs="仿宋"/>
          <w:color w:val="auto"/>
          <w:kern w:val="0"/>
          <w:szCs w:val="21"/>
          <w:highlight w:val="none"/>
        </w:rPr>
        <w:t>投标工作，作出郑重声明：</w:t>
      </w:r>
    </w:p>
    <w:p>
      <w:pPr>
        <w:shd w:val="clear"/>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一、本公司保证报名及其后提供的一切材料都是真实的。</w:t>
      </w:r>
    </w:p>
    <w:p>
      <w:pPr>
        <w:shd w:val="clear"/>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二、本公司保证不与其他单位围标、串标，不出让投标资格，不向招标人或评标委员会成员行贿。</w:t>
      </w:r>
    </w:p>
    <w:p>
      <w:pPr>
        <w:shd w:val="clear"/>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三、本公司不存在招标文件第二章投标人须知第1.4.3项所规定的任何一种情形。</w:t>
      </w:r>
    </w:p>
    <w:p>
      <w:pPr>
        <w:shd w:val="clear"/>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四、本公司及其有隶属关系的机构，没有参加本项目招标文件的编写工作；本公司与本次招标的招标代理机构没有隶属关系或其他利害关系。</w:t>
      </w:r>
    </w:p>
    <w:p>
      <w:pPr>
        <w:shd w:val="clear"/>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五、本公司承诺，中标后严格执行安全生产相关管理规定。</w:t>
      </w:r>
    </w:p>
    <w:p>
      <w:pPr>
        <w:shd w:val="clear"/>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六、本公司保证投标保函真实、有效。</w:t>
      </w:r>
    </w:p>
    <w:p>
      <w:pPr>
        <w:shd w:val="clear"/>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本公司违反上述保证，或本声明陈述与事实不符，经查实，本公司愿意接受公开通报，承担由此带来的法律后果。</w:t>
      </w:r>
    </w:p>
    <w:p>
      <w:pPr>
        <w:shd w:val="clear"/>
        <w:snapToGrid w:val="0"/>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特此声明。</w:t>
      </w:r>
    </w:p>
    <w:p>
      <w:pPr>
        <w:shd w:val="clear"/>
        <w:snapToGrid w:val="0"/>
        <w:spacing w:line="360" w:lineRule="auto"/>
        <w:rPr>
          <w:rFonts w:ascii="仿宋" w:hAnsi="仿宋" w:eastAsia="仿宋" w:cs="仿宋"/>
          <w:color w:val="auto"/>
          <w:kern w:val="0"/>
          <w:szCs w:val="21"/>
          <w:highlight w:val="none"/>
        </w:rPr>
      </w:pPr>
    </w:p>
    <w:p>
      <w:pPr>
        <w:shd w:val="clear"/>
        <w:snapToGrid w:val="0"/>
        <w:spacing w:line="360" w:lineRule="auto"/>
        <w:ind w:firstLine="4252" w:firstLineChars="2025"/>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声明企业(盖章)：</w:t>
      </w:r>
    </w:p>
    <w:p>
      <w:pPr>
        <w:widowControl/>
        <w:shd w:val="clear"/>
        <w:spacing w:line="360" w:lineRule="auto"/>
        <w:jc w:val="righ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年   月   日 </w:t>
      </w:r>
    </w:p>
    <w:p>
      <w:pPr>
        <w:pStyle w:val="39"/>
        <w:shd w:val="clear"/>
        <w:rPr>
          <w:rFonts w:ascii="仿宋" w:hAnsi="仿宋" w:eastAsia="仿宋" w:cs="仿宋"/>
          <w:color w:val="auto"/>
          <w:kern w:val="0"/>
          <w:szCs w:val="21"/>
          <w:highlight w:val="none"/>
        </w:rPr>
      </w:pPr>
    </w:p>
    <w:p>
      <w:pPr>
        <w:shd w:val="clear"/>
        <w:rPr>
          <w:rFonts w:ascii="仿宋" w:hAnsi="仿宋" w:eastAsia="仿宋" w:cs="仿宋"/>
          <w:color w:val="auto"/>
          <w:kern w:val="0"/>
          <w:szCs w:val="21"/>
          <w:highlight w:val="none"/>
        </w:rPr>
      </w:pPr>
    </w:p>
    <w:p>
      <w:pPr>
        <w:shd w:val="clea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br w:type="page"/>
      </w:r>
    </w:p>
    <w:p>
      <w:pPr>
        <w:pStyle w:val="3"/>
        <w:shd w:val="clear"/>
        <w:spacing w:line="240" w:lineRule="auto"/>
        <w:jc w:val="center"/>
        <w:rPr>
          <w:rFonts w:ascii="仿宋" w:hAnsi="仿宋" w:eastAsia="仿宋" w:cs="仿宋"/>
          <w:b/>
          <w:bCs/>
          <w:color w:val="auto"/>
          <w:highlight w:val="none"/>
        </w:rPr>
      </w:pPr>
      <w:bookmarkStart w:id="59" w:name="_Toc56856843"/>
      <w:bookmarkStart w:id="60" w:name="_Toc16069"/>
      <w:r>
        <w:rPr>
          <w:rFonts w:hint="eastAsia" w:ascii="仿宋" w:hAnsi="仿宋" w:eastAsia="仿宋" w:cs="仿宋"/>
          <w:b/>
          <w:bCs/>
          <w:color w:val="auto"/>
          <w:highlight w:val="none"/>
        </w:rPr>
        <w:t xml:space="preserve">第二章 </w:t>
      </w:r>
      <w:bookmarkEnd w:id="4"/>
      <w:bookmarkEnd w:id="5"/>
      <w:bookmarkEnd w:id="6"/>
      <w:r>
        <w:rPr>
          <w:rFonts w:hint="eastAsia" w:ascii="仿宋" w:hAnsi="仿宋" w:eastAsia="仿宋" w:cs="仿宋"/>
          <w:b/>
          <w:bCs/>
          <w:color w:val="auto"/>
          <w:highlight w:val="none"/>
        </w:rPr>
        <w:t>投标人须知</w:t>
      </w:r>
      <w:bookmarkEnd w:id="59"/>
      <w:bookmarkEnd w:id="60"/>
    </w:p>
    <w:p>
      <w:pPr>
        <w:pStyle w:val="4"/>
        <w:shd w:val="clear"/>
        <w:rPr>
          <w:rFonts w:ascii="仿宋" w:hAnsi="仿宋" w:eastAsia="仿宋" w:cs="仿宋"/>
          <w:color w:val="auto"/>
          <w:highlight w:val="none"/>
        </w:rPr>
      </w:pPr>
      <w:bookmarkStart w:id="61" w:name="_Toc56856844"/>
      <w:r>
        <w:rPr>
          <w:rFonts w:hint="eastAsia" w:ascii="仿宋" w:hAnsi="仿宋" w:eastAsia="仿宋" w:cs="仿宋"/>
          <w:color w:val="auto"/>
          <w:highlight w:val="none"/>
        </w:rPr>
        <w:t>投标人须知前附表</w:t>
      </w:r>
      <w:bookmarkEnd w:id="61"/>
    </w:p>
    <w:tbl>
      <w:tblPr>
        <w:tblStyle w:val="41"/>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5"/>
        <w:gridCol w:w="1978"/>
        <w:gridCol w:w="6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5" w:type="dxa"/>
            <w:vAlign w:val="center"/>
          </w:tcPr>
          <w:p>
            <w:pPr>
              <w:shd w:val="clear"/>
              <w:spacing w:line="4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条款号</w:t>
            </w:r>
          </w:p>
        </w:tc>
        <w:tc>
          <w:tcPr>
            <w:tcW w:w="1978" w:type="dxa"/>
            <w:vAlign w:val="center"/>
          </w:tcPr>
          <w:p>
            <w:pPr>
              <w:shd w:val="clear"/>
              <w:spacing w:line="4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条款名称</w:t>
            </w:r>
          </w:p>
        </w:tc>
        <w:tc>
          <w:tcPr>
            <w:tcW w:w="6365" w:type="dxa"/>
            <w:vAlign w:val="center"/>
          </w:tcPr>
          <w:p>
            <w:pPr>
              <w:shd w:val="clear"/>
              <w:spacing w:line="4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1.1.2</w:t>
            </w:r>
          </w:p>
        </w:tc>
        <w:tc>
          <w:tcPr>
            <w:tcW w:w="1978" w:type="dxa"/>
            <w:vAlign w:val="center"/>
          </w:tcPr>
          <w:p>
            <w:pPr>
              <w:shd w:val="clear"/>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招标人</w:t>
            </w:r>
          </w:p>
        </w:tc>
        <w:tc>
          <w:tcPr>
            <w:tcW w:w="6365" w:type="dxa"/>
            <w:vAlign w:val="center"/>
          </w:tcPr>
          <w:p>
            <w:pPr>
              <w:shd w:val="clear"/>
              <w:spacing w:line="400" w:lineRule="exact"/>
              <w:jc w:val="left"/>
              <w:rPr>
                <w:rFonts w:ascii="仿宋" w:hAnsi="仿宋" w:eastAsia="仿宋" w:cs="仿宋"/>
                <w:color w:val="auto"/>
                <w:highlight w:val="none"/>
                <w:u w:val="single"/>
              </w:rPr>
            </w:pPr>
            <w:r>
              <w:rPr>
                <w:rFonts w:hint="eastAsia" w:ascii="仿宋" w:hAnsi="仿宋" w:eastAsia="仿宋" w:cs="仿宋"/>
                <w:color w:val="auto"/>
                <w:highlight w:val="none"/>
              </w:rPr>
              <w:t>名称：</w:t>
            </w:r>
            <w:r>
              <w:rPr>
                <w:rFonts w:hint="eastAsia" w:ascii="仿宋" w:hAnsi="仿宋" w:eastAsia="仿宋" w:cs="仿宋"/>
                <w:color w:val="auto"/>
                <w:highlight w:val="none"/>
                <w:u w:val="single"/>
                <w:lang w:eastAsia="zh-CN"/>
              </w:rPr>
              <w:t>中国人民财产保险股份有限公司东莞市分公司</w:t>
            </w:r>
          </w:p>
          <w:p>
            <w:pPr>
              <w:shd w:val="clear"/>
              <w:spacing w:line="400" w:lineRule="exact"/>
              <w:jc w:val="lef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联系人：</w:t>
            </w:r>
            <w:r>
              <w:rPr>
                <w:rFonts w:hint="eastAsia" w:ascii="仿宋" w:hAnsi="仿宋" w:eastAsia="仿宋" w:cs="仿宋"/>
                <w:color w:val="auto"/>
                <w:highlight w:val="none"/>
                <w:u w:val="single"/>
                <w:lang w:val="en-US" w:eastAsia="zh-CN"/>
              </w:rPr>
              <w:t xml:space="preserve"> 黄先生 </w:t>
            </w:r>
            <w:r>
              <w:rPr>
                <w:rFonts w:hint="eastAsia" w:ascii="仿宋" w:hAnsi="仿宋" w:eastAsia="仿宋" w:cs="仿宋"/>
                <w:color w:val="auto"/>
                <w:highlight w:val="none"/>
              </w:rPr>
              <w:t xml:space="preserve">   电话：</w:t>
            </w:r>
            <w:r>
              <w:rPr>
                <w:rFonts w:hint="eastAsia" w:ascii="仿宋" w:hAnsi="仿宋" w:eastAsia="仿宋" w:cs="仿宋"/>
                <w:color w:val="auto"/>
                <w:highlight w:val="none"/>
                <w:u w:val="single"/>
                <w:lang w:val="en-US" w:eastAsia="zh-CN"/>
              </w:rPr>
              <w:t xml:space="preserve"> 13650165012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1.1.3</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highlight w:val="none"/>
              </w:rPr>
              <w:t>招标代理机构</w:t>
            </w:r>
          </w:p>
        </w:tc>
        <w:tc>
          <w:tcPr>
            <w:tcW w:w="6365" w:type="dxa"/>
            <w:vAlign w:val="center"/>
          </w:tcPr>
          <w:p>
            <w:pPr>
              <w:shd w:val="clear"/>
              <w:spacing w:line="400" w:lineRule="exact"/>
              <w:jc w:val="left"/>
              <w:rPr>
                <w:rFonts w:ascii="仿宋" w:hAnsi="仿宋" w:eastAsia="仿宋" w:cs="仿宋"/>
                <w:color w:val="auto"/>
                <w:highlight w:val="none"/>
                <w:u w:val="single"/>
              </w:rPr>
            </w:pPr>
            <w:r>
              <w:rPr>
                <w:rFonts w:hint="eastAsia" w:ascii="仿宋" w:hAnsi="仿宋" w:eastAsia="仿宋" w:cs="仿宋"/>
                <w:color w:val="auto"/>
                <w:highlight w:val="none"/>
              </w:rPr>
              <w:t>名称：</w:t>
            </w:r>
            <w:r>
              <w:rPr>
                <w:rFonts w:hint="eastAsia" w:ascii="仿宋" w:hAnsi="仿宋" w:eastAsia="仿宋" w:cs="仿宋"/>
                <w:color w:val="auto"/>
                <w:highlight w:val="none"/>
                <w:u w:val="single"/>
              </w:rPr>
              <w:t>广东省机电设备招标有限公司</w:t>
            </w:r>
          </w:p>
          <w:p>
            <w:pPr>
              <w:shd w:val="clear"/>
              <w:spacing w:line="400" w:lineRule="exact"/>
              <w:jc w:val="left"/>
              <w:rPr>
                <w:rFonts w:ascii="仿宋" w:hAnsi="仿宋" w:eastAsia="仿宋" w:cs="仿宋"/>
                <w:color w:val="auto"/>
                <w:highlight w:val="none"/>
                <w:u w:val="single"/>
              </w:rPr>
            </w:pPr>
            <w:r>
              <w:rPr>
                <w:rFonts w:hint="eastAsia" w:ascii="仿宋" w:hAnsi="仿宋" w:eastAsia="仿宋" w:cs="仿宋"/>
                <w:color w:val="auto"/>
                <w:highlight w:val="none"/>
              </w:rPr>
              <w:t>地址：</w:t>
            </w:r>
            <w:r>
              <w:rPr>
                <w:rFonts w:hint="eastAsia" w:ascii="仿宋" w:hAnsi="仿宋" w:eastAsia="仿宋" w:cs="仿宋"/>
                <w:color w:val="auto"/>
                <w:highlight w:val="none"/>
                <w:u w:val="single"/>
              </w:rPr>
              <w:t>广州市越秀区环市中路316号金鹰大厦10楼</w:t>
            </w:r>
          </w:p>
          <w:p>
            <w:pPr>
              <w:shd w:val="clear"/>
              <w:spacing w:line="400" w:lineRule="exact"/>
              <w:jc w:val="left"/>
              <w:rPr>
                <w:rFonts w:hint="default" w:ascii="仿宋" w:hAnsi="仿宋" w:eastAsia="仿宋" w:cs="仿宋"/>
                <w:color w:val="auto"/>
                <w:szCs w:val="21"/>
                <w:highlight w:val="none"/>
                <w:lang w:val="en-US" w:eastAsia="zh-CN"/>
              </w:rPr>
            </w:pPr>
            <w:r>
              <w:rPr>
                <w:rFonts w:hint="eastAsia" w:ascii="仿宋" w:hAnsi="仿宋" w:eastAsia="仿宋" w:cs="仿宋"/>
                <w:color w:val="auto"/>
                <w:highlight w:val="none"/>
              </w:rPr>
              <w:t>联系人：</w:t>
            </w:r>
            <w:r>
              <w:rPr>
                <w:rFonts w:hint="eastAsia" w:ascii="仿宋" w:hAnsi="仿宋" w:eastAsia="仿宋" w:cs="仿宋"/>
                <w:color w:val="auto"/>
                <w:highlight w:val="none"/>
                <w:u w:val="single"/>
                <w:lang w:val="en-US" w:eastAsia="zh-CN"/>
              </w:rPr>
              <w:t>罗</w:t>
            </w:r>
            <w:r>
              <w:rPr>
                <w:rFonts w:hint="eastAsia" w:ascii="仿宋" w:hAnsi="仿宋" w:eastAsia="仿宋" w:cs="仿宋"/>
                <w:color w:val="auto"/>
                <w:highlight w:val="none"/>
                <w:u w:val="single"/>
              </w:rPr>
              <w:t>工</w:t>
            </w:r>
            <w:r>
              <w:rPr>
                <w:rFonts w:hint="eastAsia" w:ascii="仿宋" w:hAnsi="仿宋" w:eastAsia="仿宋" w:cs="仿宋"/>
                <w:color w:val="auto"/>
                <w:highlight w:val="none"/>
                <w:u w:val="single"/>
                <w:lang w:eastAsia="zh-CN"/>
              </w:rPr>
              <w:t>、</w:t>
            </w:r>
            <w:r>
              <w:rPr>
                <w:rFonts w:hint="eastAsia" w:ascii="仿宋" w:hAnsi="仿宋" w:eastAsia="仿宋" w:cs="仿宋"/>
                <w:color w:val="auto"/>
                <w:highlight w:val="none"/>
                <w:u w:val="single"/>
                <w:lang w:val="en-US" w:eastAsia="zh-CN"/>
              </w:rPr>
              <w:t>欧工、李工</w:t>
            </w:r>
            <w:r>
              <w:rPr>
                <w:rFonts w:hint="eastAsia" w:ascii="仿宋" w:hAnsi="仿宋" w:eastAsia="仿宋" w:cs="仿宋"/>
                <w:color w:val="auto"/>
                <w:highlight w:val="none"/>
              </w:rPr>
              <w:t xml:space="preserve">   电话：</w:t>
            </w:r>
            <w:r>
              <w:rPr>
                <w:rFonts w:hint="eastAsia" w:ascii="仿宋" w:hAnsi="仿宋" w:eastAsia="仿宋" w:cs="仿宋"/>
                <w:color w:val="auto"/>
                <w:highlight w:val="none"/>
                <w:u w:val="single"/>
              </w:rPr>
              <w:t>020-8354</w:t>
            </w:r>
            <w:r>
              <w:rPr>
                <w:rFonts w:hint="eastAsia" w:ascii="仿宋" w:hAnsi="仿宋" w:eastAsia="仿宋" w:cs="仿宋"/>
                <w:color w:val="auto"/>
                <w:highlight w:val="none"/>
                <w:u w:val="single"/>
                <w:lang w:val="en-US" w:eastAsia="zh-CN"/>
              </w:rPr>
              <w:t>1707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1.1.4</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招标项目名称</w:t>
            </w:r>
          </w:p>
        </w:tc>
        <w:tc>
          <w:tcPr>
            <w:tcW w:w="6365" w:type="dxa"/>
            <w:vAlign w:val="center"/>
          </w:tcPr>
          <w:p>
            <w:pPr>
              <w:shd w:val="clear"/>
              <w:spacing w:line="400" w:lineRule="exact"/>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2025-2027年车险物损修复第三方服务资格入库项目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1.2.1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资金来源</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企业资金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1.2.2</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资金落实情况</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1.3.1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招标范围</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1.3.2</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服务期限</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highlight w:val="none"/>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1.3.3</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服务地点</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highlight w:val="none"/>
              </w:rPr>
              <w:t>招标人指定的地点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1.3.4</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质量标准</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满足发包人要求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1.4.1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投标人资格要求</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highlight w:val="none"/>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1.4.2</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是否接受联合体投标</w:t>
            </w:r>
          </w:p>
        </w:tc>
        <w:tc>
          <w:tcPr>
            <w:tcW w:w="6365" w:type="dxa"/>
            <w:vAlign w:val="center"/>
          </w:tcPr>
          <w:p>
            <w:pPr>
              <w:shd w:val="clear"/>
              <w:topLinePunct/>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■不接受</w:t>
            </w:r>
          </w:p>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rPr>
              <w:t>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1.4.3</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投标人不得存在的其他情形</w:t>
            </w:r>
          </w:p>
        </w:tc>
        <w:tc>
          <w:tcPr>
            <w:tcW w:w="6365" w:type="dxa"/>
            <w:vAlign w:val="center"/>
          </w:tcPr>
          <w:p>
            <w:pPr>
              <w:shd w:val="clear"/>
              <w:topLinePunct/>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1.9.1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踏勘现场</w:t>
            </w:r>
          </w:p>
        </w:tc>
        <w:tc>
          <w:tcPr>
            <w:tcW w:w="6365" w:type="dxa"/>
            <w:vAlign w:val="center"/>
          </w:tcPr>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■不组织，投标人可按发包人要求约定，自行前往现场踏勘。</w:t>
            </w:r>
          </w:p>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w:t>
            </w:r>
            <w:r>
              <w:rPr>
                <w:rFonts w:hint="eastAsia" w:ascii="仿宋" w:hAnsi="仿宋" w:eastAsia="仿宋" w:cs="仿宋"/>
                <w:color w:val="auto"/>
                <w:sz w:val="21"/>
                <w:szCs w:val="21"/>
                <w:highlight w:val="none"/>
              </w:rPr>
              <w:t>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1.10.1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投标预备会</w:t>
            </w:r>
          </w:p>
        </w:tc>
        <w:tc>
          <w:tcPr>
            <w:tcW w:w="6365" w:type="dxa"/>
            <w:vAlign w:val="center"/>
          </w:tcPr>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■不召开</w:t>
            </w:r>
          </w:p>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w:t>
            </w:r>
            <w:r>
              <w:rPr>
                <w:rFonts w:hint="eastAsia" w:ascii="仿宋" w:hAnsi="仿宋" w:eastAsia="仿宋" w:cs="仿宋"/>
                <w:color w:val="auto"/>
                <w:sz w:val="21"/>
                <w:szCs w:val="21"/>
                <w:highlight w:val="none"/>
              </w:rPr>
              <w:t>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1.10.2</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投标人在投标预备会前提出问题</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1.10.3</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招标文件澄清发出的形式</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1.11.1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分包</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■不允许</w:t>
            </w:r>
          </w:p>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1.12.3</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偏差</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■不允许</w:t>
            </w:r>
          </w:p>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2.2.1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投标人要求澄清招标文件的截止时间和要求</w:t>
            </w:r>
          </w:p>
        </w:tc>
        <w:tc>
          <w:tcPr>
            <w:tcW w:w="6365" w:type="dxa"/>
            <w:vAlign w:val="center"/>
          </w:tcPr>
          <w:p>
            <w:pPr>
              <w:shd w:val="clear"/>
              <w:adjustRightInd w:val="0"/>
              <w:snapToGrid w:val="0"/>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1、疑问提交截止时间：在投标截止时间十五日以前，投标人将需要解答和澄清的问题以书面形式（加盖投标人公章）提交给招标代理机构，同时把相应的可编辑版电子文件发送给招标代理机构。</w:t>
            </w:r>
          </w:p>
          <w:p>
            <w:pPr>
              <w:shd w:val="clear"/>
              <w:adjustRightInd w:val="0"/>
              <w:snapToGrid w:val="0"/>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2、提交疑问方式：发送电子邮件</w:t>
            </w:r>
          </w:p>
          <w:p>
            <w:pPr>
              <w:shd w:val="clear"/>
              <w:adjustRightInd w:val="0"/>
              <w:snapToGrid w:val="0"/>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3、文件格式要求：提交疑问的文件需加盖企业公章，以PDF格式以及内容完全一致的可编辑的word格式文件发送至邮箱：</w:t>
            </w:r>
            <w:r>
              <w:rPr>
                <w:rFonts w:hint="eastAsia" w:ascii="仿宋" w:hAnsi="仿宋" w:eastAsia="仿宋" w:cs="仿宋"/>
                <w:color w:val="auto"/>
                <w:szCs w:val="21"/>
                <w:highlight w:val="none"/>
                <w:u w:val="single"/>
              </w:rPr>
              <w:t>zbgs6b@126.com</w:t>
            </w:r>
          </w:p>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4、除非招标人认为确有必要答复，否则晚于此时间提交的澄清问题将不予答复。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2.2.2</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招标文件澄清发出的形式</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kern w:val="0"/>
                <w:szCs w:val="21"/>
                <w:highlight w:val="none"/>
              </w:rPr>
              <w:t>答疑纪要或澄清通过</w:t>
            </w:r>
            <w:r>
              <w:rPr>
                <w:rFonts w:hint="eastAsia" w:ascii="仿宋" w:hAnsi="仿宋" w:eastAsia="仿宋" w:cs="仿宋"/>
                <w:color w:val="auto"/>
                <w:kern w:val="0"/>
                <w:szCs w:val="21"/>
                <w:highlight w:val="none"/>
                <w:u w:val="single"/>
              </w:rPr>
              <w:t>广咨电子招投标交易平台网站（http://www.gzebid.cn）</w:t>
            </w:r>
            <w:r>
              <w:rPr>
                <w:rFonts w:hint="eastAsia" w:ascii="仿宋" w:hAnsi="仿宋" w:eastAsia="仿宋" w:cs="仿宋"/>
                <w:color w:val="auto"/>
                <w:kern w:val="0"/>
                <w:szCs w:val="21"/>
                <w:highlight w:val="none"/>
              </w:rPr>
              <w:t>发布，一经发布，即视为已送达所有潜在投标人。招标文件的答疑纪要或澄清作为招标文件的组成部分，具有约束作用。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3.2.3</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报价方式</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投标人根据第六章投标文件格式《投标报价表》的要求进行报价，所报价格不能超过最高投标限价。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3.2.4</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最高投标限价</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宋体" w:hAnsi="宋体"/>
                <w:color w:val="auto"/>
                <w:kern w:val="0"/>
                <w:szCs w:val="21"/>
                <w:highlight w:val="none"/>
                <w:lang w:val="zh-CN"/>
              </w:rPr>
              <w:t>□</w:t>
            </w:r>
            <w:r>
              <w:rPr>
                <w:rFonts w:hint="eastAsia" w:ascii="仿宋" w:hAnsi="仿宋" w:eastAsia="仿宋" w:cs="仿宋"/>
                <w:color w:val="auto"/>
                <w:szCs w:val="21"/>
                <w:highlight w:val="none"/>
              </w:rPr>
              <w:t>无</w:t>
            </w:r>
          </w:p>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■有，详见招标公告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3.2.5</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投标报价的其他要求</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highlight w:val="none"/>
              </w:rPr>
              <w:t>对同一招标项目未出现两个或以上投标报价。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3.3.1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投标有效期</w:t>
            </w:r>
          </w:p>
        </w:tc>
        <w:tc>
          <w:tcPr>
            <w:tcW w:w="6365" w:type="dxa"/>
            <w:vAlign w:val="center"/>
          </w:tcPr>
          <w:p>
            <w:pPr>
              <w:shd w:val="clear"/>
              <w:spacing w:line="400" w:lineRule="exact"/>
              <w:jc w:val="left"/>
              <w:rPr>
                <w:rFonts w:ascii="仿宋" w:hAnsi="仿宋" w:eastAsia="仿宋" w:cs="仿宋"/>
                <w:color w:val="auto"/>
                <w:szCs w:val="21"/>
                <w:highlight w:val="none"/>
              </w:rPr>
            </w:pPr>
            <w:bookmarkStart w:id="62" w:name="_Toc300834946"/>
            <w:bookmarkStart w:id="63" w:name="_Toc384308207"/>
            <w:bookmarkStart w:id="64" w:name="_Toc352691470"/>
            <w:bookmarkStart w:id="65" w:name="_Toc1789"/>
            <w:bookmarkStart w:id="66" w:name="_Toc361508582"/>
            <w:bookmarkStart w:id="67" w:name="_Toc369531512"/>
            <w:r>
              <w:rPr>
                <w:rFonts w:hint="eastAsia" w:ascii="仿宋" w:hAnsi="仿宋" w:eastAsia="仿宋" w:cs="仿宋"/>
                <w:color w:val="auto"/>
                <w:kern w:val="0"/>
                <w:szCs w:val="21"/>
                <w:highlight w:val="none"/>
                <w:u w:val="single"/>
              </w:rPr>
              <w:t>90</w:t>
            </w:r>
            <w:r>
              <w:rPr>
                <w:rFonts w:hint="eastAsia" w:ascii="仿宋" w:hAnsi="仿宋" w:eastAsia="仿宋" w:cs="仿宋"/>
                <w:color w:val="auto"/>
                <w:kern w:val="0"/>
                <w:szCs w:val="21"/>
                <w:highlight w:val="none"/>
              </w:rPr>
              <w:t>日历天，</w:t>
            </w:r>
            <w:r>
              <w:rPr>
                <w:rFonts w:hint="eastAsia" w:ascii="仿宋" w:hAnsi="仿宋" w:eastAsia="仿宋" w:cs="仿宋"/>
                <w:color w:val="auto"/>
                <w:szCs w:val="21"/>
                <w:highlight w:val="none"/>
                <w:u w:val="single"/>
              </w:rPr>
              <w:t>（从递交投标文件截止之日计起），如出现异议或投诉，则投标有效期自动延长至异议或投诉处理结束，确定中标人并发放中标通知书为止。</w:t>
            </w:r>
          </w:p>
        </w:tc>
      </w:tr>
      <w:bookmarkEnd w:id="62"/>
      <w:bookmarkEnd w:id="63"/>
      <w:bookmarkEnd w:id="64"/>
      <w:bookmarkEnd w:id="65"/>
      <w:bookmarkEnd w:id="66"/>
      <w:bookmarkEnd w:id="6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3.4.1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投标保证金</w:t>
            </w:r>
          </w:p>
        </w:tc>
        <w:tc>
          <w:tcPr>
            <w:tcW w:w="6365" w:type="dxa"/>
            <w:vAlign w:val="center"/>
          </w:tcPr>
          <w:p>
            <w:pPr>
              <w:pStyle w:val="18"/>
              <w:widowControl/>
              <w:shd w:val="clear"/>
              <w:topLinePunct/>
              <w:spacing w:line="400" w:lineRule="exact"/>
              <w:jc w:val="left"/>
              <w:rPr>
                <w:rFonts w:ascii="仿宋" w:hAnsi="仿宋" w:eastAsia="仿宋" w:cs="仿宋"/>
                <w:color w:val="auto"/>
                <w:sz w:val="21"/>
                <w:szCs w:val="21"/>
                <w:highlight w:val="none"/>
              </w:rPr>
            </w:pPr>
            <w:r>
              <w:rPr>
                <w:rFonts w:hint="eastAsia" w:ascii="宋体" w:hAnsi="宋体"/>
                <w:color w:val="auto"/>
                <w:kern w:val="0"/>
                <w:szCs w:val="21"/>
                <w:highlight w:val="none"/>
                <w:lang w:val="zh-CN"/>
              </w:rPr>
              <w:t>□</w:t>
            </w:r>
            <w:r>
              <w:rPr>
                <w:rFonts w:hint="eastAsia" w:ascii="仿宋" w:hAnsi="仿宋" w:eastAsia="仿宋" w:cs="仿宋"/>
                <w:color w:val="auto"/>
                <w:sz w:val="21"/>
                <w:szCs w:val="21"/>
                <w:highlight w:val="none"/>
              </w:rPr>
              <w:t>不要求递交投标保证金</w:t>
            </w:r>
          </w:p>
          <w:p>
            <w:pPr>
              <w:widowControl/>
              <w:shd w:val="clear"/>
              <w:spacing w:line="400" w:lineRule="exact"/>
              <w:jc w:val="left"/>
              <w:rPr>
                <w:rFonts w:hint="eastAsia" w:ascii="仿宋" w:hAnsi="仿宋" w:eastAsia="仿宋" w:cs="仿宋"/>
                <w:color w:val="auto"/>
                <w:szCs w:val="21"/>
                <w:highlight w:val="none"/>
              </w:rPr>
            </w:pPr>
            <w:r>
              <w:rPr>
                <w:rFonts w:hint="eastAsia" w:ascii="宋体" w:hAnsi="宋体"/>
                <w:color w:val="auto"/>
                <w:kern w:val="0"/>
                <w:szCs w:val="21"/>
                <w:highlight w:val="none"/>
                <w:lang w:val="zh-CN"/>
              </w:rPr>
              <w:t>■</w:t>
            </w:r>
            <w:r>
              <w:rPr>
                <w:rFonts w:hint="eastAsia" w:ascii="仿宋" w:hAnsi="仿宋" w:eastAsia="仿宋" w:cs="仿宋"/>
                <w:color w:val="auto"/>
                <w:szCs w:val="21"/>
                <w:highlight w:val="none"/>
              </w:rPr>
              <w:t>要求递交投标保证金</w:t>
            </w:r>
          </w:p>
          <w:p>
            <w:pPr>
              <w:widowControl/>
              <w:shd w:val="clear"/>
              <w:spacing w:line="400" w:lineRule="exact"/>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1、投标保证金：</w:t>
            </w:r>
            <w:r>
              <w:rPr>
                <w:rFonts w:hint="eastAsia" w:ascii="仿宋" w:hAnsi="仿宋" w:eastAsia="仿宋" w:cs="仿宋"/>
                <w:color w:val="auto"/>
                <w:szCs w:val="21"/>
                <w:highlight w:val="none"/>
                <w:lang w:val="en-US" w:eastAsia="zh-CN"/>
              </w:rPr>
              <w:t xml:space="preserve"> 2 </w:t>
            </w:r>
            <w:r>
              <w:rPr>
                <w:rFonts w:hint="eastAsia" w:ascii="仿宋" w:hAnsi="仿宋" w:eastAsia="仿宋" w:cs="仿宋"/>
                <w:color w:val="auto"/>
                <w:szCs w:val="21"/>
                <w:highlight w:val="none"/>
              </w:rPr>
              <w:t>万元；</w:t>
            </w:r>
          </w:p>
          <w:p>
            <w:pPr>
              <w:widowControl/>
              <w:shd w:val="clear"/>
              <w:spacing w:line="400" w:lineRule="exact"/>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2、投标保证金缴纳方式： 转账/投标保函/投标保险；</w:t>
            </w:r>
          </w:p>
          <w:p>
            <w:pPr>
              <w:widowControl/>
              <w:shd w:val="clear"/>
              <w:spacing w:line="400" w:lineRule="exact"/>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3、投标保证金递交注意事项： 本项目采用线上方式缴纳保证金，投标人可通过</w:t>
            </w:r>
            <w:r>
              <w:rPr>
                <w:rFonts w:hint="eastAsia" w:ascii="仿宋" w:hAnsi="仿宋" w:eastAsia="仿宋" w:cs="仿宋"/>
                <w:color w:val="auto"/>
                <w:szCs w:val="21"/>
                <w:highlight w:val="none"/>
                <w:lang w:eastAsia="zh-CN"/>
              </w:rPr>
              <w:t>广咨电子招投标交易平台</w:t>
            </w:r>
            <w:r>
              <w:rPr>
                <w:rFonts w:hint="eastAsia" w:ascii="仿宋" w:hAnsi="仿宋" w:eastAsia="仿宋" w:cs="仿宋"/>
                <w:color w:val="auto"/>
                <w:szCs w:val="21"/>
                <w:highlight w:val="none"/>
                <w:lang w:val="en-US" w:eastAsia="zh-CN"/>
              </w:rPr>
              <w:t>（www.gzebid.cn）</w:t>
            </w:r>
            <w:r>
              <w:rPr>
                <w:rFonts w:hint="eastAsia" w:ascii="仿宋" w:hAnsi="仿宋" w:eastAsia="仿宋" w:cs="仿宋"/>
                <w:color w:val="auto"/>
                <w:szCs w:val="21"/>
                <w:highlight w:val="none"/>
              </w:rPr>
              <w:t>网站直接购买电子保函方式（含保函、担保或保证保险）或通过获取子账号的方式缴纳投标保证金。</w:t>
            </w:r>
          </w:p>
          <w:p>
            <w:pPr>
              <w:widowControl/>
              <w:shd w:val="clear"/>
              <w:spacing w:line="400" w:lineRule="exact"/>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3、投标保证金缴纳注意事项：</w:t>
            </w:r>
          </w:p>
          <w:p>
            <w:pPr>
              <w:widowControl/>
              <w:shd w:val="clear"/>
              <w:spacing w:line="400" w:lineRule="exact"/>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）用电子保函方式缴纳投标保证金，可以在网站或标信通APP购买</w:t>
            </w:r>
            <w:r>
              <w:rPr>
                <w:rFonts w:hint="eastAsia" w:ascii="仿宋" w:hAnsi="仿宋" w:eastAsia="仿宋" w:cs="仿宋"/>
                <w:color w:val="auto"/>
                <w:szCs w:val="21"/>
                <w:highlight w:val="none"/>
                <w:lang w:eastAsia="zh-CN"/>
              </w:rPr>
              <w:t>；</w:t>
            </w:r>
          </w:p>
          <w:p>
            <w:pPr>
              <w:widowControl/>
              <w:shd w:val="clear"/>
              <w:spacing w:line="400" w:lineRule="exact"/>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用子账号方式缴纳投标保证金：投标人网上获取招标文件成功后，应登录广咨电子招投标交易平台（www.gzebid.cn）并选择对应项目，点击申请子账号，按保证金回执单的信息进行转账。注意：每个标段都有唯一的子账号；保证金交到其他标段、其他项目的子账号视为无效投标，并以资金到达该子账号的时间为准，如未按时缴纳到指定的子账号，视为无效投标保证金。</w:t>
            </w:r>
          </w:p>
          <w:p>
            <w:pPr>
              <w:widowControl/>
              <w:shd w:val="clear"/>
              <w:spacing w:line="400" w:lineRule="exact"/>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2.2相关</w:t>
            </w:r>
            <w:r>
              <w:rPr>
                <w:rFonts w:hint="eastAsia" w:ascii="仿宋" w:hAnsi="仿宋" w:eastAsia="仿宋" w:cs="仿宋"/>
                <w:color w:val="auto"/>
                <w:szCs w:val="21"/>
                <w:highlight w:val="none"/>
                <w:lang w:val="en-US" w:eastAsia="zh-CN"/>
              </w:rPr>
              <w:t>操作</w:t>
            </w:r>
            <w:r>
              <w:rPr>
                <w:rFonts w:hint="eastAsia" w:ascii="仿宋" w:hAnsi="仿宋" w:eastAsia="仿宋" w:cs="仿宋"/>
                <w:color w:val="auto"/>
                <w:szCs w:val="21"/>
                <w:highlight w:val="none"/>
              </w:rPr>
              <w:t>见网站“平台服务&gt;&gt;</w:t>
            </w:r>
            <w:r>
              <w:rPr>
                <w:rFonts w:hint="eastAsia" w:ascii="仿宋" w:hAnsi="仿宋" w:eastAsia="仿宋" w:cs="仿宋"/>
                <w:color w:val="auto"/>
                <w:szCs w:val="21"/>
                <w:highlight w:val="none"/>
                <w:lang w:val="en-US" w:eastAsia="zh-CN"/>
              </w:rPr>
              <w:t>操作手册</w:t>
            </w:r>
            <w:r>
              <w:rPr>
                <w:rFonts w:hint="eastAsia" w:ascii="仿宋" w:hAnsi="仿宋" w:eastAsia="仿宋" w:cs="仿宋"/>
                <w:color w:val="auto"/>
                <w:szCs w:val="21"/>
                <w:highlight w:val="none"/>
              </w:rPr>
              <w:t>》广咨国际数字化采购咨询平台供应商操作手册”</w:t>
            </w:r>
          </w:p>
          <w:p>
            <w:pPr>
              <w:widowControl/>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注意：如采用子账号方式缴纳投标保证金，严禁采用EFT系统(广东金融结算系统)方式缴纳，如采用此方式导致招投标系统无法识别缴纳账号信息的，视为未按要求缴纳保证金，由此造成后果由投标人自行承担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3.6.1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是否允许递交备选投标方案</w:t>
            </w:r>
          </w:p>
        </w:tc>
        <w:tc>
          <w:tcPr>
            <w:tcW w:w="6365" w:type="dxa"/>
            <w:vAlign w:val="center"/>
          </w:tcPr>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■不允许</w:t>
            </w:r>
          </w:p>
          <w:p>
            <w:pPr>
              <w:shd w:val="clear"/>
              <w:spacing w:line="400" w:lineRule="exact"/>
              <w:jc w:val="left"/>
              <w:rPr>
                <w:rFonts w:ascii="仿宋" w:hAnsi="仿宋" w:eastAsia="仿宋" w:cs="仿宋"/>
                <w:color w:val="auto"/>
                <w:szCs w:val="21"/>
                <w:highlight w:val="none"/>
              </w:rPr>
            </w:pPr>
            <w:r>
              <w:rPr>
                <w:rFonts w:hint="eastAsia" w:ascii="宋体" w:hAnsi="宋体"/>
                <w:color w:val="auto"/>
                <w:kern w:val="0"/>
                <w:szCs w:val="21"/>
                <w:highlight w:val="none"/>
                <w:lang w:val="zh-CN"/>
              </w:rPr>
              <w:t>□</w:t>
            </w:r>
            <w:r>
              <w:rPr>
                <w:rFonts w:hint="eastAsia" w:ascii="仿宋" w:hAnsi="仿宋" w:eastAsia="仿宋" w:cs="仿宋"/>
                <w:color w:val="auto"/>
                <w:szCs w:val="21"/>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highlight w:val="none"/>
              </w:rPr>
              <w:t>3.7.3（1）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highlight w:val="none"/>
              </w:rPr>
              <w:t>投标文件份数及其他要求</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单位须在投标截止时间前，递交一套与电子投标文件一致的密封纸质投标文件，并加盖公章。以上纸质投标文件，仅用于招标人存档使用，不作为评审依据。（纸质投标文件如采用邮递方式送达的，请务必提前寄出并通知招标代理项目联系人，保证投标文件在提交截止时间前送达指定地点并密封完好）。联系人：</w:t>
            </w:r>
            <w:r>
              <w:rPr>
                <w:rFonts w:hint="eastAsia" w:ascii="仿宋" w:hAnsi="仿宋" w:eastAsia="仿宋" w:cs="仿宋"/>
                <w:color w:val="auto"/>
                <w:szCs w:val="21"/>
                <w:highlight w:val="none"/>
                <w:lang w:val="en-US" w:eastAsia="zh-CN"/>
              </w:rPr>
              <w:t>罗</w:t>
            </w:r>
            <w:r>
              <w:rPr>
                <w:rFonts w:hint="eastAsia" w:ascii="仿宋" w:hAnsi="仿宋" w:eastAsia="仿宋" w:cs="仿宋"/>
                <w:color w:val="auto"/>
                <w:szCs w:val="21"/>
                <w:highlight w:val="none"/>
              </w:rPr>
              <w:t>工，联系电话：020-8354</w:t>
            </w:r>
            <w:r>
              <w:rPr>
                <w:rFonts w:hint="eastAsia" w:ascii="仿宋" w:hAnsi="仿宋" w:eastAsia="仿宋" w:cs="仿宋"/>
                <w:color w:val="auto"/>
                <w:szCs w:val="21"/>
                <w:highlight w:val="none"/>
                <w:lang w:val="en-US" w:eastAsia="zh-CN"/>
              </w:rPr>
              <w:t>1707</w:t>
            </w:r>
            <w:r>
              <w:rPr>
                <w:rFonts w:hint="eastAsia" w:ascii="仿宋" w:hAnsi="仿宋" w:eastAsia="仿宋" w:cs="仿宋"/>
                <w:color w:val="auto"/>
                <w:szCs w:val="21"/>
                <w:highlight w:val="none"/>
              </w:rPr>
              <w:t>，寄送地址：广州市环市中路316号金鹰大厦9楼927室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highlight w:val="none"/>
              </w:rPr>
              <w:t>3.7.3（2）</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highlight w:val="none"/>
              </w:rPr>
              <w:t>投标文件所附证书证件要求</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（适用于电子招投标项目）证书证件需为原件清晰扫描件，并采用单位数字证书，按照招标文件要求在相应位置加盖印章。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highlight w:val="none"/>
              </w:rPr>
              <w:t>3.7.3（3）</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highlight w:val="none"/>
              </w:rPr>
              <w:t>投标文件签字或盖章要求</w:t>
            </w:r>
          </w:p>
        </w:tc>
        <w:tc>
          <w:tcPr>
            <w:tcW w:w="6365" w:type="dxa"/>
            <w:vAlign w:val="center"/>
          </w:tcPr>
          <w:p>
            <w:pPr>
              <w:shd w:val="clear"/>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本项目为全流程电子招投标项目，投标人需于投标截止时间前在广咨电子招投标交易平台（https://</w:t>
            </w:r>
            <w:r>
              <w:rPr>
                <w:rFonts w:hint="eastAsia" w:ascii="仿宋" w:hAnsi="仿宋" w:eastAsia="仿宋" w:cs="仿宋"/>
                <w:color w:val="auto"/>
                <w:highlight w:val="none"/>
                <w:lang w:eastAsia="zh-CN"/>
              </w:rPr>
              <w:t>www</w:t>
            </w:r>
            <w:r>
              <w:rPr>
                <w:rFonts w:hint="eastAsia" w:ascii="仿宋" w:hAnsi="仿宋" w:eastAsia="仿宋" w:cs="仿宋"/>
                <w:color w:val="auto"/>
                <w:highlight w:val="none"/>
              </w:rPr>
              <w:t>.gzebid.cn）上传电子投标文件。</w:t>
            </w:r>
          </w:p>
          <w:p>
            <w:pPr>
              <w:shd w:val="clear"/>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电子投标文件上传流程：</w:t>
            </w:r>
          </w:p>
          <w:p>
            <w:pPr>
              <w:shd w:val="clear"/>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1、潜在投标人制作完成投标文件，导出为PDF格式。</w:t>
            </w:r>
          </w:p>
          <w:p>
            <w:pPr>
              <w:shd w:val="clear"/>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2、登录广咨电子招投标交易平台系统，进入项目在【在线报价】处上传PDF格式的投标文件。</w:t>
            </w:r>
          </w:p>
          <w:p>
            <w:pPr>
              <w:shd w:val="clear"/>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3、如PDF电子投标文件需使用电子章，可使用平台的在线签章功能。使用标信通APP移动CA对投标文件进行在线签章。</w:t>
            </w:r>
          </w:p>
          <w:p>
            <w:pPr>
              <w:shd w:val="clear"/>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4、在线填写报价明细与开标一览表。</w:t>
            </w:r>
          </w:p>
          <w:p>
            <w:pPr>
              <w:shd w:val="clear"/>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5、确认报价。</w:t>
            </w:r>
          </w:p>
          <w:p>
            <w:pPr>
              <w:shd w:val="clear"/>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本项目使用系统加密方式加密电子投标文件，供应商无需使用广咨国际数字化投标工具客户端。相关操作见网站“平台服务&gt;&gt;操作手册》广咨国际数字化采购咨询平台供应商操作手册”</w:t>
            </w:r>
          </w:p>
          <w:p>
            <w:pPr>
              <w:shd w:val="clear"/>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6.投标人完成电子投标文件上传后，递交时间以交易平台的传输完成时间为准。</w:t>
            </w:r>
          </w:p>
          <w:p>
            <w:pPr>
              <w:shd w:val="clear"/>
              <w:spacing w:line="400" w:lineRule="exact"/>
              <w:jc w:val="left"/>
              <w:rPr>
                <w:rFonts w:ascii="仿宋" w:hAnsi="仿宋" w:eastAsia="仿宋" w:cs="仿宋"/>
                <w:color w:val="auto"/>
                <w:highlight w:val="none"/>
              </w:rPr>
            </w:pPr>
            <w:r>
              <w:rPr>
                <w:rFonts w:hint="eastAsia" w:ascii="仿宋" w:hAnsi="仿宋" w:eastAsia="仿宋" w:cs="仿宋"/>
                <w:color w:val="auto"/>
                <w:highlight w:val="none"/>
              </w:rPr>
              <w:t>7.逾期送达的电子投标文件，广咨电子招投标交易平台将予以拒收。</w:t>
            </w:r>
          </w:p>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highlight w:val="none"/>
              </w:rPr>
              <w:t>8.电子投标文件应按照招标文件的投标文件格式的要求，其中凡要求录入投标人名称且注明“盖单位章”处盖单位法人公章或电子签章，凡注明“签字”处由要求的人员签字；凡注明“签字或盖章”处由要求的人员签字或盖其私章或电子签章，签字均为签字人本人亲笔署名，所盖印章均为鲜章或电子签章。授权代表应将以书面形式出具的“授权证书”附在投标文件中。任何行间插字、涂改和增删，必须由投标文件签字人用姓或首字母在旁边签字或加盖公章或电子签章才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highlight w:val="none"/>
              </w:rPr>
              <w:t>4.1.1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highlight w:val="none"/>
              </w:rPr>
              <w:t>投标文件加密要求</w:t>
            </w:r>
          </w:p>
        </w:tc>
        <w:tc>
          <w:tcPr>
            <w:tcW w:w="6365" w:type="dxa"/>
            <w:vAlign w:val="center"/>
          </w:tcPr>
          <w:p>
            <w:pPr>
              <w:shd w:val="clear"/>
              <w:spacing w:line="400" w:lineRule="exact"/>
              <w:jc w:val="left"/>
              <w:rPr>
                <w:rFonts w:ascii="仿宋" w:hAnsi="仿宋" w:eastAsia="仿宋" w:cs="仿宋"/>
                <w:color w:val="auto"/>
                <w:szCs w:val="21"/>
                <w:highlight w:val="none"/>
              </w:rPr>
            </w:pPr>
            <w:r>
              <w:rPr>
                <w:rStyle w:val="106"/>
                <w:rFonts w:hint="default" w:ascii="仿宋" w:hAnsi="仿宋" w:eastAsia="仿宋" w:cs="仿宋"/>
                <w:color w:val="auto"/>
                <w:sz w:val="21"/>
                <w:szCs w:val="21"/>
                <w:highlight w:val="none"/>
              </w:rPr>
              <w:t>系统自动加密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6"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4.1.2</w:t>
            </w:r>
          </w:p>
        </w:tc>
        <w:tc>
          <w:tcPr>
            <w:tcW w:w="1978" w:type="dxa"/>
            <w:vAlign w:val="center"/>
          </w:tcPr>
          <w:p>
            <w:pPr>
              <w:shd w:val="clear"/>
              <w:spacing w:line="400" w:lineRule="exact"/>
              <w:jc w:val="left"/>
              <w:rPr>
                <w:rFonts w:ascii="仿宋" w:hAnsi="仿宋" w:eastAsia="仿宋" w:cs="仿宋"/>
                <w:color w:val="auto"/>
                <w:szCs w:val="21"/>
                <w:highlight w:val="none"/>
                <w:shd w:val="clear" w:color="FFFFFF" w:fill="D9D9D9"/>
              </w:rPr>
            </w:pPr>
            <w:r>
              <w:rPr>
                <w:rFonts w:hint="eastAsia" w:ascii="仿宋" w:hAnsi="仿宋" w:eastAsia="仿宋" w:cs="仿宋"/>
                <w:color w:val="auto"/>
                <w:szCs w:val="21"/>
                <w:highlight w:val="none"/>
              </w:rPr>
              <w:t>封套上应载明的信息</w:t>
            </w:r>
          </w:p>
        </w:tc>
        <w:tc>
          <w:tcPr>
            <w:tcW w:w="6365" w:type="dxa"/>
            <w:vAlign w:val="center"/>
          </w:tcPr>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投标人名称：</w:t>
            </w:r>
          </w:p>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投标人地址：</w:t>
            </w:r>
          </w:p>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（项目名称）项目投标文件</w:t>
            </w:r>
          </w:p>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招标项目编号：</w:t>
            </w:r>
          </w:p>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在</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时前不得开启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4.2.1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投标截止时间</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4.2.2</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递交投标文件地点</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4.2.3</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投标文件是否退还</w:t>
            </w:r>
          </w:p>
        </w:tc>
        <w:tc>
          <w:tcPr>
            <w:tcW w:w="6365" w:type="dxa"/>
            <w:vAlign w:val="center"/>
          </w:tcPr>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■否</w:t>
            </w:r>
          </w:p>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w:t>
            </w:r>
            <w:r>
              <w:rPr>
                <w:rFonts w:hint="eastAsia" w:ascii="仿宋" w:hAnsi="仿宋" w:eastAsia="仿宋" w:cs="仿宋"/>
                <w:color w:val="auto"/>
                <w:sz w:val="21"/>
                <w:szCs w:val="21"/>
                <w:highlight w:val="none"/>
              </w:rPr>
              <w:t>是，退还时间：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5.1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开标时间和地点</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开标时间：同投标截止时间</w:t>
            </w:r>
          </w:p>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开标地点：同投标地点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5.2</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开标程序</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1.招标人或招标代理在指定地点和时间组织公开开标，如有改变，以招标代理机构的最新通知为准。届时投标人代表应现场或在线参与。现场出席开标仪式的代表应签名报到以证明其出席。投标人不参加开标会的，视其放弃见证、监督、申辩有关开标活动的权利。</w:t>
            </w:r>
          </w:p>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2.在投标截止时间后，招标代理通过广咨电子招投标交易平台对已递交的电子投标文件进行系统解密。系统解密完成后，招标代理机构工作人员公布招标项目名称、投标人名称、投标总报价等主要内容及开标记录表中的其他必要内容。投标总报价以数字和文字两种方式表述的，应公布文字表述的投标报价。</w:t>
            </w:r>
          </w:p>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3.若投标人代表对开标过程有异议的，参加现场开标的应当在开标现场提出，同时出示本人身份证原件，招标人应当当场作出答复，并制作记录；参加在线开标的，投标人应通过交易平台在线提出，招标人或招标代理机构当场或线上作出答复，并制作开标记录，各投标人需在开标确认截止时间前对开标一览表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6.3.2</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评标委员会推荐中标候选人的人数</w:t>
            </w:r>
          </w:p>
        </w:tc>
        <w:tc>
          <w:tcPr>
            <w:tcW w:w="6365" w:type="dxa"/>
            <w:vAlign w:val="center"/>
          </w:tcPr>
          <w:p>
            <w:pPr>
              <w:shd w:val="clear"/>
              <w:spacing w:line="400" w:lineRule="exact"/>
              <w:jc w:val="left"/>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名。</w:t>
            </w:r>
            <w:r>
              <w:rPr>
                <w:rFonts w:hint="eastAsia" w:ascii="仿宋" w:hAnsi="仿宋" w:eastAsia="仿宋" w:cs="仿宋"/>
                <w:color w:val="auto"/>
                <w:szCs w:val="21"/>
                <w:highlight w:val="none"/>
                <w:lang w:val="en-US" w:eastAsia="zh-CN"/>
              </w:rPr>
              <w:t>N=有效投标单位数量</w:t>
            </w:r>
          </w:p>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①N≥</w:t>
            </w:r>
            <w:r>
              <w:rPr>
                <w:rFonts w:hint="eastAsia" w:ascii="仿宋" w:hAnsi="仿宋" w:eastAsia="仿宋" w:cs="仿宋"/>
                <w:color w:val="auto"/>
                <w:szCs w:val="21"/>
                <w:highlight w:val="none"/>
                <w:lang w:val="en-US" w:eastAsia="zh-CN"/>
              </w:rPr>
              <w:t>9</w:t>
            </w:r>
            <w:r>
              <w:rPr>
                <w:rFonts w:hint="eastAsia" w:ascii="仿宋" w:hAnsi="仿宋" w:eastAsia="仿宋" w:cs="仿宋"/>
                <w:color w:val="auto"/>
                <w:szCs w:val="21"/>
                <w:highlight w:val="none"/>
              </w:rPr>
              <w:t>家时，推荐综合得分排名前</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名的投标人为第一中标候选人，推荐排名第</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名的投标人为第二中标候选人，推荐排名第</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名的投标人为第三中标候选人；②</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≤N＜9家时，推荐综合得分排名前2/3N（直接舍去小数取整）的投标人为第一中标候选人，推荐排名第2/3N（直接舍去小数取整）</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名的投标人为第二中标候选人，推荐排名第2/3N（直接舍去小数取整）</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名的投标人为第三中标候选人；例如，N=7时，排名前4的为第一中标候选人，第5</w:t>
            </w:r>
            <w:r>
              <w:rPr>
                <w:rFonts w:hint="eastAsia" w:ascii="仿宋" w:hAnsi="仿宋" w:eastAsia="仿宋" w:cs="仿宋"/>
                <w:color w:val="auto"/>
                <w:szCs w:val="21"/>
                <w:highlight w:val="none"/>
                <w:lang w:val="en-US" w:eastAsia="zh-CN"/>
              </w:rPr>
              <w:t>名</w:t>
            </w:r>
            <w:r>
              <w:rPr>
                <w:rFonts w:hint="eastAsia" w:ascii="仿宋" w:hAnsi="仿宋" w:eastAsia="仿宋" w:cs="仿宋"/>
                <w:color w:val="auto"/>
                <w:szCs w:val="21"/>
                <w:highlight w:val="none"/>
              </w:rPr>
              <w:t>为第二中标候选人，第6</w:t>
            </w:r>
            <w:r>
              <w:rPr>
                <w:rFonts w:hint="eastAsia" w:ascii="仿宋" w:hAnsi="仿宋" w:eastAsia="仿宋" w:cs="仿宋"/>
                <w:color w:val="auto"/>
                <w:szCs w:val="21"/>
                <w:highlight w:val="none"/>
                <w:lang w:val="en-US" w:eastAsia="zh-CN"/>
              </w:rPr>
              <w:t>名</w:t>
            </w:r>
            <w:r>
              <w:rPr>
                <w:rFonts w:hint="eastAsia" w:ascii="仿宋" w:hAnsi="仿宋" w:eastAsia="仿宋" w:cs="仿宋"/>
                <w:color w:val="auto"/>
                <w:szCs w:val="21"/>
                <w:highlight w:val="none"/>
              </w:rPr>
              <w:t>为第三中标候选人</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③</w:t>
            </w:r>
            <w:r>
              <w:rPr>
                <w:rFonts w:hint="eastAsia" w:ascii="仿宋" w:hAnsi="仿宋" w:eastAsia="仿宋" w:cs="仿宋"/>
                <w:color w:val="auto"/>
                <w:szCs w:val="21"/>
                <w:highlight w:val="none"/>
              </w:rPr>
              <w:t>N＜</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 xml:space="preserve"> 家时，本次招标失败。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7"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7.1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中标候选人公示媒介及期限</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公示媒介：中国招标投标公共服务平台（http://www.cebpubservice.com/）、广咨电子招投标交易平台(https://www.gzebid.cn/)</w:t>
            </w:r>
          </w:p>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公示期限：</w:t>
            </w:r>
            <w:r>
              <w:rPr>
                <w:rFonts w:hint="eastAsia" w:ascii="仿宋" w:hAnsi="仿宋" w:eastAsia="仿宋" w:cs="仿宋"/>
                <w:color w:val="auto"/>
                <w:szCs w:val="21"/>
                <w:highlight w:val="none"/>
                <w:u w:val="single"/>
              </w:rPr>
              <w:t xml:space="preserve"> 3 </w:t>
            </w:r>
            <w:r>
              <w:rPr>
                <w:rFonts w:hint="eastAsia" w:ascii="仿宋" w:hAnsi="仿宋" w:eastAsia="仿宋" w:cs="仿宋"/>
                <w:color w:val="auto"/>
                <w:szCs w:val="21"/>
                <w:highlight w:val="non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7.4</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是否授权评标委员会确定中标人</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rPr>
              <w:t>是</w:t>
            </w:r>
          </w:p>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7.6</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技术成果经济补偿</w:t>
            </w:r>
          </w:p>
        </w:tc>
        <w:tc>
          <w:tcPr>
            <w:tcW w:w="6365" w:type="dxa"/>
            <w:vAlign w:val="center"/>
          </w:tcPr>
          <w:p>
            <w:pPr>
              <w:shd w:val="clear"/>
              <w:tabs>
                <w:tab w:val="left" w:pos="360"/>
              </w:tabs>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■不补偿</w:t>
            </w:r>
          </w:p>
          <w:p>
            <w:pPr>
              <w:shd w:val="clear"/>
              <w:tabs>
                <w:tab w:val="left" w:pos="360"/>
              </w:tabs>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rPr>
              <w:t>补偿，补偿标准：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7.7.1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履约保证金</w:t>
            </w:r>
          </w:p>
        </w:tc>
        <w:tc>
          <w:tcPr>
            <w:tcW w:w="6365" w:type="dxa"/>
            <w:vAlign w:val="center"/>
          </w:tcPr>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是否要求中标人提交履约保证金（或履约保函）：</w:t>
            </w:r>
          </w:p>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w:t>
            </w:r>
            <w:r>
              <w:rPr>
                <w:rFonts w:hint="eastAsia" w:ascii="仿宋" w:hAnsi="仿宋" w:eastAsia="仿宋" w:cs="仿宋"/>
                <w:color w:val="auto"/>
                <w:sz w:val="21"/>
                <w:szCs w:val="21"/>
                <w:highlight w:val="none"/>
              </w:rPr>
              <w:t>要求</w:t>
            </w:r>
          </w:p>
          <w:p>
            <w:pPr>
              <w:pStyle w:val="18"/>
              <w:shd w:val="clear"/>
              <w:topLinePunct/>
              <w:spacing w:line="40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w:t>
            </w:r>
            <w:r>
              <w:rPr>
                <w:rFonts w:hint="eastAsia" w:ascii="仿宋" w:hAnsi="仿宋" w:eastAsia="仿宋" w:cs="仿宋"/>
                <w:color w:val="auto"/>
                <w:sz w:val="21"/>
                <w:szCs w:val="21"/>
                <w:highlight w:val="none"/>
              </w:rPr>
              <w:t>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9</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是否采用电子招标投标</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rPr>
              <w:t xml:space="preserve">否   </w:t>
            </w:r>
          </w:p>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10</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需要补充的其他内容</w:t>
            </w:r>
          </w:p>
        </w:tc>
        <w:tc>
          <w:tcPr>
            <w:tcW w:w="6365"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详见下列内容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10.1</w:t>
            </w:r>
          </w:p>
        </w:tc>
        <w:tc>
          <w:tcPr>
            <w:tcW w:w="1978" w:type="dxa"/>
            <w:vAlign w:val="center"/>
          </w:tcPr>
          <w:p>
            <w:pPr>
              <w:shd w:val="clear"/>
              <w:spacing w:line="400" w:lineRule="exact"/>
              <w:jc w:val="left"/>
              <w:rPr>
                <w:rFonts w:ascii="仿宋" w:hAnsi="仿宋" w:eastAsia="仿宋" w:cs="仿宋"/>
                <w:color w:val="auto"/>
                <w:szCs w:val="21"/>
                <w:highlight w:val="none"/>
              </w:rPr>
            </w:pPr>
            <w:r>
              <w:rPr>
                <w:rFonts w:hint="eastAsia" w:ascii="仿宋" w:hAnsi="仿宋" w:eastAsia="仿宋" w:cs="仿宋"/>
                <w:bCs/>
                <w:color w:val="auto"/>
                <w:highlight w:val="none"/>
              </w:rPr>
              <w:t>招标代理服务费</w:t>
            </w:r>
          </w:p>
        </w:tc>
        <w:tc>
          <w:tcPr>
            <w:tcW w:w="6365" w:type="dxa"/>
            <w:vAlign w:val="center"/>
          </w:tcPr>
          <w:p>
            <w:pPr>
              <w:shd w:val="clear"/>
              <w:spacing w:line="400" w:lineRule="exact"/>
              <w:jc w:val="left"/>
              <w:rPr>
                <w:rFonts w:hint="eastAsia" w:ascii="仿宋" w:hAnsi="仿宋" w:eastAsia="仿宋" w:cs="仿宋"/>
                <w:bCs/>
                <w:color w:val="auto"/>
                <w:highlight w:val="none"/>
              </w:rPr>
            </w:pPr>
            <w:r>
              <w:rPr>
                <w:rFonts w:hint="eastAsia" w:ascii="仿宋" w:hAnsi="仿宋" w:eastAsia="仿宋" w:cs="仿宋"/>
                <w:bCs/>
                <w:color w:val="auto"/>
                <w:highlight w:val="none"/>
              </w:rPr>
              <w:t>（1）服务费金额：按定额</w:t>
            </w:r>
            <w:r>
              <w:rPr>
                <w:rFonts w:hint="eastAsia" w:ascii="仿宋" w:hAnsi="仿宋" w:eastAsia="仿宋" w:cs="仿宋"/>
                <w:bCs/>
                <w:color w:val="auto"/>
                <w:highlight w:val="none"/>
                <w:lang w:val="en-US" w:eastAsia="zh-CN"/>
              </w:rPr>
              <w:t>收取</w:t>
            </w:r>
            <w:r>
              <w:rPr>
                <w:rFonts w:hint="eastAsia" w:ascii="仿宋" w:hAnsi="仿宋" w:eastAsia="仿宋" w:cs="仿宋"/>
                <w:bCs/>
                <w:color w:val="auto"/>
                <w:highlight w:val="none"/>
              </w:rPr>
              <w:t>，每家</w:t>
            </w:r>
            <w:r>
              <w:rPr>
                <w:rFonts w:hint="eastAsia" w:ascii="仿宋" w:hAnsi="仿宋" w:eastAsia="仿宋" w:cs="仿宋"/>
                <w:bCs/>
                <w:color w:val="auto"/>
                <w:highlight w:val="none"/>
                <w:lang w:val="en-US" w:eastAsia="zh-CN"/>
              </w:rPr>
              <w:t>中标人</w:t>
            </w:r>
            <w:r>
              <w:rPr>
                <w:rFonts w:hint="eastAsia" w:ascii="仿宋" w:hAnsi="仿宋" w:eastAsia="仿宋" w:cs="仿宋"/>
                <w:bCs/>
                <w:color w:val="auto"/>
                <w:highlight w:val="none"/>
              </w:rPr>
              <w:t>收取人民币</w:t>
            </w:r>
            <w:r>
              <w:rPr>
                <w:rFonts w:hint="eastAsia" w:ascii="仿宋" w:hAnsi="仿宋" w:eastAsia="仿宋" w:cs="仿宋"/>
                <w:bCs/>
                <w:color w:val="auto"/>
                <w:highlight w:val="none"/>
                <w:lang w:val="en-US" w:eastAsia="zh-CN"/>
              </w:rPr>
              <w:t>肆仟元</w:t>
            </w:r>
            <w:r>
              <w:rPr>
                <w:rFonts w:hint="eastAsia" w:ascii="仿宋" w:hAnsi="仿宋" w:eastAsia="仿宋" w:cs="仿宋"/>
                <w:bCs/>
                <w:color w:val="auto"/>
                <w:highlight w:val="none"/>
              </w:rPr>
              <w:t>整（¥</w:t>
            </w:r>
            <w:r>
              <w:rPr>
                <w:rFonts w:hint="eastAsia" w:ascii="仿宋" w:hAnsi="仿宋" w:eastAsia="仿宋" w:cs="仿宋"/>
                <w:bCs/>
                <w:color w:val="auto"/>
                <w:highlight w:val="none"/>
                <w:lang w:val="en-US" w:eastAsia="zh-CN"/>
              </w:rPr>
              <w:t>4</w:t>
            </w:r>
            <w:r>
              <w:rPr>
                <w:rFonts w:hint="eastAsia" w:ascii="仿宋" w:hAnsi="仿宋" w:eastAsia="仿宋" w:cs="仿宋"/>
                <w:bCs/>
                <w:color w:val="auto"/>
                <w:highlight w:val="none"/>
              </w:rPr>
              <w:t>,</w:t>
            </w:r>
            <w:r>
              <w:rPr>
                <w:rFonts w:hint="eastAsia" w:ascii="仿宋" w:hAnsi="仿宋" w:eastAsia="仿宋" w:cs="仿宋"/>
                <w:bCs/>
                <w:color w:val="auto"/>
                <w:highlight w:val="none"/>
                <w:lang w:val="en-US" w:eastAsia="zh-CN"/>
              </w:rPr>
              <w:t>0</w:t>
            </w:r>
            <w:r>
              <w:rPr>
                <w:rFonts w:hint="eastAsia" w:ascii="仿宋" w:hAnsi="仿宋" w:eastAsia="仿宋" w:cs="仿宋"/>
                <w:bCs/>
                <w:color w:val="auto"/>
                <w:highlight w:val="none"/>
              </w:rPr>
              <w:t>00.00</w:t>
            </w:r>
            <w:r>
              <w:rPr>
                <w:rFonts w:hint="eastAsia" w:ascii="仿宋" w:hAnsi="仿宋" w:eastAsia="仿宋" w:cs="仿宋"/>
                <w:bCs/>
                <w:color w:val="auto"/>
                <w:highlight w:val="none"/>
                <w:lang w:val="en-US" w:eastAsia="zh-CN"/>
              </w:rPr>
              <w:t>元</w:t>
            </w:r>
            <w:r>
              <w:rPr>
                <w:rFonts w:hint="eastAsia" w:ascii="仿宋" w:hAnsi="仿宋" w:eastAsia="仿宋" w:cs="仿宋"/>
                <w:bCs/>
                <w:color w:val="auto"/>
                <w:highlight w:val="none"/>
              </w:rPr>
              <w:t>/家）。</w:t>
            </w:r>
          </w:p>
          <w:p>
            <w:pPr>
              <w:shd w:val="clear"/>
              <w:spacing w:line="400" w:lineRule="exact"/>
              <w:jc w:val="left"/>
              <w:rPr>
                <w:rFonts w:hint="eastAsia" w:ascii="仿宋" w:hAnsi="仿宋" w:eastAsia="仿宋" w:cs="仿宋"/>
                <w:bCs/>
                <w:color w:val="auto"/>
                <w:highlight w:val="none"/>
              </w:rPr>
            </w:pPr>
            <w:r>
              <w:rPr>
                <w:rFonts w:hint="eastAsia" w:ascii="仿宋" w:hAnsi="仿宋" w:eastAsia="仿宋" w:cs="仿宋"/>
                <w:bCs/>
                <w:color w:val="auto"/>
                <w:highlight w:val="none"/>
              </w:rPr>
              <w:t>（</w:t>
            </w:r>
            <w:r>
              <w:rPr>
                <w:rFonts w:hint="eastAsia" w:ascii="仿宋" w:hAnsi="仿宋" w:eastAsia="仿宋" w:cs="仿宋"/>
                <w:bCs/>
                <w:color w:val="auto"/>
                <w:highlight w:val="none"/>
                <w:lang w:val="en-US" w:eastAsia="zh-CN"/>
              </w:rPr>
              <w:t>2</w:t>
            </w:r>
            <w:r>
              <w:rPr>
                <w:rFonts w:hint="eastAsia" w:ascii="仿宋" w:hAnsi="仿宋" w:eastAsia="仿宋" w:cs="仿宋"/>
                <w:bCs/>
                <w:color w:val="auto"/>
                <w:highlight w:val="none"/>
              </w:rPr>
              <w:t>）缴纳时限：中标人在收到招标代理服务费付款通知书后5个工作日内，向招标代理机构一次性支付。</w:t>
            </w:r>
          </w:p>
          <w:p>
            <w:pPr>
              <w:shd w:val="clear"/>
              <w:spacing w:line="400" w:lineRule="exact"/>
              <w:jc w:val="left"/>
              <w:rPr>
                <w:rFonts w:hint="eastAsia" w:ascii="仿宋" w:hAnsi="仿宋" w:eastAsia="仿宋" w:cs="仿宋"/>
                <w:bCs/>
                <w:color w:val="auto"/>
                <w:highlight w:val="none"/>
              </w:rPr>
            </w:pPr>
            <w:r>
              <w:rPr>
                <w:rFonts w:hint="eastAsia" w:ascii="仿宋" w:hAnsi="仿宋" w:eastAsia="仿宋" w:cs="仿宋"/>
                <w:bCs/>
                <w:color w:val="auto"/>
                <w:highlight w:val="none"/>
              </w:rPr>
              <w:t>（</w:t>
            </w:r>
            <w:r>
              <w:rPr>
                <w:rFonts w:hint="eastAsia" w:ascii="仿宋" w:hAnsi="仿宋" w:eastAsia="仿宋" w:cs="仿宋"/>
                <w:bCs/>
                <w:color w:val="auto"/>
                <w:highlight w:val="none"/>
                <w:lang w:val="en-US" w:eastAsia="zh-CN"/>
              </w:rPr>
              <w:t>3</w:t>
            </w:r>
            <w:r>
              <w:rPr>
                <w:rFonts w:hint="eastAsia" w:ascii="仿宋" w:hAnsi="仿宋" w:eastAsia="仿宋" w:cs="仿宋"/>
                <w:bCs/>
                <w:color w:val="auto"/>
                <w:highlight w:val="none"/>
              </w:rPr>
              <w:t>）中标服务费的交纳形式：银行转账付款。</w:t>
            </w:r>
          </w:p>
          <w:p>
            <w:pPr>
              <w:shd w:val="clear"/>
              <w:spacing w:line="400" w:lineRule="exact"/>
              <w:jc w:val="left"/>
              <w:rPr>
                <w:rFonts w:hint="eastAsia" w:ascii="仿宋" w:hAnsi="仿宋" w:eastAsia="仿宋" w:cs="仿宋"/>
                <w:bCs/>
                <w:color w:val="auto"/>
                <w:highlight w:val="none"/>
              </w:rPr>
            </w:pPr>
            <w:r>
              <w:rPr>
                <w:rFonts w:hint="eastAsia" w:ascii="仿宋" w:hAnsi="仿宋" w:eastAsia="仿宋" w:cs="仿宋"/>
                <w:bCs/>
                <w:color w:val="auto"/>
                <w:highlight w:val="none"/>
              </w:rPr>
              <w:t>（</w:t>
            </w:r>
            <w:r>
              <w:rPr>
                <w:rFonts w:hint="eastAsia" w:ascii="仿宋" w:hAnsi="仿宋" w:eastAsia="仿宋" w:cs="仿宋"/>
                <w:bCs/>
                <w:color w:val="auto"/>
                <w:highlight w:val="none"/>
                <w:lang w:val="en-US" w:eastAsia="zh-CN"/>
              </w:rPr>
              <w:t>4</w:t>
            </w:r>
            <w:r>
              <w:rPr>
                <w:rFonts w:hint="eastAsia" w:ascii="仿宋" w:hAnsi="仿宋" w:eastAsia="仿宋" w:cs="仿宋"/>
                <w:bCs/>
                <w:color w:val="auto"/>
                <w:highlight w:val="none"/>
              </w:rPr>
              <w:t>）中标服务费缴纳账号：</w:t>
            </w:r>
          </w:p>
          <w:p>
            <w:pPr>
              <w:shd w:val="clear"/>
              <w:spacing w:line="400" w:lineRule="exact"/>
              <w:jc w:val="left"/>
              <w:rPr>
                <w:rFonts w:hint="eastAsia" w:ascii="仿宋" w:hAnsi="仿宋" w:eastAsia="仿宋" w:cs="仿宋"/>
                <w:bCs/>
                <w:color w:val="auto"/>
                <w:highlight w:val="none"/>
              </w:rPr>
            </w:pPr>
            <w:r>
              <w:rPr>
                <w:rFonts w:hint="eastAsia" w:ascii="仿宋" w:hAnsi="仿宋" w:eastAsia="仿宋" w:cs="仿宋"/>
                <w:bCs/>
                <w:color w:val="auto"/>
                <w:highlight w:val="none"/>
              </w:rPr>
              <w:t>收款人：广东省机电设备招标有限公司</w:t>
            </w:r>
          </w:p>
          <w:p>
            <w:pPr>
              <w:shd w:val="clear"/>
              <w:spacing w:line="400" w:lineRule="exact"/>
              <w:jc w:val="left"/>
              <w:rPr>
                <w:rFonts w:hint="eastAsia" w:ascii="仿宋" w:hAnsi="仿宋" w:eastAsia="仿宋" w:cs="仿宋"/>
                <w:bCs/>
                <w:color w:val="auto"/>
                <w:highlight w:val="none"/>
              </w:rPr>
            </w:pPr>
            <w:r>
              <w:rPr>
                <w:rFonts w:hint="eastAsia" w:ascii="仿宋" w:hAnsi="仿宋" w:eastAsia="仿宋" w:cs="仿宋"/>
                <w:bCs/>
                <w:color w:val="auto"/>
                <w:highlight w:val="none"/>
              </w:rPr>
              <w:t>开户银行：中国工商银行股份有限公司广州第一支行</w:t>
            </w:r>
          </w:p>
          <w:p>
            <w:pPr>
              <w:shd w:val="clear"/>
              <w:spacing w:line="400" w:lineRule="exact"/>
              <w:jc w:val="left"/>
              <w:rPr>
                <w:rFonts w:hint="eastAsia" w:ascii="仿宋" w:hAnsi="仿宋" w:eastAsia="仿宋" w:cs="仿宋"/>
                <w:bCs/>
                <w:color w:val="auto"/>
                <w:highlight w:val="none"/>
              </w:rPr>
            </w:pPr>
            <w:r>
              <w:rPr>
                <w:rFonts w:hint="eastAsia" w:ascii="仿宋" w:hAnsi="仿宋" w:eastAsia="仿宋" w:cs="仿宋"/>
                <w:bCs/>
                <w:color w:val="auto"/>
                <w:highlight w:val="none"/>
              </w:rPr>
              <w:t>帐    号：3602000109000326441</w:t>
            </w:r>
          </w:p>
          <w:p>
            <w:pPr>
              <w:shd w:val="clear"/>
              <w:spacing w:line="400" w:lineRule="exact"/>
              <w:jc w:val="left"/>
              <w:rPr>
                <w:rFonts w:ascii="仿宋" w:hAnsi="仿宋" w:eastAsia="仿宋" w:cs="仿宋"/>
                <w:color w:val="auto"/>
                <w:szCs w:val="21"/>
                <w:highlight w:val="none"/>
              </w:rPr>
            </w:pPr>
            <w:r>
              <w:rPr>
                <w:rFonts w:hint="eastAsia" w:ascii="仿宋" w:hAnsi="仿宋" w:eastAsia="仿宋" w:cs="仿宋"/>
                <w:bCs/>
                <w:color w:val="auto"/>
                <w:highlight w:val="none"/>
              </w:rPr>
              <w:t>中标人向招标代理机构交纳中标服务费后，凭中标服务费缴费凭证领取《中标通知书》。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215" w:type="dxa"/>
            <w:vAlign w:val="center"/>
          </w:tcPr>
          <w:p>
            <w:pPr>
              <w:shd w:val="clea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10.2</w:t>
            </w:r>
          </w:p>
        </w:tc>
        <w:tc>
          <w:tcPr>
            <w:tcW w:w="1978" w:type="dxa"/>
            <w:vAlign w:val="center"/>
          </w:tcPr>
          <w:p>
            <w:pPr>
              <w:shd w:val="clear"/>
              <w:spacing w:line="400" w:lineRule="exact"/>
              <w:jc w:val="left"/>
              <w:rPr>
                <w:rFonts w:ascii="仿宋" w:hAnsi="仿宋" w:eastAsia="仿宋" w:cs="仿宋"/>
                <w:bCs/>
                <w:color w:val="auto"/>
                <w:highlight w:val="none"/>
              </w:rPr>
            </w:pPr>
            <w:r>
              <w:rPr>
                <w:rFonts w:hint="eastAsia" w:ascii="仿宋" w:hAnsi="仿宋" w:eastAsia="仿宋" w:cs="仿宋"/>
                <w:bCs/>
                <w:color w:val="auto"/>
                <w:highlight w:val="none"/>
              </w:rPr>
              <w:t>其他</w:t>
            </w:r>
          </w:p>
        </w:tc>
        <w:tc>
          <w:tcPr>
            <w:tcW w:w="6365" w:type="dxa"/>
            <w:vAlign w:val="center"/>
          </w:tcPr>
          <w:p>
            <w:pPr>
              <w:shd w:val="clear"/>
              <w:spacing w:line="400" w:lineRule="exact"/>
              <w:jc w:val="left"/>
              <w:rPr>
                <w:rFonts w:ascii="仿宋" w:hAnsi="仿宋" w:eastAsia="仿宋" w:cs="仿宋"/>
                <w:bCs/>
                <w:color w:val="auto"/>
                <w:highlight w:val="none"/>
              </w:rPr>
            </w:pPr>
            <w:r>
              <w:rPr>
                <w:rFonts w:hint="eastAsia" w:ascii="仿宋" w:hAnsi="仿宋" w:eastAsia="仿宋" w:cs="仿宋"/>
                <w:bCs/>
                <w:color w:val="auto"/>
                <w:highlight w:val="none"/>
              </w:rPr>
              <w:t>电子投标文件递交：</w:t>
            </w:r>
          </w:p>
          <w:p>
            <w:pPr>
              <w:shd w:val="clear"/>
              <w:spacing w:line="400" w:lineRule="exact"/>
              <w:jc w:val="left"/>
              <w:rPr>
                <w:rFonts w:ascii="仿宋" w:hAnsi="仿宋" w:eastAsia="仿宋" w:cs="仿宋"/>
                <w:bCs/>
                <w:color w:val="auto"/>
                <w:highlight w:val="none"/>
              </w:rPr>
            </w:pPr>
            <w:r>
              <w:rPr>
                <w:rFonts w:hint="eastAsia" w:ascii="仿宋" w:hAnsi="仿宋" w:eastAsia="仿宋" w:cs="仿宋"/>
                <w:bCs/>
                <w:color w:val="auto"/>
                <w:highlight w:val="none"/>
              </w:rPr>
              <w:t>1.投标人通过广咨电子招投标交易平台递交电子投标文件，相关操作见网站“平台服务》操作手册》广咨国际数字化采购咨询平台供应商操作手册”</w:t>
            </w:r>
          </w:p>
          <w:p>
            <w:pPr>
              <w:shd w:val="clear"/>
              <w:spacing w:line="400" w:lineRule="exact"/>
              <w:jc w:val="left"/>
              <w:rPr>
                <w:rFonts w:ascii="仿宋" w:hAnsi="仿宋" w:eastAsia="仿宋" w:cs="仿宋"/>
                <w:bCs/>
                <w:color w:val="auto"/>
                <w:highlight w:val="none"/>
              </w:rPr>
            </w:pPr>
            <w:r>
              <w:rPr>
                <w:rFonts w:hint="eastAsia" w:ascii="仿宋" w:hAnsi="仿宋" w:eastAsia="仿宋" w:cs="仿宋"/>
                <w:bCs/>
                <w:color w:val="auto"/>
                <w:highlight w:val="none"/>
              </w:rPr>
              <w:t>2.逾期送达的电子投标文件，广咨电子招投标交易平台将予以拒收。</w:t>
            </w:r>
          </w:p>
          <w:p>
            <w:pPr>
              <w:shd w:val="clear"/>
              <w:spacing w:line="400" w:lineRule="exact"/>
              <w:jc w:val="left"/>
              <w:rPr>
                <w:rFonts w:ascii="仿宋" w:hAnsi="仿宋" w:eastAsia="仿宋" w:cs="仿宋"/>
                <w:bCs/>
                <w:color w:val="auto"/>
                <w:highlight w:val="none"/>
              </w:rPr>
            </w:pPr>
            <w:r>
              <w:rPr>
                <w:rFonts w:hint="eastAsia" w:ascii="仿宋" w:hAnsi="仿宋" w:eastAsia="仿宋" w:cs="仿宋"/>
                <w:bCs/>
                <w:color w:val="auto"/>
                <w:highlight w:val="none"/>
              </w:rPr>
              <w:t>3.电子招标投标解密失败及突发情况的补救：</w:t>
            </w:r>
          </w:p>
          <w:p>
            <w:pPr>
              <w:shd w:val="clear"/>
              <w:spacing w:line="400" w:lineRule="exact"/>
              <w:jc w:val="left"/>
              <w:rPr>
                <w:rFonts w:ascii="仿宋" w:hAnsi="仿宋" w:eastAsia="仿宋" w:cs="仿宋"/>
                <w:bCs/>
                <w:color w:val="auto"/>
                <w:highlight w:val="none"/>
              </w:rPr>
            </w:pPr>
            <w:r>
              <w:rPr>
                <w:rFonts w:hint="eastAsia" w:ascii="仿宋" w:hAnsi="仿宋" w:eastAsia="仿宋" w:cs="仿宋"/>
                <w:bCs/>
                <w:color w:val="auto"/>
                <w:highlight w:val="none"/>
              </w:rPr>
              <w:t>（1）提交投标文件光盘备用</w:t>
            </w:r>
          </w:p>
          <w:p>
            <w:pPr>
              <w:shd w:val="clear"/>
              <w:spacing w:line="400" w:lineRule="exact"/>
              <w:jc w:val="left"/>
              <w:rPr>
                <w:rFonts w:ascii="仿宋" w:hAnsi="仿宋" w:eastAsia="仿宋" w:cs="仿宋"/>
                <w:bCs/>
                <w:color w:val="auto"/>
                <w:highlight w:val="none"/>
              </w:rPr>
            </w:pPr>
            <w:r>
              <w:rPr>
                <w:rFonts w:hint="eastAsia" w:ascii="仿宋" w:hAnsi="仿宋" w:eastAsia="仿宋" w:cs="仿宋"/>
                <w:bCs/>
                <w:color w:val="auto"/>
                <w:highlight w:val="none"/>
              </w:rPr>
              <w:t>投标人可制作非加密的电子投标文件（PDF格式）刻入光盘或U盘（1份），在规定的时间、地点提交备用。刻录好的投标文件光盘或U盘密封在密封袋中，并在封口处加盖投标人单位公章。密封袋上应写明项目名称和招标人名称。递交的光盘或U盘不得加密。光盘或U盘无法读取或导入的，则视为未提交备用投标文件光盘或U盘。如果投标人没有按规定通过交易平台网上递交电子投标文件的，不再读取提交的光盘或U盘。投标人也可不提交备用光盘或U盘。</w:t>
            </w:r>
          </w:p>
          <w:p>
            <w:pPr>
              <w:shd w:val="clear"/>
              <w:spacing w:line="400" w:lineRule="exact"/>
              <w:jc w:val="left"/>
              <w:rPr>
                <w:rFonts w:ascii="仿宋" w:hAnsi="仿宋" w:eastAsia="仿宋" w:cs="仿宋"/>
                <w:bCs/>
                <w:color w:val="auto"/>
                <w:highlight w:val="none"/>
              </w:rPr>
            </w:pPr>
            <w:r>
              <w:rPr>
                <w:rFonts w:hint="eastAsia" w:ascii="仿宋" w:hAnsi="仿宋" w:eastAsia="仿宋" w:cs="仿宋"/>
                <w:bCs/>
                <w:color w:val="auto"/>
                <w:highlight w:val="none"/>
              </w:rPr>
              <w:t>（2）投标文件解密失败的补救方案：</w:t>
            </w:r>
          </w:p>
          <w:p>
            <w:pPr>
              <w:shd w:val="clear"/>
              <w:spacing w:line="400" w:lineRule="exact"/>
              <w:jc w:val="left"/>
              <w:rPr>
                <w:rFonts w:ascii="仿宋" w:hAnsi="仿宋" w:eastAsia="仿宋" w:cs="仿宋"/>
                <w:bCs/>
                <w:color w:val="auto"/>
                <w:highlight w:val="none"/>
              </w:rPr>
            </w:pPr>
            <w:r>
              <w:rPr>
                <w:rFonts w:hint="eastAsia" w:ascii="仿宋" w:hAnsi="仿宋" w:eastAsia="仿宋" w:cs="仿宋"/>
                <w:bCs/>
                <w:color w:val="auto"/>
                <w:highlight w:val="none"/>
              </w:rPr>
              <w:t>在规定时间内，因投标人之外原因(指网络瘫痪、服务器损坏、交易系统故障短期无法恢复)导致的电子投标文件解密失败，在开标现场读取光盘或U盘内容，继续开标程序。评标委员会对其投标文件的评审以光盘或U盘内容为准。因投标人之外原因解密失败且未递交电子光盘或U盘的，视为撤回投标文件。</w:t>
            </w:r>
          </w:p>
          <w:p>
            <w:pPr>
              <w:shd w:val="clear"/>
              <w:spacing w:line="400" w:lineRule="exact"/>
              <w:jc w:val="left"/>
              <w:rPr>
                <w:rFonts w:ascii="仿宋" w:hAnsi="仿宋" w:eastAsia="仿宋" w:cs="仿宋"/>
                <w:bCs/>
                <w:color w:val="auto"/>
                <w:highlight w:val="none"/>
              </w:rPr>
            </w:pPr>
            <w:r>
              <w:rPr>
                <w:rFonts w:hint="eastAsia" w:ascii="仿宋" w:hAnsi="仿宋" w:eastAsia="仿宋" w:cs="仿宋"/>
                <w:bCs/>
                <w:color w:val="auto"/>
                <w:highlight w:val="none"/>
              </w:rPr>
              <w:t>（3）评标时突发情况的补救方案</w:t>
            </w:r>
          </w:p>
          <w:p>
            <w:pPr>
              <w:shd w:val="clear"/>
              <w:spacing w:line="400" w:lineRule="exact"/>
              <w:jc w:val="left"/>
              <w:rPr>
                <w:rFonts w:ascii="仿宋" w:hAnsi="仿宋" w:eastAsia="仿宋" w:cs="仿宋"/>
                <w:bCs/>
                <w:color w:val="auto"/>
                <w:highlight w:val="none"/>
              </w:rPr>
            </w:pPr>
            <w:r>
              <w:rPr>
                <w:rFonts w:hint="eastAsia" w:ascii="仿宋" w:hAnsi="仿宋" w:eastAsia="仿宋" w:cs="仿宋"/>
                <w:bCs/>
                <w:color w:val="auto"/>
                <w:highlight w:val="none"/>
              </w:rPr>
              <w:t>若遇不可抗力发生（指网络瘫痪、服务器损坏、交易系统故障短期无法恢复等因素），由评标委员会开启投标人递交的全部投标文件光盘或U盘，并按光盘或U盘内容进行评审。</w:t>
            </w:r>
          </w:p>
          <w:p>
            <w:pPr>
              <w:shd w:val="clear"/>
              <w:spacing w:line="400" w:lineRule="exact"/>
              <w:jc w:val="left"/>
              <w:rPr>
                <w:rFonts w:ascii="仿宋" w:hAnsi="仿宋" w:eastAsia="仿宋" w:cs="仿宋"/>
                <w:bCs/>
                <w:color w:val="auto"/>
                <w:highlight w:val="none"/>
              </w:rPr>
            </w:pPr>
            <w:r>
              <w:rPr>
                <w:rFonts w:hint="eastAsia" w:ascii="仿宋" w:hAnsi="仿宋" w:eastAsia="仿宋" w:cs="仿宋"/>
                <w:bCs/>
                <w:color w:val="auto"/>
                <w:highlight w:val="none"/>
              </w:rPr>
              <w:t>（4）除发生上述情况外，开标评标均以投标人通过交易平台网上递交的电子投标文件为准。</w:t>
            </w:r>
          </w:p>
          <w:p>
            <w:pPr>
              <w:shd w:val="clear"/>
              <w:spacing w:line="400" w:lineRule="exact"/>
              <w:jc w:val="left"/>
              <w:rPr>
                <w:rFonts w:ascii="仿宋" w:hAnsi="仿宋" w:eastAsia="仿宋" w:cs="仿宋"/>
                <w:bCs/>
                <w:color w:val="auto"/>
                <w:highlight w:val="none"/>
              </w:rPr>
            </w:pPr>
            <w:r>
              <w:rPr>
                <w:rFonts w:hint="eastAsia" w:ascii="仿宋" w:hAnsi="仿宋" w:eastAsia="仿宋" w:cs="仿宋"/>
                <w:bCs/>
                <w:color w:val="auto"/>
                <w:highlight w:val="none"/>
              </w:rPr>
              <w:t>4.本项目使用系统加密方式加密电子投标文件，供应商无需使用广咨国际数字化投标工具客户端。相关操作见网站“平台服务&gt;&gt;操作手册》广咨国际数字化采购咨询平台供应商操作手册”。</w:t>
            </w:r>
          </w:p>
          <w:p>
            <w:pPr>
              <w:shd w:val="clear"/>
              <w:spacing w:line="400" w:lineRule="exact"/>
              <w:jc w:val="left"/>
              <w:rPr>
                <w:rFonts w:ascii="仿宋" w:hAnsi="仿宋" w:eastAsia="仿宋" w:cs="仿宋"/>
                <w:bCs/>
                <w:color w:val="auto"/>
                <w:highlight w:val="none"/>
              </w:rPr>
            </w:pPr>
            <w:r>
              <w:rPr>
                <w:rFonts w:hint="eastAsia" w:ascii="仿宋" w:hAnsi="仿宋" w:eastAsia="仿宋" w:cs="仿宋"/>
                <w:bCs/>
                <w:color w:val="auto"/>
                <w:highlight w:val="none"/>
              </w:rPr>
              <w:t>5.由于本项目为电子标项目，若出现线上线下无法同步开标或解密异常或可能无法实现所有已按时递交投标文件的投标人均可顺利完成在线开标的情况或其他不可控的因素时，由招标代理机构另行通知线上开标时间或终止线上流程（直接以线下开评标为准），所有参与方免责。</w:t>
            </w:r>
          </w:p>
        </w:tc>
      </w:tr>
    </w:tbl>
    <w:p>
      <w:pPr>
        <w:shd w:val="clear"/>
        <w:spacing w:line="400" w:lineRule="exact"/>
        <w:rPr>
          <w:rFonts w:ascii="仿宋" w:hAnsi="仿宋" w:eastAsia="仿宋" w:cs="仿宋"/>
          <w:color w:val="auto"/>
          <w:highlight w:val="none"/>
        </w:rPr>
      </w:pPr>
      <w:r>
        <w:rPr>
          <w:rFonts w:hint="eastAsia" w:ascii="仿宋" w:hAnsi="仿宋" w:eastAsia="仿宋" w:cs="仿宋"/>
          <w:color w:val="auto"/>
          <w:highlight w:val="none"/>
        </w:rPr>
        <w:br w:type="page"/>
      </w:r>
    </w:p>
    <w:p>
      <w:pPr>
        <w:pStyle w:val="4"/>
        <w:shd w:val="clear"/>
        <w:rPr>
          <w:rFonts w:ascii="仿宋" w:hAnsi="仿宋" w:eastAsia="仿宋" w:cs="仿宋"/>
          <w:color w:val="auto"/>
          <w:highlight w:val="none"/>
        </w:rPr>
      </w:pPr>
      <w:bookmarkStart w:id="68" w:name="_Toc56856845"/>
      <w:r>
        <w:rPr>
          <w:rFonts w:hint="eastAsia" w:ascii="仿宋" w:hAnsi="仿宋" w:eastAsia="仿宋" w:cs="仿宋"/>
          <w:color w:val="auto"/>
          <w:highlight w:val="none"/>
        </w:rPr>
        <w:t>1. 总则</w:t>
      </w:r>
      <w:bookmarkEnd w:id="68"/>
    </w:p>
    <w:p>
      <w:pPr>
        <w:pStyle w:val="5"/>
        <w:shd w:val="clear"/>
        <w:spacing w:line="240" w:lineRule="auto"/>
        <w:ind w:firstLine="137"/>
        <w:rPr>
          <w:rFonts w:ascii="仿宋" w:hAnsi="仿宋" w:eastAsia="仿宋" w:cs="仿宋"/>
          <w:color w:val="auto"/>
          <w:highlight w:val="none"/>
        </w:rPr>
      </w:pPr>
      <w:bookmarkStart w:id="69" w:name="_Toc56856846"/>
      <w:r>
        <w:rPr>
          <w:rFonts w:hint="eastAsia" w:ascii="仿宋" w:hAnsi="仿宋" w:eastAsia="仿宋" w:cs="仿宋"/>
          <w:color w:val="auto"/>
          <w:highlight w:val="none"/>
        </w:rPr>
        <w:t>1.1 招标项目概况</w:t>
      </w:r>
      <w:bookmarkEnd w:id="69"/>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1.1.1根据《中华人民共和国民法典》等有关法律、法规和规章的规定，本招标项目已具备招标条件，现进行招标。</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1.1.2 招标人：见投标人须知前附表。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1.1.3 招标代理机构：见投标人须知前附表。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1.1.4 招标项目名称：见投标人须知前附表。</w:t>
      </w:r>
    </w:p>
    <w:p>
      <w:pPr>
        <w:pStyle w:val="5"/>
        <w:shd w:val="clear"/>
        <w:spacing w:line="240" w:lineRule="auto"/>
        <w:ind w:firstLine="137"/>
        <w:rPr>
          <w:rFonts w:ascii="仿宋" w:hAnsi="仿宋" w:eastAsia="仿宋" w:cs="仿宋"/>
          <w:color w:val="auto"/>
          <w:highlight w:val="none"/>
        </w:rPr>
      </w:pPr>
      <w:bookmarkStart w:id="70" w:name="_Toc56856847"/>
      <w:r>
        <w:rPr>
          <w:rFonts w:hint="eastAsia" w:ascii="仿宋" w:hAnsi="仿宋" w:eastAsia="仿宋" w:cs="仿宋"/>
          <w:color w:val="auto"/>
          <w:highlight w:val="none"/>
        </w:rPr>
        <w:t>1.2 招标项目的资金来源和落实情况</w:t>
      </w:r>
      <w:bookmarkEnd w:id="70"/>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1.2.1 资金来源：见投标人须知前附表。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1.2.2 资金落实情况：见投标人须知前附表。</w:t>
      </w:r>
    </w:p>
    <w:p>
      <w:pPr>
        <w:pStyle w:val="5"/>
        <w:shd w:val="clear"/>
        <w:spacing w:line="240" w:lineRule="auto"/>
        <w:ind w:firstLine="137"/>
        <w:rPr>
          <w:rFonts w:ascii="仿宋" w:hAnsi="仿宋" w:eastAsia="仿宋" w:cs="仿宋"/>
          <w:color w:val="auto"/>
          <w:highlight w:val="none"/>
        </w:rPr>
      </w:pPr>
      <w:bookmarkStart w:id="71" w:name="_Toc56856848"/>
      <w:r>
        <w:rPr>
          <w:rFonts w:hint="eastAsia" w:ascii="仿宋" w:hAnsi="仿宋" w:eastAsia="仿宋" w:cs="仿宋"/>
          <w:color w:val="auto"/>
          <w:highlight w:val="none"/>
        </w:rPr>
        <w:t>1.3招标范围、工期和质量标准</w:t>
      </w:r>
      <w:bookmarkEnd w:id="71"/>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1.3.1 招标范围：见投标人须知前附表。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1.3.2 交货期：见投标人须知前附表。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1.3.3 交货地点：见投标人须知前附表。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1.3.4 质量标准：见投标人须知前附表。</w:t>
      </w:r>
    </w:p>
    <w:p>
      <w:pPr>
        <w:pStyle w:val="5"/>
        <w:shd w:val="clear"/>
        <w:spacing w:line="240" w:lineRule="auto"/>
        <w:ind w:firstLine="137"/>
        <w:rPr>
          <w:rFonts w:ascii="仿宋" w:hAnsi="仿宋" w:eastAsia="仿宋" w:cs="仿宋"/>
          <w:color w:val="auto"/>
          <w:highlight w:val="none"/>
        </w:rPr>
      </w:pPr>
      <w:bookmarkStart w:id="72" w:name="_Toc56856849"/>
      <w:r>
        <w:rPr>
          <w:rFonts w:hint="eastAsia" w:ascii="仿宋" w:hAnsi="仿宋" w:eastAsia="仿宋" w:cs="仿宋"/>
          <w:color w:val="auto"/>
          <w:highlight w:val="none"/>
        </w:rPr>
        <w:t>1.4投标人资格要求</w:t>
      </w:r>
      <w:bookmarkEnd w:id="72"/>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1.4.1 投标人资格要求见投标人须知前附表；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1.4.2投标人须知前附表规定接受联合体投标的，联合体除应符合本章第1.4.1项和投标人须知前附表的要求外，还应遵守以下规定：</w:t>
      </w:r>
    </w:p>
    <w:p>
      <w:pPr>
        <w:shd w:val="clear"/>
        <w:spacing w:line="400" w:lineRule="exact"/>
        <w:ind w:firstLine="315" w:firstLineChars="150"/>
        <w:rPr>
          <w:rFonts w:ascii="仿宋" w:hAnsi="仿宋" w:eastAsia="仿宋" w:cs="仿宋"/>
          <w:color w:val="auto"/>
          <w:highlight w:val="none"/>
        </w:rPr>
      </w:pPr>
      <w:r>
        <w:rPr>
          <w:rFonts w:hint="eastAsia" w:ascii="仿宋" w:hAnsi="仿宋" w:eastAsia="仿宋" w:cs="仿宋"/>
          <w:color w:val="auto"/>
          <w:highlight w:val="none"/>
        </w:rPr>
        <w:t>（1）联合体各方应按招标文件提供的格式签订联合体协议书，明确联合体牵头人和各方权利义务，并承诺就中标项目向招标人承担连带责任；</w:t>
      </w:r>
    </w:p>
    <w:p>
      <w:pPr>
        <w:shd w:val="clear"/>
        <w:spacing w:line="400" w:lineRule="exact"/>
        <w:ind w:firstLine="315" w:firstLineChars="150"/>
        <w:rPr>
          <w:rFonts w:ascii="仿宋" w:hAnsi="仿宋" w:eastAsia="仿宋" w:cs="仿宋"/>
          <w:color w:val="auto"/>
          <w:highlight w:val="none"/>
        </w:rPr>
      </w:pPr>
      <w:r>
        <w:rPr>
          <w:rFonts w:hint="eastAsia" w:ascii="仿宋" w:hAnsi="仿宋" w:eastAsia="仿宋" w:cs="仿宋"/>
          <w:color w:val="auto"/>
          <w:highlight w:val="none"/>
        </w:rPr>
        <w:t>（2）由同一专业的单位组成的联合体，按照资质等级较低的单位确定资质等级；</w:t>
      </w:r>
    </w:p>
    <w:p>
      <w:pPr>
        <w:shd w:val="clear"/>
        <w:spacing w:line="400" w:lineRule="exact"/>
        <w:ind w:firstLine="315" w:firstLineChars="150"/>
        <w:rPr>
          <w:rFonts w:ascii="仿宋" w:hAnsi="仿宋" w:eastAsia="仿宋" w:cs="仿宋"/>
          <w:color w:val="auto"/>
          <w:highlight w:val="none"/>
        </w:rPr>
      </w:pPr>
      <w:r>
        <w:rPr>
          <w:rFonts w:hint="eastAsia" w:ascii="仿宋" w:hAnsi="仿宋" w:eastAsia="仿宋" w:cs="仿宋"/>
          <w:color w:val="auto"/>
          <w:highlight w:val="none"/>
        </w:rPr>
        <w:t>（3）联合体各方不得再以自己名义单独或参加其他联合体在本招标项目中投标，否则各相关投标均无效。</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1.4.3 投标人不得存在下列情形之一：</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（1）为招标人不具有独立法人资格的附属机构（单位）；</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（2）与招标人存在利害关系且可能影响招标公正性；</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（3）与本招标项目的其他投标人为同一个单位负责人；</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（4）与本招标项目的其他投标人存在控股、管理关系；</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（5）为本招标项目的代建人；</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（6）为本招标项目的招标代理机构；</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（7）与本招标项目的代建人或招标代理机构同为一个法定代表人；</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（8）与本招标项目的代建人或招标代理机构存在控股或参股关系；</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（9）被依法暂停或者取消投标资格；</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（10）被责令停产停业、暂扣或者吊销许可证、暂扣或者吊销执照；</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（11）进入清算程序，或被宣告破产，或其他丧失履约能力的情形；</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（12）在最近三年内发生重大质量问题（若有重大质量问题，以相关行业主管部门的行政处罚决定或司法机关出具的有关法律文书为准）；</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（13）被工商行政管理机关在全国企业信用信息公示系统中列入严重违法失信企业名单；</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（14）被最高人民法院在“信用中国”网站（www.creditchina.gov.cn）或各级信用信息共享平台中列入失信被执行人名单；</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（15）在近三年内投标人或其法定代表人、拟委任的项目负责人有行贿犯罪行为的；</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（16）法律法规规定的其他情形。</w:t>
      </w:r>
    </w:p>
    <w:p>
      <w:pPr>
        <w:pStyle w:val="5"/>
        <w:shd w:val="clear"/>
        <w:spacing w:line="240" w:lineRule="auto"/>
        <w:ind w:firstLine="137"/>
        <w:rPr>
          <w:rFonts w:ascii="仿宋" w:hAnsi="仿宋" w:eastAsia="仿宋" w:cs="仿宋"/>
          <w:color w:val="auto"/>
          <w:highlight w:val="none"/>
        </w:rPr>
      </w:pPr>
      <w:bookmarkStart w:id="73" w:name="_Toc56856850"/>
      <w:r>
        <w:rPr>
          <w:rFonts w:hint="eastAsia" w:ascii="仿宋" w:hAnsi="仿宋" w:eastAsia="仿宋" w:cs="仿宋"/>
          <w:color w:val="auto"/>
          <w:highlight w:val="none"/>
        </w:rPr>
        <w:t>1.5 费用承担</w:t>
      </w:r>
      <w:bookmarkEnd w:id="73"/>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投标人准备和参加投标活动发生的费用自理。</w:t>
      </w:r>
    </w:p>
    <w:p>
      <w:pPr>
        <w:pStyle w:val="5"/>
        <w:shd w:val="clear"/>
        <w:spacing w:line="240" w:lineRule="auto"/>
        <w:ind w:firstLine="137"/>
        <w:rPr>
          <w:rFonts w:ascii="仿宋" w:hAnsi="仿宋" w:eastAsia="仿宋" w:cs="仿宋"/>
          <w:color w:val="auto"/>
          <w:highlight w:val="none"/>
        </w:rPr>
      </w:pPr>
      <w:bookmarkStart w:id="74" w:name="_Toc56856851"/>
      <w:r>
        <w:rPr>
          <w:rFonts w:hint="eastAsia" w:ascii="仿宋" w:hAnsi="仿宋" w:eastAsia="仿宋" w:cs="仿宋"/>
          <w:color w:val="auto"/>
          <w:highlight w:val="none"/>
        </w:rPr>
        <w:t>1.6保密</w:t>
      </w:r>
      <w:bookmarkEnd w:id="74"/>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参与招标投标活动的各方应对招标文件和投标文件中</w:t>
      </w:r>
      <w:bookmarkStart w:id="75" w:name="_Toc361508589"/>
      <w:bookmarkStart w:id="76" w:name="_Toc369531519"/>
      <w:bookmarkStart w:id="77" w:name="_Toc384308214"/>
      <w:bookmarkStart w:id="78" w:name="_Toc352691477"/>
      <w:bookmarkStart w:id="79" w:name="_Toc5326"/>
      <w:r>
        <w:rPr>
          <w:rFonts w:hint="eastAsia" w:ascii="仿宋" w:hAnsi="仿宋" w:eastAsia="仿宋" w:cs="仿宋"/>
          <w:color w:val="auto"/>
          <w:highlight w:val="none"/>
        </w:rPr>
        <w:t>的商业和技术等秘密保密</w:t>
      </w:r>
      <w:bookmarkEnd w:id="75"/>
      <w:bookmarkEnd w:id="76"/>
      <w:bookmarkEnd w:id="77"/>
      <w:bookmarkEnd w:id="78"/>
      <w:bookmarkEnd w:id="79"/>
      <w:r>
        <w:rPr>
          <w:rFonts w:hint="eastAsia" w:ascii="仿宋" w:hAnsi="仿宋" w:eastAsia="仿宋" w:cs="仿宋"/>
          <w:color w:val="auto"/>
          <w:highlight w:val="none"/>
        </w:rPr>
        <w:t>，否则应承担相应的法律责任。</w:t>
      </w:r>
    </w:p>
    <w:p>
      <w:pPr>
        <w:pStyle w:val="5"/>
        <w:shd w:val="clear"/>
        <w:spacing w:line="240" w:lineRule="auto"/>
        <w:ind w:firstLine="137"/>
        <w:rPr>
          <w:rFonts w:ascii="仿宋" w:hAnsi="仿宋" w:eastAsia="仿宋" w:cs="仿宋"/>
          <w:color w:val="auto"/>
          <w:highlight w:val="none"/>
        </w:rPr>
      </w:pPr>
      <w:bookmarkStart w:id="80" w:name="_Toc56856852"/>
      <w:r>
        <w:rPr>
          <w:rFonts w:hint="eastAsia" w:ascii="仿宋" w:hAnsi="仿宋" w:eastAsia="仿宋" w:cs="仿宋"/>
          <w:color w:val="auto"/>
          <w:highlight w:val="none"/>
        </w:rPr>
        <w:t>1.7 语言文字</w:t>
      </w:r>
      <w:bookmarkEnd w:id="80"/>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招标投标文件使用的语言文字为中文。专用术语使用外文的，应附有中文注释。</w:t>
      </w:r>
    </w:p>
    <w:p>
      <w:pPr>
        <w:pStyle w:val="5"/>
        <w:shd w:val="clear"/>
        <w:spacing w:line="240" w:lineRule="auto"/>
        <w:ind w:firstLine="137"/>
        <w:rPr>
          <w:rFonts w:ascii="仿宋" w:hAnsi="仿宋" w:eastAsia="仿宋" w:cs="仿宋"/>
          <w:color w:val="auto"/>
          <w:highlight w:val="none"/>
        </w:rPr>
      </w:pPr>
      <w:bookmarkStart w:id="81" w:name="_Toc56856853"/>
      <w:r>
        <w:rPr>
          <w:rFonts w:hint="eastAsia" w:ascii="仿宋" w:hAnsi="仿宋" w:eastAsia="仿宋" w:cs="仿宋"/>
          <w:color w:val="auto"/>
          <w:highlight w:val="none"/>
        </w:rPr>
        <w:t>1.8计量单位</w:t>
      </w:r>
      <w:bookmarkEnd w:id="81"/>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所有计量均采用中华人民共和国法定计量单位。</w:t>
      </w:r>
    </w:p>
    <w:p>
      <w:pPr>
        <w:pStyle w:val="5"/>
        <w:shd w:val="clear"/>
        <w:spacing w:line="240" w:lineRule="auto"/>
        <w:ind w:firstLine="137"/>
        <w:rPr>
          <w:rFonts w:ascii="仿宋" w:hAnsi="仿宋" w:eastAsia="仿宋" w:cs="仿宋"/>
          <w:color w:val="auto"/>
          <w:highlight w:val="none"/>
        </w:rPr>
      </w:pPr>
      <w:bookmarkStart w:id="82" w:name="_Toc300834959"/>
      <w:bookmarkStart w:id="83" w:name="_Toc247527563"/>
      <w:bookmarkStart w:id="84" w:name="_Toc247513962"/>
      <w:bookmarkStart w:id="85" w:name="_Toc152045539"/>
      <w:bookmarkStart w:id="86" w:name="_Toc482188480"/>
      <w:bookmarkStart w:id="87" w:name="_Toc144974507"/>
      <w:bookmarkStart w:id="88" w:name="_Toc384308219"/>
      <w:bookmarkStart w:id="89" w:name="_Toc361508594"/>
      <w:bookmarkStart w:id="90" w:name="_Toc391393967"/>
      <w:bookmarkStart w:id="91" w:name="_Toc56856854"/>
      <w:bookmarkStart w:id="92" w:name="_Toc152042315"/>
      <w:bookmarkStart w:id="93" w:name="_Toc370676289"/>
      <w:r>
        <w:rPr>
          <w:rFonts w:hint="eastAsia" w:ascii="仿宋" w:hAnsi="仿宋" w:eastAsia="仿宋" w:cs="仿宋"/>
          <w:color w:val="auto"/>
          <w:highlight w:val="none"/>
        </w:rPr>
        <w:t>1.9 踏勘现场</w:t>
      </w:r>
      <w:bookmarkEnd w:id="82"/>
      <w:bookmarkEnd w:id="83"/>
      <w:bookmarkEnd w:id="84"/>
      <w:bookmarkEnd w:id="85"/>
      <w:bookmarkEnd w:id="86"/>
      <w:bookmarkEnd w:id="87"/>
      <w:bookmarkEnd w:id="88"/>
      <w:bookmarkEnd w:id="89"/>
      <w:bookmarkEnd w:id="90"/>
      <w:bookmarkEnd w:id="91"/>
      <w:bookmarkEnd w:id="92"/>
      <w:bookmarkEnd w:id="93"/>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1.9.1 投标人须知前附表规定组织踏勘现场的，招标人按投标人须知前附表规定的时间、地点组织投标人踏勘项目现场。部分投标人未按时参加踏勘现场的，不影响踏勘现场的正常进行。</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1.9.2 投标人须知前附表中没有规定组织踏勘现场的，投标人应自行对工程现场和周围环境进行现场踏勘，投标人应充分重视和仔细地进行这种考察，以便投标人获取那些须投标人自己负责的有关编制投标文件和签署合同所涉及现场所有的资料。一旦中标，这种考察即被认为其结果已在中标文件中得到充分反映。考察现场的费用由投标人自己承担。</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1.9.3 投标人踏勘现场发生的费用自理。</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1.9.4 除招标人的原因外，投标人自行负责在踏勘现场中所发生的人员伤亡和财产损失。</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1.9.5 招标人在踏勘现场中介绍的工程场地和相关的周边环境情况，供投标人在编制投标文件时参考，招标人不对投标人据此作出的判断和决策负责。</w:t>
      </w:r>
    </w:p>
    <w:p>
      <w:pPr>
        <w:pStyle w:val="5"/>
        <w:shd w:val="clear"/>
        <w:spacing w:line="240" w:lineRule="auto"/>
        <w:ind w:firstLine="137"/>
        <w:rPr>
          <w:rFonts w:ascii="仿宋" w:hAnsi="仿宋" w:eastAsia="仿宋" w:cs="仿宋"/>
          <w:color w:val="auto"/>
          <w:highlight w:val="none"/>
        </w:rPr>
      </w:pPr>
      <w:bookmarkStart w:id="94" w:name="_Toc56856855"/>
      <w:r>
        <w:rPr>
          <w:rFonts w:hint="eastAsia" w:ascii="仿宋" w:hAnsi="仿宋" w:eastAsia="仿宋" w:cs="仿宋"/>
          <w:color w:val="auto"/>
          <w:highlight w:val="none"/>
        </w:rPr>
        <w:t>1.10投标预备会</w:t>
      </w:r>
      <w:bookmarkEnd w:id="94"/>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1.10.1 投标人须知前附表规定召开投标预备会的，招标人按投标人须知前附表规定的时间和地点召开投标预备会，澄清投标人提出的问题。</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1.10.2 投标人应按投标人须知前附表规定的时间和形式将提出的问题送达招标人，以便招标人在会议期间澄清。</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1.10.3 投标预备会后，招标人将对投标人所提问题的澄清，以投标人须知前附表规定的形式通知所有购买招标文件的投标人。该澄清内容为招标文件的组成部分。</w:t>
      </w:r>
    </w:p>
    <w:p>
      <w:pPr>
        <w:pStyle w:val="5"/>
        <w:shd w:val="clear"/>
        <w:spacing w:line="240" w:lineRule="auto"/>
        <w:ind w:firstLine="137"/>
        <w:rPr>
          <w:rFonts w:hint="eastAsia" w:ascii="仿宋" w:hAnsi="仿宋" w:eastAsia="仿宋" w:cs="仿宋"/>
          <w:color w:val="auto"/>
          <w:highlight w:val="none"/>
          <w:lang w:eastAsia="zh-CN"/>
        </w:rPr>
      </w:pPr>
      <w:bookmarkStart w:id="95" w:name="_Toc56856856"/>
      <w:r>
        <w:rPr>
          <w:rFonts w:hint="eastAsia" w:ascii="仿宋" w:hAnsi="仿宋" w:eastAsia="仿宋" w:cs="仿宋"/>
          <w:color w:val="auto"/>
          <w:highlight w:val="none"/>
        </w:rPr>
        <w:t>1.11 分包</w:t>
      </w:r>
      <w:bookmarkEnd w:id="95"/>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本项目不适用</w:t>
      </w:r>
      <w:r>
        <w:rPr>
          <w:rFonts w:hint="eastAsia" w:ascii="仿宋" w:hAnsi="仿宋" w:eastAsia="仿宋" w:cs="仿宋"/>
          <w:color w:val="auto"/>
          <w:highlight w:val="none"/>
          <w:lang w:eastAsia="zh-CN"/>
        </w:rPr>
        <w:t>）</w:t>
      </w:r>
    </w:p>
    <w:p>
      <w:pPr>
        <w:shd w:val="clear"/>
        <w:spacing w:line="400" w:lineRule="exact"/>
        <w:ind w:firstLine="420" w:firstLineChars="200"/>
        <w:rPr>
          <w:rFonts w:ascii="仿宋" w:hAnsi="仿宋" w:eastAsia="仿宋" w:cs="仿宋"/>
          <w:color w:val="auto"/>
          <w:szCs w:val="20"/>
          <w:highlight w:val="none"/>
        </w:rPr>
      </w:pPr>
      <w:r>
        <w:rPr>
          <w:rFonts w:hint="eastAsia" w:ascii="仿宋" w:hAnsi="仿宋" w:eastAsia="仿宋" w:cs="仿宋"/>
          <w:color w:val="auto"/>
          <w:highlight w:val="none"/>
        </w:rPr>
        <w:t xml:space="preserve">1.11.1 投标人拟在中标后将中标项目的非主体、非关键性工作进行分包的，应符合投标人须知前附表规定的分包内容、分包金额和资质要求等限制性条件，除投标人须知前附表规定的非主体、非关键性工作外，其他工作不得分包。 </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1.11.2中标人不得向他人转让中标项目，接受分包的人不得再次分包。中标人应当就分包项目向招标人负责，接受分包的人就分包项目承担连带责任。</w:t>
      </w:r>
    </w:p>
    <w:p>
      <w:pPr>
        <w:pStyle w:val="5"/>
        <w:shd w:val="clear"/>
        <w:spacing w:line="240" w:lineRule="auto"/>
        <w:ind w:firstLine="137"/>
        <w:rPr>
          <w:rFonts w:ascii="仿宋" w:hAnsi="仿宋" w:eastAsia="仿宋" w:cs="仿宋"/>
          <w:color w:val="auto"/>
          <w:highlight w:val="none"/>
        </w:rPr>
      </w:pPr>
      <w:bookmarkStart w:id="96" w:name="_Toc56856857"/>
      <w:r>
        <w:rPr>
          <w:rFonts w:hint="eastAsia" w:ascii="仿宋" w:hAnsi="仿宋" w:eastAsia="仿宋" w:cs="仿宋"/>
          <w:color w:val="auto"/>
          <w:highlight w:val="none"/>
        </w:rPr>
        <w:t>1.12响应和偏差</w:t>
      </w:r>
      <w:bookmarkEnd w:id="96"/>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1.12.1投标文件应当对招标文件的实质性要求和条件作出满足性或更有利于招标人的响应，否则，投标人的投标将被否决。</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 xml:space="preserve">1.12.2 </w:t>
      </w:r>
      <w:r>
        <w:rPr>
          <w:rFonts w:hint="eastAsia" w:ascii="仿宋" w:hAnsi="仿宋" w:eastAsia="仿宋" w:cs="仿宋"/>
          <w:color w:val="auto"/>
          <w:szCs w:val="21"/>
          <w:highlight w:val="none"/>
        </w:rPr>
        <w:t>投标人应根据招标文件的要求提供</w:t>
      </w:r>
      <w:r>
        <w:rPr>
          <w:rFonts w:hint="eastAsia" w:ascii="仿宋" w:hAnsi="仿宋" w:eastAsia="仿宋" w:cs="仿宋"/>
          <w:color w:val="auto"/>
          <w:highlight w:val="none"/>
        </w:rPr>
        <w:t>投标方案等内容以对招标文件作出响应。</w:t>
      </w:r>
    </w:p>
    <w:p>
      <w:pPr>
        <w:shd w:val="clear"/>
        <w:spacing w:line="400" w:lineRule="exact"/>
        <w:ind w:firstLine="435"/>
        <w:rPr>
          <w:rFonts w:ascii="仿宋" w:hAnsi="仿宋" w:eastAsia="仿宋" w:cs="仿宋"/>
          <w:color w:val="auto"/>
          <w:highlight w:val="none"/>
        </w:rPr>
      </w:pPr>
      <w:r>
        <w:rPr>
          <w:rFonts w:hint="eastAsia" w:ascii="仿宋" w:hAnsi="仿宋" w:eastAsia="仿宋" w:cs="仿宋"/>
          <w:color w:val="auto"/>
          <w:highlight w:val="none"/>
        </w:rPr>
        <w:t>1.12.3投标人须知前附表允许投标文件偏离招标文件某些要求的，偏差应当符合招标文件规定的偏差范围和幅度。</w:t>
      </w:r>
    </w:p>
    <w:p>
      <w:pPr>
        <w:pStyle w:val="4"/>
        <w:shd w:val="clear"/>
        <w:rPr>
          <w:rFonts w:ascii="仿宋" w:hAnsi="仿宋" w:eastAsia="仿宋" w:cs="仿宋"/>
          <w:color w:val="auto"/>
          <w:highlight w:val="none"/>
        </w:rPr>
      </w:pPr>
      <w:bookmarkStart w:id="97" w:name="_Toc56856858"/>
      <w:r>
        <w:rPr>
          <w:rFonts w:hint="eastAsia" w:ascii="仿宋" w:hAnsi="仿宋" w:eastAsia="仿宋" w:cs="仿宋"/>
          <w:color w:val="auto"/>
          <w:highlight w:val="none"/>
        </w:rPr>
        <w:t>2. 招标文件</w:t>
      </w:r>
      <w:bookmarkEnd w:id="97"/>
    </w:p>
    <w:p>
      <w:pPr>
        <w:pStyle w:val="5"/>
        <w:shd w:val="clear"/>
        <w:spacing w:line="240" w:lineRule="auto"/>
        <w:ind w:firstLine="137"/>
        <w:rPr>
          <w:rFonts w:ascii="仿宋" w:hAnsi="仿宋" w:eastAsia="仿宋" w:cs="仿宋"/>
          <w:color w:val="auto"/>
          <w:highlight w:val="none"/>
        </w:rPr>
      </w:pPr>
      <w:bookmarkStart w:id="98" w:name="_Toc56856859"/>
      <w:r>
        <w:rPr>
          <w:rFonts w:hint="eastAsia" w:ascii="仿宋" w:hAnsi="仿宋" w:eastAsia="仿宋" w:cs="仿宋"/>
          <w:color w:val="auto"/>
          <w:highlight w:val="none"/>
        </w:rPr>
        <w:t>2.1 招标文件的组成</w:t>
      </w:r>
      <w:bookmarkEnd w:id="98"/>
    </w:p>
    <w:p>
      <w:pPr>
        <w:shd w:val="clear"/>
        <w:spacing w:line="400" w:lineRule="exact"/>
        <w:ind w:firstLine="359" w:firstLineChars="171"/>
        <w:rPr>
          <w:rFonts w:ascii="仿宋" w:hAnsi="仿宋" w:eastAsia="仿宋" w:cs="仿宋"/>
          <w:color w:val="auto"/>
          <w:highlight w:val="none"/>
        </w:rPr>
      </w:pPr>
      <w:r>
        <w:rPr>
          <w:rFonts w:hint="eastAsia" w:ascii="仿宋" w:hAnsi="仿宋" w:eastAsia="仿宋" w:cs="仿宋"/>
          <w:color w:val="auto"/>
          <w:highlight w:val="none"/>
        </w:rPr>
        <w:t>本招标文件包括：</w:t>
      </w:r>
    </w:p>
    <w:p>
      <w:pPr>
        <w:shd w:val="clear"/>
        <w:spacing w:line="400" w:lineRule="exact"/>
        <w:ind w:firstLine="359" w:firstLineChars="171"/>
        <w:rPr>
          <w:rFonts w:ascii="仿宋" w:hAnsi="仿宋" w:eastAsia="仿宋" w:cs="仿宋"/>
          <w:color w:val="auto"/>
          <w:highlight w:val="none"/>
        </w:rPr>
      </w:pPr>
      <w:r>
        <w:rPr>
          <w:rFonts w:hint="eastAsia" w:ascii="仿宋" w:hAnsi="仿宋" w:eastAsia="仿宋" w:cs="仿宋"/>
          <w:color w:val="auto"/>
          <w:highlight w:val="none"/>
        </w:rPr>
        <w:t>（1）招标公告；</w:t>
      </w:r>
    </w:p>
    <w:p>
      <w:pPr>
        <w:shd w:val="clear"/>
        <w:spacing w:line="400" w:lineRule="exact"/>
        <w:ind w:firstLine="359" w:firstLineChars="171"/>
        <w:rPr>
          <w:rFonts w:ascii="仿宋" w:hAnsi="仿宋" w:eastAsia="仿宋" w:cs="仿宋"/>
          <w:color w:val="auto"/>
          <w:highlight w:val="none"/>
        </w:rPr>
      </w:pPr>
      <w:r>
        <w:rPr>
          <w:rFonts w:hint="eastAsia" w:ascii="仿宋" w:hAnsi="仿宋" w:eastAsia="仿宋" w:cs="仿宋"/>
          <w:color w:val="auto"/>
          <w:highlight w:val="none"/>
        </w:rPr>
        <w:t>（2）投标人须知；</w:t>
      </w:r>
    </w:p>
    <w:p>
      <w:pPr>
        <w:shd w:val="clear"/>
        <w:spacing w:line="400" w:lineRule="exact"/>
        <w:ind w:firstLine="359" w:firstLineChars="171"/>
        <w:rPr>
          <w:rFonts w:ascii="仿宋" w:hAnsi="仿宋" w:eastAsia="仿宋" w:cs="仿宋"/>
          <w:color w:val="auto"/>
          <w:highlight w:val="none"/>
        </w:rPr>
      </w:pPr>
      <w:r>
        <w:rPr>
          <w:rFonts w:hint="eastAsia" w:ascii="仿宋" w:hAnsi="仿宋" w:eastAsia="仿宋" w:cs="仿宋"/>
          <w:color w:val="auto"/>
          <w:highlight w:val="none"/>
        </w:rPr>
        <w:t>（3）评标办法；</w:t>
      </w:r>
    </w:p>
    <w:p>
      <w:pPr>
        <w:shd w:val="clear"/>
        <w:spacing w:line="400" w:lineRule="exact"/>
        <w:ind w:firstLine="359" w:firstLineChars="171"/>
        <w:rPr>
          <w:rFonts w:ascii="仿宋" w:hAnsi="仿宋" w:eastAsia="仿宋" w:cs="仿宋"/>
          <w:color w:val="auto"/>
          <w:highlight w:val="none"/>
        </w:rPr>
      </w:pPr>
      <w:r>
        <w:rPr>
          <w:rFonts w:hint="eastAsia" w:ascii="仿宋" w:hAnsi="仿宋" w:eastAsia="仿宋" w:cs="仿宋"/>
          <w:color w:val="auto"/>
          <w:highlight w:val="none"/>
        </w:rPr>
        <w:t>（4）合同条款及格式；</w:t>
      </w:r>
    </w:p>
    <w:p>
      <w:pPr>
        <w:shd w:val="clear"/>
        <w:spacing w:line="400" w:lineRule="exact"/>
        <w:ind w:firstLine="359" w:firstLineChars="171"/>
        <w:rPr>
          <w:rFonts w:ascii="仿宋" w:hAnsi="仿宋" w:eastAsia="仿宋" w:cs="仿宋"/>
          <w:color w:val="auto"/>
          <w:highlight w:val="none"/>
        </w:rPr>
      </w:pPr>
      <w:r>
        <w:rPr>
          <w:rFonts w:hint="eastAsia" w:ascii="仿宋" w:hAnsi="仿宋" w:eastAsia="仿宋" w:cs="仿宋"/>
          <w:color w:val="auto"/>
          <w:highlight w:val="none"/>
        </w:rPr>
        <w:t>（5）发包人要求；</w:t>
      </w:r>
    </w:p>
    <w:p>
      <w:pPr>
        <w:shd w:val="clear"/>
        <w:spacing w:line="400" w:lineRule="exact"/>
        <w:ind w:firstLine="359" w:firstLineChars="171"/>
        <w:rPr>
          <w:rFonts w:ascii="仿宋" w:hAnsi="仿宋" w:eastAsia="仿宋" w:cs="仿宋"/>
          <w:color w:val="auto"/>
          <w:highlight w:val="none"/>
        </w:rPr>
      </w:pPr>
      <w:r>
        <w:rPr>
          <w:rFonts w:hint="eastAsia" w:ascii="仿宋" w:hAnsi="仿宋" w:eastAsia="仿宋" w:cs="仿宋"/>
          <w:color w:val="auto"/>
          <w:highlight w:val="none"/>
        </w:rPr>
        <w:t>（6）投标文件格式；</w:t>
      </w:r>
    </w:p>
    <w:p>
      <w:pPr>
        <w:shd w:val="clear"/>
        <w:spacing w:line="400" w:lineRule="exact"/>
        <w:ind w:firstLine="359" w:firstLineChars="171"/>
        <w:rPr>
          <w:rFonts w:ascii="仿宋" w:hAnsi="仿宋" w:eastAsia="仿宋" w:cs="仿宋"/>
          <w:color w:val="auto"/>
          <w:highlight w:val="none"/>
        </w:rPr>
      </w:pPr>
      <w:r>
        <w:rPr>
          <w:rFonts w:hint="eastAsia" w:ascii="仿宋" w:hAnsi="仿宋" w:eastAsia="仿宋" w:cs="仿宋"/>
          <w:color w:val="auto"/>
          <w:highlight w:val="none"/>
        </w:rPr>
        <w:t>（7）投标人须知前附表规定的其他资料。</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根据本章第1.10款、第2.2款和第2.3款对招标文件所作的澄清、修改，构成招标文件的组成部分。</w:t>
      </w:r>
    </w:p>
    <w:p>
      <w:pPr>
        <w:pStyle w:val="5"/>
        <w:shd w:val="clear"/>
        <w:spacing w:line="240" w:lineRule="auto"/>
        <w:ind w:firstLine="137"/>
        <w:rPr>
          <w:rFonts w:ascii="仿宋" w:hAnsi="仿宋" w:eastAsia="仿宋" w:cs="仿宋"/>
          <w:color w:val="auto"/>
          <w:highlight w:val="none"/>
        </w:rPr>
      </w:pPr>
      <w:bookmarkStart w:id="99" w:name="_Toc56856860"/>
      <w:r>
        <w:rPr>
          <w:rFonts w:hint="eastAsia" w:ascii="仿宋" w:hAnsi="仿宋" w:eastAsia="仿宋" w:cs="仿宋"/>
          <w:color w:val="auto"/>
          <w:highlight w:val="none"/>
        </w:rPr>
        <w:t>2.2 招标文件的澄清</w:t>
      </w:r>
      <w:bookmarkEnd w:id="99"/>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2.2.2招标文件的澄清以投标人须知前附表规定的形式发给所有购买招标文件的投标人，但不指明澄清问题的来源。澄清发出的时间距本章第4.2.1项规定的投标截止时间不足15日的，并且澄清内容可能影响投标文件编制的，将相应延长投标截止时间。</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2.2.3澄清内容一经发布，视作已发布给所有投标人。澄清文件将作为招标文件的一部分，视为签订合同和项目结算的依据。</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2.2.4 除非招标人认为确有必要答复，否则，招标人有权拒绝回复投标人在本章第2.2.1项规定的时间后的任何澄清要求。</w:t>
      </w:r>
    </w:p>
    <w:p>
      <w:pPr>
        <w:pStyle w:val="5"/>
        <w:shd w:val="clear"/>
        <w:spacing w:line="240" w:lineRule="auto"/>
        <w:ind w:firstLine="137"/>
        <w:rPr>
          <w:rFonts w:ascii="仿宋" w:hAnsi="仿宋" w:eastAsia="仿宋" w:cs="仿宋"/>
          <w:color w:val="auto"/>
          <w:highlight w:val="none"/>
        </w:rPr>
      </w:pPr>
      <w:bookmarkStart w:id="100" w:name="_Toc56856861"/>
      <w:bookmarkStart w:id="101" w:name="_Toc352691479"/>
      <w:r>
        <w:rPr>
          <w:rFonts w:hint="eastAsia" w:ascii="仿宋" w:hAnsi="仿宋" w:eastAsia="仿宋" w:cs="仿宋"/>
          <w:color w:val="auto"/>
          <w:highlight w:val="none"/>
        </w:rPr>
        <w:t>2.3 招标文件的修</w:t>
      </w:r>
      <w:bookmarkStart w:id="102" w:name="_Toc369531521"/>
      <w:bookmarkStart w:id="103" w:name="_Toc16514"/>
      <w:r>
        <w:rPr>
          <w:rFonts w:hint="eastAsia" w:ascii="仿宋" w:hAnsi="仿宋" w:eastAsia="仿宋" w:cs="仿宋"/>
          <w:color w:val="auto"/>
          <w:highlight w:val="none"/>
        </w:rPr>
        <w:t>改</w:t>
      </w:r>
      <w:bookmarkEnd w:id="100"/>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2.3.1招标人可以书面形式修改招标文件，并通过本章第2.2.2项的方式发布，一经发布，即视为已送达所有潜在投标人。修改招标文件的时间距投标人须知前附表规定的投标截止时间不足15天的，并且澄清内容影响投标文件编制的，将相应延长投标截止时间。</w:t>
      </w:r>
    </w:p>
    <w:bookmarkEnd w:id="101"/>
    <w:bookmarkEnd w:id="102"/>
    <w:bookmarkEnd w:id="103"/>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2.3.2修改内容一经在招标代理机构网站上发布，视作已发布给所有投标人。修改的文件将作为招标文件的一部分，视为签订合同和项目结算的依据</w:t>
      </w:r>
      <w:bookmarkStart w:id="104" w:name="_Toc16623"/>
      <w:bookmarkStart w:id="105" w:name="_Toc384308220"/>
      <w:bookmarkStart w:id="106" w:name="_Toc247513963"/>
      <w:bookmarkStart w:id="107" w:name="_Toc361508595"/>
      <w:bookmarkStart w:id="108" w:name="_Toc300834960"/>
      <w:bookmarkStart w:id="109" w:name="_Toc369531526"/>
      <w:bookmarkStart w:id="110" w:name="_Toc247527564"/>
      <w:bookmarkStart w:id="111" w:name="_Toc152042316"/>
      <w:bookmarkStart w:id="112" w:name="_Toc144974508"/>
      <w:bookmarkStart w:id="113" w:name="_Toc152045540"/>
      <w:bookmarkStart w:id="114" w:name="_Toc352691484"/>
      <w:r>
        <w:rPr>
          <w:rFonts w:hint="eastAsia" w:ascii="仿宋" w:hAnsi="仿宋" w:eastAsia="仿宋" w:cs="仿宋"/>
          <w:color w:val="auto"/>
          <w:highlight w:val="none"/>
        </w:rPr>
        <w:t>。</w:t>
      </w:r>
    </w:p>
    <w:p>
      <w:pPr>
        <w:pStyle w:val="5"/>
        <w:shd w:val="clear"/>
        <w:spacing w:line="240" w:lineRule="auto"/>
        <w:ind w:firstLine="137"/>
        <w:rPr>
          <w:rFonts w:ascii="仿宋" w:hAnsi="仿宋" w:eastAsia="仿宋" w:cs="仿宋"/>
          <w:color w:val="auto"/>
          <w:highlight w:val="none"/>
        </w:rPr>
      </w:pPr>
      <w:bookmarkStart w:id="115" w:name="_Toc56856862"/>
      <w:r>
        <w:rPr>
          <w:rFonts w:hint="eastAsia" w:ascii="仿宋" w:hAnsi="仿宋" w:eastAsia="仿宋" w:cs="仿宋"/>
          <w:color w:val="auto"/>
          <w:highlight w:val="none"/>
        </w:rPr>
        <w:t>2.</w:t>
      </w:r>
      <w:bookmarkEnd w:id="104"/>
      <w:bookmarkEnd w:id="105"/>
      <w:bookmarkEnd w:id="106"/>
      <w:bookmarkEnd w:id="107"/>
      <w:bookmarkEnd w:id="108"/>
      <w:bookmarkEnd w:id="109"/>
      <w:bookmarkEnd w:id="110"/>
      <w:bookmarkEnd w:id="111"/>
      <w:bookmarkEnd w:id="112"/>
      <w:bookmarkEnd w:id="113"/>
      <w:bookmarkEnd w:id="114"/>
      <w:r>
        <w:rPr>
          <w:rFonts w:hint="eastAsia" w:ascii="仿宋" w:hAnsi="仿宋" w:eastAsia="仿宋" w:cs="仿宋"/>
          <w:color w:val="auto"/>
          <w:highlight w:val="none"/>
        </w:rPr>
        <w:t>4 招标文件的异议</w:t>
      </w:r>
      <w:bookmarkEnd w:id="115"/>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投标人或者其他利害关系人对招标文件有异议的，应当在投标截止时间10日前以书面形式提出。招标人将在收到异议之日起3日内作出答复；作出答复前，将暂停招标投标活动。</w:t>
      </w:r>
    </w:p>
    <w:p>
      <w:pPr>
        <w:pStyle w:val="4"/>
        <w:shd w:val="clear"/>
        <w:rPr>
          <w:rFonts w:ascii="仿宋" w:hAnsi="仿宋" w:eastAsia="仿宋" w:cs="仿宋"/>
          <w:color w:val="auto"/>
          <w:highlight w:val="none"/>
        </w:rPr>
      </w:pPr>
      <w:bookmarkStart w:id="116" w:name="_Toc56856863"/>
      <w:r>
        <w:rPr>
          <w:rFonts w:hint="eastAsia" w:ascii="仿宋" w:hAnsi="仿宋" w:eastAsia="仿宋" w:cs="仿宋"/>
          <w:color w:val="auto"/>
          <w:highlight w:val="none"/>
        </w:rPr>
        <w:t>3. 投标文件</w:t>
      </w:r>
      <w:bookmarkEnd w:id="116"/>
    </w:p>
    <w:p>
      <w:pPr>
        <w:pStyle w:val="5"/>
        <w:shd w:val="clear"/>
        <w:spacing w:line="240" w:lineRule="auto"/>
        <w:ind w:firstLine="137"/>
        <w:rPr>
          <w:rFonts w:ascii="仿宋" w:hAnsi="仿宋" w:eastAsia="仿宋" w:cs="仿宋"/>
          <w:color w:val="auto"/>
          <w:highlight w:val="none"/>
        </w:rPr>
      </w:pPr>
      <w:bookmarkStart w:id="117" w:name="_Toc56856864"/>
      <w:r>
        <w:rPr>
          <w:rFonts w:hint="eastAsia" w:ascii="仿宋" w:hAnsi="仿宋" w:eastAsia="仿宋" w:cs="仿宋"/>
          <w:color w:val="auto"/>
          <w:highlight w:val="none"/>
        </w:rPr>
        <w:t>3.1 投标文件的组成</w:t>
      </w:r>
      <w:bookmarkEnd w:id="117"/>
    </w:p>
    <w:p>
      <w:pPr>
        <w:shd w:val="clear"/>
        <w:spacing w:line="400" w:lineRule="exact"/>
        <w:rPr>
          <w:rFonts w:ascii="仿宋" w:hAnsi="仿宋" w:eastAsia="仿宋" w:cs="仿宋"/>
          <w:color w:val="auto"/>
          <w:highlight w:val="none"/>
        </w:rPr>
      </w:pPr>
      <w:r>
        <w:rPr>
          <w:rFonts w:hint="eastAsia" w:ascii="仿宋" w:hAnsi="仿宋" w:eastAsia="仿宋" w:cs="仿宋"/>
          <w:color w:val="auto"/>
          <w:highlight w:val="none"/>
        </w:rPr>
        <w:t>　　3.1.1投标文件应包括招标文件第六章投标文件格式所列内容。</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3.1.2投标人在评标过程中作出的符合法律法规和招标文件规定的澄清确认，构成投标文件的组成部分。</w:t>
      </w:r>
    </w:p>
    <w:p>
      <w:pPr>
        <w:pStyle w:val="5"/>
        <w:shd w:val="clear"/>
        <w:spacing w:line="240" w:lineRule="auto"/>
        <w:ind w:firstLine="137"/>
        <w:rPr>
          <w:rFonts w:ascii="仿宋" w:hAnsi="仿宋" w:eastAsia="仿宋" w:cs="仿宋"/>
          <w:color w:val="auto"/>
          <w:highlight w:val="none"/>
        </w:rPr>
      </w:pPr>
      <w:bookmarkStart w:id="118" w:name="_Toc56856865"/>
      <w:r>
        <w:rPr>
          <w:rFonts w:hint="eastAsia" w:ascii="仿宋" w:hAnsi="仿宋" w:eastAsia="仿宋" w:cs="仿宋"/>
          <w:color w:val="auto"/>
          <w:highlight w:val="none"/>
        </w:rPr>
        <w:t>3.2 投标报价</w:t>
      </w:r>
      <w:bookmarkEnd w:id="118"/>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3.2.1投标人应按第六章“投标文件格式”的要求填写投标报价表。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3.2.2 投标人应充分了解该项目的总体情况以及影响投标报价的其他要素。</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3.2.3</w:t>
      </w:r>
      <w:bookmarkStart w:id="119" w:name="_Toc247527568"/>
      <w:bookmarkEnd w:id="119"/>
      <w:bookmarkStart w:id="120" w:name="_Toc369531530"/>
      <w:bookmarkEnd w:id="120"/>
      <w:bookmarkStart w:id="121" w:name="_Toc384308224"/>
      <w:bookmarkEnd w:id="121"/>
      <w:bookmarkStart w:id="122" w:name="_Toc352691487"/>
      <w:bookmarkEnd w:id="122"/>
      <w:bookmarkStart w:id="123" w:name="_Toc152042319"/>
      <w:bookmarkEnd w:id="123"/>
      <w:bookmarkStart w:id="124" w:name="_Toc15242"/>
      <w:bookmarkEnd w:id="124"/>
      <w:bookmarkStart w:id="125" w:name="_Toc144974511"/>
      <w:bookmarkEnd w:id="125"/>
      <w:bookmarkStart w:id="126" w:name="_Toc152045543"/>
      <w:bookmarkEnd w:id="126"/>
      <w:bookmarkStart w:id="127" w:name="_Toc247513967"/>
      <w:bookmarkEnd w:id="127"/>
      <w:bookmarkStart w:id="128" w:name="_Toc300834964"/>
      <w:bookmarkEnd w:id="128"/>
      <w:bookmarkStart w:id="129" w:name="_Toc361508599"/>
      <w:bookmarkEnd w:id="129"/>
      <w:r>
        <w:rPr>
          <w:rFonts w:hint="eastAsia" w:ascii="仿宋" w:hAnsi="仿宋" w:eastAsia="仿宋" w:cs="仿宋"/>
          <w:color w:val="auto"/>
          <w:highlight w:val="none"/>
        </w:rPr>
        <w:t xml:space="preserve"> 本项目的报价方式见投标人须知前附表。投标人在投标截止时间前修改投标函中的投标报价总额，应同时修改投标文件中的相应报价。此修改须符合本章第4.3款的有关要求。</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3.2.4 招标人设有最高投标限价的，投标人的投标报价不得超过最高投标限价，最高投标限价在投标</w:t>
      </w:r>
      <w:bookmarkStart w:id="130" w:name="_Toc369531531"/>
      <w:bookmarkStart w:id="131" w:name="_Toc10429"/>
      <w:bookmarkStart w:id="132" w:name="_Toc361508600"/>
      <w:bookmarkStart w:id="133" w:name="_Toc300834965"/>
      <w:bookmarkStart w:id="134" w:name="_Toc247527569"/>
      <w:bookmarkStart w:id="135" w:name="_Toc144974512"/>
      <w:bookmarkStart w:id="136" w:name="_Toc247513968"/>
      <w:bookmarkStart w:id="137" w:name="_Toc352691488"/>
      <w:bookmarkStart w:id="138" w:name="_Toc384308225"/>
      <w:bookmarkStart w:id="139" w:name="_Toc152042320"/>
      <w:bookmarkStart w:id="140" w:name="_Toc152045544"/>
      <w:r>
        <w:rPr>
          <w:rFonts w:hint="eastAsia" w:ascii="仿宋" w:hAnsi="仿宋" w:eastAsia="仿宋" w:cs="仿宋"/>
          <w:color w:val="auto"/>
          <w:highlight w:val="none"/>
        </w:rPr>
        <w:t>人须知前附表中载明。</w:t>
      </w:r>
      <w:bookmarkEnd w:id="130"/>
      <w:bookmarkEnd w:id="131"/>
      <w:bookmarkEnd w:id="132"/>
      <w:bookmarkEnd w:id="133"/>
      <w:bookmarkEnd w:id="134"/>
      <w:bookmarkEnd w:id="135"/>
      <w:bookmarkEnd w:id="136"/>
      <w:bookmarkEnd w:id="137"/>
      <w:bookmarkEnd w:id="138"/>
      <w:bookmarkEnd w:id="139"/>
      <w:bookmarkEnd w:id="140"/>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3.2.5 投标报价的其他要求见投标人须知前附表。</w:t>
      </w:r>
    </w:p>
    <w:p>
      <w:pPr>
        <w:pStyle w:val="5"/>
        <w:shd w:val="clear"/>
        <w:spacing w:line="240" w:lineRule="auto"/>
        <w:ind w:firstLine="137"/>
        <w:rPr>
          <w:rFonts w:ascii="仿宋" w:hAnsi="仿宋" w:eastAsia="仿宋" w:cs="仿宋"/>
          <w:color w:val="auto"/>
          <w:highlight w:val="none"/>
        </w:rPr>
      </w:pPr>
      <w:bookmarkStart w:id="141" w:name="_Toc56856866"/>
      <w:r>
        <w:rPr>
          <w:rFonts w:hint="eastAsia" w:ascii="仿宋" w:hAnsi="仿宋" w:eastAsia="仿宋" w:cs="仿宋"/>
          <w:color w:val="auto"/>
          <w:highlight w:val="none"/>
        </w:rPr>
        <w:t>3.3 投标有效期</w:t>
      </w:r>
      <w:bookmarkEnd w:id="141"/>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3.3.1 除投标人须知前附表另有规定外，投标有效期为90天。</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3.3.2 在投标有效期内，投标人撤销投标文件的，应承担招标文件和法律规定的责任。</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pPr>
        <w:pStyle w:val="5"/>
        <w:shd w:val="clear"/>
        <w:spacing w:line="240" w:lineRule="auto"/>
        <w:ind w:firstLine="137"/>
        <w:rPr>
          <w:rFonts w:ascii="仿宋" w:hAnsi="仿宋" w:eastAsia="仿宋" w:cs="仿宋"/>
          <w:color w:val="auto"/>
          <w:highlight w:val="none"/>
        </w:rPr>
      </w:pPr>
      <w:bookmarkStart w:id="142" w:name="_Toc56856867"/>
      <w:r>
        <w:rPr>
          <w:rFonts w:hint="eastAsia" w:ascii="仿宋" w:hAnsi="仿宋" w:eastAsia="仿宋" w:cs="仿宋"/>
          <w:color w:val="auto"/>
          <w:highlight w:val="none"/>
        </w:rPr>
        <w:t>3.4 投标保证金</w:t>
      </w:r>
      <w:bookmarkEnd w:id="142"/>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3.4.1 投标人在递交投标文件的同时，应按投标人须知前附表规定的金额</w:t>
      </w:r>
      <w:bookmarkStart w:id="143" w:name="_Toc369531532"/>
      <w:bookmarkStart w:id="144" w:name="_Toc361508601"/>
      <w:bookmarkStart w:id="145" w:name="_Toc152045545"/>
      <w:bookmarkStart w:id="146" w:name="_Toc384308226"/>
      <w:bookmarkStart w:id="147" w:name="_Toc247527570"/>
      <w:bookmarkStart w:id="148" w:name="_Toc144974513"/>
      <w:bookmarkStart w:id="149" w:name="_Toc247513969"/>
      <w:bookmarkStart w:id="150" w:name="_Toc300834966"/>
      <w:bookmarkStart w:id="151" w:name="_Toc152042321"/>
      <w:bookmarkStart w:id="152" w:name="_Toc4592"/>
      <w:bookmarkStart w:id="153" w:name="_Toc352691489"/>
      <w:r>
        <w:rPr>
          <w:rFonts w:hint="eastAsia" w:ascii="仿宋" w:hAnsi="仿宋" w:eastAsia="仿宋" w:cs="仿宋"/>
          <w:color w:val="auto"/>
          <w:highlight w:val="none"/>
        </w:rPr>
        <w:t>、形式和第六章“投标文</w:t>
      </w:r>
      <w:bookmarkEnd w:id="143"/>
      <w:bookmarkEnd w:id="144"/>
      <w:bookmarkEnd w:id="145"/>
      <w:bookmarkEnd w:id="146"/>
      <w:bookmarkEnd w:id="147"/>
      <w:bookmarkEnd w:id="148"/>
      <w:bookmarkEnd w:id="149"/>
      <w:bookmarkEnd w:id="150"/>
      <w:bookmarkEnd w:id="151"/>
      <w:bookmarkEnd w:id="152"/>
      <w:bookmarkEnd w:id="153"/>
      <w:r>
        <w:rPr>
          <w:rFonts w:hint="eastAsia" w:ascii="仿宋" w:hAnsi="仿宋" w:eastAsia="仿宋" w:cs="仿宋"/>
          <w:color w:val="auto"/>
          <w:highlight w:val="none"/>
        </w:rPr>
        <w:t>件格式”规定的投标保证金格式递交投标保证金，并作为其投标文件的组成部分。联合体投标的，其投标保证金可以由牵头人递交，并应符合投标人须知前附表的规定。</w:t>
      </w:r>
    </w:p>
    <w:p>
      <w:pPr>
        <w:shd w:val="clear"/>
        <w:spacing w:line="400" w:lineRule="exact"/>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3.4.2 投标人不按本章第3.4.1项</w:t>
      </w:r>
      <w:bookmarkStart w:id="154" w:name="_Toc29025"/>
      <w:bookmarkStart w:id="155" w:name="_Toc352691490"/>
      <w:bookmarkStart w:id="156" w:name="_Toc369531533"/>
      <w:bookmarkStart w:id="157" w:name="_Toc361508602"/>
      <w:bookmarkStart w:id="158" w:name="_Toc384308227"/>
      <w:r>
        <w:rPr>
          <w:rFonts w:hint="eastAsia" w:ascii="仿宋" w:hAnsi="仿宋" w:eastAsia="仿宋" w:cs="仿宋"/>
          <w:color w:val="auto"/>
          <w:highlight w:val="none"/>
        </w:rPr>
        <w:t>要求提交投标保证金的，</w:t>
      </w:r>
      <w:bookmarkEnd w:id="154"/>
      <w:bookmarkEnd w:id="155"/>
      <w:bookmarkEnd w:id="156"/>
      <w:bookmarkEnd w:id="157"/>
      <w:bookmarkEnd w:id="158"/>
      <w:r>
        <w:rPr>
          <w:rFonts w:hint="eastAsia" w:ascii="仿宋" w:hAnsi="仿宋" w:eastAsia="仿宋" w:cs="仿宋"/>
          <w:color w:val="auto"/>
          <w:highlight w:val="none"/>
        </w:rPr>
        <w:t>评标委员会将否决其投标。</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3.4.3 招标人最迟将在与中标人</w:t>
      </w:r>
      <w:bookmarkStart w:id="159" w:name="_Toc14751"/>
      <w:bookmarkStart w:id="160" w:name="_Toc247527571"/>
      <w:bookmarkStart w:id="161" w:name="_Toc144974514"/>
      <w:bookmarkStart w:id="162" w:name="_Toc152042322"/>
      <w:bookmarkStart w:id="163" w:name="_Toc352691491"/>
      <w:bookmarkStart w:id="164" w:name="_Toc152045546"/>
      <w:bookmarkStart w:id="165" w:name="_Toc384308228"/>
      <w:bookmarkStart w:id="166" w:name="_Toc361508603"/>
      <w:bookmarkStart w:id="167" w:name="_Toc247513970"/>
      <w:bookmarkStart w:id="168" w:name="_Toc300834967"/>
      <w:bookmarkStart w:id="169" w:name="_Toc369531534"/>
      <w:r>
        <w:rPr>
          <w:rFonts w:hint="eastAsia" w:ascii="仿宋" w:hAnsi="仿宋" w:eastAsia="仿宋" w:cs="仿宋"/>
          <w:color w:val="auto"/>
          <w:highlight w:val="none"/>
        </w:rPr>
        <w:t>签订合同后5日</w:t>
      </w:r>
      <w:bookmarkEnd w:id="159"/>
      <w:bookmarkEnd w:id="160"/>
      <w:bookmarkEnd w:id="161"/>
      <w:bookmarkEnd w:id="162"/>
      <w:bookmarkEnd w:id="163"/>
      <w:bookmarkEnd w:id="164"/>
      <w:bookmarkEnd w:id="165"/>
      <w:bookmarkEnd w:id="166"/>
      <w:bookmarkEnd w:id="167"/>
      <w:bookmarkEnd w:id="168"/>
      <w:bookmarkEnd w:id="169"/>
      <w:r>
        <w:rPr>
          <w:rFonts w:hint="eastAsia" w:ascii="仿宋" w:hAnsi="仿宋" w:eastAsia="仿宋" w:cs="仿宋"/>
          <w:color w:val="auto"/>
          <w:highlight w:val="none"/>
        </w:rPr>
        <w:t>内</w:t>
      </w:r>
      <w:bookmarkStart w:id="170" w:name="_Toc352691492"/>
      <w:bookmarkStart w:id="171" w:name="_Toc247527572"/>
      <w:bookmarkStart w:id="172" w:name="_Toc361508604"/>
      <w:bookmarkStart w:id="173" w:name="_Toc152042323"/>
      <w:bookmarkStart w:id="174" w:name="_Toc247513971"/>
      <w:bookmarkStart w:id="175" w:name="_Toc369531535"/>
      <w:bookmarkStart w:id="176" w:name="_Toc384308229"/>
      <w:bookmarkStart w:id="177" w:name="_Toc300834968"/>
      <w:bookmarkStart w:id="178" w:name="_Toc152045547"/>
      <w:bookmarkStart w:id="179" w:name="_Toc17952"/>
      <w:bookmarkStart w:id="180" w:name="_Toc144974515"/>
      <w:r>
        <w:rPr>
          <w:rFonts w:hint="eastAsia" w:ascii="仿宋" w:hAnsi="仿宋" w:eastAsia="仿宋" w:cs="仿宋"/>
          <w:color w:val="auto"/>
          <w:highlight w:val="none"/>
        </w:rPr>
        <w:t>，向未中标的投标人和中</w:t>
      </w:r>
      <w:bookmarkEnd w:id="170"/>
      <w:bookmarkEnd w:id="171"/>
      <w:bookmarkEnd w:id="172"/>
      <w:bookmarkEnd w:id="173"/>
      <w:bookmarkEnd w:id="174"/>
      <w:bookmarkEnd w:id="175"/>
      <w:bookmarkEnd w:id="176"/>
      <w:bookmarkEnd w:id="177"/>
      <w:bookmarkEnd w:id="178"/>
      <w:bookmarkEnd w:id="179"/>
      <w:bookmarkEnd w:id="180"/>
      <w:r>
        <w:rPr>
          <w:rFonts w:hint="eastAsia" w:ascii="仿宋" w:hAnsi="仿宋" w:eastAsia="仿宋" w:cs="仿宋"/>
          <w:color w:val="auto"/>
          <w:highlight w:val="none"/>
        </w:rPr>
        <w:t>标人退还投标保证金。</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3.4.4 有下列情形之一的，投标保证金将不予退还：</w:t>
      </w:r>
    </w:p>
    <w:p>
      <w:pPr>
        <w:shd w:val="clear"/>
        <w:spacing w:line="400" w:lineRule="exact"/>
        <w:ind w:firstLine="315" w:firstLineChars="150"/>
        <w:rPr>
          <w:rFonts w:ascii="仿宋" w:hAnsi="仿宋" w:eastAsia="仿宋" w:cs="仿宋"/>
          <w:color w:val="auto"/>
          <w:highlight w:val="none"/>
        </w:rPr>
      </w:pPr>
      <w:r>
        <w:rPr>
          <w:rFonts w:hint="eastAsia" w:ascii="仿宋" w:hAnsi="仿宋" w:eastAsia="仿宋" w:cs="仿宋"/>
          <w:color w:val="auto"/>
          <w:highlight w:val="none"/>
        </w:rPr>
        <w:t>（1）投标人在投标有效期内撤销投标文件；</w:t>
      </w:r>
    </w:p>
    <w:p>
      <w:pPr>
        <w:shd w:val="clear"/>
        <w:spacing w:line="400" w:lineRule="exact"/>
        <w:ind w:firstLine="315" w:firstLineChars="150"/>
        <w:rPr>
          <w:rFonts w:ascii="仿宋" w:hAnsi="仿宋" w:eastAsia="仿宋" w:cs="仿宋"/>
          <w:color w:val="auto"/>
          <w:highlight w:val="none"/>
        </w:rPr>
      </w:pPr>
      <w:r>
        <w:rPr>
          <w:rFonts w:hint="eastAsia" w:ascii="仿宋" w:hAnsi="仿宋" w:eastAsia="仿宋" w:cs="仿宋"/>
          <w:color w:val="auto"/>
          <w:highlight w:val="none"/>
        </w:rPr>
        <w:t>（2）中标人在收到中标通知书后，无正当理由不与招标人订立合同，在签订合同时向招标人提出附加条件，或者不按照招标文件要求提交履约保证金；</w:t>
      </w:r>
    </w:p>
    <w:p>
      <w:pPr>
        <w:shd w:val="clear"/>
        <w:spacing w:line="400" w:lineRule="exact"/>
        <w:ind w:firstLine="315" w:firstLineChars="150"/>
        <w:rPr>
          <w:rFonts w:ascii="仿宋" w:hAnsi="仿宋" w:eastAsia="仿宋" w:cs="仿宋"/>
          <w:color w:val="auto"/>
          <w:highlight w:val="none"/>
        </w:rPr>
      </w:pPr>
      <w:r>
        <w:rPr>
          <w:rFonts w:hint="eastAsia" w:ascii="仿宋" w:hAnsi="仿宋" w:eastAsia="仿宋" w:cs="仿宋"/>
          <w:color w:val="auto"/>
          <w:highlight w:val="none"/>
        </w:rPr>
        <w:t>（3）未按招标文件规定缴纳中标服务费；</w:t>
      </w:r>
    </w:p>
    <w:p>
      <w:pPr>
        <w:shd w:val="clear"/>
        <w:spacing w:line="400" w:lineRule="exact"/>
        <w:ind w:firstLine="315" w:firstLineChars="150"/>
        <w:rPr>
          <w:rFonts w:ascii="仿宋" w:hAnsi="仿宋" w:eastAsia="仿宋" w:cs="仿宋"/>
          <w:color w:val="auto"/>
          <w:highlight w:val="none"/>
        </w:rPr>
      </w:pPr>
      <w:r>
        <w:rPr>
          <w:rFonts w:hint="eastAsia" w:ascii="仿宋" w:hAnsi="仿宋" w:eastAsia="仿宋" w:cs="仿宋"/>
          <w:color w:val="auto"/>
          <w:highlight w:val="none"/>
        </w:rPr>
        <w:t>（4）将中标项目转让给他人，或者在投标文件中未说明，且未经招标人同意，违反招标文件规定，将中标项目分包给他人的。</w:t>
      </w:r>
    </w:p>
    <w:p>
      <w:pPr>
        <w:pStyle w:val="5"/>
        <w:shd w:val="clear"/>
        <w:spacing w:line="240" w:lineRule="auto"/>
        <w:ind w:firstLine="137"/>
        <w:rPr>
          <w:rFonts w:ascii="仿宋" w:hAnsi="仿宋" w:eastAsia="仿宋" w:cs="仿宋"/>
          <w:color w:val="auto"/>
          <w:highlight w:val="none"/>
        </w:rPr>
      </w:pPr>
      <w:bookmarkStart w:id="181" w:name="_Toc56856868"/>
      <w:r>
        <w:rPr>
          <w:rFonts w:hint="eastAsia" w:ascii="仿宋" w:hAnsi="仿宋" w:eastAsia="仿宋" w:cs="仿宋"/>
          <w:color w:val="auto"/>
          <w:highlight w:val="none"/>
        </w:rPr>
        <w:t>3.5 资格审查资料</w:t>
      </w:r>
      <w:bookmarkEnd w:id="181"/>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投标人应按招标文件要求提交相应证明资料，以证明其满足本章第1.4款规定的资格要求。</w:t>
      </w:r>
    </w:p>
    <w:p>
      <w:pPr>
        <w:pStyle w:val="5"/>
        <w:shd w:val="clear"/>
        <w:spacing w:line="240" w:lineRule="auto"/>
        <w:ind w:firstLine="137"/>
        <w:rPr>
          <w:rFonts w:ascii="仿宋" w:hAnsi="仿宋" w:eastAsia="仿宋" w:cs="仿宋"/>
          <w:color w:val="auto"/>
          <w:highlight w:val="none"/>
        </w:rPr>
      </w:pPr>
      <w:bookmarkStart w:id="182" w:name="_Toc56856869"/>
      <w:r>
        <w:rPr>
          <w:rFonts w:hint="eastAsia" w:ascii="仿宋" w:hAnsi="仿宋" w:eastAsia="仿宋" w:cs="仿宋"/>
          <w:color w:val="auto"/>
          <w:highlight w:val="none"/>
        </w:rPr>
        <w:t>3.6 备选投标方案</w:t>
      </w:r>
      <w:bookmarkEnd w:id="182"/>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3.6.1 除投标人须知前附表规定允许外，投标人不得递交备选投标方案，否则其投标将被否决。</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3.6.3 投标人提供两个或两个以上投标报价，或者在投标文件中提供一个报价，但同时提供两个或两个以上</w:t>
      </w:r>
      <w:bookmarkStart w:id="183" w:name="_Toc369531538"/>
      <w:bookmarkStart w:id="184" w:name="_Toc29902"/>
      <w:bookmarkStart w:id="185" w:name="_Toc384308232"/>
      <w:bookmarkStart w:id="186" w:name="_Toc352691495"/>
      <w:bookmarkStart w:id="187" w:name="_Toc247527575"/>
      <w:bookmarkStart w:id="188" w:name="_Toc300834971"/>
      <w:bookmarkStart w:id="189" w:name="_Toc144974518"/>
      <w:bookmarkStart w:id="190" w:name="_Toc152042326"/>
      <w:bookmarkStart w:id="191" w:name="_Toc361508607"/>
      <w:bookmarkStart w:id="192" w:name="_Toc152045550"/>
      <w:bookmarkStart w:id="193" w:name="_Toc247513974"/>
      <w:r>
        <w:rPr>
          <w:rFonts w:hint="eastAsia" w:ascii="仿宋" w:hAnsi="仿宋" w:eastAsia="仿宋" w:cs="仿宋"/>
          <w:color w:val="auto"/>
          <w:highlight w:val="none"/>
        </w:rPr>
        <w:t>投标方案的</w:t>
      </w:r>
      <w:bookmarkEnd w:id="183"/>
      <w:bookmarkEnd w:id="184"/>
      <w:bookmarkEnd w:id="185"/>
      <w:bookmarkEnd w:id="186"/>
      <w:bookmarkEnd w:id="187"/>
      <w:bookmarkEnd w:id="188"/>
      <w:bookmarkEnd w:id="189"/>
      <w:bookmarkEnd w:id="190"/>
      <w:bookmarkEnd w:id="191"/>
      <w:bookmarkEnd w:id="192"/>
      <w:bookmarkEnd w:id="193"/>
      <w:r>
        <w:rPr>
          <w:rFonts w:hint="eastAsia" w:ascii="仿宋" w:hAnsi="仿宋" w:eastAsia="仿宋" w:cs="仿宋"/>
          <w:color w:val="auto"/>
          <w:highlight w:val="none"/>
        </w:rPr>
        <w:t>，视为提供备选方案。</w:t>
      </w:r>
    </w:p>
    <w:p>
      <w:pPr>
        <w:pStyle w:val="5"/>
        <w:shd w:val="clear"/>
        <w:spacing w:line="240" w:lineRule="auto"/>
        <w:ind w:firstLine="137"/>
        <w:rPr>
          <w:rFonts w:ascii="仿宋" w:hAnsi="仿宋" w:eastAsia="仿宋" w:cs="仿宋"/>
          <w:color w:val="auto"/>
          <w:highlight w:val="none"/>
        </w:rPr>
      </w:pPr>
      <w:bookmarkStart w:id="194" w:name="_Toc56856870"/>
      <w:r>
        <w:rPr>
          <w:rFonts w:hint="eastAsia" w:ascii="仿宋" w:hAnsi="仿宋" w:eastAsia="仿宋" w:cs="仿宋"/>
          <w:color w:val="auto"/>
          <w:highlight w:val="none"/>
        </w:rPr>
        <w:t>3.7 投标文件的编制</w:t>
      </w:r>
      <w:bookmarkEnd w:id="194"/>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3.7.1 投标文件应按第六章“投标文件格式”进行编写，如有必要，可以增加附页，作为投标文件的组成部分。其中，投标函附录在满足招标文件实质性要求的基础上，可以提出比招标文件要求更有利于招标人的承诺。</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3.7.2 投标文件应当对招标文件有关工期、投标有效期、发包人要求、招标范围等实质性内容作出响应。</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3.7.3投标文件全部采用电子文档，相关要求详见投标人须知前附表另有规定。</w:t>
      </w:r>
    </w:p>
    <w:p>
      <w:pPr>
        <w:pStyle w:val="4"/>
        <w:shd w:val="clear"/>
        <w:rPr>
          <w:rFonts w:ascii="仿宋" w:hAnsi="仿宋" w:eastAsia="仿宋" w:cs="仿宋"/>
          <w:color w:val="auto"/>
          <w:highlight w:val="none"/>
        </w:rPr>
      </w:pPr>
      <w:bookmarkStart w:id="195" w:name="_Toc56856871"/>
      <w:r>
        <w:rPr>
          <w:rFonts w:hint="eastAsia" w:ascii="仿宋" w:hAnsi="仿宋" w:eastAsia="仿宋" w:cs="仿宋"/>
          <w:color w:val="auto"/>
          <w:highlight w:val="none"/>
        </w:rPr>
        <w:t>4. 投标</w:t>
      </w:r>
      <w:bookmarkEnd w:id="195"/>
    </w:p>
    <w:p>
      <w:pPr>
        <w:pStyle w:val="5"/>
        <w:shd w:val="clear"/>
        <w:spacing w:line="240" w:lineRule="auto"/>
        <w:ind w:firstLine="137"/>
        <w:rPr>
          <w:rFonts w:ascii="仿宋" w:hAnsi="仿宋" w:eastAsia="仿宋" w:cs="仿宋"/>
          <w:color w:val="auto"/>
          <w:highlight w:val="none"/>
        </w:rPr>
      </w:pPr>
      <w:bookmarkStart w:id="196" w:name="_Toc56856872"/>
      <w:r>
        <w:rPr>
          <w:rFonts w:hint="eastAsia" w:ascii="仿宋" w:hAnsi="仿宋" w:eastAsia="仿宋" w:cs="仿宋"/>
          <w:color w:val="auto"/>
          <w:highlight w:val="none"/>
        </w:rPr>
        <w:t>4.1 投标文件的密封和标记</w:t>
      </w:r>
      <w:bookmarkEnd w:id="196"/>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4.1.1 投标人应当按照招标文件和电子招标投标交易平台的要求加密投标文件，具体要求见投标人须知前附表。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4.1.2 投标文件封套上应写明的内容见投标人须知前附表。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4.1.3 未按本章第4.1.1项要求密封的投标文件，招标人将予以拒收。</w:t>
      </w:r>
    </w:p>
    <w:p>
      <w:pPr>
        <w:pStyle w:val="5"/>
        <w:shd w:val="clear"/>
        <w:spacing w:line="240" w:lineRule="auto"/>
        <w:ind w:firstLine="137"/>
        <w:rPr>
          <w:rFonts w:ascii="仿宋" w:hAnsi="仿宋" w:eastAsia="仿宋" w:cs="仿宋"/>
          <w:color w:val="auto"/>
          <w:highlight w:val="none"/>
        </w:rPr>
      </w:pPr>
      <w:bookmarkStart w:id="197" w:name="_Toc56856873"/>
      <w:r>
        <w:rPr>
          <w:rFonts w:hint="eastAsia" w:ascii="仿宋" w:hAnsi="仿宋" w:eastAsia="仿宋" w:cs="仿宋"/>
          <w:color w:val="auto"/>
          <w:highlight w:val="none"/>
        </w:rPr>
        <w:t>4.2 投标文件的递交</w:t>
      </w:r>
      <w:bookmarkEnd w:id="197"/>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4.2.1 投标人应在投标人须知前附表规定的投标截止时间前递交投标文件。</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 xml:space="preserve">4.2.2 </w:t>
      </w:r>
      <w:r>
        <w:rPr>
          <w:rFonts w:hint="eastAsia" w:ascii="仿宋" w:hAnsi="仿宋" w:eastAsia="仿宋" w:cs="仿宋"/>
          <w:bCs/>
          <w:iCs/>
          <w:color w:val="auto"/>
          <w:highlight w:val="none"/>
        </w:rPr>
        <w:t>投标人通过下载招标文件的电子招标投标交易平台递交电子投标文件。</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4.2.3 除投标人须知前附表另有规定外，投标人所递交的投标文件不予退还。</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4.2.4 投标人完成电子投标文件上传后，</w:t>
      </w:r>
      <w:r>
        <w:rPr>
          <w:rFonts w:hint="eastAsia" w:ascii="仿宋" w:hAnsi="仿宋" w:eastAsia="仿宋" w:cs="仿宋"/>
          <w:bCs/>
          <w:iCs/>
          <w:color w:val="auto"/>
          <w:highlight w:val="none"/>
        </w:rPr>
        <w:t>电子招标投标交易平台</w:t>
      </w:r>
      <w:r>
        <w:rPr>
          <w:rFonts w:hint="eastAsia" w:ascii="仿宋" w:hAnsi="仿宋" w:eastAsia="仿宋" w:cs="仿宋"/>
          <w:color w:val="auto"/>
          <w:highlight w:val="none"/>
        </w:rPr>
        <w:t>即时向投标人发出递交回执通知。递交时间以递交回执通知载明的传输完成时间为准。</w:t>
      </w:r>
    </w:p>
    <w:p>
      <w:pPr>
        <w:shd w:val="clear"/>
        <w:spacing w:line="400" w:lineRule="exact"/>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4.2.5 逾期送达的投标文件，电子招标投标交易平台将予以拒收。</w:t>
      </w:r>
    </w:p>
    <w:p>
      <w:pPr>
        <w:pStyle w:val="5"/>
        <w:shd w:val="clear"/>
        <w:spacing w:line="240" w:lineRule="auto"/>
        <w:ind w:firstLine="137"/>
        <w:rPr>
          <w:rFonts w:ascii="仿宋" w:hAnsi="仿宋" w:eastAsia="仿宋" w:cs="仿宋"/>
          <w:color w:val="auto"/>
          <w:highlight w:val="none"/>
        </w:rPr>
      </w:pPr>
      <w:bookmarkStart w:id="198" w:name="_Toc56856874"/>
      <w:r>
        <w:rPr>
          <w:rFonts w:hint="eastAsia" w:ascii="仿宋" w:hAnsi="仿宋" w:eastAsia="仿宋" w:cs="仿宋"/>
          <w:color w:val="auto"/>
          <w:highlight w:val="none"/>
        </w:rPr>
        <w:t>4.3 投标文件的修改与撤回</w:t>
      </w:r>
      <w:bookmarkEnd w:id="198"/>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4.3.1 在本章第4.2.1项规定的投标截止时间前，投标人可以修改或撤回已递交的投标文件，但应以书面形式通知招标人。</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4.3.2 投标人修改或撤回已递交投标文件的通知，应按照本章第3.7.3项的要求加盖电子印章。</w:t>
      </w:r>
      <w:r>
        <w:rPr>
          <w:rFonts w:hint="eastAsia" w:ascii="仿宋" w:hAnsi="仿宋" w:eastAsia="仿宋" w:cs="仿宋"/>
          <w:bCs/>
          <w:iCs/>
          <w:color w:val="auto"/>
          <w:highlight w:val="none"/>
        </w:rPr>
        <w:t>电子招标投标交易平台收到通知后，</w:t>
      </w:r>
      <w:r>
        <w:rPr>
          <w:rFonts w:hint="eastAsia" w:ascii="仿宋" w:hAnsi="仿宋" w:eastAsia="仿宋" w:cs="仿宋"/>
          <w:color w:val="auto"/>
          <w:highlight w:val="none"/>
        </w:rPr>
        <w:t>即时向投标人发出确认回执通知。</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4.3.3 投标人撤回投标文件的，招标人自收到投标人书面撤回通知之日起5日内退还已收取的投标保证金。</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4.3.</w:t>
      </w:r>
      <w:bookmarkStart w:id="199" w:name="_Toc144974521"/>
      <w:bookmarkStart w:id="200" w:name="_Toc152045553"/>
      <w:bookmarkStart w:id="201" w:name="_Toc300834974"/>
      <w:bookmarkStart w:id="202" w:name="_Toc361508610"/>
      <w:bookmarkStart w:id="203" w:name="_Toc247527578"/>
      <w:bookmarkStart w:id="204" w:name="_Toc384308235"/>
      <w:bookmarkStart w:id="205" w:name="_Toc19203"/>
      <w:bookmarkStart w:id="206" w:name="_Toc247513977"/>
      <w:bookmarkStart w:id="207" w:name="_Toc152042329"/>
      <w:bookmarkStart w:id="208" w:name="_Toc352691497"/>
      <w:bookmarkStart w:id="209" w:name="_Toc369531541"/>
      <w:r>
        <w:rPr>
          <w:rFonts w:hint="eastAsia" w:ascii="仿宋" w:hAnsi="仿宋" w:eastAsia="仿宋" w:cs="仿宋"/>
          <w:color w:val="auto"/>
          <w:highlight w:val="none"/>
        </w:rPr>
        <w:t>4 修改的内容为投标</w:t>
      </w:r>
      <w:bookmarkEnd w:id="199"/>
      <w:bookmarkEnd w:id="200"/>
      <w:bookmarkEnd w:id="201"/>
      <w:bookmarkEnd w:id="202"/>
      <w:bookmarkEnd w:id="203"/>
      <w:bookmarkEnd w:id="204"/>
      <w:bookmarkEnd w:id="205"/>
      <w:bookmarkEnd w:id="206"/>
      <w:bookmarkEnd w:id="207"/>
      <w:bookmarkEnd w:id="208"/>
      <w:bookmarkEnd w:id="209"/>
      <w:r>
        <w:rPr>
          <w:rFonts w:hint="eastAsia" w:ascii="仿宋" w:hAnsi="仿宋" w:eastAsia="仿宋" w:cs="仿宋"/>
          <w:color w:val="auto"/>
          <w:highlight w:val="none"/>
        </w:rPr>
        <w:t>文件的组成部分。修改的投标文件应按照本章第3条、第4条的规定进行编制、密封、标记和递交，并标明“修改”字样。</w:t>
      </w:r>
    </w:p>
    <w:p>
      <w:pPr>
        <w:pStyle w:val="4"/>
        <w:shd w:val="clear"/>
        <w:rPr>
          <w:rFonts w:ascii="仿宋" w:hAnsi="仿宋" w:eastAsia="仿宋" w:cs="仿宋"/>
          <w:color w:val="auto"/>
          <w:highlight w:val="none"/>
        </w:rPr>
      </w:pPr>
      <w:bookmarkStart w:id="210" w:name="_Toc56856875"/>
      <w:r>
        <w:rPr>
          <w:rFonts w:hint="eastAsia" w:ascii="仿宋" w:hAnsi="仿宋" w:eastAsia="仿宋" w:cs="仿宋"/>
          <w:color w:val="auto"/>
          <w:highlight w:val="none"/>
        </w:rPr>
        <w:t>5. 开标</w:t>
      </w:r>
      <w:bookmarkEnd w:id="210"/>
    </w:p>
    <w:p>
      <w:pPr>
        <w:pStyle w:val="5"/>
        <w:shd w:val="clear"/>
        <w:spacing w:line="240" w:lineRule="auto"/>
        <w:ind w:firstLine="137"/>
        <w:rPr>
          <w:rFonts w:ascii="仿宋" w:hAnsi="仿宋" w:eastAsia="仿宋" w:cs="仿宋"/>
          <w:color w:val="auto"/>
          <w:highlight w:val="none"/>
        </w:rPr>
      </w:pPr>
      <w:bookmarkStart w:id="211" w:name="_Toc50554672"/>
      <w:bookmarkStart w:id="212" w:name="_Toc56856876"/>
      <w:r>
        <w:rPr>
          <w:rFonts w:hint="eastAsia" w:ascii="仿宋" w:hAnsi="仿宋" w:eastAsia="仿宋" w:cs="仿宋"/>
          <w:color w:val="auto"/>
          <w:highlight w:val="none"/>
        </w:rPr>
        <w:t>5.1 开标时间和地点</w:t>
      </w:r>
      <w:bookmarkEnd w:id="211"/>
      <w:bookmarkEnd w:id="212"/>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招标人在本章第4.2.1项规定的投标截止时间（开标时间）,通过电子招标投标交易平台公开开标，所有投标人的法定代表人（单位负责人）或其委托代理人应当准时参加。</w:t>
      </w:r>
    </w:p>
    <w:p>
      <w:pPr>
        <w:pStyle w:val="5"/>
        <w:shd w:val="clear"/>
        <w:spacing w:line="240" w:lineRule="auto"/>
        <w:ind w:firstLine="137"/>
        <w:rPr>
          <w:rFonts w:ascii="仿宋" w:hAnsi="仿宋" w:eastAsia="仿宋" w:cs="仿宋"/>
          <w:color w:val="auto"/>
          <w:highlight w:val="none"/>
        </w:rPr>
      </w:pPr>
      <w:bookmarkStart w:id="213" w:name="_Toc56856877"/>
      <w:r>
        <w:rPr>
          <w:rFonts w:hint="eastAsia" w:ascii="仿宋" w:hAnsi="仿宋" w:eastAsia="仿宋" w:cs="仿宋"/>
          <w:color w:val="auto"/>
          <w:highlight w:val="none"/>
        </w:rPr>
        <w:t>5.2 开标程序</w:t>
      </w:r>
      <w:bookmarkEnd w:id="213"/>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主持人按下列程序进行开标：</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（1）宣布开标纪律；</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（2）公布在投标截止时间前递交投标文件的投标人名称；</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（3）宣布</w:t>
      </w:r>
      <w:bookmarkStart w:id="214" w:name="_Toc352691498"/>
      <w:bookmarkStart w:id="215" w:name="_Toc152042330"/>
      <w:bookmarkStart w:id="216" w:name="_Toc247513978"/>
      <w:bookmarkStart w:id="217" w:name="_Toc300834975"/>
      <w:bookmarkStart w:id="218" w:name="_Toc22119"/>
      <w:bookmarkStart w:id="219" w:name="_Toc369531542"/>
      <w:bookmarkStart w:id="220" w:name="_Toc361508611"/>
      <w:bookmarkStart w:id="221" w:name="_Toc247527579"/>
      <w:bookmarkStart w:id="222" w:name="_Toc384308236"/>
      <w:bookmarkStart w:id="223" w:name="_Toc144974522"/>
      <w:bookmarkStart w:id="224" w:name="_Toc152045554"/>
      <w:r>
        <w:rPr>
          <w:rFonts w:hint="eastAsia" w:ascii="仿宋" w:hAnsi="仿宋" w:eastAsia="仿宋" w:cs="仿宋"/>
          <w:color w:val="auto"/>
          <w:highlight w:val="none"/>
        </w:rPr>
        <w:t>开标人、唱标人、记录人</w:t>
      </w:r>
      <w:bookmarkEnd w:id="214"/>
      <w:bookmarkEnd w:id="215"/>
      <w:bookmarkEnd w:id="216"/>
      <w:bookmarkEnd w:id="217"/>
      <w:bookmarkEnd w:id="218"/>
      <w:bookmarkEnd w:id="219"/>
      <w:bookmarkEnd w:id="220"/>
      <w:bookmarkEnd w:id="221"/>
      <w:bookmarkEnd w:id="222"/>
      <w:bookmarkEnd w:id="223"/>
      <w:bookmarkEnd w:id="224"/>
      <w:r>
        <w:rPr>
          <w:rFonts w:hint="eastAsia" w:ascii="仿宋" w:hAnsi="仿宋" w:eastAsia="仿宋" w:cs="仿宋"/>
          <w:color w:val="auto"/>
          <w:highlight w:val="none"/>
        </w:rPr>
        <w:t>、监标人等有关人员姓名；</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（4）投标人通过电子招标投标交易平台对已递交的电子投标文件进行解密，公布招标项目名称、投标人名称、投标保证金的递交情况、投标报价及其他内容，并记录在案；</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（5）开标结束。</w:t>
      </w:r>
    </w:p>
    <w:p>
      <w:pPr>
        <w:pStyle w:val="5"/>
        <w:shd w:val="clear"/>
        <w:spacing w:line="240" w:lineRule="auto"/>
        <w:ind w:firstLine="137"/>
        <w:rPr>
          <w:rFonts w:ascii="仿宋" w:hAnsi="仿宋" w:eastAsia="仿宋" w:cs="仿宋"/>
          <w:color w:val="auto"/>
          <w:highlight w:val="none"/>
        </w:rPr>
      </w:pPr>
      <w:bookmarkStart w:id="225" w:name="_Toc56856878"/>
      <w:r>
        <w:rPr>
          <w:rFonts w:hint="eastAsia" w:ascii="仿宋" w:hAnsi="仿宋" w:eastAsia="仿宋" w:cs="仿宋"/>
          <w:color w:val="auto"/>
          <w:highlight w:val="none"/>
        </w:rPr>
        <w:t>5.3 开标异议</w:t>
      </w:r>
      <w:bookmarkEnd w:id="225"/>
    </w:p>
    <w:p>
      <w:pPr>
        <w:shd w:val="clear"/>
        <w:spacing w:line="400" w:lineRule="exact"/>
        <w:ind w:firstLine="359" w:firstLineChars="171"/>
        <w:rPr>
          <w:rFonts w:ascii="仿宋" w:hAnsi="仿宋" w:eastAsia="仿宋" w:cs="仿宋"/>
          <w:color w:val="auto"/>
          <w:highlight w:val="none"/>
        </w:rPr>
      </w:pPr>
      <w:r>
        <w:rPr>
          <w:rFonts w:hint="eastAsia" w:ascii="仿宋" w:hAnsi="仿宋" w:eastAsia="仿宋" w:cs="仿宋"/>
          <w:color w:val="auto"/>
          <w:highlight w:val="none"/>
        </w:rPr>
        <w:t>若投标人代表对开标过程有异议的，参加现场开标的应当在开标现场提出，同时出示本人身份证原件，招标人应当当场作出答复，并制作记录；参加在线开标的，投标人应通过交易平台在线提出，招标人应通过交易平台答复，答复后方可结束开标。</w:t>
      </w:r>
    </w:p>
    <w:p>
      <w:pPr>
        <w:pStyle w:val="4"/>
        <w:shd w:val="clear"/>
        <w:rPr>
          <w:rFonts w:ascii="仿宋" w:hAnsi="仿宋" w:eastAsia="仿宋" w:cs="仿宋"/>
          <w:color w:val="auto"/>
          <w:highlight w:val="none"/>
        </w:rPr>
      </w:pPr>
      <w:bookmarkStart w:id="226" w:name="_Toc56856879"/>
      <w:r>
        <w:rPr>
          <w:rFonts w:hint="eastAsia" w:ascii="仿宋" w:hAnsi="仿宋" w:eastAsia="仿宋" w:cs="仿宋"/>
          <w:color w:val="auto"/>
          <w:highlight w:val="none"/>
        </w:rPr>
        <w:t>6. 评标</w:t>
      </w:r>
      <w:bookmarkEnd w:id="226"/>
    </w:p>
    <w:p>
      <w:pPr>
        <w:pStyle w:val="5"/>
        <w:shd w:val="clear"/>
        <w:spacing w:line="240" w:lineRule="auto"/>
        <w:ind w:firstLine="137"/>
        <w:rPr>
          <w:rFonts w:ascii="仿宋" w:hAnsi="仿宋" w:eastAsia="仿宋" w:cs="仿宋"/>
          <w:color w:val="auto"/>
          <w:highlight w:val="none"/>
        </w:rPr>
      </w:pPr>
      <w:bookmarkStart w:id="227" w:name="_Toc56856880"/>
      <w:r>
        <w:rPr>
          <w:rFonts w:hint="eastAsia" w:ascii="仿宋" w:hAnsi="仿宋" w:eastAsia="仿宋" w:cs="仿宋"/>
          <w:color w:val="auto"/>
          <w:highlight w:val="none"/>
        </w:rPr>
        <w:t>6.1 评标委员会</w:t>
      </w:r>
      <w:bookmarkEnd w:id="227"/>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6.1.1 评标由招标人依法组建的评标委员会负责。</w:t>
      </w:r>
      <w:r>
        <w:rPr>
          <w:rFonts w:hint="eastAsia" w:ascii="仿宋" w:hAnsi="仿宋" w:eastAsia="仿宋" w:cs="仿宋"/>
          <w:color w:val="auto"/>
          <w:highlight w:val="none"/>
          <w:lang w:val="zh-CN"/>
        </w:rPr>
        <w:t>评标委员会成员由招标人代表和技术、经济等方面的专家组成。评标委员会由5名评委组成，其中</w:t>
      </w:r>
      <w:r>
        <w:rPr>
          <w:rFonts w:hint="eastAsia" w:ascii="仿宋" w:hAnsi="仿宋" w:eastAsia="仿宋" w:cs="仿宋"/>
          <w:color w:val="auto"/>
          <w:highlight w:val="none"/>
          <w:lang w:val="zh-CN" w:eastAsia="zh-CN"/>
        </w:rPr>
        <w:t>招标人</w:t>
      </w:r>
      <w:r>
        <w:rPr>
          <w:rFonts w:hint="eastAsia" w:ascii="仿宋" w:hAnsi="仿宋" w:eastAsia="仿宋" w:cs="仿宋"/>
          <w:color w:val="auto"/>
          <w:highlight w:val="none"/>
          <w:lang w:val="zh-CN"/>
        </w:rPr>
        <w:t>代表1名，其余4名专家从依法组建的专家库随机抽取产生。</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6.1.2 评标委员会成员有下列情形之一的，应当回避：</w:t>
      </w:r>
    </w:p>
    <w:p>
      <w:pPr>
        <w:shd w:val="clear"/>
        <w:spacing w:line="400" w:lineRule="exact"/>
        <w:ind w:firstLine="718" w:firstLineChars="342"/>
        <w:rPr>
          <w:rFonts w:ascii="仿宋" w:hAnsi="仿宋" w:eastAsia="仿宋" w:cs="仿宋"/>
          <w:color w:val="auto"/>
          <w:highlight w:val="none"/>
        </w:rPr>
      </w:pPr>
      <w:r>
        <w:rPr>
          <w:rFonts w:hint="eastAsia" w:ascii="仿宋" w:hAnsi="仿宋" w:eastAsia="仿宋" w:cs="仿宋"/>
          <w:color w:val="auto"/>
          <w:highlight w:val="none"/>
        </w:rPr>
        <w:t>（1）投标人或投标人主要负责人的近亲属；</w:t>
      </w:r>
    </w:p>
    <w:p>
      <w:pPr>
        <w:shd w:val="clear"/>
        <w:spacing w:line="400" w:lineRule="exact"/>
        <w:ind w:firstLine="718" w:firstLineChars="342"/>
        <w:rPr>
          <w:rFonts w:ascii="仿宋" w:hAnsi="仿宋" w:eastAsia="仿宋" w:cs="仿宋"/>
          <w:color w:val="auto"/>
          <w:highlight w:val="none"/>
        </w:rPr>
      </w:pPr>
      <w:r>
        <w:rPr>
          <w:rFonts w:hint="eastAsia" w:ascii="仿宋" w:hAnsi="仿宋" w:eastAsia="仿宋" w:cs="仿宋"/>
          <w:color w:val="auto"/>
          <w:highlight w:val="none"/>
        </w:rPr>
        <w:t>（2）项目主管部门或者行政监督部门的人员；</w:t>
      </w:r>
    </w:p>
    <w:p>
      <w:pPr>
        <w:shd w:val="clear"/>
        <w:spacing w:line="400" w:lineRule="exact"/>
        <w:ind w:firstLine="718" w:firstLineChars="342"/>
        <w:rPr>
          <w:rFonts w:ascii="仿宋" w:hAnsi="仿宋" w:eastAsia="仿宋" w:cs="仿宋"/>
          <w:color w:val="auto"/>
          <w:highlight w:val="none"/>
        </w:rPr>
      </w:pPr>
      <w:r>
        <w:rPr>
          <w:rFonts w:hint="eastAsia" w:ascii="仿宋" w:hAnsi="仿宋" w:eastAsia="仿宋" w:cs="仿宋"/>
          <w:color w:val="auto"/>
          <w:highlight w:val="none"/>
        </w:rPr>
        <w:t>（3）与投标人有经济利益关系，可能影响对投标公正评审的；</w:t>
      </w:r>
    </w:p>
    <w:p>
      <w:pPr>
        <w:shd w:val="clear"/>
        <w:spacing w:line="400" w:lineRule="exact"/>
        <w:ind w:firstLine="718" w:firstLineChars="342"/>
        <w:rPr>
          <w:rFonts w:ascii="仿宋" w:hAnsi="仿宋" w:eastAsia="仿宋" w:cs="仿宋"/>
          <w:color w:val="auto"/>
          <w:highlight w:val="none"/>
        </w:rPr>
      </w:pPr>
      <w:r>
        <w:rPr>
          <w:rFonts w:hint="eastAsia" w:ascii="仿宋" w:hAnsi="仿宋" w:eastAsia="仿宋" w:cs="仿宋"/>
          <w:color w:val="auto"/>
          <w:highlight w:val="none"/>
        </w:rPr>
        <w:t>（4）曾因在招标、评</w:t>
      </w:r>
      <w:bookmarkStart w:id="228" w:name="_Toc6230"/>
      <w:bookmarkStart w:id="229" w:name="_Toc300834976"/>
      <w:bookmarkStart w:id="230" w:name="_Toc352691499"/>
      <w:bookmarkStart w:id="231" w:name="_Toc152045555"/>
      <w:bookmarkStart w:id="232" w:name="_Toc361508612"/>
      <w:bookmarkStart w:id="233" w:name="_Toc369531543"/>
      <w:bookmarkStart w:id="234" w:name="_Toc144974523"/>
      <w:bookmarkStart w:id="235" w:name="_Toc247513979"/>
      <w:bookmarkStart w:id="236" w:name="_Toc152042331"/>
      <w:bookmarkStart w:id="237" w:name="_Toc247527580"/>
      <w:bookmarkStart w:id="238" w:name="_Toc384308237"/>
      <w:r>
        <w:rPr>
          <w:rFonts w:hint="eastAsia" w:ascii="仿宋" w:hAnsi="仿宋" w:eastAsia="仿宋" w:cs="仿宋"/>
          <w:color w:val="auto"/>
          <w:highlight w:val="none"/>
        </w:rPr>
        <w:t>标以及其他</w:t>
      </w:r>
      <w:bookmarkEnd w:id="228"/>
      <w:bookmarkEnd w:id="229"/>
      <w:bookmarkEnd w:id="230"/>
      <w:bookmarkEnd w:id="231"/>
      <w:bookmarkEnd w:id="232"/>
      <w:bookmarkEnd w:id="233"/>
      <w:bookmarkEnd w:id="234"/>
      <w:bookmarkEnd w:id="235"/>
      <w:bookmarkEnd w:id="236"/>
      <w:bookmarkEnd w:id="237"/>
      <w:bookmarkEnd w:id="238"/>
      <w:r>
        <w:rPr>
          <w:rFonts w:hint="eastAsia" w:ascii="仿宋" w:hAnsi="仿宋" w:eastAsia="仿宋" w:cs="仿宋"/>
          <w:color w:val="auto"/>
          <w:highlight w:val="none"/>
        </w:rPr>
        <w:t>与</w:t>
      </w:r>
      <w:bookmarkStart w:id="239" w:name="_Toc300834977"/>
      <w:bookmarkStart w:id="240" w:name="_Toc247527581"/>
      <w:bookmarkStart w:id="241" w:name="_Toc369531544"/>
      <w:bookmarkStart w:id="242" w:name="_Toc152042332"/>
      <w:bookmarkStart w:id="243" w:name="_Toc17703"/>
      <w:bookmarkStart w:id="244" w:name="_Toc361508613"/>
      <w:bookmarkStart w:id="245" w:name="_Toc144974524"/>
      <w:bookmarkStart w:id="246" w:name="_Toc152045556"/>
      <w:bookmarkStart w:id="247" w:name="_Toc384308238"/>
      <w:bookmarkStart w:id="248" w:name="_Toc247513980"/>
      <w:bookmarkStart w:id="249" w:name="_Toc352691500"/>
      <w:r>
        <w:rPr>
          <w:rFonts w:hint="eastAsia" w:ascii="仿宋" w:hAnsi="仿宋" w:eastAsia="仿宋" w:cs="仿宋"/>
          <w:color w:val="auto"/>
          <w:highlight w:val="none"/>
        </w:rPr>
        <w:t>招标投标有关活动中从事违法行</w:t>
      </w:r>
      <w:bookmarkEnd w:id="239"/>
      <w:bookmarkEnd w:id="240"/>
      <w:bookmarkEnd w:id="241"/>
      <w:bookmarkEnd w:id="242"/>
      <w:bookmarkEnd w:id="243"/>
      <w:bookmarkEnd w:id="244"/>
      <w:bookmarkEnd w:id="245"/>
      <w:bookmarkEnd w:id="246"/>
      <w:bookmarkEnd w:id="247"/>
      <w:bookmarkEnd w:id="248"/>
      <w:bookmarkEnd w:id="249"/>
      <w:r>
        <w:rPr>
          <w:rFonts w:hint="eastAsia" w:ascii="仿宋" w:hAnsi="仿宋" w:eastAsia="仿宋" w:cs="仿宋"/>
          <w:color w:val="auto"/>
          <w:highlight w:val="none"/>
        </w:rPr>
        <w:t>为而受过行政处罚或刑事处罚的；</w:t>
      </w:r>
    </w:p>
    <w:p>
      <w:pPr>
        <w:shd w:val="clear"/>
        <w:spacing w:line="400" w:lineRule="exact"/>
        <w:ind w:firstLine="718" w:firstLineChars="342"/>
        <w:rPr>
          <w:rFonts w:ascii="仿宋" w:hAnsi="仿宋" w:eastAsia="仿宋" w:cs="仿宋"/>
          <w:color w:val="auto"/>
          <w:highlight w:val="none"/>
        </w:rPr>
      </w:pPr>
      <w:r>
        <w:rPr>
          <w:rFonts w:hint="eastAsia" w:ascii="仿宋" w:hAnsi="仿宋" w:eastAsia="仿宋" w:cs="仿宋"/>
          <w:color w:val="auto"/>
          <w:highlight w:val="none"/>
        </w:rPr>
        <w:t>（5）与投标人有其他利害关系。</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pPr>
        <w:pStyle w:val="5"/>
        <w:shd w:val="clear"/>
        <w:spacing w:line="240" w:lineRule="auto"/>
        <w:ind w:firstLine="137"/>
        <w:rPr>
          <w:rFonts w:ascii="仿宋" w:hAnsi="仿宋" w:eastAsia="仿宋" w:cs="仿宋"/>
          <w:color w:val="auto"/>
          <w:highlight w:val="none"/>
        </w:rPr>
      </w:pPr>
      <w:bookmarkStart w:id="250" w:name="_Toc56856881"/>
      <w:r>
        <w:rPr>
          <w:rFonts w:hint="eastAsia" w:ascii="仿宋" w:hAnsi="仿宋" w:eastAsia="仿宋" w:cs="仿宋"/>
          <w:color w:val="auto"/>
          <w:highlight w:val="none"/>
        </w:rPr>
        <w:t>6.2 评标原则</w:t>
      </w:r>
      <w:bookmarkEnd w:id="250"/>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评标活动遵循公平、公正、科学和择优的原</w:t>
      </w:r>
      <w:bookmarkStart w:id="251" w:name="_Toc144974525"/>
      <w:bookmarkStart w:id="252" w:name="_Toc352691501"/>
      <w:bookmarkStart w:id="253" w:name="_Toc300834978"/>
      <w:bookmarkStart w:id="254" w:name="_Toc152045557"/>
      <w:bookmarkStart w:id="255" w:name="_Toc247513981"/>
      <w:bookmarkStart w:id="256" w:name="_Toc18949"/>
      <w:bookmarkStart w:id="257" w:name="_Toc384308239"/>
      <w:bookmarkStart w:id="258" w:name="_Toc152042333"/>
      <w:bookmarkStart w:id="259" w:name="_Toc361508614"/>
      <w:bookmarkStart w:id="260" w:name="_Toc369531545"/>
      <w:bookmarkStart w:id="261" w:name="_Toc247527582"/>
      <w:r>
        <w:rPr>
          <w:rFonts w:hint="eastAsia" w:ascii="仿宋" w:hAnsi="仿宋" w:eastAsia="仿宋" w:cs="仿宋"/>
          <w:color w:val="auto"/>
          <w:highlight w:val="none"/>
        </w:rPr>
        <w:t>则。</w:t>
      </w:r>
    </w:p>
    <w:p>
      <w:pPr>
        <w:pStyle w:val="5"/>
        <w:shd w:val="clear"/>
        <w:spacing w:line="240" w:lineRule="auto"/>
        <w:ind w:firstLine="137"/>
        <w:rPr>
          <w:rFonts w:ascii="仿宋" w:hAnsi="仿宋" w:eastAsia="仿宋" w:cs="仿宋"/>
          <w:color w:val="auto"/>
          <w:highlight w:val="none"/>
        </w:rPr>
      </w:pPr>
      <w:bookmarkStart w:id="262" w:name="_Toc56856882"/>
      <w:r>
        <w:rPr>
          <w:rFonts w:hint="eastAsia" w:ascii="仿宋" w:hAnsi="仿宋" w:eastAsia="仿宋" w:cs="仿宋"/>
          <w:color w:val="auto"/>
          <w:highlight w:val="none"/>
        </w:rPr>
        <w:t>6.3 评标</w:t>
      </w:r>
      <w:bookmarkEnd w:id="262"/>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6</w:t>
      </w:r>
      <w:bookmarkEnd w:id="251"/>
      <w:bookmarkEnd w:id="252"/>
      <w:bookmarkEnd w:id="253"/>
      <w:bookmarkEnd w:id="254"/>
      <w:bookmarkEnd w:id="255"/>
      <w:bookmarkEnd w:id="256"/>
      <w:bookmarkEnd w:id="257"/>
      <w:bookmarkEnd w:id="258"/>
      <w:bookmarkEnd w:id="259"/>
      <w:bookmarkEnd w:id="260"/>
      <w:bookmarkEnd w:id="261"/>
      <w:r>
        <w:rPr>
          <w:rFonts w:hint="eastAsia" w:ascii="仿宋" w:hAnsi="仿宋" w:eastAsia="仿宋" w:cs="仿宋"/>
          <w:color w:val="auto"/>
          <w:highlight w:val="none"/>
        </w:rPr>
        <w:t>.3.1评标委员会按照第三章“评标办法”规定的方法、评审因素、标准和程序对投标文件进行评审。第三章“评标办法”没有规定的方法、评审因素和标准，不作为评标依据。</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6.3.2评标完成后，评标委员会应当向招标人提交书面评标报告和中标候选人名单。评标委员会推荐中标</w:t>
      </w:r>
      <w:bookmarkStart w:id="263" w:name="_Toc300834979"/>
      <w:bookmarkStart w:id="264" w:name="_Toc247527583"/>
      <w:bookmarkStart w:id="265" w:name="_Toc352691502"/>
      <w:bookmarkStart w:id="266" w:name="_Toc152045558"/>
      <w:bookmarkStart w:id="267" w:name="_Toc247513982"/>
      <w:bookmarkStart w:id="268" w:name="_Toc152042334"/>
      <w:bookmarkStart w:id="269" w:name="_Toc384308240"/>
      <w:bookmarkStart w:id="270" w:name="_Toc12259"/>
      <w:bookmarkStart w:id="271" w:name="_Toc144974526"/>
      <w:bookmarkStart w:id="272" w:name="_Toc361508615"/>
      <w:bookmarkStart w:id="273" w:name="_Toc369531546"/>
      <w:r>
        <w:rPr>
          <w:rFonts w:hint="eastAsia" w:ascii="仿宋" w:hAnsi="仿宋" w:eastAsia="仿宋" w:cs="仿宋"/>
          <w:color w:val="auto"/>
          <w:highlight w:val="none"/>
        </w:rPr>
        <w:t>候选人的人数见投标人须知前附</w:t>
      </w:r>
      <w:bookmarkEnd w:id="263"/>
      <w:bookmarkEnd w:id="264"/>
      <w:bookmarkEnd w:id="265"/>
      <w:bookmarkEnd w:id="266"/>
      <w:bookmarkEnd w:id="267"/>
      <w:bookmarkEnd w:id="268"/>
      <w:bookmarkEnd w:id="269"/>
      <w:bookmarkEnd w:id="270"/>
      <w:bookmarkEnd w:id="271"/>
      <w:bookmarkEnd w:id="272"/>
      <w:bookmarkEnd w:id="273"/>
      <w:r>
        <w:rPr>
          <w:rFonts w:hint="eastAsia" w:ascii="仿宋" w:hAnsi="仿宋" w:eastAsia="仿宋" w:cs="仿宋"/>
          <w:color w:val="auto"/>
          <w:highlight w:val="none"/>
        </w:rPr>
        <w:t>表。</w:t>
      </w:r>
    </w:p>
    <w:p>
      <w:pPr>
        <w:pStyle w:val="4"/>
        <w:shd w:val="clear"/>
        <w:rPr>
          <w:rFonts w:ascii="仿宋" w:hAnsi="仿宋" w:eastAsia="仿宋" w:cs="仿宋"/>
          <w:color w:val="auto"/>
          <w:highlight w:val="none"/>
        </w:rPr>
      </w:pPr>
      <w:bookmarkStart w:id="274" w:name="_Toc56856883"/>
      <w:r>
        <w:rPr>
          <w:rFonts w:hint="eastAsia" w:ascii="仿宋" w:hAnsi="仿宋" w:eastAsia="仿宋" w:cs="仿宋"/>
          <w:color w:val="auto"/>
          <w:highlight w:val="none"/>
        </w:rPr>
        <w:t>7. 合同授予</w:t>
      </w:r>
      <w:bookmarkEnd w:id="274"/>
    </w:p>
    <w:p>
      <w:pPr>
        <w:pStyle w:val="5"/>
        <w:shd w:val="clear"/>
        <w:spacing w:line="240" w:lineRule="auto"/>
        <w:ind w:firstLine="137"/>
        <w:rPr>
          <w:rFonts w:ascii="仿宋" w:hAnsi="仿宋" w:eastAsia="仿宋" w:cs="仿宋"/>
          <w:color w:val="auto"/>
          <w:highlight w:val="none"/>
        </w:rPr>
      </w:pPr>
      <w:bookmarkStart w:id="275" w:name="_Toc56856884"/>
      <w:r>
        <w:rPr>
          <w:rFonts w:hint="eastAsia" w:ascii="仿宋" w:hAnsi="仿宋" w:eastAsia="仿宋" w:cs="仿宋"/>
          <w:color w:val="auto"/>
          <w:highlight w:val="none"/>
        </w:rPr>
        <w:t>7.1 中标候选人公示</w:t>
      </w:r>
      <w:bookmarkEnd w:id="275"/>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招标人在收到评标报告之日起3日内，按照投标人须知前附表规定的公示媒介和期限公示中标候选人，公示期不得少于3天。</w:t>
      </w:r>
    </w:p>
    <w:p>
      <w:pPr>
        <w:pStyle w:val="5"/>
        <w:shd w:val="clear"/>
        <w:spacing w:line="240" w:lineRule="auto"/>
        <w:ind w:firstLine="137"/>
        <w:rPr>
          <w:rFonts w:ascii="仿宋" w:hAnsi="仿宋" w:eastAsia="仿宋" w:cs="仿宋"/>
          <w:color w:val="auto"/>
          <w:highlight w:val="none"/>
        </w:rPr>
      </w:pPr>
      <w:bookmarkStart w:id="276" w:name="_Toc56856885"/>
      <w:r>
        <w:rPr>
          <w:rFonts w:hint="eastAsia" w:ascii="仿宋" w:hAnsi="仿宋" w:eastAsia="仿宋" w:cs="仿宋"/>
          <w:color w:val="auto"/>
          <w:highlight w:val="none"/>
        </w:rPr>
        <w:t>7.2 评标结果异议</w:t>
      </w:r>
      <w:bookmarkEnd w:id="276"/>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投标人或者其他利</w:t>
      </w:r>
      <w:bookmarkStart w:id="277" w:name="_Toc384308243"/>
      <w:bookmarkStart w:id="278" w:name="_Toc361508618"/>
      <w:bookmarkStart w:id="279" w:name="_Toc144974529"/>
      <w:bookmarkStart w:id="280" w:name="_Toc152042337"/>
      <w:bookmarkStart w:id="281" w:name="_Toc247527586"/>
      <w:bookmarkStart w:id="282" w:name="_Toc152045561"/>
      <w:bookmarkStart w:id="283" w:name="_Toc300834982"/>
      <w:bookmarkStart w:id="284" w:name="_Toc369531549"/>
      <w:bookmarkStart w:id="285" w:name="_Toc352691505"/>
      <w:bookmarkStart w:id="286" w:name="_Toc30095"/>
      <w:bookmarkStart w:id="287" w:name="_Toc247513985"/>
      <w:r>
        <w:rPr>
          <w:rFonts w:hint="eastAsia" w:ascii="仿宋" w:hAnsi="仿宋" w:eastAsia="仿宋" w:cs="仿宋"/>
          <w:color w:val="auto"/>
          <w:highlight w:val="none"/>
        </w:rPr>
        <w:t>害关系人对评标结</w:t>
      </w:r>
      <w:bookmarkEnd w:id="277"/>
      <w:bookmarkEnd w:id="278"/>
      <w:bookmarkEnd w:id="279"/>
      <w:bookmarkEnd w:id="280"/>
      <w:bookmarkEnd w:id="281"/>
      <w:bookmarkEnd w:id="282"/>
      <w:bookmarkEnd w:id="283"/>
      <w:bookmarkEnd w:id="284"/>
      <w:bookmarkEnd w:id="285"/>
      <w:bookmarkEnd w:id="286"/>
      <w:bookmarkEnd w:id="287"/>
      <w:r>
        <w:rPr>
          <w:rFonts w:hint="eastAsia" w:ascii="仿宋" w:hAnsi="仿宋" w:eastAsia="仿宋" w:cs="仿宋"/>
          <w:color w:val="auto"/>
          <w:highlight w:val="none"/>
        </w:rPr>
        <w:t>果有异议的，应当在中标候选人公示期间提出。招标人将在收到异议之日起3日内作出答复；作出答复前，将暂停招标投标活动。</w:t>
      </w:r>
    </w:p>
    <w:p>
      <w:pPr>
        <w:pStyle w:val="5"/>
        <w:shd w:val="clear"/>
        <w:spacing w:line="240" w:lineRule="auto"/>
        <w:ind w:firstLine="137"/>
        <w:rPr>
          <w:rFonts w:ascii="仿宋" w:hAnsi="仿宋" w:eastAsia="仿宋" w:cs="仿宋"/>
          <w:color w:val="auto"/>
          <w:highlight w:val="none"/>
        </w:rPr>
      </w:pPr>
      <w:bookmarkStart w:id="288" w:name="_Toc56856886"/>
      <w:r>
        <w:rPr>
          <w:rFonts w:hint="eastAsia" w:ascii="仿宋" w:hAnsi="仿宋" w:eastAsia="仿宋" w:cs="仿宋"/>
          <w:color w:val="auto"/>
          <w:highlight w:val="none"/>
        </w:rPr>
        <w:t>7.3 中标候选人履约能力审查</w:t>
      </w:r>
      <w:bookmarkEnd w:id="288"/>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中标候选人的经营、财务状况发生较大变化或存在违法行为，招标人认为可能影响其履约能力的，将在发出中标通知书前提请原评标委员会按照招标文件规定的标准和方法进行审查确认。</w:t>
      </w:r>
    </w:p>
    <w:p>
      <w:pPr>
        <w:pStyle w:val="5"/>
        <w:shd w:val="clear"/>
        <w:spacing w:line="240" w:lineRule="auto"/>
        <w:ind w:firstLine="137"/>
        <w:rPr>
          <w:rFonts w:ascii="仿宋" w:hAnsi="仿宋" w:eastAsia="仿宋" w:cs="仿宋"/>
          <w:color w:val="auto"/>
          <w:highlight w:val="none"/>
        </w:rPr>
      </w:pPr>
      <w:bookmarkStart w:id="289" w:name="_Toc56856887"/>
      <w:r>
        <w:rPr>
          <w:rFonts w:hint="eastAsia" w:ascii="仿宋" w:hAnsi="仿宋" w:eastAsia="仿宋" w:cs="仿宋"/>
          <w:color w:val="auto"/>
          <w:highlight w:val="none"/>
        </w:rPr>
        <w:t>7.4 定标</w:t>
      </w:r>
      <w:bookmarkEnd w:id="289"/>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按照投标人须知前附表的规定，招标人依法确定中标人。</w:t>
      </w:r>
    </w:p>
    <w:p>
      <w:pPr>
        <w:pStyle w:val="5"/>
        <w:shd w:val="clear"/>
        <w:spacing w:line="240" w:lineRule="auto"/>
        <w:ind w:firstLine="137"/>
        <w:rPr>
          <w:rFonts w:ascii="仿宋" w:hAnsi="仿宋" w:eastAsia="仿宋" w:cs="仿宋"/>
          <w:color w:val="auto"/>
          <w:highlight w:val="none"/>
        </w:rPr>
      </w:pPr>
      <w:bookmarkStart w:id="290" w:name="_Toc56856888"/>
      <w:r>
        <w:rPr>
          <w:rFonts w:hint="eastAsia" w:ascii="仿宋" w:hAnsi="仿宋" w:eastAsia="仿宋" w:cs="仿宋"/>
          <w:color w:val="auto"/>
          <w:highlight w:val="none"/>
        </w:rPr>
        <w:t>7.5 中标通知</w:t>
      </w:r>
      <w:bookmarkEnd w:id="290"/>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在本章第3.3款规定的投标有效期内，招标人以书面形式向中标人发出中标</w:t>
      </w:r>
      <w:bookmarkStart w:id="291" w:name="_Toc5668"/>
      <w:bookmarkStart w:id="292" w:name="_Toc361508619"/>
      <w:bookmarkStart w:id="293" w:name="_Toc384308244"/>
      <w:bookmarkStart w:id="294" w:name="_Toc369531550"/>
      <w:bookmarkStart w:id="295" w:name="_Toc300834983"/>
      <w:bookmarkStart w:id="296" w:name="_Toc352691506"/>
      <w:r>
        <w:rPr>
          <w:rFonts w:hint="eastAsia" w:ascii="仿宋" w:hAnsi="仿宋" w:eastAsia="仿宋" w:cs="仿宋"/>
          <w:color w:val="auto"/>
          <w:highlight w:val="none"/>
        </w:rPr>
        <w:t>通知书，同时将中</w:t>
      </w:r>
      <w:bookmarkEnd w:id="291"/>
      <w:bookmarkEnd w:id="292"/>
      <w:bookmarkEnd w:id="293"/>
      <w:bookmarkEnd w:id="294"/>
      <w:bookmarkEnd w:id="295"/>
      <w:bookmarkEnd w:id="296"/>
      <w:r>
        <w:rPr>
          <w:rFonts w:hint="eastAsia" w:ascii="仿宋" w:hAnsi="仿宋" w:eastAsia="仿宋" w:cs="仿宋"/>
          <w:color w:val="auto"/>
          <w:highlight w:val="none"/>
        </w:rPr>
        <w:t>标结果通知未中标的投标人。</w:t>
      </w:r>
    </w:p>
    <w:p>
      <w:pPr>
        <w:pStyle w:val="5"/>
        <w:shd w:val="clear"/>
        <w:spacing w:line="240" w:lineRule="auto"/>
        <w:ind w:firstLine="137"/>
        <w:rPr>
          <w:rFonts w:ascii="仿宋" w:hAnsi="仿宋" w:eastAsia="仿宋" w:cs="仿宋"/>
          <w:color w:val="auto"/>
          <w:highlight w:val="none"/>
        </w:rPr>
      </w:pPr>
      <w:bookmarkStart w:id="297" w:name="_Toc56856889"/>
      <w:bookmarkStart w:id="298" w:name="_Toc482188479"/>
      <w:r>
        <w:rPr>
          <w:rFonts w:hint="eastAsia" w:ascii="仿宋" w:hAnsi="仿宋" w:eastAsia="仿宋" w:cs="仿宋"/>
          <w:color w:val="auto"/>
          <w:highlight w:val="none"/>
        </w:rPr>
        <w:t>7.6 技术成果经济补偿</w:t>
      </w:r>
      <w:bookmarkEnd w:id="297"/>
      <w:bookmarkEnd w:id="298"/>
      <w:r>
        <w:rPr>
          <w:rFonts w:hint="eastAsia" w:ascii="仿宋" w:hAnsi="仿宋" w:eastAsia="仿宋" w:cs="仿宋"/>
          <w:color w:val="auto"/>
          <w:highlight w:val="none"/>
        </w:rPr>
        <w:t>（本项目不适用）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对符合招标文件规定的未中标人的技术成果进行补偿的，将按投标人须知前附表规定的标准给予经济补偿，未中标人在投标文件中声明放弃技术成果经济补偿费的除外。</w:t>
      </w:r>
    </w:p>
    <w:p>
      <w:pPr>
        <w:pStyle w:val="5"/>
        <w:shd w:val="clear"/>
        <w:spacing w:line="240" w:lineRule="auto"/>
        <w:ind w:firstLine="137"/>
        <w:rPr>
          <w:rFonts w:ascii="仿宋" w:hAnsi="仿宋" w:eastAsia="仿宋" w:cs="仿宋"/>
          <w:color w:val="auto"/>
          <w:highlight w:val="none"/>
        </w:rPr>
      </w:pPr>
      <w:bookmarkStart w:id="299" w:name="_Toc56856890"/>
      <w:r>
        <w:rPr>
          <w:rFonts w:hint="eastAsia" w:ascii="仿宋" w:hAnsi="仿宋" w:eastAsia="仿宋" w:cs="仿宋"/>
          <w:color w:val="auto"/>
          <w:highlight w:val="none"/>
        </w:rPr>
        <w:t>7.7 履约保证金</w:t>
      </w:r>
      <w:bookmarkEnd w:id="299"/>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7.7.1 在签订合同前，中标人应按投标人须知前附表规定的形式、金额和招标文件第四章“合同条款及格式”规定的或者事先经过招标人书面认可的履约保证金格式向招标人提交履约保证金。联合体中标的，其履约保证金以联合体各方或者联合体中牵头人的名义提交。</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7.7.2 中标人不能按本章第7.7.1项要求提交履约保证金的，视为放弃中标，其投标保证金不予退还，给招标人造成的损失超过投标保证金数额的，中标人还应当对超过部分予以赔偿。</w:t>
      </w:r>
    </w:p>
    <w:p>
      <w:pPr>
        <w:pStyle w:val="5"/>
        <w:shd w:val="clear"/>
        <w:spacing w:line="240" w:lineRule="auto"/>
        <w:ind w:firstLine="137"/>
        <w:rPr>
          <w:rFonts w:ascii="仿宋" w:hAnsi="仿宋" w:eastAsia="仿宋" w:cs="仿宋"/>
          <w:color w:val="auto"/>
          <w:highlight w:val="none"/>
        </w:rPr>
      </w:pPr>
      <w:bookmarkStart w:id="300" w:name="_Toc56856891"/>
      <w:r>
        <w:rPr>
          <w:rFonts w:hint="eastAsia" w:ascii="仿宋" w:hAnsi="仿宋" w:eastAsia="仿宋" w:cs="仿宋"/>
          <w:color w:val="auto"/>
          <w:highlight w:val="none"/>
        </w:rPr>
        <w:t>7.8 签订合同</w:t>
      </w:r>
      <w:bookmarkEnd w:id="300"/>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7.8.1 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7.8.2 发出中标通知书后，招标人无正当理由拒签合同，或者在签订合同时向中标人提出附加条件的，招标人向中标人退还投标保证金；给中标人造成损失的，还应当赔偿损失。</w:t>
      </w:r>
    </w:p>
    <w:p>
      <w:pPr>
        <w:shd w:val="clear"/>
        <w:spacing w:line="400" w:lineRule="exact"/>
        <w:ind w:firstLine="420" w:firstLineChars="200"/>
        <w:rPr>
          <w:rFonts w:ascii="仿宋" w:hAnsi="仿宋" w:eastAsia="仿宋" w:cs="仿宋"/>
          <w:color w:val="auto"/>
          <w:szCs w:val="21"/>
          <w:highlight w:val="none"/>
        </w:rPr>
      </w:pPr>
      <w:r>
        <w:rPr>
          <w:rFonts w:hint="eastAsia" w:ascii="仿宋" w:hAnsi="仿宋" w:eastAsia="仿宋" w:cs="仿宋"/>
          <w:color w:val="auto"/>
          <w:highlight w:val="none"/>
        </w:rPr>
        <w:t>7.8.3</w:t>
      </w:r>
      <w:r>
        <w:rPr>
          <w:rFonts w:hint="eastAsia" w:ascii="仿宋" w:hAnsi="仿宋" w:eastAsia="仿宋" w:cs="仿宋"/>
          <w:color w:val="auto"/>
          <w:szCs w:val="21"/>
          <w:highlight w:val="none"/>
        </w:rPr>
        <w:t>联合体中标的，联合体各方应当共同与招标人签订合同，就中标项目向招标人承担连带责任。</w:t>
      </w:r>
    </w:p>
    <w:p>
      <w:pPr>
        <w:pStyle w:val="4"/>
        <w:shd w:val="clear"/>
        <w:rPr>
          <w:rFonts w:ascii="仿宋" w:hAnsi="仿宋" w:eastAsia="仿宋" w:cs="仿宋"/>
          <w:color w:val="auto"/>
          <w:highlight w:val="none"/>
        </w:rPr>
      </w:pPr>
      <w:bookmarkStart w:id="301" w:name="_Toc361508627"/>
      <w:bookmarkStart w:id="302" w:name="_Toc24067"/>
      <w:bookmarkStart w:id="303" w:name="_Toc384308252"/>
      <w:bookmarkStart w:id="304" w:name="_Toc56856892"/>
      <w:bookmarkStart w:id="305" w:name="_Toc152042344"/>
      <w:bookmarkStart w:id="306" w:name="_Toc300834991"/>
      <w:bookmarkStart w:id="307" w:name="_Toc247527593"/>
      <w:bookmarkStart w:id="308" w:name="_Toc144974536"/>
      <w:bookmarkStart w:id="309" w:name="_Toc247513992"/>
      <w:bookmarkStart w:id="310" w:name="_Toc152045568"/>
      <w:r>
        <w:rPr>
          <w:rFonts w:hint="eastAsia" w:ascii="仿宋" w:hAnsi="仿宋" w:eastAsia="仿宋" w:cs="仿宋"/>
          <w:color w:val="auto"/>
          <w:highlight w:val="none"/>
        </w:rPr>
        <w:t>8.</w:t>
      </w:r>
      <w:bookmarkEnd w:id="301"/>
      <w:bookmarkEnd w:id="302"/>
      <w:bookmarkEnd w:id="303"/>
      <w:r>
        <w:rPr>
          <w:rFonts w:hint="eastAsia" w:ascii="仿宋" w:hAnsi="仿宋" w:eastAsia="仿宋" w:cs="仿宋"/>
          <w:color w:val="auto"/>
          <w:highlight w:val="none"/>
        </w:rPr>
        <w:t>纪律和监督</w:t>
      </w:r>
      <w:bookmarkEnd w:id="304"/>
    </w:p>
    <w:p>
      <w:pPr>
        <w:pStyle w:val="5"/>
        <w:shd w:val="clear"/>
        <w:spacing w:line="240" w:lineRule="auto"/>
        <w:ind w:firstLine="137"/>
        <w:rPr>
          <w:rFonts w:ascii="仿宋" w:hAnsi="仿宋" w:eastAsia="仿宋" w:cs="仿宋"/>
          <w:color w:val="auto"/>
          <w:highlight w:val="none"/>
        </w:rPr>
      </w:pPr>
      <w:bookmarkStart w:id="311" w:name="_Toc56856893"/>
      <w:r>
        <w:rPr>
          <w:rFonts w:hint="eastAsia" w:ascii="仿宋" w:hAnsi="仿宋" w:eastAsia="仿宋" w:cs="仿宋"/>
          <w:color w:val="auto"/>
          <w:highlight w:val="none"/>
        </w:rPr>
        <w:t>8.1 对招标人的纪律要求</w:t>
      </w:r>
      <w:bookmarkEnd w:id="311"/>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招标人不得泄露招标投标活动中应当保密的情况和资料，不得与投标人串通损害国家利益、社会公共利益或者他人合法权益。</w:t>
      </w:r>
    </w:p>
    <w:p>
      <w:pPr>
        <w:pStyle w:val="5"/>
        <w:shd w:val="clear"/>
        <w:spacing w:line="240" w:lineRule="auto"/>
        <w:ind w:firstLine="137"/>
        <w:rPr>
          <w:rFonts w:ascii="仿宋" w:hAnsi="仿宋" w:eastAsia="仿宋" w:cs="仿宋"/>
          <w:color w:val="auto"/>
          <w:highlight w:val="none"/>
        </w:rPr>
      </w:pPr>
      <w:bookmarkStart w:id="312" w:name="_Toc56856894"/>
      <w:r>
        <w:rPr>
          <w:rFonts w:hint="eastAsia" w:ascii="仿宋" w:hAnsi="仿宋" w:eastAsia="仿宋" w:cs="仿宋"/>
          <w:color w:val="auto"/>
          <w:highlight w:val="none"/>
        </w:rPr>
        <w:t>8.2 对投标人的纪律要求</w:t>
      </w:r>
      <w:bookmarkEnd w:id="312"/>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5"/>
        <w:shd w:val="clear"/>
        <w:spacing w:line="240" w:lineRule="auto"/>
        <w:ind w:firstLine="137"/>
        <w:rPr>
          <w:rFonts w:ascii="仿宋" w:hAnsi="仿宋" w:eastAsia="仿宋" w:cs="仿宋"/>
          <w:color w:val="auto"/>
          <w:highlight w:val="none"/>
        </w:rPr>
      </w:pPr>
      <w:bookmarkStart w:id="313" w:name="_Toc56856895"/>
      <w:r>
        <w:rPr>
          <w:rFonts w:hint="eastAsia" w:ascii="仿宋" w:hAnsi="仿宋" w:eastAsia="仿宋" w:cs="仿宋"/>
          <w:color w:val="auto"/>
          <w:highlight w:val="none"/>
        </w:rPr>
        <w:t>8.3 对评标委员会成员的纪律要求</w:t>
      </w:r>
      <w:bookmarkEnd w:id="313"/>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评标委员会成员不得收受他人的财物或者其他好处，不得向他人透露对投标文件的评审</w:t>
      </w:r>
      <w:bookmarkStart w:id="314" w:name="_Toc361508628"/>
      <w:bookmarkStart w:id="315" w:name="_Toc13644"/>
      <w:bookmarkStart w:id="316" w:name="_Toc352691515"/>
      <w:bookmarkStart w:id="317" w:name="_Toc384308253"/>
      <w:bookmarkStart w:id="318" w:name="_Toc369531559"/>
      <w:r>
        <w:rPr>
          <w:rFonts w:hint="eastAsia" w:ascii="仿宋" w:hAnsi="仿宋" w:eastAsia="仿宋" w:cs="仿宋"/>
          <w:color w:val="auto"/>
          <w:highlight w:val="none"/>
        </w:rPr>
        <w:t>和比较、中标候选人</w:t>
      </w:r>
      <w:bookmarkEnd w:id="305"/>
      <w:bookmarkEnd w:id="306"/>
      <w:bookmarkEnd w:id="307"/>
      <w:bookmarkEnd w:id="308"/>
      <w:bookmarkEnd w:id="309"/>
      <w:bookmarkEnd w:id="310"/>
      <w:bookmarkEnd w:id="314"/>
      <w:bookmarkEnd w:id="315"/>
      <w:bookmarkEnd w:id="316"/>
      <w:bookmarkEnd w:id="317"/>
      <w:bookmarkEnd w:id="318"/>
      <w:r>
        <w:rPr>
          <w:rFonts w:hint="eastAsia" w:ascii="仿宋" w:hAnsi="仿宋" w:eastAsia="仿宋" w:cs="仿宋"/>
          <w:color w:val="auto"/>
          <w:highlight w:val="none"/>
        </w:rPr>
        <w:t>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pPr>
        <w:pStyle w:val="5"/>
        <w:shd w:val="clear"/>
        <w:spacing w:line="240" w:lineRule="auto"/>
        <w:ind w:firstLine="137"/>
        <w:rPr>
          <w:rFonts w:ascii="仿宋" w:hAnsi="仿宋" w:eastAsia="仿宋" w:cs="仿宋"/>
          <w:color w:val="auto"/>
          <w:highlight w:val="none"/>
        </w:rPr>
      </w:pPr>
      <w:bookmarkStart w:id="319" w:name="_Toc56856896"/>
      <w:r>
        <w:rPr>
          <w:rFonts w:hint="eastAsia" w:ascii="仿宋" w:hAnsi="仿宋" w:eastAsia="仿宋" w:cs="仿宋"/>
          <w:color w:val="auto"/>
          <w:highlight w:val="none"/>
        </w:rPr>
        <w:t>8.4 对与评标活动有关的工作人员的纪律要求</w:t>
      </w:r>
      <w:bookmarkEnd w:id="319"/>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与评标活动有关的工作人员不得收受他人的财物或者其他好处，不得向他人透露对投标文件</w:t>
      </w:r>
      <w:bookmarkStart w:id="320" w:name="_Toc384308254"/>
      <w:bookmarkStart w:id="321" w:name="_Toc247527594"/>
      <w:bookmarkStart w:id="322" w:name="_Toc152042345"/>
      <w:bookmarkStart w:id="323" w:name="_Toc19429"/>
      <w:bookmarkStart w:id="324" w:name="_Toc369531560"/>
      <w:bookmarkStart w:id="325" w:name="_Toc361508629"/>
      <w:bookmarkStart w:id="326" w:name="_Toc300834992"/>
      <w:bookmarkStart w:id="327" w:name="_Toc152045569"/>
      <w:bookmarkStart w:id="328" w:name="_Toc352691516"/>
      <w:bookmarkStart w:id="329" w:name="_Toc144974537"/>
      <w:bookmarkStart w:id="330" w:name="_Toc247513993"/>
      <w:r>
        <w:rPr>
          <w:rFonts w:hint="eastAsia" w:ascii="仿宋" w:hAnsi="仿宋" w:eastAsia="仿宋" w:cs="仿宋"/>
          <w:color w:val="auto"/>
          <w:highlight w:val="none"/>
        </w:rPr>
        <w:t>的评审和比较、中标</w:t>
      </w:r>
      <w:bookmarkEnd w:id="320"/>
      <w:bookmarkEnd w:id="321"/>
      <w:bookmarkEnd w:id="322"/>
      <w:bookmarkEnd w:id="323"/>
      <w:bookmarkEnd w:id="324"/>
      <w:bookmarkEnd w:id="325"/>
      <w:bookmarkEnd w:id="326"/>
      <w:bookmarkEnd w:id="327"/>
      <w:bookmarkEnd w:id="328"/>
      <w:bookmarkEnd w:id="329"/>
      <w:bookmarkEnd w:id="330"/>
      <w:r>
        <w:rPr>
          <w:rFonts w:hint="eastAsia" w:ascii="仿宋" w:hAnsi="仿宋" w:eastAsia="仿宋" w:cs="仿宋"/>
          <w:color w:val="auto"/>
          <w:highlight w:val="none"/>
        </w:rPr>
        <w:t>候选人的推荐情况以及评标有关的其他情况。在评标活动中，与评标活动有关的工作人员不得擅离职守，影响评标程序正常进行。</w:t>
      </w:r>
    </w:p>
    <w:p>
      <w:pPr>
        <w:pStyle w:val="5"/>
        <w:shd w:val="clear"/>
        <w:spacing w:line="240" w:lineRule="auto"/>
        <w:ind w:firstLine="137"/>
        <w:rPr>
          <w:rFonts w:ascii="仿宋" w:hAnsi="仿宋" w:eastAsia="仿宋" w:cs="仿宋"/>
          <w:color w:val="auto"/>
          <w:highlight w:val="none"/>
        </w:rPr>
      </w:pPr>
      <w:bookmarkStart w:id="331" w:name="_Toc56856897"/>
      <w:r>
        <w:rPr>
          <w:rFonts w:hint="eastAsia" w:ascii="仿宋" w:hAnsi="仿宋" w:eastAsia="仿宋" w:cs="仿宋"/>
          <w:color w:val="auto"/>
          <w:highlight w:val="none"/>
        </w:rPr>
        <w:t>8.5 投诉</w:t>
      </w:r>
      <w:bookmarkEnd w:id="331"/>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8.5.1 投标人或者其他利害关系人认为招标投标活动不符合法律、行政法规规定的，可以自知道或者应当知道之日起10日内向有关行政监督部门投诉。投诉应当有明确的请求和必要的证明材料。</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8.5.2 投标人或者其他利害关系人对招标文件、开标和评标结果提出投诉的，应当按照投标人须知第2.4款、第5.3款和第7.2款的规定先向招标人提出异议。异议答复期间</w:t>
      </w:r>
      <w:bookmarkStart w:id="332" w:name="_Toc247527595"/>
      <w:bookmarkStart w:id="333" w:name="_Toc144974538"/>
      <w:bookmarkStart w:id="334" w:name="_Toc12776"/>
      <w:bookmarkStart w:id="335" w:name="_Toc247513994"/>
      <w:bookmarkStart w:id="336" w:name="_Toc384308255"/>
      <w:bookmarkStart w:id="337" w:name="_Toc152042346"/>
      <w:bookmarkStart w:id="338" w:name="_Toc369531561"/>
      <w:bookmarkStart w:id="339" w:name="_Toc300834993"/>
      <w:bookmarkStart w:id="340" w:name="_Toc152045570"/>
      <w:bookmarkStart w:id="341" w:name="_Toc361508630"/>
      <w:bookmarkStart w:id="342" w:name="_Toc352691517"/>
      <w:r>
        <w:rPr>
          <w:rFonts w:hint="eastAsia" w:ascii="仿宋" w:hAnsi="仿宋" w:eastAsia="仿宋" w:cs="仿宋"/>
          <w:color w:val="auto"/>
          <w:highlight w:val="none"/>
        </w:rPr>
        <w:t>不计算在第8.5.</w:t>
      </w:r>
      <w:bookmarkEnd w:id="332"/>
      <w:bookmarkEnd w:id="333"/>
      <w:bookmarkEnd w:id="334"/>
      <w:bookmarkEnd w:id="335"/>
      <w:bookmarkEnd w:id="336"/>
      <w:bookmarkEnd w:id="337"/>
      <w:bookmarkEnd w:id="338"/>
      <w:bookmarkEnd w:id="339"/>
      <w:bookmarkEnd w:id="340"/>
      <w:bookmarkEnd w:id="341"/>
      <w:bookmarkEnd w:id="342"/>
      <w:r>
        <w:rPr>
          <w:rFonts w:hint="eastAsia" w:ascii="仿宋" w:hAnsi="仿宋" w:eastAsia="仿宋" w:cs="仿宋"/>
          <w:color w:val="auto"/>
          <w:highlight w:val="none"/>
        </w:rPr>
        <w:t>1项规定的期限内。</w:t>
      </w:r>
    </w:p>
    <w:p>
      <w:pPr>
        <w:pStyle w:val="4"/>
        <w:shd w:val="clear"/>
        <w:spacing w:line="240" w:lineRule="auto"/>
        <w:rPr>
          <w:rFonts w:ascii="仿宋" w:hAnsi="仿宋" w:eastAsia="仿宋" w:cs="仿宋"/>
          <w:color w:val="auto"/>
          <w:highlight w:val="none"/>
        </w:rPr>
      </w:pPr>
      <w:bookmarkStart w:id="343" w:name="_Toc477134992"/>
      <w:bookmarkStart w:id="344" w:name="_Toc56856898"/>
      <w:r>
        <w:rPr>
          <w:rFonts w:hint="eastAsia" w:ascii="仿宋" w:hAnsi="仿宋" w:eastAsia="仿宋" w:cs="仿宋"/>
          <w:color w:val="auto"/>
          <w:highlight w:val="none"/>
        </w:rPr>
        <w:t>9. 是否采用电子招标投标</w:t>
      </w:r>
      <w:bookmarkEnd w:id="343"/>
      <w:bookmarkEnd w:id="344"/>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本招标项目是否采用电子招标投标方式，见投标人须知前附表。</w:t>
      </w:r>
    </w:p>
    <w:p>
      <w:pPr>
        <w:pStyle w:val="4"/>
        <w:shd w:val="clear"/>
        <w:spacing w:line="240" w:lineRule="auto"/>
        <w:rPr>
          <w:rFonts w:ascii="仿宋" w:hAnsi="仿宋" w:eastAsia="仿宋" w:cs="仿宋"/>
          <w:color w:val="auto"/>
          <w:highlight w:val="none"/>
        </w:rPr>
      </w:pPr>
      <w:bookmarkStart w:id="345" w:name="_Toc41170903"/>
      <w:bookmarkStart w:id="346" w:name="_Toc50554694"/>
      <w:bookmarkStart w:id="347" w:name="_Toc56856899"/>
      <w:r>
        <w:rPr>
          <w:rFonts w:hint="eastAsia" w:ascii="仿宋" w:hAnsi="仿宋" w:eastAsia="仿宋" w:cs="仿宋"/>
          <w:color w:val="auto"/>
          <w:highlight w:val="none"/>
        </w:rPr>
        <w:t>10. 需要补充的其他内容</w:t>
      </w:r>
      <w:bookmarkEnd w:id="345"/>
      <w:bookmarkEnd w:id="346"/>
      <w:bookmarkEnd w:id="347"/>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需要补充的其他内容：见投标人须知前附表。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br w:type="page"/>
      </w:r>
    </w:p>
    <w:p>
      <w:pPr>
        <w:pStyle w:val="5"/>
        <w:shd w:val="clear"/>
        <w:ind w:firstLine="137"/>
        <w:rPr>
          <w:rFonts w:ascii="仿宋" w:hAnsi="仿宋" w:eastAsia="仿宋" w:cs="仿宋"/>
          <w:color w:val="auto"/>
          <w:highlight w:val="none"/>
        </w:rPr>
      </w:pPr>
      <w:bookmarkStart w:id="348" w:name="_Toc56856900"/>
      <w:r>
        <w:rPr>
          <w:rFonts w:hint="eastAsia" w:ascii="仿宋" w:hAnsi="仿宋" w:eastAsia="仿宋" w:cs="仿宋"/>
          <w:color w:val="auto"/>
          <w:highlight w:val="none"/>
        </w:rPr>
        <w:t>附件一：开标记录表</w:t>
      </w:r>
      <w:bookmarkEnd w:id="348"/>
    </w:p>
    <w:p>
      <w:pPr>
        <w:shd w:val="clear"/>
        <w:spacing w:line="440" w:lineRule="exact"/>
        <w:jc w:val="center"/>
        <w:rPr>
          <w:rFonts w:ascii="仿宋" w:hAnsi="仿宋" w:eastAsia="仿宋" w:cs="仿宋"/>
          <w:color w:val="auto"/>
          <w:sz w:val="28"/>
          <w:highlight w:val="none"/>
        </w:rPr>
      </w:pPr>
      <w:r>
        <w:rPr>
          <w:rFonts w:hint="eastAsia" w:ascii="仿宋" w:hAnsi="仿宋" w:eastAsia="仿宋" w:cs="仿宋"/>
          <w:color w:val="auto"/>
          <w:sz w:val="28"/>
          <w:highlight w:val="none"/>
        </w:rPr>
        <w:t>开标记录表</w:t>
      </w:r>
    </w:p>
    <w:p>
      <w:pPr>
        <w:shd w:val="clear"/>
        <w:spacing w:before="156" w:beforeLines="50" w:after="156" w:afterLines="50" w:line="400" w:lineRule="exact"/>
        <w:ind w:right="420"/>
        <w:rPr>
          <w:rFonts w:ascii="仿宋" w:hAnsi="仿宋" w:eastAsia="仿宋" w:cs="仿宋"/>
          <w:color w:val="auto"/>
          <w:highlight w:val="none"/>
        </w:rPr>
      </w:pPr>
      <w:r>
        <w:rPr>
          <w:rFonts w:hint="eastAsia" w:ascii="仿宋" w:hAnsi="仿宋" w:eastAsia="仿宋" w:cs="仿宋"/>
          <w:color w:val="auto"/>
          <w:highlight w:val="none"/>
        </w:rPr>
        <w:t>开标时间：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时</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分</w:t>
      </w:r>
    </w:p>
    <w:tbl>
      <w:tblPr>
        <w:tblStyle w:val="40"/>
        <w:tblW w:w="4997" w:type="pct"/>
        <w:jc w:val="center"/>
        <w:tblLayout w:type="autofit"/>
        <w:tblCellMar>
          <w:top w:w="0" w:type="dxa"/>
          <w:left w:w="108" w:type="dxa"/>
          <w:bottom w:w="0" w:type="dxa"/>
          <w:right w:w="108" w:type="dxa"/>
        </w:tblCellMar>
      </w:tblPr>
      <w:tblGrid>
        <w:gridCol w:w="1066"/>
        <w:gridCol w:w="1776"/>
        <w:gridCol w:w="2216"/>
        <w:gridCol w:w="1611"/>
        <w:gridCol w:w="1848"/>
      </w:tblGrid>
      <w:tr>
        <w:tblPrEx>
          <w:tblCellMar>
            <w:top w:w="0" w:type="dxa"/>
            <w:left w:w="108" w:type="dxa"/>
            <w:bottom w:w="0" w:type="dxa"/>
            <w:right w:w="108" w:type="dxa"/>
          </w:tblCellMar>
        </w:tblPrEx>
        <w:trPr>
          <w:trHeight w:val="808" w:hRule="atLeast"/>
          <w:jc w:val="center"/>
        </w:trPr>
        <w:tc>
          <w:tcPr>
            <w:tcW w:w="626" w:type="pct"/>
            <w:tcBorders>
              <w:top w:val="single" w:color="auto" w:sz="4" w:space="0"/>
              <w:left w:val="single" w:color="auto" w:sz="4" w:space="0"/>
              <w:right w:val="single" w:color="auto" w:sz="4" w:space="0"/>
            </w:tcBorders>
            <w:vAlign w:val="center"/>
          </w:tcPr>
          <w:p>
            <w:pPr>
              <w:shd w:val="clear"/>
              <w:spacing w:line="360" w:lineRule="exact"/>
              <w:jc w:val="center"/>
              <w:rPr>
                <w:rFonts w:ascii="仿宋" w:hAnsi="仿宋" w:eastAsia="仿宋" w:cs="仿宋"/>
                <w:color w:val="auto"/>
                <w:sz w:val="18"/>
                <w:highlight w:val="none"/>
              </w:rPr>
            </w:pPr>
            <w:r>
              <w:rPr>
                <w:rFonts w:hint="eastAsia" w:ascii="仿宋" w:hAnsi="仿宋" w:eastAsia="仿宋" w:cs="仿宋"/>
                <w:color w:val="auto"/>
                <w:sz w:val="18"/>
                <w:highlight w:val="none"/>
              </w:rPr>
              <w:t>序号</w:t>
            </w:r>
          </w:p>
        </w:tc>
        <w:tc>
          <w:tcPr>
            <w:tcW w:w="1042" w:type="pct"/>
            <w:tcBorders>
              <w:top w:val="single" w:color="auto" w:sz="4" w:space="0"/>
              <w:left w:val="single" w:color="auto" w:sz="4" w:space="0"/>
              <w:right w:val="single" w:color="auto" w:sz="4" w:space="0"/>
            </w:tcBorders>
            <w:vAlign w:val="center"/>
          </w:tcPr>
          <w:p>
            <w:pPr>
              <w:shd w:val="clear"/>
              <w:spacing w:line="360" w:lineRule="exact"/>
              <w:jc w:val="center"/>
              <w:rPr>
                <w:rFonts w:ascii="仿宋" w:hAnsi="仿宋" w:eastAsia="仿宋" w:cs="仿宋"/>
                <w:color w:val="auto"/>
                <w:sz w:val="18"/>
                <w:highlight w:val="none"/>
              </w:rPr>
            </w:pPr>
            <w:r>
              <w:rPr>
                <w:rFonts w:hint="eastAsia" w:ascii="仿宋" w:hAnsi="仿宋" w:eastAsia="仿宋" w:cs="仿宋"/>
                <w:color w:val="auto"/>
                <w:sz w:val="18"/>
                <w:highlight w:val="none"/>
              </w:rPr>
              <w:t>投标人</w:t>
            </w:r>
          </w:p>
        </w:tc>
        <w:tc>
          <w:tcPr>
            <w:tcW w:w="1300" w:type="pct"/>
            <w:tcBorders>
              <w:top w:val="single" w:color="auto" w:sz="4" w:space="0"/>
              <w:left w:val="single" w:color="auto" w:sz="4" w:space="0"/>
              <w:right w:val="single" w:color="auto" w:sz="4" w:space="0"/>
            </w:tcBorders>
            <w:vAlign w:val="center"/>
          </w:tcPr>
          <w:p>
            <w:pPr>
              <w:shd w:val="clear"/>
              <w:spacing w:line="360" w:lineRule="exact"/>
              <w:jc w:val="center"/>
              <w:rPr>
                <w:rFonts w:ascii="仿宋" w:hAnsi="仿宋" w:eastAsia="仿宋" w:cs="仿宋"/>
                <w:color w:val="auto"/>
                <w:sz w:val="18"/>
                <w:highlight w:val="none"/>
              </w:rPr>
            </w:pPr>
            <w:r>
              <w:rPr>
                <w:rFonts w:hint="eastAsia" w:ascii="仿宋" w:hAnsi="仿宋" w:eastAsia="仿宋" w:cs="仿宋"/>
                <w:color w:val="auto"/>
                <w:sz w:val="18"/>
                <w:highlight w:val="none"/>
              </w:rPr>
              <w:t>投标总报价（元）</w:t>
            </w:r>
          </w:p>
        </w:tc>
        <w:tc>
          <w:tcPr>
            <w:tcW w:w="945" w:type="pct"/>
            <w:tcBorders>
              <w:top w:val="single" w:color="auto" w:sz="4" w:space="0"/>
              <w:left w:val="single" w:color="auto" w:sz="4" w:space="0"/>
              <w:right w:val="single" w:color="auto" w:sz="4" w:space="0"/>
            </w:tcBorders>
            <w:vAlign w:val="center"/>
          </w:tcPr>
          <w:p>
            <w:pPr>
              <w:shd w:val="clear"/>
              <w:spacing w:line="360" w:lineRule="exact"/>
              <w:jc w:val="center"/>
              <w:rPr>
                <w:rFonts w:ascii="仿宋" w:hAnsi="仿宋" w:eastAsia="仿宋" w:cs="仿宋"/>
                <w:color w:val="auto"/>
                <w:sz w:val="18"/>
                <w:highlight w:val="none"/>
              </w:rPr>
            </w:pPr>
            <w:r>
              <w:rPr>
                <w:rFonts w:hint="eastAsia" w:ascii="仿宋" w:hAnsi="仿宋" w:eastAsia="仿宋" w:cs="仿宋"/>
                <w:color w:val="auto"/>
                <w:sz w:val="18"/>
                <w:highlight w:val="none"/>
              </w:rPr>
              <w:t>备注</w:t>
            </w:r>
          </w:p>
        </w:tc>
        <w:tc>
          <w:tcPr>
            <w:tcW w:w="1084" w:type="pct"/>
            <w:tcBorders>
              <w:top w:val="single" w:color="auto" w:sz="4" w:space="0"/>
              <w:left w:val="single" w:color="auto" w:sz="4" w:space="0"/>
              <w:right w:val="single" w:color="auto" w:sz="4" w:space="0"/>
            </w:tcBorders>
            <w:vAlign w:val="center"/>
          </w:tcPr>
          <w:p>
            <w:pPr>
              <w:shd w:val="clear"/>
              <w:spacing w:line="360" w:lineRule="exact"/>
              <w:jc w:val="center"/>
              <w:rPr>
                <w:rFonts w:ascii="仿宋" w:hAnsi="仿宋" w:eastAsia="仿宋" w:cs="仿宋"/>
                <w:color w:val="auto"/>
                <w:sz w:val="18"/>
                <w:highlight w:val="none"/>
              </w:rPr>
            </w:pPr>
            <w:r>
              <w:rPr>
                <w:rFonts w:hint="eastAsia" w:ascii="仿宋" w:hAnsi="仿宋" w:eastAsia="仿宋" w:cs="仿宋"/>
                <w:color w:val="auto"/>
                <w:sz w:val="18"/>
                <w:highlight w:val="none"/>
              </w:rPr>
              <w:t>投标人代表签名</w:t>
            </w:r>
          </w:p>
        </w:tc>
      </w:tr>
      <w:tr>
        <w:tblPrEx>
          <w:tblCellMar>
            <w:top w:w="0" w:type="dxa"/>
            <w:left w:w="108" w:type="dxa"/>
            <w:bottom w:w="0" w:type="dxa"/>
            <w:right w:w="108" w:type="dxa"/>
          </w:tblCellMar>
        </w:tblPrEx>
        <w:trPr>
          <w:trHeight w:val="407" w:hRule="atLeast"/>
          <w:jc w:val="center"/>
        </w:trPr>
        <w:tc>
          <w:tcPr>
            <w:tcW w:w="626"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42"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300"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945"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84"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r>
      <w:tr>
        <w:tblPrEx>
          <w:tblCellMar>
            <w:top w:w="0" w:type="dxa"/>
            <w:left w:w="108" w:type="dxa"/>
            <w:bottom w:w="0" w:type="dxa"/>
            <w:right w:w="108" w:type="dxa"/>
          </w:tblCellMar>
        </w:tblPrEx>
        <w:trPr>
          <w:trHeight w:val="407" w:hRule="atLeast"/>
          <w:jc w:val="center"/>
        </w:trPr>
        <w:tc>
          <w:tcPr>
            <w:tcW w:w="626"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42"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300"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945"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84"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r>
      <w:tr>
        <w:tblPrEx>
          <w:tblCellMar>
            <w:top w:w="0" w:type="dxa"/>
            <w:left w:w="108" w:type="dxa"/>
            <w:bottom w:w="0" w:type="dxa"/>
            <w:right w:w="108" w:type="dxa"/>
          </w:tblCellMar>
        </w:tblPrEx>
        <w:trPr>
          <w:trHeight w:val="407" w:hRule="atLeast"/>
          <w:jc w:val="center"/>
        </w:trPr>
        <w:tc>
          <w:tcPr>
            <w:tcW w:w="626"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42"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300"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945"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84"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r>
      <w:tr>
        <w:tblPrEx>
          <w:tblCellMar>
            <w:top w:w="0" w:type="dxa"/>
            <w:left w:w="108" w:type="dxa"/>
            <w:bottom w:w="0" w:type="dxa"/>
            <w:right w:w="108" w:type="dxa"/>
          </w:tblCellMar>
        </w:tblPrEx>
        <w:trPr>
          <w:trHeight w:val="407" w:hRule="atLeast"/>
          <w:jc w:val="center"/>
        </w:trPr>
        <w:tc>
          <w:tcPr>
            <w:tcW w:w="626"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42"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300"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945"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84"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r>
      <w:tr>
        <w:tblPrEx>
          <w:tblCellMar>
            <w:top w:w="0" w:type="dxa"/>
            <w:left w:w="108" w:type="dxa"/>
            <w:bottom w:w="0" w:type="dxa"/>
            <w:right w:w="108" w:type="dxa"/>
          </w:tblCellMar>
        </w:tblPrEx>
        <w:trPr>
          <w:trHeight w:val="407" w:hRule="atLeast"/>
          <w:jc w:val="center"/>
        </w:trPr>
        <w:tc>
          <w:tcPr>
            <w:tcW w:w="626"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42"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300"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945"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84"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r>
      <w:tr>
        <w:tblPrEx>
          <w:tblCellMar>
            <w:top w:w="0" w:type="dxa"/>
            <w:left w:w="108" w:type="dxa"/>
            <w:bottom w:w="0" w:type="dxa"/>
            <w:right w:w="108" w:type="dxa"/>
          </w:tblCellMar>
        </w:tblPrEx>
        <w:trPr>
          <w:trHeight w:val="407" w:hRule="atLeast"/>
          <w:jc w:val="center"/>
        </w:trPr>
        <w:tc>
          <w:tcPr>
            <w:tcW w:w="626"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42"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300"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945"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84"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r>
      <w:tr>
        <w:tblPrEx>
          <w:tblCellMar>
            <w:top w:w="0" w:type="dxa"/>
            <w:left w:w="108" w:type="dxa"/>
            <w:bottom w:w="0" w:type="dxa"/>
            <w:right w:w="108" w:type="dxa"/>
          </w:tblCellMar>
        </w:tblPrEx>
        <w:trPr>
          <w:trHeight w:val="407" w:hRule="atLeast"/>
          <w:jc w:val="center"/>
        </w:trPr>
        <w:tc>
          <w:tcPr>
            <w:tcW w:w="626"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42"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300"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945"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84"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r>
      <w:tr>
        <w:tblPrEx>
          <w:tblCellMar>
            <w:top w:w="0" w:type="dxa"/>
            <w:left w:w="108" w:type="dxa"/>
            <w:bottom w:w="0" w:type="dxa"/>
            <w:right w:w="108" w:type="dxa"/>
          </w:tblCellMar>
        </w:tblPrEx>
        <w:trPr>
          <w:trHeight w:val="407" w:hRule="atLeast"/>
          <w:jc w:val="center"/>
        </w:trPr>
        <w:tc>
          <w:tcPr>
            <w:tcW w:w="626"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42"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300"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945"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84"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r>
      <w:tr>
        <w:tblPrEx>
          <w:tblCellMar>
            <w:top w:w="0" w:type="dxa"/>
            <w:left w:w="108" w:type="dxa"/>
            <w:bottom w:w="0" w:type="dxa"/>
            <w:right w:w="108" w:type="dxa"/>
          </w:tblCellMar>
        </w:tblPrEx>
        <w:trPr>
          <w:trHeight w:val="407" w:hRule="atLeast"/>
          <w:jc w:val="center"/>
        </w:trPr>
        <w:tc>
          <w:tcPr>
            <w:tcW w:w="626"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42"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300"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945"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84"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bookmarkStart w:id="349" w:name="_Toc17638"/>
          </w:p>
        </w:tc>
      </w:tr>
      <w:tr>
        <w:tblPrEx>
          <w:tblCellMar>
            <w:top w:w="0" w:type="dxa"/>
            <w:left w:w="108" w:type="dxa"/>
            <w:bottom w:w="0" w:type="dxa"/>
            <w:right w:w="108" w:type="dxa"/>
          </w:tblCellMar>
        </w:tblPrEx>
        <w:trPr>
          <w:trHeight w:val="415" w:hRule="atLeast"/>
          <w:jc w:val="center"/>
        </w:trPr>
        <w:tc>
          <w:tcPr>
            <w:tcW w:w="626"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42"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300"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945"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c>
          <w:tcPr>
            <w:tcW w:w="1084" w:type="pct"/>
            <w:tcBorders>
              <w:top w:val="single" w:color="auto" w:sz="4" w:space="0"/>
              <w:left w:val="single" w:color="auto" w:sz="4" w:space="0"/>
              <w:bottom w:val="single" w:color="auto" w:sz="4" w:space="0"/>
              <w:right w:val="single" w:color="auto" w:sz="4" w:space="0"/>
            </w:tcBorders>
          </w:tcPr>
          <w:p>
            <w:pPr>
              <w:shd w:val="clear"/>
              <w:spacing w:line="360" w:lineRule="exact"/>
              <w:jc w:val="left"/>
              <w:rPr>
                <w:rFonts w:ascii="仿宋" w:hAnsi="仿宋" w:eastAsia="仿宋" w:cs="仿宋"/>
                <w:color w:val="auto"/>
                <w:highlight w:val="none"/>
              </w:rPr>
            </w:pPr>
          </w:p>
        </w:tc>
      </w:tr>
      <w:bookmarkEnd w:id="349"/>
    </w:tbl>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　　　</w:t>
      </w:r>
    </w:p>
    <w:p>
      <w:pPr>
        <w:shd w:val="clear"/>
        <w:spacing w:line="620" w:lineRule="exact"/>
        <w:rPr>
          <w:rFonts w:ascii="仿宋" w:hAnsi="仿宋" w:eastAsia="仿宋" w:cs="仿宋"/>
          <w:color w:val="auto"/>
          <w:highlight w:val="none"/>
        </w:rPr>
      </w:pPr>
      <w:r>
        <w:rPr>
          <w:rFonts w:hint="eastAsia" w:ascii="仿宋" w:hAnsi="仿宋" w:eastAsia="仿宋" w:cs="仿宋"/>
          <w:color w:val="auto"/>
          <w:highlight w:val="none"/>
        </w:rPr>
        <w:t>招标人代表：</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记录人：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监标人：</w:t>
      </w:r>
      <w:r>
        <w:rPr>
          <w:rFonts w:hint="eastAsia" w:ascii="仿宋" w:hAnsi="仿宋" w:eastAsia="仿宋" w:cs="仿宋"/>
          <w:color w:val="auto"/>
          <w:highlight w:val="none"/>
          <w:u w:val="single"/>
        </w:rPr>
        <w:t xml:space="preserve">       </w:t>
      </w:r>
    </w:p>
    <w:p>
      <w:pPr>
        <w:shd w:val="clear"/>
        <w:spacing w:line="620" w:lineRule="exact"/>
        <w:jc w:val="right"/>
        <w:rPr>
          <w:rFonts w:ascii="仿宋" w:hAnsi="仿宋" w:eastAsia="仿宋" w:cs="仿宋"/>
          <w:color w:val="auto"/>
          <w:sz w:val="20"/>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br w:type="page"/>
      </w:r>
    </w:p>
    <w:p>
      <w:pPr>
        <w:pStyle w:val="5"/>
        <w:shd w:val="clear"/>
        <w:ind w:firstLine="137"/>
        <w:rPr>
          <w:rFonts w:ascii="仿宋" w:hAnsi="仿宋" w:eastAsia="仿宋" w:cs="仿宋"/>
          <w:color w:val="auto"/>
          <w:highlight w:val="none"/>
        </w:rPr>
      </w:pPr>
      <w:bookmarkStart w:id="350" w:name="_Toc56856901"/>
      <w:r>
        <w:rPr>
          <w:rFonts w:hint="eastAsia" w:ascii="仿宋" w:hAnsi="仿宋" w:eastAsia="仿宋" w:cs="仿宋"/>
          <w:color w:val="auto"/>
          <w:highlight w:val="none"/>
        </w:rPr>
        <w:t>附件二：问题澄清通知</w:t>
      </w:r>
      <w:bookmarkEnd w:id="350"/>
    </w:p>
    <w:p>
      <w:pPr>
        <w:shd w:val="clear"/>
        <w:spacing w:line="440" w:lineRule="exact"/>
        <w:jc w:val="center"/>
        <w:rPr>
          <w:rFonts w:ascii="仿宋" w:hAnsi="仿宋" w:eastAsia="仿宋" w:cs="仿宋"/>
          <w:color w:val="auto"/>
          <w:highlight w:val="none"/>
        </w:rPr>
      </w:pPr>
    </w:p>
    <w:p>
      <w:pPr>
        <w:shd w:val="clear"/>
        <w:spacing w:line="440" w:lineRule="exact"/>
        <w:jc w:val="center"/>
        <w:rPr>
          <w:rFonts w:ascii="仿宋" w:hAnsi="仿宋" w:eastAsia="仿宋" w:cs="仿宋"/>
          <w:color w:val="auto"/>
          <w:sz w:val="28"/>
          <w:highlight w:val="none"/>
        </w:rPr>
      </w:pPr>
      <w:r>
        <w:rPr>
          <w:rFonts w:hint="eastAsia" w:ascii="仿宋" w:hAnsi="仿宋" w:eastAsia="仿宋" w:cs="仿宋"/>
          <w:color w:val="auto"/>
          <w:sz w:val="28"/>
          <w:highlight w:val="none"/>
        </w:rPr>
        <w:t>问题澄清通知</w:t>
      </w:r>
    </w:p>
    <w:p>
      <w:pPr>
        <w:shd w:val="clea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（编号：</w:t>
      </w:r>
      <w:r>
        <w:rPr>
          <w:rFonts w:hint="eastAsia" w:ascii="仿宋" w:hAnsi="仿宋" w:eastAsia="仿宋" w:cs="仿宋"/>
          <w:color w:val="auto"/>
          <w:sz w:val="28"/>
          <w:highlight w:val="none"/>
          <w:u w:val="single"/>
        </w:rPr>
        <w:t xml:space="preserve">               </w:t>
      </w:r>
      <w:r>
        <w:rPr>
          <w:rFonts w:hint="eastAsia" w:ascii="仿宋" w:hAnsi="仿宋" w:eastAsia="仿宋" w:cs="仿宋"/>
          <w:color w:val="auto"/>
          <w:highlight w:val="none"/>
        </w:rPr>
        <w:t>）</w:t>
      </w:r>
    </w:p>
    <w:p>
      <w:pPr>
        <w:shd w:val="clear"/>
        <w:spacing w:line="440" w:lineRule="exact"/>
        <w:rPr>
          <w:rFonts w:ascii="仿宋" w:hAnsi="仿宋" w:eastAsia="仿宋" w:cs="仿宋"/>
          <w:color w:val="auto"/>
          <w:highlight w:val="none"/>
        </w:rPr>
      </w:pP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（投标人名称）：</w:t>
      </w:r>
    </w:p>
    <w:p>
      <w:pPr>
        <w:shd w:val="clear"/>
        <w:spacing w:line="440" w:lineRule="exact"/>
        <w:rPr>
          <w:rFonts w:ascii="仿宋" w:hAnsi="仿宋" w:eastAsia="仿宋" w:cs="仿宋"/>
          <w:color w:val="auto"/>
          <w:highlight w:val="none"/>
        </w:rPr>
      </w:pP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　　评标委员会对你方的投标文件进行了仔细的审查，现需你方对下列问题以书</w:t>
      </w:r>
      <w:bookmarkStart w:id="351" w:name="_Toc247514000"/>
      <w:bookmarkStart w:id="352" w:name="_Toc247527601"/>
      <w:bookmarkStart w:id="353" w:name="_Toc352691521"/>
      <w:bookmarkStart w:id="354" w:name="_Toc144974544"/>
      <w:bookmarkStart w:id="355" w:name="_Toc369531565"/>
      <w:bookmarkStart w:id="356" w:name="_Toc384308260"/>
      <w:bookmarkStart w:id="357" w:name="_Toc300834996"/>
      <w:bookmarkStart w:id="358" w:name="_Toc152042352"/>
      <w:bookmarkStart w:id="359" w:name="_Toc152045576"/>
      <w:bookmarkStart w:id="360" w:name="_Toc23050"/>
      <w:bookmarkStart w:id="361" w:name="_Toc361508634"/>
      <w:r>
        <w:rPr>
          <w:rFonts w:hint="eastAsia" w:ascii="仿宋" w:hAnsi="仿宋" w:eastAsia="仿宋" w:cs="仿宋"/>
          <w:color w:val="auto"/>
          <w:highlight w:val="none"/>
        </w:rPr>
        <w:t>面形式予以澄清、说明或补正：</w:t>
      </w: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　　</w:t>
      </w:r>
    </w:p>
    <w:bookmarkEnd w:id="351"/>
    <w:bookmarkEnd w:id="352"/>
    <w:bookmarkEnd w:id="353"/>
    <w:bookmarkEnd w:id="354"/>
    <w:bookmarkEnd w:id="355"/>
    <w:bookmarkEnd w:id="356"/>
    <w:bookmarkEnd w:id="357"/>
    <w:bookmarkEnd w:id="358"/>
    <w:bookmarkEnd w:id="359"/>
    <w:bookmarkEnd w:id="360"/>
    <w:bookmarkEnd w:id="361"/>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    1.</w:t>
      </w: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    2.</w:t>
      </w: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     ......   </w:t>
      </w: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　　　</w:t>
      </w:r>
    </w:p>
    <w:p>
      <w:pPr>
        <w:shd w:val="clear"/>
        <w:spacing w:line="440" w:lineRule="exact"/>
        <w:ind w:firstLine="405"/>
        <w:rPr>
          <w:rFonts w:ascii="仿宋" w:hAnsi="仿宋" w:eastAsia="仿宋" w:cs="仿宋"/>
          <w:color w:val="auto"/>
          <w:highlight w:val="none"/>
        </w:rPr>
      </w:pPr>
      <w:r>
        <w:rPr>
          <w:rFonts w:hint="eastAsia" w:ascii="仿宋" w:hAnsi="仿宋" w:eastAsia="仿宋" w:cs="仿宋"/>
          <w:color w:val="auto"/>
          <w:highlight w:val="none"/>
        </w:rPr>
        <w:t>请将上述问题的澄清、说明或补正于</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时前递交至</w:t>
      </w:r>
      <w:bookmarkStart w:id="362" w:name="_Toc247527602"/>
      <w:bookmarkStart w:id="363" w:name="_Toc384308261"/>
      <w:bookmarkStart w:id="364" w:name="_Toc369531566"/>
      <w:bookmarkStart w:id="365" w:name="_Toc361508635"/>
      <w:bookmarkStart w:id="366" w:name="_Toc152042353"/>
      <w:bookmarkStart w:id="367" w:name="_Toc144974545"/>
      <w:bookmarkStart w:id="368" w:name="_Toc247514001"/>
      <w:bookmarkStart w:id="369" w:name="_Toc28385"/>
      <w:bookmarkStart w:id="370" w:name="_Toc300834997"/>
      <w:bookmarkStart w:id="371" w:name="_Toc352691522"/>
      <w:bookmarkStart w:id="372" w:name="_Toc152045577"/>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（详细地址）或传真至</w:t>
      </w:r>
      <w:bookmarkEnd w:id="362"/>
      <w:bookmarkEnd w:id="363"/>
      <w:bookmarkEnd w:id="364"/>
      <w:bookmarkEnd w:id="365"/>
      <w:bookmarkEnd w:id="366"/>
      <w:bookmarkEnd w:id="367"/>
      <w:bookmarkEnd w:id="368"/>
      <w:bookmarkEnd w:id="369"/>
      <w:bookmarkEnd w:id="370"/>
      <w:bookmarkEnd w:id="371"/>
      <w:bookmarkEnd w:id="372"/>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（传真号码）或通过下载招标文件的电子招标交易平台上传。采用传真方式的，应在</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时前将原件递交至</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（详细地址）。</w:t>
      </w:r>
    </w:p>
    <w:p>
      <w:pPr>
        <w:shd w:val="clear"/>
        <w:spacing w:line="440" w:lineRule="exact"/>
        <w:rPr>
          <w:rFonts w:ascii="仿宋" w:hAnsi="仿宋" w:eastAsia="仿宋" w:cs="仿宋"/>
          <w:color w:val="auto"/>
          <w:highlight w:val="none"/>
        </w:rPr>
      </w:pPr>
    </w:p>
    <w:p>
      <w:pPr>
        <w:shd w:val="clear"/>
        <w:spacing w:line="440" w:lineRule="exact"/>
        <w:rPr>
          <w:rFonts w:ascii="仿宋" w:hAnsi="仿宋" w:eastAsia="仿宋" w:cs="仿宋"/>
          <w:color w:val="auto"/>
          <w:highlight w:val="none"/>
        </w:rPr>
      </w:pPr>
    </w:p>
    <w:p>
      <w:pPr>
        <w:shd w:val="clear"/>
        <w:spacing w:line="440" w:lineRule="exact"/>
        <w:ind w:firstLine="2100" w:firstLineChars="1000"/>
        <w:rPr>
          <w:rFonts w:ascii="仿宋" w:hAnsi="仿宋" w:eastAsia="仿宋" w:cs="仿宋"/>
          <w:color w:val="auto"/>
          <w:highlight w:val="none"/>
        </w:rPr>
      </w:pPr>
      <w:r>
        <w:rPr>
          <w:rFonts w:hint="eastAsia" w:ascii="仿宋" w:hAnsi="仿宋" w:eastAsia="仿宋" w:cs="仿宋"/>
          <w:color w:val="auto"/>
          <w:highlight w:val="none"/>
        </w:rPr>
        <w:t>评标委员会授权的招标人或招标代理机构：</w:t>
      </w:r>
      <w:r>
        <w:rPr>
          <w:rFonts w:hint="eastAsia" w:ascii="仿宋" w:hAnsi="仿宋" w:eastAsia="仿宋" w:cs="仿宋"/>
          <w:color w:val="auto"/>
          <w:sz w:val="28"/>
          <w:highlight w:val="none"/>
          <w:u w:val="single"/>
        </w:rPr>
        <w:t xml:space="preserve">      </w:t>
      </w:r>
      <w:r>
        <w:rPr>
          <w:rFonts w:hint="eastAsia" w:ascii="仿宋" w:hAnsi="仿宋" w:eastAsia="仿宋" w:cs="仿宋"/>
          <w:color w:val="auto"/>
          <w:highlight w:val="none"/>
        </w:rPr>
        <w:t>（签字或盖章）</w:t>
      </w:r>
      <w:bookmarkStart w:id="373" w:name="_Toc384308262"/>
      <w:bookmarkStart w:id="374" w:name="_Toc152042354"/>
      <w:bookmarkStart w:id="375" w:name="_Toc247514002"/>
      <w:bookmarkStart w:id="376" w:name="_Toc152045578"/>
      <w:bookmarkStart w:id="377" w:name="_Toc352691523"/>
      <w:bookmarkStart w:id="378" w:name="_Toc247527603"/>
      <w:bookmarkStart w:id="379" w:name="_Toc361508636"/>
      <w:bookmarkStart w:id="380" w:name="_Toc300834998"/>
      <w:bookmarkStart w:id="381" w:name="_Toc6580"/>
      <w:bookmarkStart w:id="382" w:name="_Toc369531567"/>
      <w:bookmarkStart w:id="383" w:name="_Toc144974546"/>
    </w:p>
    <w:bookmarkEnd w:id="373"/>
    <w:bookmarkEnd w:id="374"/>
    <w:bookmarkEnd w:id="375"/>
    <w:bookmarkEnd w:id="376"/>
    <w:bookmarkEnd w:id="377"/>
    <w:bookmarkEnd w:id="378"/>
    <w:bookmarkEnd w:id="379"/>
    <w:bookmarkEnd w:id="380"/>
    <w:bookmarkEnd w:id="381"/>
    <w:bookmarkEnd w:id="382"/>
    <w:p>
      <w:pPr>
        <w:shd w:val="clear"/>
        <w:spacing w:line="440" w:lineRule="exact"/>
        <w:rPr>
          <w:rFonts w:ascii="仿宋" w:hAnsi="仿宋" w:eastAsia="仿宋" w:cs="仿宋"/>
          <w:color w:val="auto"/>
          <w:highlight w:val="none"/>
        </w:rPr>
      </w:pPr>
      <w:bookmarkStart w:id="384" w:name="_Toc152042355"/>
    </w:p>
    <w:p>
      <w:pPr>
        <w:shd w:val="clear"/>
        <w:spacing w:line="440" w:lineRule="exact"/>
        <w:ind w:right="840"/>
        <w:jc w:val="right"/>
        <w:rPr>
          <w:rFonts w:ascii="仿宋" w:hAnsi="仿宋" w:eastAsia="仿宋" w:cs="仿宋"/>
          <w:color w:val="auto"/>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hd w:val="clear"/>
        <w:spacing w:line="400" w:lineRule="exact"/>
        <w:rPr>
          <w:rFonts w:ascii="仿宋" w:hAnsi="仿宋" w:eastAsia="仿宋" w:cs="仿宋"/>
          <w:color w:val="auto"/>
          <w:highlight w:val="none"/>
        </w:rPr>
      </w:pPr>
    </w:p>
    <w:p>
      <w:pPr>
        <w:shd w:val="clear"/>
        <w:spacing w:line="400" w:lineRule="exact"/>
        <w:rPr>
          <w:rFonts w:ascii="仿宋" w:hAnsi="仿宋" w:eastAsia="仿宋" w:cs="仿宋"/>
          <w:color w:val="auto"/>
          <w:highlight w:val="none"/>
        </w:rPr>
      </w:pPr>
      <w:r>
        <w:rPr>
          <w:rFonts w:hint="eastAsia" w:ascii="仿宋" w:hAnsi="仿宋" w:eastAsia="仿宋" w:cs="仿宋"/>
          <w:color w:val="auto"/>
          <w:highlight w:val="none"/>
        </w:rPr>
        <w:br w:type="page"/>
      </w:r>
    </w:p>
    <w:p>
      <w:pPr>
        <w:pStyle w:val="5"/>
        <w:shd w:val="clear"/>
        <w:ind w:firstLine="137"/>
        <w:rPr>
          <w:rFonts w:ascii="仿宋" w:hAnsi="仿宋" w:eastAsia="仿宋" w:cs="仿宋"/>
          <w:color w:val="auto"/>
          <w:highlight w:val="none"/>
        </w:rPr>
      </w:pPr>
      <w:bookmarkStart w:id="385" w:name="_Toc56856902"/>
      <w:r>
        <w:rPr>
          <w:rFonts w:hint="eastAsia" w:ascii="仿宋" w:hAnsi="仿宋" w:eastAsia="仿宋" w:cs="仿宋"/>
          <w:color w:val="auto"/>
          <w:highlight w:val="none"/>
        </w:rPr>
        <w:t>附件三：问题的澄清</w:t>
      </w:r>
      <w:bookmarkEnd w:id="385"/>
    </w:p>
    <w:p>
      <w:pPr>
        <w:shd w:val="clear"/>
        <w:spacing w:line="400" w:lineRule="exact"/>
        <w:jc w:val="center"/>
        <w:rPr>
          <w:rFonts w:ascii="仿宋" w:hAnsi="仿宋" w:eastAsia="仿宋" w:cs="仿宋"/>
          <w:color w:val="auto"/>
          <w:sz w:val="28"/>
          <w:highlight w:val="none"/>
        </w:rPr>
      </w:pPr>
    </w:p>
    <w:p>
      <w:pPr>
        <w:shd w:val="clear"/>
        <w:spacing w:line="400" w:lineRule="exact"/>
        <w:jc w:val="center"/>
        <w:rPr>
          <w:rFonts w:ascii="仿宋" w:hAnsi="仿宋" w:eastAsia="仿宋" w:cs="仿宋"/>
          <w:color w:val="auto"/>
          <w:sz w:val="28"/>
          <w:highlight w:val="none"/>
        </w:rPr>
      </w:pPr>
      <w:r>
        <w:rPr>
          <w:rFonts w:hint="eastAsia" w:ascii="仿宋" w:hAnsi="仿宋" w:eastAsia="仿宋" w:cs="仿宋"/>
          <w:color w:val="auto"/>
          <w:sz w:val="28"/>
          <w:highlight w:val="none"/>
        </w:rPr>
        <w:t>问</w:t>
      </w:r>
      <w:bookmarkEnd w:id="384"/>
      <w:r>
        <w:rPr>
          <w:rFonts w:hint="eastAsia" w:ascii="仿宋" w:hAnsi="仿宋" w:eastAsia="仿宋" w:cs="仿宋"/>
          <w:color w:val="auto"/>
          <w:sz w:val="28"/>
          <w:highlight w:val="none"/>
        </w:rPr>
        <w:t>题</w:t>
      </w:r>
      <w:bookmarkStart w:id="386" w:name="_Toc3622"/>
      <w:bookmarkStart w:id="387" w:name="_Toc152042356"/>
      <w:bookmarkStart w:id="388" w:name="_Toc247514003"/>
      <w:bookmarkStart w:id="389" w:name="_Toc369531568"/>
      <w:bookmarkStart w:id="390" w:name="_Toc352691524"/>
      <w:bookmarkStart w:id="391" w:name="_Toc300834999"/>
      <w:bookmarkStart w:id="392" w:name="_Toc247527604"/>
      <w:bookmarkStart w:id="393" w:name="_Toc361508637"/>
      <w:bookmarkStart w:id="394" w:name="_Toc384308263"/>
      <w:bookmarkStart w:id="395" w:name="_Toc152045579"/>
      <w:r>
        <w:rPr>
          <w:rFonts w:hint="eastAsia" w:ascii="仿宋" w:hAnsi="仿宋" w:eastAsia="仿宋" w:cs="仿宋"/>
          <w:color w:val="auto"/>
          <w:sz w:val="28"/>
          <w:highlight w:val="none"/>
        </w:rPr>
        <w:t>的澄清</w:t>
      </w:r>
    </w:p>
    <w:p>
      <w:pPr>
        <w:shd w:val="clear"/>
        <w:spacing w:line="400" w:lineRule="exact"/>
        <w:ind w:firstLine="3465" w:firstLineChars="1650"/>
        <w:rPr>
          <w:rFonts w:ascii="仿宋" w:hAnsi="仿宋" w:eastAsia="仿宋" w:cs="仿宋"/>
          <w:color w:val="auto"/>
          <w:highlight w:val="none"/>
        </w:rPr>
      </w:pPr>
      <w:r>
        <w:rPr>
          <w:rFonts w:hint="eastAsia" w:ascii="仿宋" w:hAnsi="仿宋" w:eastAsia="仿宋" w:cs="仿宋"/>
          <w:color w:val="auto"/>
          <w:highlight w:val="none"/>
        </w:rPr>
        <w:t>（编号</w:t>
      </w:r>
      <w:bookmarkEnd w:id="383"/>
      <w:bookmarkEnd w:id="386"/>
      <w:bookmarkEnd w:id="387"/>
      <w:bookmarkEnd w:id="388"/>
      <w:bookmarkEnd w:id="389"/>
      <w:bookmarkEnd w:id="390"/>
      <w:bookmarkEnd w:id="391"/>
      <w:bookmarkEnd w:id="392"/>
      <w:bookmarkEnd w:id="393"/>
      <w:bookmarkEnd w:id="394"/>
      <w:bookmarkEnd w:id="395"/>
      <w:r>
        <w:rPr>
          <w:rFonts w:hint="eastAsia" w:ascii="仿宋" w:hAnsi="仿宋" w:eastAsia="仿宋" w:cs="仿宋"/>
          <w:color w:val="auto"/>
          <w:highlight w:val="none"/>
        </w:rPr>
        <w:t>：</w:t>
      </w:r>
      <w:r>
        <w:rPr>
          <w:rFonts w:hint="eastAsia" w:ascii="仿宋" w:hAnsi="仿宋" w:eastAsia="仿宋" w:cs="仿宋"/>
          <w:color w:val="auto"/>
          <w:sz w:val="28"/>
          <w:highlight w:val="none"/>
          <w:u w:val="single"/>
        </w:rPr>
        <w:t xml:space="preserve">           </w:t>
      </w:r>
      <w:r>
        <w:rPr>
          <w:rFonts w:hint="eastAsia" w:ascii="仿宋" w:hAnsi="仿宋" w:eastAsia="仿宋" w:cs="仿宋"/>
          <w:color w:val="auto"/>
          <w:highlight w:val="none"/>
        </w:rPr>
        <w:t>）</w:t>
      </w:r>
    </w:p>
    <w:p>
      <w:pPr>
        <w:shd w:val="clear"/>
        <w:spacing w:line="400" w:lineRule="exact"/>
        <w:rPr>
          <w:rFonts w:ascii="仿宋" w:hAnsi="仿宋" w:eastAsia="仿宋" w:cs="仿宋"/>
          <w:color w:val="auto"/>
          <w:highlight w:val="none"/>
        </w:rPr>
      </w:pP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评标委员会：</w:t>
      </w:r>
    </w:p>
    <w:p>
      <w:pPr>
        <w:shd w:val="clear"/>
        <w:spacing w:line="440" w:lineRule="exact"/>
        <w:rPr>
          <w:rFonts w:ascii="仿宋" w:hAnsi="仿宋" w:eastAsia="仿宋" w:cs="仿宋"/>
          <w:color w:val="auto"/>
          <w:highlight w:val="none"/>
        </w:rPr>
      </w:pP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　　问题澄清通知（编号：</w:t>
      </w:r>
      <w:r>
        <w:rPr>
          <w:rFonts w:hint="eastAsia" w:ascii="仿宋" w:hAnsi="仿宋" w:eastAsia="仿宋" w:cs="仿宋"/>
          <w:color w:val="auto"/>
          <w:sz w:val="28"/>
          <w:highlight w:val="none"/>
          <w:u w:val="single"/>
        </w:rPr>
        <w:t xml:space="preserve">      </w:t>
      </w:r>
      <w:r>
        <w:rPr>
          <w:rFonts w:hint="eastAsia" w:ascii="仿宋" w:hAnsi="仿宋" w:eastAsia="仿宋" w:cs="仿宋"/>
          <w:color w:val="auto"/>
          <w:highlight w:val="none"/>
        </w:rPr>
        <w:t>）已收悉，现澄清、说明或补正如下：</w:t>
      </w: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　     1.</w:t>
      </w: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　     2.</w:t>
      </w: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　    .....</w:t>
      </w:r>
    </w:p>
    <w:p>
      <w:pPr>
        <w:shd w:val="clear"/>
        <w:spacing w:line="440" w:lineRule="exact"/>
        <w:rPr>
          <w:rFonts w:ascii="仿宋" w:hAnsi="仿宋" w:eastAsia="仿宋" w:cs="仿宋"/>
          <w:color w:val="auto"/>
          <w:highlight w:val="none"/>
        </w:rPr>
      </w:pP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　</w:t>
      </w:r>
    </w:p>
    <w:p>
      <w:pPr>
        <w:shd w:val="clear"/>
        <w:spacing w:line="440" w:lineRule="exact"/>
        <w:rPr>
          <w:rFonts w:ascii="仿宋" w:hAnsi="仿宋" w:eastAsia="仿宋" w:cs="仿宋"/>
          <w:color w:val="auto"/>
          <w:highlight w:val="none"/>
        </w:rPr>
      </w:pPr>
    </w:p>
    <w:p>
      <w:pPr>
        <w:shd w:val="clear"/>
        <w:spacing w:line="44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上述问题澄清、说明或补正，不改变我方投标文件的实质性内容，构成我方投标文件的组成部分。</w:t>
      </w:r>
    </w:p>
    <w:p>
      <w:pPr>
        <w:shd w:val="clear"/>
        <w:spacing w:line="440" w:lineRule="exact"/>
        <w:rPr>
          <w:rFonts w:ascii="仿宋" w:hAnsi="仿宋" w:eastAsia="仿宋" w:cs="仿宋"/>
          <w:color w:val="auto"/>
          <w:highlight w:val="none"/>
        </w:rPr>
      </w:pPr>
    </w:p>
    <w:p>
      <w:pPr>
        <w:shd w:val="clear"/>
        <w:spacing w:line="440" w:lineRule="exact"/>
        <w:rPr>
          <w:rFonts w:ascii="仿宋" w:hAnsi="仿宋" w:eastAsia="仿宋" w:cs="仿宋"/>
          <w:color w:val="auto"/>
          <w:highlight w:val="none"/>
        </w:rPr>
      </w:pPr>
    </w:p>
    <w:p>
      <w:pPr>
        <w:shd w:val="clear"/>
        <w:spacing w:line="480" w:lineRule="auto"/>
        <w:rPr>
          <w:rFonts w:ascii="仿宋" w:hAnsi="仿宋" w:eastAsia="仿宋" w:cs="仿宋"/>
          <w:color w:val="auto"/>
          <w:highlight w:val="none"/>
        </w:rPr>
      </w:pPr>
      <w:r>
        <w:rPr>
          <w:rFonts w:hint="eastAsia" w:ascii="仿宋" w:hAnsi="仿宋" w:eastAsia="仿宋" w:cs="仿宋"/>
          <w:color w:val="auto"/>
          <w:highlight w:val="none"/>
        </w:rPr>
        <w:t>　　　　　　　　　　　　　　投标人：</w:t>
      </w:r>
      <w:r>
        <w:rPr>
          <w:rFonts w:hint="eastAsia" w:ascii="仿宋" w:hAnsi="仿宋" w:eastAsia="仿宋" w:cs="仿宋"/>
          <w:color w:val="auto"/>
          <w:sz w:val="28"/>
          <w:highlight w:val="none"/>
          <w:u w:val="single"/>
        </w:rPr>
        <w:t xml:space="preserve">                         </w:t>
      </w:r>
      <w:r>
        <w:rPr>
          <w:rFonts w:hint="eastAsia" w:ascii="仿宋" w:hAnsi="仿宋" w:eastAsia="仿宋" w:cs="仿宋"/>
          <w:color w:val="auto"/>
          <w:highlight w:val="none"/>
        </w:rPr>
        <w:t>（盖单位章）</w:t>
      </w:r>
    </w:p>
    <w:p>
      <w:pPr>
        <w:shd w:val="clear"/>
        <w:spacing w:line="480" w:lineRule="auto"/>
        <w:ind w:firstLine="2835" w:firstLineChars="1350"/>
        <w:rPr>
          <w:rFonts w:ascii="仿宋" w:hAnsi="仿宋" w:eastAsia="仿宋" w:cs="仿宋"/>
          <w:color w:val="auto"/>
          <w:highlight w:val="none"/>
        </w:rPr>
      </w:pPr>
      <w:r>
        <w:rPr>
          <w:rFonts w:hint="eastAsia" w:ascii="仿宋" w:hAnsi="仿宋" w:eastAsia="仿宋" w:cs="仿宋"/>
          <w:color w:val="auto"/>
          <w:highlight w:val="none"/>
        </w:rPr>
        <w:t xml:space="preserve"> 法定代表人或其委托代理人：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（签字或盖章）</w:t>
      </w: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　　　　　　　　　　　　　　　</w:t>
      </w:r>
    </w:p>
    <w:p>
      <w:pPr>
        <w:shd w:val="clear"/>
        <w:spacing w:line="440" w:lineRule="exact"/>
        <w:jc w:val="right"/>
        <w:rPr>
          <w:rFonts w:ascii="仿宋" w:hAnsi="仿宋" w:eastAsia="仿宋" w:cs="仿宋"/>
          <w:color w:val="auto"/>
          <w:highlight w:val="none"/>
        </w:rPr>
      </w:pPr>
      <w:r>
        <w:rPr>
          <w:rFonts w:hint="eastAsia" w:ascii="仿宋" w:hAnsi="仿宋" w:eastAsia="仿宋" w:cs="仿宋"/>
          <w:color w:val="auto"/>
          <w:highlight w:val="none"/>
        </w:rPr>
        <w:t>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bookmarkStart w:id="396" w:name="_Toc15139"/>
      <w:bookmarkStart w:id="397" w:name="_Toc384308266"/>
      <w:bookmarkStart w:id="398" w:name="_Toc152045581"/>
      <w:bookmarkStart w:id="399" w:name="_Toc369531571"/>
      <w:bookmarkStart w:id="400" w:name="_Toc300835002"/>
      <w:bookmarkStart w:id="401" w:name="_Toc352691527"/>
      <w:bookmarkStart w:id="402" w:name="_Toc144974548"/>
      <w:bookmarkStart w:id="403" w:name="_Toc361508640"/>
      <w:bookmarkStart w:id="404" w:name="_Toc247527606"/>
      <w:bookmarkStart w:id="405" w:name="_Toc247514005"/>
      <w:bookmarkStart w:id="406" w:name="_Toc152042358"/>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bookmarkEnd w:id="396"/>
    <w:bookmarkEnd w:id="397"/>
    <w:bookmarkEnd w:id="398"/>
    <w:bookmarkEnd w:id="399"/>
    <w:bookmarkEnd w:id="400"/>
    <w:bookmarkEnd w:id="401"/>
    <w:bookmarkEnd w:id="402"/>
    <w:bookmarkEnd w:id="403"/>
    <w:bookmarkEnd w:id="404"/>
    <w:bookmarkEnd w:id="405"/>
    <w:bookmarkEnd w:id="406"/>
    <w:p>
      <w:pPr>
        <w:shd w:val="clear"/>
        <w:spacing w:line="400" w:lineRule="exact"/>
        <w:rPr>
          <w:rFonts w:ascii="仿宋" w:hAnsi="仿宋" w:eastAsia="仿宋" w:cs="仿宋"/>
          <w:color w:val="auto"/>
          <w:highlight w:val="none"/>
        </w:rPr>
      </w:pPr>
    </w:p>
    <w:p>
      <w:pPr>
        <w:shd w:val="clear"/>
        <w:spacing w:line="400" w:lineRule="exact"/>
        <w:rPr>
          <w:rFonts w:ascii="仿宋" w:hAnsi="仿宋" w:eastAsia="仿宋" w:cs="仿宋"/>
          <w:color w:val="auto"/>
          <w:highlight w:val="none"/>
        </w:rPr>
      </w:pPr>
      <w:r>
        <w:rPr>
          <w:rFonts w:hint="eastAsia" w:ascii="仿宋" w:hAnsi="仿宋" w:eastAsia="仿宋" w:cs="仿宋"/>
          <w:color w:val="auto"/>
          <w:highlight w:val="none"/>
        </w:rPr>
        <w:br w:type="page"/>
      </w:r>
    </w:p>
    <w:p>
      <w:pPr>
        <w:pStyle w:val="3"/>
        <w:shd w:val="clear"/>
        <w:jc w:val="center"/>
        <w:rPr>
          <w:rFonts w:ascii="仿宋" w:hAnsi="仿宋" w:eastAsia="仿宋" w:cs="仿宋"/>
          <w:b/>
          <w:bCs/>
          <w:color w:val="auto"/>
          <w:highlight w:val="none"/>
        </w:rPr>
      </w:pPr>
      <w:bookmarkStart w:id="407" w:name="_Toc6491"/>
      <w:bookmarkStart w:id="408" w:name="_Toc56856903"/>
      <w:r>
        <w:rPr>
          <w:rFonts w:hint="eastAsia" w:ascii="仿宋" w:hAnsi="仿宋" w:eastAsia="仿宋" w:cs="仿宋"/>
          <w:b/>
          <w:bCs/>
          <w:color w:val="auto"/>
          <w:highlight w:val="none"/>
        </w:rPr>
        <w:t>第三章 评标办法（综合评估法）</w:t>
      </w:r>
      <w:bookmarkEnd w:id="407"/>
      <w:bookmarkEnd w:id="408"/>
    </w:p>
    <w:p>
      <w:pPr>
        <w:pStyle w:val="4"/>
        <w:shd w:val="clear"/>
        <w:jc w:val="center"/>
        <w:rPr>
          <w:rFonts w:ascii="仿宋" w:hAnsi="仿宋" w:eastAsia="仿宋" w:cs="仿宋"/>
          <w:color w:val="auto"/>
          <w:highlight w:val="none"/>
        </w:rPr>
      </w:pPr>
      <w:bookmarkStart w:id="409" w:name="_Toc56856904"/>
      <w:r>
        <w:rPr>
          <w:rFonts w:hint="eastAsia" w:ascii="仿宋" w:hAnsi="仿宋" w:eastAsia="仿宋" w:cs="仿宋"/>
          <w:color w:val="auto"/>
          <w:highlight w:val="none"/>
        </w:rPr>
        <w:t>评标办法前附表</w:t>
      </w:r>
      <w:bookmarkEnd w:id="409"/>
    </w:p>
    <w:tbl>
      <w:tblPr>
        <w:tblStyle w:val="40"/>
        <w:tblW w:w="921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9"/>
        <w:gridCol w:w="1153"/>
        <w:gridCol w:w="1790"/>
        <w:gridCol w:w="53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2" w:type="dxa"/>
            <w:gridSpan w:val="2"/>
            <w:tcBorders>
              <w:top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条款号</w:t>
            </w: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评审因素</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09" w:type="dxa"/>
            <w:tcBorders>
              <w:top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153" w:type="dxa"/>
            <w:tcBorders>
              <w:top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评标方法</w:t>
            </w: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中标候选人排序方法</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本次评标采用综合评估法。评标委员会对满足招标文件实质性要求的投标文件，按照本章规定的评分标准进行打分，并按得分由高到低顺序推荐中标候选人。综合评分相等时，以投标报价低的优先；投标报价也相等的，以技术得分高的优先；如果技术得分也相等，则由评委采用记名投票方式确定中标候选人排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09" w:type="dxa"/>
            <w:vMerge w:val="restart"/>
            <w:tcBorders>
              <w:top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2.1.1</w:t>
            </w:r>
          </w:p>
          <w:p>
            <w:pPr>
              <w:shd w:val="clear"/>
              <w:spacing w:line="380" w:lineRule="exact"/>
              <w:rPr>
                <w:rFonts w:ascii="仿宋" w:hAnsi="仿宋" w:eastAsia="仿宋" w:cs="仿宋"/>
                <w:color w:val="auto"/>
                <w:szCs w:val="21"/>
                <w:highlight w:val="none"/>
              </w:rPr>
            </w:pPr>
          </w:p>
        </w:tc>
        <w:tc>
          <w:tcPr>
            <w:tcW w:w="1153" w:type="dxa"/>
            <w:vMerge w:val="restart"/>
            <w:tcBorders>
              <w:top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初步评审评审标准</w:t>
            </w: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投标人名称</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与营业执照、资质证书一致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09" w:type="dxa"/>
            <w:vMerge w:val="continue"/>
            <w:tcBorders>
              <w:right w:val="single" w:color="auto" w:sz="4" w:space="0"/>
            </w:tcBorders>
            <w:vAlign w:val="center"/>
          </w:tcPr>
          <w:p>
            <w:pPr>
              <w:shd w:val="clear"/>
              <w:spacing w:line="380" w:lineRule="exact"/>
              <w:rPr>
                <w:rFonts w:ascii="仿宋" w:hAnsi="仿宋" w:eastAsia="仿宋" w:cs="仿宋"/>
                <w:color w:val="auto"/>
                <w:szCs w:val="21"/>
                <w:highlight w:val="none"/>
              </w:rPr>
            </w:pPr>
          </w:p>
        </w:tc>
        <w:tc>
          <w:tcPr>
            <w:tcW w:w="1153" w:type="dxa"/>
            <w:vMerge w:val="continue"/>
            <w:tcBorders>
              <w:right w:val="single" w:color="auto" w:sz="4" w:space="0"/>
            </w:tcBorders>
            <w:vAlign w:val="center"/>
          </w:tcPr>
          <w:p>
            <w:pPr>
              <w:shd w:val="clear"/>
              <w:spacing w:line="380" w:lineRule="exact"/>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投标函及投标函附录签字盖章</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有法定代表人</w:t>
            </w:r>
            <w:bookmarkStart w:id="410" w:name="_Toc300835005"/>
            <w:bookmarkStart w:id="411" w:name="_Toc6546"/>
            <w:bookmarkStart w:id="412" w:name="_Toc352691530"/>
            <w:bookmarkStart w:id="413" w:name="_Toc369531574"/>
            <w:bookmarkStart w:id="414" w:name="_Toc361508643"/>
            <w:bookmarkStart w:id="415" w:name="_Toc247527609"/>
            <w:bookmarkStart w:id="416" w:name="_Toc152042361"/>
            <w:bookmarkStart w:id="417" w:name="_Toc152045584"/>
            <w:bookmarkStart w:id="418" w:name="_Toc144974551"/>
            <w:bookmarkStart w:id="419" w:name="_Toc247514008"/>
            <w:bookmarkStart w:id="420" w:name="_Toc384308269"/>
            <w:r>
              <w:rPr>
                <w:rFonts w:hint="eastAsia" w:ascii="仿宋" w:hAnsi="仿宋" w:eastAsia="仿宋" w:cs="仿宋"/>
                <w:color w:val="auto"/>
                <w:szCs w:val="21"/>
                <w:highlight w:val="none"/>
              </w:rPr>
              <w:t>或其委托</w:t>
            </w:r>
            <w:bookmarkEnd w:id="410"/>
            <w:bookmarkEnd w:id="411"/>
            <w:bookmarkEnd w:id="412"/>
            <w:bookmarkEnd w:id="413"/>
            <w:bookmarkEnd w:id="414"/>
            <w:bookmarkEnd w:id="415"/>
            <w:bookmarkEnd w:id="416"/>
            <w:bookmarkEnd w:id="417"/>
            <w:bookmarkEnd w:id="418"/>
            <w:bookmarkEnd w:id="419"/>
            <w:bookmarkEnd w:id="420"/>
            <w:r>
              <w:rPr>
                <w:rFonts w:hint="eastAsia" w:ascii="仿宋" w:hAnsi="仿宋" w:eastAsia="仿宋" w:cs="仿宋"/>
                <w:color w:val="auto"/>
                <w:szCs w:val="21"/>
                <w:highlight w:val="none"/>
              </w:rPr>
              <w:t>代理人签字或加盖单位章。由法定代表人签字的，应附法定代表人身份证明，由代理人签字的，应附授权委托书，身份证明或授权委托书应符合第六章“投标文件格式”的规定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09" w:type="dxa"/>
            <w:vMerge w:val="continue"/>
            <w:tcBorders>
              <w:right w:val="single" w:color="auto" w:sz="4" w:space="0"/>
            </w:tcBorders>
            <w:vAlign w:val="center"/>
          </w:tcPr>
          <w:p>
            <w:pPr>
              <w:shd w:val="clear"/>
              <w:spacing w:line="380" w:lineRule="exact"/>
              <w:rPr>
                <w:rFonts w:ascii="仿宋" w:hAnsi="仿宋" w:eastAsia="仿宋" w:cs="仿宋"/>
                <w:color w:val="auto"/>
                <w:szCs w:val="21"/>
                <w:highlight w:val="none"/>
              </w:rPr>
            </w:pPr>
          </w:p>
        </w:tc>
        <w:tc>
          <w:tcPr>
            <w:tcW w:w="1153" w:type="dxa"/>
            <w:vMerge w:val="continue"/>
            <w:tcBorders>
              <w:right w:val="single" w:color="auto" w:sz="4" w:space="0"/>
            </w:tcBorders>
            <w:vAlign w:val="center"/>
          </w:tcPr>
          <w:p>
            <w:pPr>
              <w:shd w:val="clear"/>
              <w:spacing w:line="380" w:lineRule="exact"/>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投标文件格式</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实质性内容符合第六章“投标文件格式”的规定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09" w:type="dxa"/>
            <w:vMerge w:val="continue"/>
            <w:tcBorders>
              <w:right w:val="single" w:color="auto" w:sz="4" w:space="0"/>
            </w:tcBorders>
            <w:vAlign w:val="center"/>
          </w:tcPr>
          <w:p>
            <w:pPr>
              <w:shd w:val="clear"/>
              <w:spacing w:line="380" w:lineRule="exact"/>
              <w:rPr>
                <w:rFonts w:ascii="仿宋" w:hAnsi="仿宋" w:eastAsia="仿宋" w:cs="仿宋"/>
                <w:color w:val="auto"/>
                <w:szCs w:val="21"/>
                <w:highlight w:val="none"/>
              </w:rPr>
            </w:pPr>
          </w:p>
        </w:tc>
        <w:tc>
          <w:tcPr>
            <w:tcW w:w="1153" w:type="dxa"/>
            <w:vMerge w:val="continue"/>
            <w:tcBorders>
              <w:right w:val="single" w:color="auto" w:sz="4" w:space="0"/>
            </w:tcBorders>
            <w:vAlign w:val="center"/>
          </w:tcPr>
          <w:p>
            <w:pPr>
              <w:shd w:val="clear"/>
              <w:spacing w:line="380" w:lineRule="exact"/>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资格要求</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详见招标公告第3条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09" w:type="dxa"/>
            <w:vMerge w:val="continue"/>
            <w:tcBorders>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153" w:type="dxa"/>
            <w:vMerge w:val="continue"/>
            <w:tcBorders>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投标报价</w:t>
            </w:r>
          </w:p>
        </w:tc>
        <w:tc>
          <w:tcPr>
            <w:tcW w:w="5359" w:type="dxa"/>
            <w:tcBorders>
              <w:top w:val="single" w:color="auto" w:sz="4" w:space="0"/>
              <w:left w:val="single" w:color="auto" w:sz="4" w:space="0"/>
              <w:bottom w:val="single" w:color="auto" w:sz="4" w:space="0"/>
            </w:tcBorders>
            <w:vAlign w:val="center"/>
          </w:tcPr>
          <w:p>
            <w:pPr>
              <w:shd w:val="clea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各项报价唯一且投标报价没有超过最高投标限价。最高投标限价详见招标公告。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09" w:type="dxa"/>
            <w:vMerge w:val="continue"/>
            <w:tcBorders>
              <w:right w:val="single" w:color="auto" w:sz="4" w:space="0"/>
            </w:tcBorders>
            <w:vAlign w:val="center"/>
          </w:tcPr>
          <w:p>
            <w:pPr>
              <w:shd w:val="clear"/>
              <w:spacing w:line="380" w:lineRule="exact"/>
              <w:rPr>
                <w:rFonts w:ascii="仿宋" w:hAnsi="仿宋" w:eastAsia="仿宋" w:cs="仿宋"/>
                <w:color w:val="auto"/>
                <w:szCs w:val="21"/>
                <w:highlight w:val="none"/>
              </w:rPr>
            </w:pPr>
          </w:p>
        </w:tc>
        <w:tc>
          <w:tcPr>
            <w:tcW w:w="1153" w:type="dxa"/>
            <w:vMerge w:val="continue"/>
            <w:tcBorders>
              <w:right w:val="single" w:color="auto" w:sz="4" w:space="0"/>
            </w:tcBorders>
            <w:vAlign w:val="center"/>
          </w:tcPr>
          <w:p>
            <w:pPr>
              <w:shd w:val="clear"/>
              <w:spacing w:line="380" w:lineRule="exact"/>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投标有效期</w:t>
            </w:r>
          </w:p>
        </w:tc>
        <w:tc>
          <w:tcPr>
            <w:tcW w:w="5359" w:type="dxa"/>
            <w:tcBorders>
              <w:top w:val="single" w:color="auto" w:sz="4" w:space="0"/>
              <w:left w:val="single" w:color="auto" w:sz="4" w:space="0"/>
              <w:bottom w:val="single" w:color="auto" w:sz="4" w:space="0"/>
            </w:tcBorders>
          </w:tcPr>
          <w:p>
            <w:pPr>
              <w:shd w:val="clea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投标有效期为90天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09" w:type="dxa"/>
            <w:vMerge w:val="continue"/>
            <w:tcBorders>
              <w:right w:val="single" w:color="auto" w:sz="4" w:space="0"/>
            </w:tcBorders>
            <w:vAlign w:val="center"/>
          </w:tcPr>
          <w:p>
            <w:pPr>
              <w:shd w:val="clear"/>
              <w:spacing w:line="380" w:lineRule="exact"/>
              <w:rPr>
                <w:rFonts w:ascii="仿宋" w:hAnsi="仿宋" w:eastAsia="仿宋" w:cs="仿宋"/>
                <w:color w:val="auto"/>
                <w:szCs w:val="21"/>
                <w:highlight w:val="none"/>
              </w:rPr>
            </w:pPr>
          </w:p>
        </w:tc>
        <w:tc>
          <w:tcPr>
            <w:tcW w:w="1153" w:type="dxa"/>
            <w:vMerge w:val="continue"/>
            <w:tcBorders>
              <w:right w:val="single" w:color="auto" w:sz="4" w:space="0"/>
            </w:tcBorders>
            <w:vAlign w:val="center"/>
          </w:tcPr>
          <w:p>
            <w:pPr>
              <w:shd w:val="clear"/>
              <w:spacing w:line="380" w:lineRule="exact"/>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实质性响应</w:t>
            </w:r>
          </w:p>
        </w:tc>
        <w:tc>
          <w:tcPr>
            <w:tcW w:w="5359" w:type="dxa"/>
            <w:tcBorders>
              <w:top w:val="single" w:color="auto" w:sz="4" w:space="0"/>
              <w:left w:val="single" w:color="auto" w:sz="4" w:space="0"/>
              <w:bottom w:val="single" w:color="auto" w:sz="4" w:space="0"/>
            </w:tcBorders>
          </w:tcPr>
          <w:p>
            <w:pPr>
              <w:shd w:val="clea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投标内容、服务期限、质量标准等实质性响应内容符合招标文件要求（以《投标函及投标函附录》填报的内容进行评审）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09" w:type="dxa"/>
            <w:vMerge w:val="continue"/>
            <w:tcBorders>
              <w:bottom w:val="single" w:color="auto" w:sz="4" w:space="0"/>
              <w:right w:val="single" w:color="auto" w:sz="4" w:space="0"/>
            </w:tcBorders>
            <w:vAlign w:val="center"/>
          </w:tcPr>
          <w:p>
            <w:pPr>
              <w:shd w:val="clear"/>
              <w:spacing w:line="380" w:lineRule="exact"/>
              <w:rPr>
                <w:rFonts w:ascii="仿宋" w:hAnsi="仿宋" w:eastAsia="仿宋" w:cs="仿宋"/>
                <w:color w:val="auto"/>
                <w:szCs w:val="21"/>
                <w:highlight w:val="none"/>
              </w:rPr>
            </w:pPr>
          </w:p>
        </w:tc>
        <w:tc>
          <w:tcPr>
            <w:tcW w:w="1153" w:type="dxa"/>
            <w:vMerge w:val="continue"/>
            <w:tcBorders>
              <w:bottom w:val="single" w:color="auto" w:sz="4" w:space="0"/>
              <w:right w:val="single" w:color="auto" w:sz="4" w:space="0"/>
            </w:tcBorders>
            <w:vAlign w:val="center"/>
          </w:tcPr>
          <w:p>
            <w:pPr>
              <w:shd w:val="clear"/>
              <w:spacing w:line="380" w:lineRule="exact"/>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其他</w:t>
            </w:r>
          </w:p>
        </w:tc>
        <w:tc>
          <w:tcPr>
            <w:tcW w:w="5359" w:type="dxa"/>
            <w:tcBorders>
              <w:top w:val="single" w:color="auto" w:sz="4" w:space="0"/>
              <w:left w:val="single" w:color="auto" w:sz="4" w:space="0"/>
              <w:bottom w:val="single" w:color="auto" w:sz="4" w:space="0"/>
            </w:tcBorders>
          </w:tcPr>
          <w:p>
            <w:pPr>
              <w:shd w:val="clea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不存在串通投标情形（串通投标情形以《广东省实施&lt;中华人民共和国招标投标法&gt;》第十六条的规定为准）。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2062" w:type="dxa"/>
            <w:gridSpan w:val="2"/>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条款号</w:t>
            </w:r>
          </w:p>
        </w:tc>
        <w:tc>
          <w:tcPr>
            <w:tcW w:w="1790" w:type="dxa"/>
            <w:tcBorders>
              <w:top w:val="single" w:color="auto" w:sz="4" w:space="0"/>
              <w:left w:val="single" w:color="auto" w:sz="4" w:space="0"/>
              <w:right w:val="single" w:color="auto" w:sz="4" w:space="0"/>
            </w:tcBorders>
            <w:vAlign w:val="center"/>
          </w:tcPr>
          <w:p>
            <w:pPr>
              <w:shd w:val="clear"/>
              <w:spacing w:line="38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评分因素</w:t>
            </w:r>
          </w:p>
        </w:tc>
        <w:tc>
          <w:tcPr>
            <w:tcW w:w="5359" w:type="dxa"/>
            <w:tcBorders>
              <w:top w:val="single" w:color="auto" w:sz="4" w:space="0"/>
              <w:left w:val="single" w:color="auto" w:sz="4" w:space="0"/>
              <w:right w:val="single" w:color="auto" w:sz="4" w:space="0"/>
            </w:tcBorders>
            <w:vAlign w:val="center"/>
          </w:tcPr>
          <w:p>
            <w:pPr>
              <w:shd w:val="clear"/>
              <w:spacing w:line="38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2" w:type="dxa"/>
            <w:gridSpan w:val="2"/>
            <w:tcBorders>
              <w:bottom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2.2.1</w:t>
            </w: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分值构成</w:t>
            </w:r>
          </w:p>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(总分100分)</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rPr>
                <w:rFonts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商务得分：</w:t>
            </w:r>
            <w:r>
              <w:rPr>
                <w:rFonts w:hint="eastAsia" w:ascii="仿宋" w:hAnsi="仿宋" w:eastAsia="仿宋" w:cs="仿宋"/>
                <w:b/>
                <w:color w:val="auto"/>
                <w:kern w:val="0"/>
                <w:szCs w:val="21"/>
                <w:highlight w:val="none"/>
                <w:lang w:val="en-US" w:eastAsia="zh-CN"/>
              </w:rPr>
              <w:t>40</w:t>
            </w:r>
            <w:r>
              <w:rPr>
                <w:rFonts w:hint="eastAsia" w:ascii="仿宋" w:hAnsi="仿宋" w:eastAsia="仿宋" w:cs="仿宋"/>
                <w:b/>
                <w:color w:val="auto"/>
                <w:kern w:val="0"/>
                <w:szCs w:val="21"/>
                <w:highlight w:val="none"/>
              </w:rPr>
              <w:t>分</w:t>
            </w:r>
          </w:p>
          <w:p>
            <w:pPr>
              <w:shd w:val="clear"/>
              <w:spacing w:line="380" w:lineRule="exact"/>
              <w:rPr>
                <w:rFonts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技术得分：</w:t>
            </w:r>
            <w:r>
              <w:rPr>
                <w:rFonts w:hint="eastAsia" w:ascii="仿宋" w:hAnsi="仿宋" w:eastAsia="仿宋" w:cs="仿宋"/>
                <w:b/>
                <w:color w:val="auto"/>
                <w:kern w:val="0"/>
                <w:szCs w:val="21"/>
                <w:highlight w:val="none"/>
                <w:lang w:val="en-US" w:eastAsia="zh-CN"/>
              </w:rPr>
              <w:t>20</w:t>
            </w:r>
            <w:r>
              <w:rPr>
                <w:rFonts w:hint="eastAsia" w:ascii="仿宋" w:hAnsi="仿宋" w:eastAsia="仿宋" w:cs="仿宋"/>
                <w:b/>
                <w:color w:val="auto"/>
                <w:kern w:val="0"/>
                <w:szCs w:val="21"/>
                <w:highlight w:val="none"/>
              </w:rPr>
              <w:t>分</w:t>
            </w:r>
          </w:p>
          <w:p>
            <w:pPr>
              <w:shd w:val="clear"/>
              <w:spacing w:line="380" w:lineRule="exact"/>
              <w:rPr>
                <w:rFonts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价格得分：</w:t>
            </w:r>
            <w:r>
              <w:rPr>
                <w:rFonts w:hint="eastAsia" w:ascii="仿宋" w:hAnsi="仿宋" w:eastAsia="仿宋" w:cs="仿宋"/>
                <w:b/>
                <w:color w:val="auto"/>
                <w:kern w:val="0"/>
                <w:szCs w:val="21"/>
                <w:highlight w:val="none"/>
                <w:lang w:val="en-US" w:eastAsia="zh-CN"/>
              </w:rPr>
              <w:t>40</w:t>
            </w:r>
            <w:r>
              <w:rPr>
                <w:rFonts w:hint="eastAsia" w:ascii="仿宋" w:hAnsi="仿宋" w:eastAsia="仿宋" w:cs="仿宋"/>
                <w:b/>
                <w:color w:val="auto"/>
                <w:kern w:val="0"/>
                <w:szCs w:val="21"/>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09" w:type="dxa"/>
            <w:vMerge w:val="restart"/>
            <w:tcBorders>
              <w:top w:val="single" w:color="auto" w:sz="4" w:space="0"/>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2.2.2（A）</w:t>
            </w:r>
          </w:p>
        </w:tc>
        <w:tc>
          <w:tcPr>
            <w:tcW w:w="1153" w:type="dxa"/>
            <w:vMerge w:val="restart"/>
            <w:tcBorders>
              <w:top w:val="single" w:color="auto" w:sz="4" w:space="0"/>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商务部分评分标准（</w:t>
            </w:r>
            <w:r>
              <w:rPr>
                <w:rFonts w:hint="eastAsia" w:ascii="仿宋" w:hAnsi="仿宋" w:eastAsia="仿宋" w:cs="仿宋"/>
                <w:color w:val="auto"/>
                <w:szCs w:val="21"/>
                <w:highlight w:val="none"/>
                <w:lang w:val="en-US" w:eastAsia="zh-CN"/>
              </w:rPr>
              <w:t>40</w:t>
            </w:r>
            <w:r>
              <w:rPr>
                <w:rFonts w:hint="eastAsia" w:ascii="仿宋" w:hAnsi="仿宋" w:eastAsia="仿宋" w:cs="仿宋"/>
                <w:color w:val="auto"/>
                <w:szCs w:val="21"/>
                <w:highlight w:val="none"/>
              </w:rPr>
              <w:t>分）</w:t>
            </w:r>
          </w:p>
        </w:tc>
        <w:tc>
          <w:tcPr>
            <w:tcW w:w="1790" w:type="dxa"/>
            <w:tcBorders>
              <w:top w:val="single" w:color="auto" w:sz="4" w:space="0"/>
              <w:left w:val="single" w:color="auto" w:sz="4" w:space="0"/>
              <w:bottom w:val="single" w:color="auto" w:sz="4" w:space="0"/>
              <w:right w:val="single" w:color="auto" w:sz="4" w:space="0"/>
            </w:tcBorders>
            <w:vAlign w:val="center"/>
          </w:tcPr>
          <w:p>
            <w:pPr>
              <w:shd w:val="clear"/>
              <w:tabs>
                <w:tab w:val="left" w:pos="840"/>
              </w:tabs>
              <w:spacing w:line="38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同类项目业绩</w:t>
            </w:r>
          </w:p>
          <w:p>
            <w:pPr>
              <w:shd w:val="clear"/>
              <w:tabs>
                <w:tab w:val="left" w:pos="840"/>
              </w:tabs>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根据投标人202</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年1月1日（含）至今的与保险公司企业合作的物损修复或维修类项目经验进行评分，每具备一个符合的同类项目经验得</w:t>
            </w:r>
            <w:r>
              <w:rPr>
                <w:rFonts w:hint="eastAsia" w:ascii="仿宋" w:hAnsi="仿宋" w:eastAsia="仿宋" w:cs="仿宋"/>
                <w:color w:val="auto"/>
                <w:szCs w:val="21"/>
                <w:highlight w:val="none"/>
                <w:lang w:val="en-US" w:eastAsia="zh-CN"/>
              </w:rPr>
              <w:t>0.5</w:t>
            </w:r>
            <w:r>
              <w:rPr>
                <w:rFonts w:hint="eastAsia" w:ascii="仿宋" w:hAnsi="仿宋" w:eastAsia="仿宋" w:cs="仿宋"/>
                <w:color w:val="auto"/>
                <w:szCs w:val="21"/>
                <w:highlight w:val="none"/>
              </w:rPr>
              <w:t>分，满分</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分。注：①同类项目业绩合同服务期不少于1年。②提供中标通知书或合同关键页复印件。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09"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153"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tabs>
                <w:tab w:val="left" w:pos="840"/>
              </w:tabs>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管理</w:t>
            </w:r>
            <w:r>
              <w:rPr>
                <w:rFonts w:ascii="仿宋" w:hAnsi="仿宋" w:eastAsia="仿宋" w:cs="仿宋"/>
                <w:color w:val="auto"/>
                <w:szCs w:val="21"/>
                <w:highlight w:val="none"/>
              </w:rPr>
              <w:t>体系认证</w:t>
            </w:r>
          </w:p>
          <w:p>
            <w:pPr>
              <w:shd w:val="clear"/>
              <w:tabs>
                <w:tab w:val="left" w:pos="840"/>
              </w:tabs>
              <w:spacing w:line="380" w:lineRule="exact"/>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3分</w:t>
            </w:r>
            <w:r>
              <w:rPr>
                <w:rFonts w:hint="eastAsia" w:ascii="仿宋" w:hAnsi="仿宋" w:eastAsia="仿宋" w:cs="仿宋"/>
                <w:color w:val="auto"/>
                <w:szCs w:val="21"/>
                <w:highlight w:val="none"/>
                <w:lang w:eastAsia="zh-CN"/>
              </w:rPr>
              <w:t>）</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投标人具有有效的质量管理体系、环境管理体系、职业健康安全管理体系认证文件，每提供一项得1分，最高得3分。注: 提供评审时时处于有效期内的相关证明文件并加盖供应商单位公章，不提供的不得分。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09"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153"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tabs>
                <w:tab w:val="left" w:pos="840"/>
              </w:tabs>
              <w:spacing w:line="38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覆盖区域</w:t>
            </w:r>
          </w:p>
          <w:p>
            <w:pPr>
              <w:shd w:val="clear"/>
              <w:tabs>
                <w:tab w:val="left" w:pos="840"/>
              </w:tabs>
              <w:spacing w:line="380" w:lineRule="exact"/>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4分</w:t>
            </w:r>
            <w:r>
              <w:rPr>
                <w:rFonts w:hint="eastAsia" w:ascii="仿宋" w:hAnsi="仿宋" w:eastAsia="仿宋" w:cs="仿宋"/>
                <w:color w:val="auto"/>
                <w:szCs w:val="21"/>
                <w:highlight w:val="none"/>
                <w:lang w:eastAsia="zh-CN"/>
              </w:rPr>
              <w:t>）</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adjustRightInd w:val="0"/>
              <w:snapToGrid w:val="0"/>
              <w:spacing w:line="38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1.投标人承诺在签订合同后10天内在东莞建立办事处，承诺得2分，否则0分</w:t>
            </w:r>
            <w:r>
              <w:rPr>
                <w:rFonts w:hint="eastAsia" w:ascii="仿宋" w:hAnsi="仿宋" w:eastAsia="仿宋" w:cs="仿宋"/>
                <w:color w:val="auto"/>
                <w:szCs w:val="21"/>
                <w:highlight w:val="none"/>
              </w:rPr>
              <w:t>。</w:t>
            </w:r>
          </w:p>
          <w:p>
            <w:pPr>
              <w:pStyle w:val="2"/>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注：需提供承诺函</w:t>
            </w:r>
          </w:p>
          <w:p>
            <w:pPr>
              <w:pStyle w:val="2"/>
              <w:numPr>
                <w:ilvl w:val="0"/>
                <w:numId w:val="0"/>
              </w:numP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根据投标人的服务覆盖区域进行应答，服务覆盖东莞32个镇街区（莞城街道、南城街道、东城街道、万江街道、石碣镇、石龙镇、茶山镇、石排镇、企石镇、横沥镇、桥头镇、谢岗镇、东坑镇、常平镇、寮步镇、樟木头镇、大朗镇、黄江镇、清溪镇、塘厦镇、凤岗镇、长安镇、虎门镇、厚街镇、沙田镇、道滘镇、洪梅镇、麻涌镇、中堂镇、高埗镇、望牛墩镇、大岭山镇），则得满分2分，否则0分。</w:t>
            </w:r>
          </w:p>
          <w:p>
            <w:pPr>
              <w:pStyle w:val="2"/>
              <w:numPr>
                <w:ilvl w:val="0"/>
                <w:numId w:val="0"/>
              </w:numPr>
              <w:rPr>
                <w:rFonts w:hint="default" w:ascii="仿宋" w:hAnsi="仿宋" w:eastAsia="仿宋" w:cs="仿宋"/>
                <w:color w:val="auto"/>
                <w:szCs w:val="21"/>
                <w:highlight w:val="none"/>
                <w:lang w:val="en-US" w:eastAsia="zh-CN"/>
              </w:rPr>
            </w:pPr>
            <w:r>
              <w:rPr>
                <w:rFonts w:hint="default" w:ascii="仿宋" w:hAnsi="仿宋" w:eastAsia="仿宋" w:cs="仿宋"/>
                <w:color w:val="auto"/>
                <w:szCs w:val="21"/>
                <w:highlight w:val="none"/>
                <w:lang w:val="en-US" w:eastAsia="zh-CN"/>
              </w:rPr>
              <w:t>注：须提供服务覆盖区域承诺书。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09"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153"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tabs>
                <w:tab w:val="left" w:pos="840"/>
              </w:tabs>
              <w:spacing w:line="380" w:lineRule="exact"/>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延展服务能力</w:t>
            </w:r>
          </w:p>
          <w:p>
            <w:pPr>
              <w:shd w:val="clear"/>
              <w:tabs>
                <w:tab w:val="left" w:pos="840"/>
              </w:tabs>
              <w:spacing w:line="380" w:lineRule="exact"/>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4分</w:t>
            </w:r>
            <w:r>
              <w:rPr>
                <w:rFonts w:hint="eastAsia" w:ascii="仿宋" w:hAnsi="仿宋" w:eastAsia="仿宋" w:cs="仿宋"/>
                <w:color w:val="auto"/>
                <w:szCs w:val="21"/>
                <w:highlight w:val="none"/>
                <w:lang w:eastAsia="zh-CN"/>
              </w:rPr>
              <w:t>）</w:t>
            </w:r>
          </w:p>
        </w:tc>
        <w:tc>
          <w:tcPr>
            <w:tcW w:w="5359" w:type="dxa"/>
            <w:tcBorders>
              <w:top w:val="single" w:color="auto" w:sz="4" w:space="0"/>
              <w:left w:val="single" w:color="auto" w:sz="4" w:space="0"/>
              <w:bottom w:val="single" w:color="auto" w:sz="4" w:space="0"/>
              <w:right w:val="single" w:color="auto" w:sz="4" w:space="0"/>
            </w:tcBorders>
            <w:vAlign w:val="center"/>
          </w:tcPr>
          <w:p>
            <w:pPr>
              <w:pStyle w:val="2"/>
              <w:numPr>
                <w:ilvl w:val="0"/>
                <w:numId w:val="0"/>
              </w:numPr>
              <w:rPr>
                <w:rFonts w:hint="default" w:ascii="仿宋" w:hAnsi="仿宋" w:eastAsia="仿宋" w:cs="仿宋"/>
                <w:color w:val="auto"/>
                <w:szCs w:val="21"/>
                <w:highlight w:val="none"/>
                <w:lang w:val="en-US" w:eastAsia="zh-CN"/>
              </w:rPr>
            </w:pPr>
            <w:r>
              <w:rPr>
                <w:rFonts w:hint="default" w:ascii="仿宋" w:hAnsi="仿宋" w:eastAsia="仿宋" w:cs="仿宋"/>
                <w:color w:val="auto"/>
                <w:szCs w:val="21"/>
                <w:highlight w:val="none"/>
                <w:lang w:val="en-US" w:eastAsia="zh-CN"/>
              </w:rPr>
              <w:t>1、具备成熟的系统化服务流程管理体系有得 2 分，无则0分。</w:t>
            </w:r>
          </w:p>
          <w:p>
            <w:pPr>
              <w:pStyle w:val="2"/>
              <w:numPr>
                <w:ilvl w:val="0"/>
                <w:numId w:val="0"/>
              </w:numPr>
              <w:rPr>
                <w:rFonts w:hint="default" w:ascii="仿宋" w:hAnsi="仿宋" w:eastAsia="仿宋" w:cs="仿宋"/>
                <w:color w:val="auto"/>
                <w:szCs w:val="21"/>
                <w:highlight w:val="none"/>
                <w:lang w:val="en-US" w:eastAsia="zh-CN"/>
              </w:rPr>
            </w:pPr>
            <w:r>
              <w:rPr>
                <w:rFonts w:hint="default" w:ascii="仿宋" w:hAnsi="仿宋" w:eastAsia="仿宋" w:cs="仿宋"/>
                <w:color w:val="auto"/>
                <w:szCs w:val="21"/>
                <w:highlight w:val="none"/>
                <w:lang w:val="en-US" w:eastAsia="zh-CN"/>
              </w:rPr>
              <w:t>备注：提供的服务系统的界面截图或系统说明书或管理制度文件等，提供购买系统使用的</w:t>
            </w:r>
            <w:r>
              <w:rPr>
                <w:rFonts w:hint="eastAsia" w:ascii="仿宋" w:hAnsi="仿宋" w:eastAsia="仿宋" w:cs="仿宋"/>
                <w:color w:val="auto"/>
                <w:szCs w:val="21"/>
                <w:highlight w:val="none"/>
                <w:lang w:val="en-US" w:eastAsia="zh-CN"/>
              </w:rPr>
              <w:t>相关凭证（例如：收据、发票等）</w:t>
            </w:r>
            <w:r>
              <w:rPr>
                <w:rFonts w:hint="default" w:ascii="仿宋" w:hAnsi="仿宋" w:eastAsia="仿宋" w:cs="仿宋"/>
                <w:color w:val="auto"/>
                <w:szCs w:val="21"/>
                <w:highlight w:val="none"/>
                <w:lang w:val="en-US" w:eastAsia="zh-CN"/>
              </w:rPr>
              <w:t>或自主开发的证明，或者开发系统员工的能力认定，</w:t>
            </w:r>
          </w:p>
          <w:p>
            <w:pPr>
              <w:pStyle w:val="2"/>
              <w:numPr>
                <w:ilvl w:val="0"/>
                <w:numId w:val="0"/>
              </w:numPr>
              <w:rPr>
                <w:rFonts w:hint="default" w:ascii="仿宋" w:hAnsi="仿宋" w:eastAsia="仿宋" w:cs="仿宋"/>
                <w:color w:val="auto"/>
                <w:szCs w:val="21"/>
                <w:highlight w:val="none"/>
                <w:lang w:val="en-US" w:eastAsia="zh-CN"/>
              </w:rPr>
            </w:pPr>
            <w:r>
              <w:rPr>
                <w:rFonts w:hint="default" w:ascii="仿宋" w:hAnsi="仿宋" w:eastAsia="仿宋" w:cs="仿宋"/>
                <w:color w:val="auto"/>
                <w:szCs w:val="21"/>
                <w:highlight w:val="none"/>
                <w:lang w:val="en-US" w:eastAsia="zh-CN"/>
              </w:rPr>
              <w:t>2、提供经第三方审核的2023年度审计报告得1分；2023年经营情况为盈利得1分；最高得2分。注：提供投标人审计报告复印件。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09"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153"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tabs>
                <w:tab w:val="left" w:pos="840"/>
              </w:tabs>
              <w:spacing w:line="380" w:lineRule="exact"/>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人员配置</w:t>
            </w:r>
          </w:p>
          <w:p>
            <w:pPr>
              <w:shd w:val="clear"/>
              <w:tabs>
                <w:tab w:val="left" w:pos="840"/>
              </w:tabs>
              <w:spacing w:line="380" w:lineRule="exact"/>
              <w:jc w:val="center"/>
              <w:rPr>
                <w:rFonts w:hint="eastAsia"/>
                <w:highlight w:val="none"/>
                <w:lang w:eastAsia="zh-CN"/>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10分</w:t>
            </w:r>
            <w:r>
              <w:rPr>
                <w:rFonts w:hint="eastAsia" w:ascii="仿宋" w:hAnsi="仿宋" w:eastAsia="仿宋" w:cs="仿宋"/>
                <w:color w:val="auto"/>
                <w:szCs w:val="21"/>
                <w:highlight w:val="none"/>
                <w:lang w:eastAsia="zh-CN"/>
              </w:rPr>
              <w:t>）</w:t>
            </w:r>
          </w:p>
        </w:tc>
        <w:tc>
          <w:tcPr>
            <w:tcW w:w="5359" w:type="dxa"/>
            <w:tcBorders>
              <w:top w:val="single" w:color="auto" w:sz="4" w:space="0"/>
              <w:left w:val="single" w:color="auto" w:sz="4" w:space="0"/>
              <w:bottom w:val="single" w:color="auto" w:sz="4" w:space="0"/>
              <w:right w:val="single" w:color="auto" w:sz="4" w:space="0"/>
            </w:tcBorders>
            <w:vAlign w:val="center"/>
          </w:tcPr>
          <w:p>
            <w:pPr>
              <w:pStyle w:val="2"/>
              <w:numPr>
                <w:ilvl w:val="0"/>
                <w:numId w:val="0"/>
              </w:numP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w:t>
            </w:r>
            <w:r>
              <w:rPr>
                <w:rFonts w:hint="default" w:ascii="仿宋" w:hAnsi="仿宋" w:eastAsia="仿宋" w:cs="仿宋"/>
                <w:color w:val="auto"/>
                <w:szCs w:val="21"/>
                <w:highlight w:val="none"/>
                <w:lang w:val="en-US" w:eastAsia="zh-CN"/>
              </w:rPr>
              <w:t>根据投标人投入本项目的自有员工人数赋分，每提供一个得0.5分，满分5分。</w:t>
            </w:r>
          </w:p>
          <w:p>
            <w:pPr>
              <w:pStyle w:val="2"/>
              <w:numPr>
                <w:ilvl w:val="0"/>
                <w:numId w:val="0"/>
              </w:numPr>
              <w:rPr>
                <w:rFonts w:hint="default" w:ascii="仿宋" w:hAnsi="仿宋" w:eastAsia="仿宋" w:cs="仿宋"/>
                <w:color w:val="auto"/>
                <w:szCs w:val="21"/>
                <w:highlight w:val="none"/>
                <w:lang w:val="en-US" w:eastAsia="zh-CN"/>
              </w:rPr>
            </w:pPr>
            <w:r>
              <w:rPr>
                <w:rFonts w:hint="default" w:ascii="仿宋" w:hAnsi="仿宋" w:eastAsia="仿宋" w:cs="仿宋"/>
                <w:color w:val="auto"/>
                <w:szCs w:val="21"/>
                <w:highlight w:val="none"/>
                <w:lang w:val="en-US" w:eastAsia="zh-CN"/>
              </w:rPr>
              <w:t>注：需提供团队成员2024年8月1日至投标截止当月（含）中任意连续3个月由社保局（或税务部门）出具的缴纳社保证明复印件/扫描件（由本单位缴纳的：缴纳社保主体名称与投标人（含分公司）名称一致；如为专业人事代理机构缴纳的：须同时提供相应的人事代理合同或协议，且在协议中应明确包含投标人所提供的团队人员名单或有人事代理机构盖章的人员清单证明，如存在没有列明的或不清晰的名单情况，则无效），否则不予认可。未按要求提供社保证明材料的，该人员不计取得分。</w:t>
            </w:r>
          </w:p>
          <w:p>
            <w:pPr>
              <w:pStyle w:val="2"/>
              <w:numPr>
                <w:ilvl w:val="0"/>
                <w:numId w:val="0"/>
              </w:numP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w:t>
            </w:r>
            <w:r>
              <w:rPr>
                <w:rFonts w:hint="default" w:ascii="仿宋" w:hAnsi="仿宋" w:eastAsia="仿宋" w:cs="仿宋"/>
                <w:color w:val="auto"/>
                <w:szCs w:val="21"/>
                <w:highlight w:val="none"/>
                <w:lang w:val="en-US" w:eastAsia="zh-CN"/>
              </w:rPr>
              <w:t>根据投标人投入本项目的团队人员（须属上一评分点中的“团队人员”）具备的以下证书进行评分，每具备一个得1分，满分5分，1人多证按多证累计，资质证书包含但不限于：建筑师、结构工程师、建造师、造价工程师、注册土木工程师、注册电气工程师证书、监理工程师、安全工程师、土建施工员证、土建质量员证、土建造价员证、设备安装施工员证、设备安装质量员证、设备安装预算员证、装饰装修施工员证、装饰装修质量员、装饰装修预算员、市政工程施工员证、市政工程质量员证、市政工程预算员证、安全员证、材料员证、机械员证、劳务员证、标准员证、测量员证、特种作业操作证、高处作业证或焊接与热切割作业。</w:t>
            </w:r>
          </w:p>
          <w:p>
            <w:pPr>
              <w:pStyle w:val="2"/>
              <w:numPr>
                <w:ilvl w:val="0"/>
                <w:numId w:val="0"/>
              </w:numPr>
              <w:rPr>
                <w:rFonts w:hint="default" w:ascii="仿宋" w:hAnsi="仿宋" w:eastAsia="仿宋" w:cs="仿宋"/>
                <w:color w:val="auto"/>
                <w:szCs w:val="21"/>
                <w:highlight w:val="none"/>
                <w:lang w:val="en-US" w:eastAsia="zh-CN"/>
              </w:rPr>
            </w:pPr>
            <w:r>
              <w:rPr>
                <w:rFonts w:hint="default" w:ascii="仿宋" w:hAnsi="仿宋" w:eastAsia="仿宋" w:cs="仿宋"/>
                <w:color w:val="auto"/>
                <w:szCs w:val="21"/>
                <w:highlight w:val="none"/>
                <w:lang w:val="en-US" w:eastAsia="zh-CN"/>
              </w:rPr>
              <w:t>注：需提供有效的专业认证证书复印件/扫描件，加盖公章，不提供不得分。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09"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153"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tabs>
                <w:tab w:val="left" w:pos="840"/>
              </w:tabs>
              <w:spacing w:line="38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企业实力</w:t>
            </w:r>
          </w:p>
          <w:p>
            <w:pPr>
              <w:shd w:val="clear"/>
              <w:tabs>
                <w:tab w:val="left" w:pos="840"/>
              </w:tabs>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15分</w:t>
            </w:r>
            <w:r>
              <w:rPr>
                <w:rFonts w:hint="eastAsia" w:ascii="仿宋" w:hAnsi="仿宋" w:eastAsia="仿宋" w:cs="仿宋"/>
                <w:color w:val="auto"/>
                <w:szCs w:val="21"/>
                <w:highlight w:val="none"/>
                <w:lang w:eastAsia="zh-CN"/>
              </w:rPr>
              <w:t>）</w:t>
            </w:r>
          </w:p>
        </w:tc>
        <w:tc>
          <w:tcPr>
            <w:tcW w:w="5359" w:type="dxa"/>
            <w:tcBorders>
              <w:top w:val="single" w:color="auto" w:sz="4" w:space="0"/>
              <w:left w:val="single" w:color="auto" w:sz="4" w:space="0"/>
              <w:bottom w:val="single" w:color="auto" w:sz="4" w:space="0"/>
              <w:right w:val="single" w:color="auto" w:sz="4" w:space="0"/>
            </w:tcBorders>
            <w:vAlign w:val="center"/>
          </w:tcPr>
          <w:p>
            <w:pPr>
              <w:numPr>
                <w:ilvl w:val="0"/>
                <w:numId w:val="0"/>
              </w:numPr>
              <w:shd w:val="clear"/>
              <w:adjustRightInd w:val="0"/>
              <w:snapToGrid w:val="0"/>
              <w:spacing w:line="38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1.投标人具有建设工程质量检测、鉴定评估资质或有稳定合作的建设工程质量检测机构、鉴定评估机构的，每具备一个得1分，满分2分。</w:t>
            </w:r>
          </w:p>
          <w:p>
            <w:pPr>
              <w:numPr>
                <w:ilvl w:val="0"/>
                <w:numId w:val="0"/>
              </w:numPr>
              <w:shd w:val="clear"/>
              <w:adjustRightInd w:val="0"/>
              <w:snapToGrid w:val="0"/>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注：需提供仍在有效期内的投标人检测资质证书复印件或投标人与合作方的合作协议及合作方的检测资质证书复印件</w:t>
            </w:r>
            <w:r>
              <w:rPr>
                <w:rFonts w:hint="eastAsia" w:ascii="仿宋" w:hAnsi="仿宋" w:eastAsia="仿宋" w:cs="仿宋"/>
                <w:color w:val="auto"/>
                <w:szCs w:val="21"/>
                <w:highlight w:val="none"/>
              </w:rPr>
              <w:t xml:space="preserve">。 </w:t>
            </w:r>
          </w:p>
          <w:p>
            <w:pPr>
              <w:shd w:val="clear"/>
              <w:adjustRightInd w:val="0"/>
              <w:snapToGrid w:val="0"/>
              <w:spacing w:line="380" w:lineRule="exact"/>
              <w:rPr>
                <w:rFonts w:ascii="仿宋" w:hAnsi="仿宋" w:eastAsia="仿宋" w:cs="仿宋"/>
                <w:color w:val="auto"/>
                <w:szCs w:val="21"/>
                <w:highlight w:val="none"/>
              </w:rPr>
            </w:pPr>
            <w:r>
              <w:rPr>
                <w:rFonts w:ascii="仿宋" w:hAnsi="仿宋" w:eastAsia="仿宋" w:cs="仿宋"/>
                <w:color w:val="auto"/>
                <w:szCs w:val="21"/>
                <w:highlight w:val="none"/>
              </w:rPr>
              <w:t>2.</w:t>
            </w:r>
            <w:r>
              <w:rPr>
                <w:rFonts w:hint="eastAsia" w:ascii="仿宋" w:hAnsi="仿宋" w:eastAsia="仿宋" w:cs="仿宋"/>
                <w:color w:val="auto"/>
                <w:szCs w:val="21"/>
                <w:highlight w:val="none"/>
              </w:rPr>
              <w:t>具有稳定合作的电动自行车品牌维修机构（如小牛、九号、爱玛、深远、台铃、新大洲、雅迪等），每具备一个品牌得0.5分，满分3分</w:t>
            </w:r>
          </w:p>
          <w:p>
            <w:pPr>
              <w:shd w:val="clear"/>
              <w:adjustRightInd w:val="0"/>
              <w:snapToGrid w:val="0"/>
              <w:spacing w:line="38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注：需提供投标人与品牌维修机构处于有效期内的合作协议复印件及电动车厂家授权文件。</w:t>
            </w:r>
          </w:p>
          <w:p>
            <w:pPr>
              <w:numPr>
                <w:ilvl w:val="0"/>
                <w:numId w:val="0"/>
              </w:numPr>
              <w:shd w:val="clear"/>
              <w:adjustRightInd w:val="0"/>
              <w:snapToGrid w:val="0"/>
              <w:spacing w:line="38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投标人自有配件运输车辆的每1台得1分，最高8分；租赁关系的每1台得0.5分，最高得3分。共计最高8分</w:t>
            </w:r>
            <w:r>
              <w:rPr>
                <w:rFonts w:hint="eastAsia" w:ascii="仿宋" w:hAnsi="仿宋" w:eastAsia="仿宋" w:cs="仿宋"/>
                <w:color w:val="auto"/>
                <w:szCs w:val="21"/>
                <w:highlight w:val="none"/>
                <w:lang w:eastAsia="zh-CN"/>
              </w:rPr>
              <w:t>。</w:t>
            </w:r>
          </w:p>
          <w:p>
            <w:pPr>
              <w:numPr>
                <w:ilvl w:val="0"/>
                <w:numId w:val="0"/>
              </w:numPr>
              <w:shd w:val="clear"/>
              <w:adjustRightInd w:val="0"/>
              <w:snapToGrid w:val="0"/>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注：提供行驶证登记车主须为投标人单位或现任法定代表人或租赁协议等复印件。 </w:t>
            </w:r>
          </w:p>
          <w:p>
            <w:pPr>
              <w:shd w:val="clear"/>
              <w:adjustRightInd w:val="0"/>
              <w:snapToGrid w:val="0"/>
              <w:spacing w:line="380" w:lineRule="exact"/>
              <w:rPr>
                <w:rFonts w:ascii="仿宋" w:hAnsi="仿宋" w:eastAsia="仿宋" w:cs="仿宋"/>
                <w:color w:val="auto"/>
                <w:szCs w:val="21"/>
                <w:highlight w:val="none"/>
              </w:rPr>
            </w:pPr>
            <w:r>
              <w:rPr>
                <w:rFonts w:ascii="仿宋" w:hAnsi="仿宋" w:eastAsia="仿宋" w:cs="仿宋"/>
                <w:color w:val="auto"/>
                <w:szCs w:val="21"/>
                <w:highlight w:val="none"/>
              </w:rPr>
              <w:t>4</w:t>
            </w:r>
            <w:r>
              <w:rPr>
                <w:rFonts w:hint="eastAsia" w:ascii="仿宋" w:hAnsi="仿宋" w:eastAsia="仿宋" w:cs="仿宋"/>
                <w:color w:val="auto"/>
                <w:szCs w:val="21"/>
                <w:highlight w:val="none"/>
              </w:rPr>
              <w:t>.具备安全生产许可证，且承诺为采购人所提供的物损维修服务，均符合国家或行业有关质量规范标准并通过有关部门验收，得2分。</w:t>
            </w:r>
          </w:p>
          <w:p>
            <w:pPr>
              <w:shd w:val="clear"/>
              <w:adjustRightInd w:val="0"/>
              <w:snapToGrid w:val="0"/>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注：提供证书复印件或扫描件并提供承诺函，如与承诺不相符则不得分。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09" w:type="dxa"/>
            <w:vMerge w:val="restart"/>
            <w:tcBorders>
              <w:top w:val="single" w:color="auto" w:sz="4" w:space="0"/>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2.2.2（B）</w:t>
            </w:r>
          </w:p>
        </w:tc>
        <w:tc>
          <w:tcPr>
            <w:tcW w:w="1153" w:type="dxa"/>
            <w:vMerge w:val="restart"/>
            <w:tcBorders>
              <w:top w:val="single" w:color="auto" w:sz="4" w:space="0"/>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技术部分评分标准</w:t>
            </w:r>
          </w:p>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20</w:t>
            </w:r>
            <w:r>
              <w:rPr>
                <w:rFonts w:hint="eastAsia" w:ascii="仿宋" w:hAnsi="仿宋" w:eastAsia="仿宋" w:cs="仿宋"/>
                <w:color w:val="auto"/>
                <w:szCs w:val="21"/>
                <w:highlight w:val="none"/>
              </w:rPr>
              <w:t>分）</w:t>
            </w: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受理修复类型</w:t>
            </w:r>
          </w:p>
          <w:p>
            <w:pPr>
              <w:shd w:val="clear"/>
              <w:spacing w:line="38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（5分）</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rPr>
                <w:rFonts w:hint="default" w:ascii="仿宋" w:hAnsi="仿宋" w:eastAsia="仿宋" w:cs="仿宋"/>
                <w:color w:val="auto"/>
                <w:kern w:val="0"/>
                <w:szCs w:val="21"/>
                <w:highlight w:val="none"/>
                <w:lang w:val="en-US" w:eastAsia="zh-CN" w:bidi="ar"/>
              </w:rPr>
            </w:pPr>
            <w:r>
              <w:rPr>
                <w:rFonts w:hint="default" w:ascii="仿宋" w:hAnsi="仿宋" w:eastAsia="仿宋" w:cs="仿宋"/>
                <w:color w:val="auto"/>
                <w:kern w:val="0"/>
                <w:szCs w:val="21"/>
                <w:highlight w:val="none"/>
                <w:lang w:val="en-US" w:eastAsia="zh-CN" w:bidi="ar"/>
              </w:rPr>
              <w:t>7大类型提供维修方案以及修复案例，并呈现修复前后效果， 每个类型提供</w:t>
            </w:r>
            <w:r>
              <w:rPr>
                <w:rFonts w:hint="eastAsia" w:ascii="仿宋" w:hAnsi="仿宋" w:eastAsia="仿宋" w:cs="仿宋"/>
                <w:color w:val="auto"/>
                <w:kern w:val="0"/>
                <w:szCs w:val="21"/>
                <w:highlight w:val="none"/>
                <w:lang w:val="en-US" w:eastAsia="zh-CN" w:bidi="ar"/>
              </w:rPr>
              <w:t>2</w:t>
            </w:r>
            <w:r>
              <w:rPr>
                <w:rFonts w:hint="default" w:ascii="仿宋" w:hAnsi="仿宋" w:eastAsia="仿宋" w:cs="仿宋"/>
                <w:color w:val="auto"/>
                <w:kern w:val="0"/>
                <w:szCs w:val="21"/>
                <w:highlight w:val="none"/>
                <w:lang w:val="en-US" w:eastAsia="zh-CN" w:bidi="ar"/>
              </w:rPr>
              <w:t>个不同的品种，最高得5分，少1项扣1分，最少得0分</w:t>
            </w:r>
          </w:p>
          <w:p>
            <w:pPr>
              <w:shd w:val="clear"/>
              <w:spacing w:line="380" w:lineRule="exact"/>
              <w:rPr>
                <w:rFonts w:hint="default" w:ascii="仿宋" w:hAnsi="仿宋" w:eastAsia="仿宋" w:cs="仿宋"/>
                <w:color w:val="auto"/>
                <w:kern w:val="0"/>
                <w:szCs w:val="21"/>
                <w:highlight w:val="none"/>
                <w:lang w:val="en-US" w:eastAsia="zh-CN" w:bidi="ar"/>
              </w:rPr>
            </w:pPr>
            <w:r>
              <w:rPr>
                <w:rFonts w:hint="default" w:ascii="仿宋" w:hAnsi="仿宋" w:eastAsia="仿宋" w:cs="仿宋"/>
                <w:color w:val="auto"/>
                <w:kern w:val="0"/>
                <w:szCs w:val="21"/>
                <w:highlight w:val="none"/>
                <w:lang w:val="en-US" w:eastAsia="zh-CN" w:bidi="ar"/>
              </w:rPr>
              <w:t>1.房屋建筑类：能受理修复各类建筑物、房屋、厂房、门窗、家具、装修装饰等</w:t>
            </w:r>
          </w:p>
          <w:p>
            <w:pPr>
              <w:shd w:val="clear"/>
              <w:spacing w:line="380" w:lineRule="exact"/>
              <w:rPr>
                <w:rFonts w:hint="default" w:ascii="仿宋" w:hAnsi="仿宋" w:eastAsia="仿宋" w:cs="仿宋"/>
                <w:color w:val="auto"/>
                <w:kern w:val="0"/>
                <w:szCs w:val="21"/>
                <w:highlight w:val="none"/>
                <w:lang w:val="en-US" w:eastAsia="zh-CN" w:bidi="ar"/>
              </w:rPr>
            </w:pPr>
            <w:r>
              <w:rPr>
                <w:rFonts w:hint="default" w:ascii="仿宋" w:hAnsi="仿宋" w:eastAsia="仿宋" w:cs="仿宋"/>
                <w:color w:val="auto"/>
                <w:kern w:val="0"/>
                <w:szCs w:val="21"/>
                <w:highlight w:val="none"/>
                <w:lang w:val="en-US" w:eastAsia="zh-CN" w:bidi="ar"/>
              </w:rPr>
              <w:t>2.道路设施类：能受理修复公路、桥梁、道路路面、护栏、路灯、站台、广告牌/灯箱、指示牌、道闸、限高栏、围栏、挡墙等，</w:t>
            </w:r>
          </w:p>
          <w:p>
            <w:pPr>
              <w:shd w:val="clear"/>
              <w:spacing w:line="380" w:lineRule="exact"/>
              <w:rPr>
                <w:rFonts w:hint="default" w:ascii="仿宋" w:hAnsi="仿宋" w:eastAsia="仿宋" w:cs="仿宋"/>
                <w:color w:val="auto"/>
                <w:kern w:val="0"/>
                <w:szCs w:val="21"/>
                <w:highlight w:val="none"/>
                <w:lang w:val="en-US" w:eastAsia="zh-CN" w:bidi="ar"/>
              </w:rPr>
            </w:pPr>
            <w:r>
              <w:rPr>
                <w:rFonts w:hint="default" w:ascii="仿宋" w:hAnsi="仿宋" w:eastAsia="仿宋" w:cs="仿宋"/>
                <w:color w:val="auto"/>
                <w:kern w:val="0"/>
                <w:szCs w:val="21"/>
                <w:highlight w:val="none"/>
                <w:lang w:val="en-US" w:eastAsia="zh-CN" w:bidi="ar"/>
              </w:rPr>
              <w:t>3.园林绿化类：能受理修复绿化带、苗木、园艺、花卉、园林景观、雕塑、盆栽等</w:t>
            </w:r>
          </w:p>
          <w:p>
            <w:pPr>
              <w:shd w:val="clear"/>
              <w:spacing w:line="380" w:lineRule="exact"/>
              <w:rPr>
                <w:rFonts w:hint="default" w:ascii="仿宋" w:hAnsi="仿宋" w:eastAsia="仿宋" w:cs="仿宋"/>
                <w:color w:val="auto"/>
                <w:kern w:val="0"/>
                <w:szCs w:val="21"/>
                <w:highlight w:val="none"/>
                <w:lang w:val="en-US" w:eastAsia="zh-CN" w:bidi="ar"/>
              </w:rPr>
            </w:pPr>
            <w:r>
              <w:rPr>
                <w:rFonts w:hint="default" w:ascii="仿宋" w:hAnsi="仿宋" w:eastAsia="仿宋" w:cs="仿宋"/>
                <w:color w:val="auto"/>
                <w:kern w:val="0"/>
                <w:szCs w:val="21"/>
                <w:highlight w:val="none"/>
                <w:lang w:val="en-US" w:eastAsia="zh-CN" w:bidi="ar"/>
              </w:rPr>
              <w:t>4.机电设备类：能受理修复配电设备、通讯设备、电网电线、电线杆、电缆、电线、监控设备、机械设备等，</w:t>
            </w:r>
          </w:p>
          <w:p>
            <w:pPr>
              <w:shd w:val="clear"/>
              <w:spacing w:line="380" w:lineRule="exact"/>
              <w:rPr>
                <w:rFonts w:hint="default" w:ascii="仿宋" w:hAnsi="仿宋" w:eastAsia="仿宋" w:cs="仿宋"/>
                <w:color w:val="auto"/>
                <w:kern w:val="0"/>
                <w:szCs w:val="21"/>
                <w:highlight w:val="none"/>
                <w:lang w:val="en-US" w:eastAsia="zh-CN" w:bidi="ar"/>
              </w:rPr>
            </w:pPr>
            <w:r>
              <w:rPr>
                <w:rFonts w:hint="default" w:ascii="仿宋" w:hAnsi="仿宋" w:eastAsia="仿宋" w:cs="仿宋"/>
                <w:color w:val="auto"/>
                <w:kern w:val="0"/>
                <w:szCs w:val="21"/>
                <w:highlight w:val="none"/>
                <w:lang w:val="en-US" w:eastAsia="zh-CN" w:bidi="ar"/>
              </w:rPr>
              <w:t>5.电器设备类：能受理修复空调、电视、冰箱、洗衣机、手机、电脑等，</w:t>
            </w:r>
          </w:p>
          <w:p>
            <w:pPr>
              <w:shd w:val="clear"/>
              <w:spacing w:line="380" w:lineRule="exact"/>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6.交通工具类：能受理修复电动自行车、电动摩托车老年代步车、自行车、三轮车等</w:t>
            </w:r>
          </w:p>
          <w:p>
            <w:pPr>
              <w:shd w:val="clear"/>
              <w:spacing w:line="380" w:lineRule="exac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val="en-US" w:eastAsia="zh-CN" w:bidi="ar"/>
              </w:rPr>
              <w:t>7.特殊品类：能受理修复金银首饰、珠宝玉器、古董收跋品等。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09"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153"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响应时效</w:t>
            </w:r>
          </w:p>
          <w:p>
            <w:pPr>
              <w:shd w:val="clear"/>
              <w:spacing w:line="38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（2分）</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根据投标人的响应时间进行应答，满分2分。</w:t>
            </w:r>
          </w:p>
          <w:p>
            <w:pPr>
              <w:numPr>
                <w:ilvl w:val="0"/>
                <w:numId w:val="0"/>
              </w:numPr>
              <w:shd w:val="clear"/>
              <w:spacing w:line="380" w:lineRule="exact"/>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1.查勘时效：服务商到现场勘查的时间（从派工时间起）不超48个小时。</w:t>
            </w:r>
          </w:p>
          <w:p>
            <w:pPr>
              <w:numPr>
                <w:ilvl w:val="0"/>
                <w:numId w:val="0"/>
              </w:numPr>
              <w:shd w:val="clear"/>
              <w:spacing w:line="380" w:lineRule="exact"/>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2、报价时效：无需服务商勘查现场的案件，服务商出具报价单（从派工时间起）不超12个工作小时</w:t>
            </w:r>
          </w:p>
          <w:p>
            <w:pPr>
              <w:shd w:val="clear"/>
              <w:spacing w:line="380" w:lineRule="exac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val="en-US" w:eastAsia="zh-CN" w:bidi="ar"/>
              </w:rPr>
              <w:t>注：须提供时效承诺函。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09"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153"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投诉及应急情况处理机制</w:t>
            </w:r>
          </w:p>
          <w:p>
            <w:pPr>
              <w:shd w:val="clear"/>
              <w:spacing w:line="38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（3分）</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val="en-US" w:eastAsia="zh-CN" w:bidi="ar"/>
              </w:rPr>
              <w:t>具备成熟的投诉渠道、投诉机制，提供完善的投诉处理流程，具备优秀的典型投诉案件处理方案，能够有效维护招标人的企业形象，具备突发重大事件的应急措施和流程，提供的对应方案及证明材料。根据投标供应商提供的内容完整性、合理性、可行性、逻辑性较强，完全满足并且优于采购人实际需求得 3分；投标供应商提供的方案内容完整性、合理性、可行性、逻辑性一般，基本满足采购人需求的得 2分；投标供应商提供的方案内容具有完整性、合理性、可行性、逻辑性，基本满足采购人需求的得 1 分；未提供或提供内容不相符得 0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09"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153"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服务质量保证方案及措施</w:t>
            </w:r>
          </w:p>
          <w:p>
            <w:pPr>
              <w:shd w:val="clear"/>
              <w:spacing w:line="38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（5分）</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 xml:space="preserve">根据投标人针对本项目提供的服务质量保证方案及措施进行评审： </w:t>
            </w:r>
          </w:p>
          <w:p>
            <w:pPr>
              <w:shd w:val="clear"/>
              <w:spacing w:line="380" w:lineRule="exact"/>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 xml:space="preserve">1.服务质量保证方案内容全面、完整详细、质量保证措施合理可行，非常有利项目实施，综合评价为优，得5分； </w:t>
            </w:r>
          </w:p>
          <w:p>
            <w:pPr>
              <w:shd w:val="clear"/>
              <w:spacing w:line="380" w:lineRule="exact"/>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 xml:space="preserve">2.服务质量保证方案内容较全面、较完整详细、质量保证措施较合理可行，较满足项目实施需要，综合评价为良，得3-4分； </w:t>
            </w:r>
          </w:p>
          <w:p>
            <w:pPr>
              <w:shd w:val="clear"/>
              <w:spacing w:line="380" w:lineRule="exact"/>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 xml:space="preserve">3.服务质量保证方案内容基本完整、质量保证措施基本可行，基本满足项目实施需要，综合评价为中，得1-2分； </w:t>
            </w:r>
          </w:p>
          <w:p>
            <w:pPr>
              <w:shd w:val="clear"/>
              <w:spacing w:line="380" w:lineRule="exac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val="en-US" w:eastAsia="zh-CN" w:bidi="ar"/>
              </w:rPr>
              <w:t>4.差或不提供，得0分。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09"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153" w:type="dxa"/>
            <w:vMerge w:val="continue"/>
            <w:tcBorders>
              <w:left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售后服务</w:t>
            </w:r>
          </w:p>
          <w:p>
            <w:pPr>
              <w:shd w:val="clear"/>
              <w:spacing w:line="380" w:lineRule="exact"/>
              <w:jc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5分</w:t>
            </w:r>
            <w:r>
              <w:rPr>
                <w:rFonts w:hint="eastAsia" w:ascii="仿宋" w:hAnsi="仿宋" w:eastAsia="仿宋" w:cs="仿宋"/>
                <w:color w:val="auto"/>
                <w:kern w:val="0"/>
                <w:szCs w:val="21"/>
                <w:highlight w:val="none"/>
                <w:lang w:eastAsia="zh-CN"/>
              </w:rPr>
              <w:t>）</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根据各投标人针对本项目提供的售后服务方案进行评审：</w:t>
            </w:r>
          </w:p>
          <w:p>
            <w:pPr>
              <w:shd w:val="clear"/>
              <w:spacing w:line="380" w:lineRule="exact"/>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1.服务方案具体、质量控制措施和安全保障措施详细、可行，综合评价为优，得5分；</w:t>
            </w:r>
          </w:p>
          <w:p>
            <w:pPr>
              <w:shd w:val="clear"/>
              <w:spacing w:line="380" w:lineRule="exact"/>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2.服务方案较具体、质量控制措施和安全保障措施详细可行，综合评价为良，得3-4分；</w:t>
            </w:r>
          </w:p>
          <w:p>
            <w:pPr>
              <w:shd w:val="clear"/>
              <w:spacing w:line="380" w:lineRule="exact"/>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val="en-US" w:eastAsia="zh-CN" w:bidi="ar"/>
              </w:rPr>
              <w:t xml:space="preserve">3.服务方案一般，质量控制措施和安全保障措施，综合评价为中，得1-2分； </w:t>
            </w:r>
          </w:p>
          <w:p>
            <w:pPr>
              <w:numPr>
                <w:ilvl w:val="0"/>
                <w:numId w:val="0"/>
              </w:numPr>
              <w:shd w:val="clear"/>
              <w:spacing w:line="380" w:lineRule="exac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val="en-US" w:eastAsia="zh-CN" w:bidi="ar"/>
              </w:rPr>
              <w:t>4.差或不提供，得0分。</w:t>
            </w:r>
          </w:p>
          <w:p>
            <w:pPr>
              <w:shd w:val="clear"/>
              <w:spacing w:line="380" w:lineRule="exac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备注：提供承诺函及售后服务方案，格式自拟。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4"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2.2.2（c）</w:t>
            </w:r>
          </w:p>
        </w:tc>
        <w:tc>
          <w:tcPr>
            <w:tcW w:w="1153" w:type="dxa"/>
            <w:tcBorders>
              <w:top w:val="single" w:color="auto" w:sz="4" w:space="0"/>
              <w:left w:val="nil"/>
              <w:bottom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投标报价评分标准（</w:t>
            </w:r>
            <w:r>
              <w:rPr>
                <w:rFonts w:hint="eastAsia" w:ascii="仿宋" w:hAnsi="仿宋" w:eastAsia="仿宋" w:cs="仿宋"/>
                <w:color w:val="auto"/>
                <w:szCs w:val="21"/>
                <w:highlight w:val="none"/>
                <w:lang w:val="en-US" w:eastAsia="zh-CN"/>
              </w:rPr>
              <w:t>40</w:t>
            </w:r>
            <w:r>
              <w:rPr>
                <w:rFonts w:hint="eastAsia" w:ascii="仿宋" w:hAnsi="仿宋" w:eastAsia="仿宋" w:cs="仿宋"/>
                <w:color w:val="auto"/>
                <w:szCs w:val="21"/>
                <w:highlight w:val="none"/>
              </w:rPr>
              <w:t>分）</w:t>
            </w:r>
          </w:p>
        </w:tc>
        <w:tc>
          <w:tcPr>
            <w:tcW w:w="7149" w:type="dxa"/>
            <w:gridSpan w:val="2"/>
            <w:tcBorders>
              <w:top w:val="single" w:color="auto" w:sz="4" w:space="0"/>
              <w:left w:val="single" w:color="auto" w:sz="4" w:space="0"/>
              <w:bottom w:val="single" w:color="auto" w:sz="4" w:space="0"/>
              <w:right w:val="single" w:color="auto" w:sz="4" w:space="0"/>
            </w:tcBorders>
            <w:vAlign w:val="center"/>
          </w:tcPr>
          <w:p>
            <w:pPr>
              <w:shd w:val="clear"/>
              <w:spacing w:line="38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投标人对服务商的使用规则进行应答，如果满足，则得满分</w:t>
            </w:r>
            <w:r>
              <w:rPr>
                <w:rFonts w:hint="eastAsia" w:ascii="仿宋" w:hAnsi="仿宋" w:eastAsia="仿宋" w:cs="仿宋"/>
                <w:color w:val="auto"/>
                <w:szCs w:val="21"/>
                <w:highlight w:val="none"/>
                <w:lang w:val="en-US" w:eastAsia="zh-CN"/>
              </w:rPr>
              <w:t>40</w:t>
            </w:r>
            <w:r>
              <w:rPr>
                <w:rFonts w:hint="eastAsia" w:ascii="仿宋" w:hAnsi="仿宋" w:eastAsia="仿宋" w:cs="仿宋"/>
                <w:color w:val="auto"/>
                <w:szCs w:val="21"/>
                <w:highlight w:val="none"/>
                <w:lang w:eastAsia="zh-CN"/>
              </w:rPr>
              <w:t>分，否则0分。</w:t>
            </w:r>
          </w:p>
          <w:p>
            <w:pPr>
              <w:shd w:val="clear"/>
              <w:spacing w:line="38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服务商使用规则：</w:t>
            </w:r>
          </w:p>
          <w:p>
            <w:pPr>
              <w:shd w:val="clear"/>
              <w:spacing w:line="38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1.招标人通过人保系统物损管理模块发起物损询价流程；</w:t>
            </w:r>
          </w:p>
          <w:p>
            <w:pPr>
              <w:shd w:val="clear"/>
              <w:spacing w:line="38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2.服务商结合物损管理模块发起的物损信息及影像资料，根据自身对物损维修或置换等市场行情熟知能力及优势，在物损管理模块约定的时间内完成报价并提交报价信息。如有必要或招标人有要求的，需到现场进行勘查、清点损失，与事故各方就物损恢复方案及价格进行协商沟通，并及时反馈沟通情况。现场勘查</w:t>
            </w:r>
            <w:bookmarkStart w:id="595" w:name="_GoBack"/>
            <w:bookmarkEnd w:id="595"/>
            <w:r>
              <w:rPr>
                <w:rFonts w:hint="eastAsia" w:ascii="仿宋" w:hAnsi="仿宋" w:eastAsia="仿宋" w:cs="仿宋"/>
                <w:color w:val="auto"/>
                <w:szCs w:val="21"/>
                <w:highlight w:val="none"/>
                <w:lang w:eastAsia="zh-CN"/>
              </w:rPr>
              <w:t>、清点损失、提供谈判技术支持、协助协商均为免费服务。</w:t>
            </w:r>
          </w:p>
          <w:p>
            <w:pPr>
              <w:shd w:val="clear"/>
              <w:spacing w:line="38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3.根据物损第三方的维修报价及预估金额与物损方沟通，选择最优方案处理，如物损方同意采取兜底修复方式，由报价最低的第三方进行修复，且报价不能高于物损方报价。</w:t>
            </w:r>
          </w:p>
          <w:p>
            <w:pPr>
              <w:shd w:val="clear"/>
              <w:spacing w:line="38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4.服务商在现场勘查、清点损失过程均需拍摄照片，照片能与报价单项目对应。兜底维修的，需提供材料进场、维修过程、维修完毕的照片，以上照片均需上传到人保系统物损管理模块。</w:t>
            </w:r>
          </w:p>
          <w:p>
            <w:pPr>
              <w:shd w:val="clear"/>
              <w:spacing w:line="38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5.物损修复竞价原则上至少须3家以上服务商参与竞价作为比价结果。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2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2.2.3</w:t>
            </w:r>
          </w:p>
        </w:tc>
        <w:tc>
          <w:tcPr>
            <w:tcW w:w="2943" w:type="dxa"/>
            <w:gridSpan w:val="2"/>
            <w:tcBorders>
              <w:top w:val="single" w:color="auto" w:sz="4" w:space="0"/>
              <w:left w:val="nil"/>
              <w:bottom w:val="single" w:color="auto" w:sz="4" w:space="0"/>
              <w:right w:val="single" w:color="auto" w:sz="4" w:space="0"/>
            </w:tcBorders>
            <w:vAlign w:val="center"/>
          </w:tcPr>
          <w:p>
            <w:pPr>
              <w:shd w:val="clear"/>
              <w:spacing w:line="38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投标人得分</w:t>
            </w:r>
          </w:p>
        </w:tc>
        <w:tc>
          <w:tcPr>
            <w:tcW w:w="5359" w:type="dxa"/>
            <w:tcBorders>
              <w:top w:val="single" w:color="auto" w:sz="4" w:space="0"/>
              <w:left w:val="single" w:color="auto" w:sz="4" w:space="0"/>
              <w:bottom w:val="single" w:color="auto" w:sz="4" w:space="0"/>
              <w:right w:val="single" w:color="auto" w:sz="4" w:space="0"/>
            </w:tcBorders>
            <w:vAlign w:val="center"/>
          </w:tcPr>
          <w:p>
            <w:pPr>
              <w:shd w:val="clear"/>
              <w:spacing w:line="38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投标人得分=A+B+C。</w:t>
            </w:r>
          </w:p>
          <w:p>
            <w:pPr>
              <w:shd w:val="clear"/>
              <w:tabs>
                <w:tab w:val="left" w:pos="972"/>
              </w:tabs>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投标人得分为各评委对该投标人得分算术平均分（分数出现小数点时，保留小数点后二位，第三位小数四舍五入）。</w:t>
            </w:r>
          </w:p>
        </w:tc>
      </w:tr>
    </w:tbl>
    <w:p>
      <w:pPr>
        <w:shd w:val="clear"/>
        <w:spacing w:line="360" w:lineRule="auto"/>
        <w:ind w:firstLine="420" w:firstLineChars="200"/>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注：评分标准中“[”“]”表示包含，“（”“）”表示不包含。</w:t>
      </w:r>
    </w:p>
    <w:p>
      <w:pPr>
        <w:shd w:val="clear"/>
        <w:rPr>
          <w:rFonts w:ascii="仿宋" w:hAnsi="仿宋" w:eastAsia="仿宋" w:cs="仿宋"/>
          <w:color w:val="auto"/>
          <w:highlight w:val="none"/>
        </w:rPr>
      </w:pPr>
      <w:bookmarkStart w:id="421" w:name="_Toc56856905"/>
      <w:r>
        <w:rPr>
          <w:rFonts w:hint="eastAsia" w:ascii="仿宋" w:hAnsi="仿宋" w:eastAsia="仿宋" w:cs="仿宋"/>
          <w:color w:val="auto"/>
          <w:highlight w:val="none"/>
        </w:rPr>
        <w:br w:type="page"/>
      </w:r>
    </w:p>
    <w:p>
      <w:pPr>
        <w:pStyle w:val="4"/>
        <w:shd w:val="clear"/>
        <w:rPr>
          <w:rFonts w:ascii="仿宋" w:hAnsi="仿宋" w:eastAsia="仿宋" w:cs="仿宋"/>
          <w:color w:val="auto"/>
          <w:highlight w:val="none"/>
        </w:rPr>
      </w:pPr>
      <w:r>
        <w:rPr>
          <w:rFonts w:hint="eastAsia" w:ascii="仿宋" w:hAnsi="仿宋" w:eastAsia="仿宋" w:cs="仿宋"/>
          <w:color w:val="auto"/>
          <w:highlight w:val="none"/>
        </w:rPr>
        <w:t>1. 评标方法</w:t>
      </w:r>
      <w:bookmarkEnd w:id="421"/>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w:t>
      </w:r>
      <w:bookmarkStart w:id="422" w:name="_Toc361508646"/>
      <w:bookmarkStart w:id="423" w:name="_Toc247527623"/>
      <w:bookmarkStart w:id="424" w:name="_Toc152042375"/>
      <w:bookmarkStart w:id="425" w:name="_Toc247514022"/>
      <w:bookmarkStart w:id="426" w:name="_Toc144974565"/>
      <w:bookmarkStart w:id="427" w:name="_Toc152045598"/>
      <w:bookmarkStart w:id="428" w:name="_Toc300835008"/>
      <w:bookmarkStart w:id="429" w:name="_Toc384308272"/>
      <w:bookmarkStart w:id="430" w:name="_Toc369531577"/>
      <w:bookmarkStart w:id="431" w:name="_Toc352691533"/>
      <w:bookmarkStart w:id="432" w:name="_Toc4497"/>
      <w:r>
        <w:rPr>
          <w:rFonts w:hint="eastAsia" w:ascii="仿宋" w:hAnsi="仿宋" w:eastAsia="仿宋" w:cs="仿宋"/>
          <w:color w:val="auto"/>
          <w:highlight w:val="none"/>
        </w:rPr>
        <w:t>外。综合评分相等</w:t>
      </w:r>
      <w:bookmarkEnd w:id="422"/>
      <w:bookmarkEnd w:id="423"/>
      <w:bookmarkEnd w:id="424"/>
      <w:bookmarkEnd w:id="425"/>
      <w:bookmarkEnd w:id="426"/>
      <w:bookmarkEnd w:id="427"/>
      <w:bookmarkEnd w:id="428"/>
      <w:bookmarkEnd w:id="429"/>
      <w:r>
        <w:rPr>
          <w:rFonts w:hint="eastAsia" w:ascii="仿宋" w:hAnsi="仿宋" w:eastAsia="仿宋" w:cs="仿宋"/>
          <w:color w:val="auto"/>
          <w:highlight w:val="none"/>
        </w:rPr>
        <w:t>时，以投标报价低的</w:t>
      </w:r>
      <w:bookmarkEnd w:id="430"/>
      <w:bookmarkEnd w:id="431"/>
      <w:bookmarkEnd w:id="432"/>
      <w:r>
        <w:rPr>
          <w:rFonts w:hint="eastAsia" w:ascii="仿宋" w:hAnsi="仿宋" w:eastAsia="仿宋" w:cs="仿宋"/>
          <w:color w:val="auto"/>
          <w:highlight w:val="none"/>
        </w:rPr>
        <w:t>优</w:t>
      </w:r>
      <w:bookmarkStart w:id="433" w:name="_Toc39"/>
      <w:bookmarkStart w:id="434" w:name="_Toc247514023"/>
      <w:bookmarkStart w:id="435" w:name="_Toc152042376"/>
      <w:bookmarkStart w:id="436" w:name="_Toc384308273"/>
      <w:bookmarkStart w:id="437" w:name="_Toc352691534"/>
      <w:bookmarkStart w:id="438" w:name="_Toc369531578"/>
      <w:bookmarkStart w:id="439" w:name="_Toc361508647"/>
      <w:bookmarkStart w:id="440" w:name="_Toc152045599"/>
      <w:bookmarkStart w:id="441" w:name="_Toc300835009"/>
      <w:bookmarkStart w:id="442" w:name="_Toc247527624"/>
      <w:bookmarkStart w:id="443" w:name="_Toc144974566"/>
      <w:r>
        <w:rPr>
          <w:rFonts w:hint="eastAsia" w:ascii="仿宋" w:hAnsi="仿宋" w:eastAsia="仿宋" w:cs="仿宋"/>
          <w:color w:val="auto"/>
          <w:highlight w:val="none"/>
        </w:rPr>
        <w:t>先；投标报价也相等</w:t>
      </w:r>
      <w:bookmarkEnd w:id="433"/>
      <w:bookmarkEnd w:id="434"/>
      <w:bookmarkEnd w:id="435"/>
      <w:bookmarkEnd w:id="436"/>
      <w:bookmarkEnd w:id="437"/>
      <w:bookmarkEnd w:id="438"/>
      <w:bookmarkEnd w:id="439"/>
      <w:bookmarkEnd w:id="440"/>
      <w:bookmarkEnd w:id="441"/>
      <w:bookmarkEnd w:id="442"/>
      <w:bookmarkEnd w:id="443"/>
      <w:r>
        <w:rPr>
          <w:rFonts w:hint="eastAsia" w:ascii="仿宋" w:hAnsi="仿宋" w:eastAsia="仿宋" w:cs="仿宋"/>
          <w:color w:val="auto"/>
          <w:highlight w:val="none"/>
        </w:rPr>
        <w:t>的，以技术得分高的优先；如果技术得分也相等，按照评委组长抽签方式确定中标候选人顺序。</w:t>
      </w:r>
    </w:p>
    <w:p>
      <w:pPr>
        <w:pStyle w:val="4"/>
        <w:shd w:val="clear"/>
        <w:rPr>
          <w:rFonts w:ascii="仿宋" w:hAnsi="仿宋" w:eastAsia="仿宋" w:cs="仿宋"/>
          <w:color w:val="auto"/>
          <w:highlight w:val="none"/>
        </w:rPr>
      </w:pPr>
      <w:bookmarkStart w:id="444" w:name="_Toc56856906"/>
      <w:r>
        <w:rPr>
          <w:rFonts w:hint="eastAsia" w:ascii="仿宋" w:hAnsi="仿宋" w:eastAsia="仿宋" w:cs="仿宋"/>
          <w:color w:val="auto"/>
          <w:highlight w:val="none"/>
        </w:rPr>
        <w:t>2. 评审标准</w:t>
      </w:r>
      <w:bookmarkEnd w:id="444"/>
    </w:p>
    <w:p>
      <w:pPr>
        <w:pStyle w:val="5"/>
        <w:shd w:val="clear"/>
        <w:spacing w:line="240" w:lineRule="auto"/>
        <w:ind w:firstLine="137"/>
        <w:rPr>
          <w:rFonts w:ascii="仿宋" w:hAnsi="仿宋" w:eastAsia="仿宋" w:cs="仿宋"/>
          <w:color w:val="auto"/>
          <w:highlight w:val="none"/>
        </w:rPr>
      </w:pPr>
      <w:bookmarkStart w:id="445" w:name="_Toc56856907"/>
      <w:r>
        <w:rPr>
          <w:rFonts w:hint="eastAsia" w:ascii="仿宋" w:hAnsi="仿宋" w:eastAsia="仿宋" w:cs="仿宋"/>
          <w:color w:val="auto"/>
          <w:highlight w:val="none"/>
        </w:rPr>
        <w:t>2.1 初步评审标准</w:t>
      </w:r>
      <w:bookmarkEnd w:id="445"/>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2.1.1 初步评审评审标准：见评标办法前附表。</w:t>
      </w:r>
    </w:p>
    <w:p>
      <w:pPr>
        <w:pStyle w:val="5"/>
        <w:shd w:val="clear"/>
        <w:spacing w:line="240" w:lineRule="auto"/>
        <w:ind w:firstLine="137"/>
        <w:rPr>
          <w:rFonts w:ascii="仿宋" w:hAnsi="仿宋" w:eastAsia="仿宋" w:cs="仿宋"/>
          <w:color w:val="auto"/>
          <w:highlight w:val="none"/>
        </w:rPr>
      </w:pPr>
      <w:bookmarkStart w:id="446" w:name="_Toc56856908"/>
      <w:r>
        <w:rPr>
          <w:rFonts w:hint="eastAsia" w:ascii="仿宋" w:hAnsi="仿宋" w:eastAsia="仿宋" w:cs="仿宋"/>
          <w:color w:val="auto"/>
          <w:highlight w:val="none"/>
        </w:rPr>
        <w:t>2.2 分值构成与评分标准</w:t>
      </w:r>
      <w:bookmarkEnd w:id="446"/>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2.2.1 分值构成</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（1）商务部分：见评标办法前附表；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（2）技术部分：见评标办法前附表；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（3）投标报价：见评标办法前附表。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2.2.2 评标基准价计算</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评标基准价计算方法：见评标办法前附表。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2.2.3 评分标准</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（1）商务部分评分标准：见评标办法前附表；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（2）技术部分评分标准：见评标办法前附表；</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（3）投标报价评分标准：见评标办法前附表。</w:t>
      </w:r>
    </w:p>
    <w:p>
      <w:pPr>
        <w:pStyle w:val="4"/>
        <w:shd w:val="clear"/>
        <w:rPr>
          <w:rFonts w:ascii="仿宋" w:hAnsi="仿宋" w:eastAsia="仿宋" w:cs="仿宋"/>
          <w:color w:val="auto"/>
          <w:highlight w:val="none"/>
        </w:rPr>
      </w:pPr>
      <w:bookmarkStart w:id="447" w:name="_Toc56856909"/>
      <w:r>
        <w:rPr>
          <w:rFonts w:hint="eastAsia" w:ascii="仿宋" w:hAnsi="仿宋" w:eastAsia="仿宋" w:cs="仿宋"/>
          <w:color w:val="auto"/>
          <w:highlight w:val="none"/>
        </w:rPr>
        <w:t>3. 评标程序</w:t>
      </w:r>
      <w:bookmarkEnd w:id="447"/>
    </w:p>
    <w:p>
      <w:pPr>
        <w:pStyle w:val="5"/>
        <w:shd w:val="clear"/>
        <w:spacing w:line="240" w:lineRule="auto"/>
        <w:ind w:firstLine="137"/>
        <w:rPr>
          <w:rFonts w:ascii="仿宋" w:hAnsi="仿宋" w:eastAsia="仿宋" w:cs="仿宋"/>
          <w:color w:val="auto"/>
          <w:highlight w:val="none"/>
        </w:rPr>
      </w:pPr>
      <w:bookmarkStart w:id="448" w:name="_Toc56856910"/>
      <w:r>
        <w:rPr>
          <w:rFonts w:hint="eastAsia" w:ascii="仿宋" w:hAnsi="仿宋" w:eastAsia="仿宋" w:cs="仿宋"/>
          <w:color w:val="auto"/>
          <w:highlight w:val="none"/>
        </w:rPr>
        <w:t>3.1 初步评审</w:t>
      </w:r>
      <w:bookmarkEnd w:id="448"/>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3.1.1评标委员会依据本章第2.1款规定的标准对投标文件进行初步评审。有一项不符合评审标准的，评标委员会应当否决其投标。</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3.1.2 投标人有以下情形之一的，评标委员会应当否决其投标：</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（1）投标文件没有对招标文件的实质性要求和条件作出响应，或者对招标文件的偏差超出招标文件规定的偏差范围或最高项数；</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（2）有串通投标、弄虚作假、行贿等违法行为。</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3.1.3 投标报价有算术错误及其他错误的，评标委员会按以下原则要求投标人对投标报价进</w:t>
      </w:r>
      <w:bookmarkStart w:id="449" w:name="_Toc152042380"/>
      <w:bookmarkStart w:id="450" w:name="_Toc384308277"/>
      <w:bookmarkStart w:id="451" w:name="_Toc144974570"/>
      <w:bookmarkStart w:id="452" w:name="_Toc300835013"/>
      <w:bookmarkStart w:id="453" w:name="_Toc247514027"/>
      <w:bookmarkStart w:id="454" w:name="_Toc247527628"/>
      <w:bookmarkStart w:id="455" w:name="_Toc361508651"/>
      <w:bookmarkStart w:id="456" w:name="_Toc2907"/>
      <w:bookmarkStart w:id="457" w:name="_Toc152045603"/>
      <w:bookmarkStart w:id="458" w:name="_Toc352691538"/>
      <w:bookmarkStart w:id="459" w:name="_Toc369531582"/>
      <w:r>
        <w:rPr>
          <w:rFonts w:hint="eastAsia" w:ascii="仿宋" w:hAnsi="仿宋" w:eastAsia="仿宋" w:cs="仿宋"/>
          <w:color w:val="auto"/>
          <w:highlight w:val="none"/>
        </w:rPr>
        <w:t>行修正，并要求投标人书面澄清确认。</w:t>
      </w:r>
      <w:bookmarkEnd w:id="449"/>
      <w:bookmarkEnd w:id="450"/>
      <w:bookmarkEnd w:id="451"/>
      <w:bookmarkEnd w:id="452"/>
      <w:bookmarkEnd w:id="453"/>
      <w:bookmarkEnd w:id="454"/>
      <w:bookmarkEnd w:id="455"/>
      <w:bookmarkEnd w:id="456"/>
      <w:bookmarkEnd w:id="457"/>
      <w:bookmarkEnd w:id="458"/>
      <w:bookmarkEnd w:id="459"/>
      <w:r>
        <w:rPr>
          <w:rFonts w:hint="eastAsia" w:ascii="仿宋" w:hAnsi="仿宋" w:eastAsia="仿宋" w:cs="仿宋"/>
          <w:color w:val="auto"/>
          <w:highlight w:val="none"/>
        </w:rPr>
        <w:t>投标人拒不澄清确认的，评标委员会应当否决其投标：</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（1）投标文件中的大写金额与小写金额不一致的，以大写金额为准；</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（2）总价金额与单价金额不一致的，以单价金额为准，但单价金额小数点有明显错误的除外。</w:t>
      </w:r>
    </w:p>
    <w:p>
      <w:pPr>
        <w:widowControl/>
        <w:numPr>
          <w:ilvl w:val="255"/>
          <w:numId w:val="0"/>
        </w:numPr>
        <w:shd w:val="clear"/>
        <w:spacing w:line="400" w:lineRule="exact"/>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（3）当投标人所报投标总价与根据下浮率计算出来的投标总价不一致时，以下浮率修正投标人所报投标总价。</w:t>
      </w:r>
    </w:p>
    <w:p>
      <w:pPr>
        <w:shd w:val="clear"/>
        <w:spacing w:line="400" w:lineRule="exact"/>
        <w:ind w:firstLine="420" w:firstLineChars="200"/>
        <w:rPr>
          <w:rFonts w:ascii="仿宋" w:hAnsi="仿宋" w:eastAsia="仿宋" w:cs="仿宋"/>
          <w:color w:val="auto"/>
          <w:highlight w:val="none"/>
        </w:rPr>
      </w:pPr>
    </w:p>
    <w:p>
      <w:pPr>
        <w:pStyle w:val="5"/>
        <w:shd w:val="clear"/>
        <w:spacing w:line="240" w:lineRule="auto"/>
        <w:ind w:firstLine="137"/>
        <w:rPr>
          <w:rFonts w:ascii="仿宋" w:hAnsi="仿宋" w:eastAsia="仿宋" w:cs="仿宋"/>
          <w:color w:val="auto"/>
          <w:highlight w:val="none"/>
        </w:rPr>
      </w:pPr>
      <w:bookmarkStart w:id="460" w:name="_Toc56856911"/>
      <w:r>
        <w:rPr>
          <w:rFonts w:hint="eastAsia" w:ascii="仿宋" w:hAnsi="仿宋" w:eastAsia="仿宋" w:cs="仿宋"/>
          <w:color w:val="auto"/>
          <w:highlight w:val="none"/>
        </w:rPr>
        <w:t>3.2 详细评审</w:t>
      </w:r>
      <w:bookmarkEnd w:id="460"/>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3.2.1 评标委员会按本章第2.2款规定的量化因素和分值进行打分，汇总每一评委的评分进行算术平均，得出该投标人的各部分得分，并计算出综合评估得分。</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（1）按本章附表一规定的评审因素和分值对商务部分计算出得分A；</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（2）按本章附表二规定的评审因素和分值对技术部分计算出得分B；</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（3）按本章评标办法前附表规定的评审因素和</w:t>
      </w:r>
      <w:bookmarkStart w:id="461" w:name="_Toc247527629"/>
      <w:bookmarkStart w:id="462" w:name="_Toc152042381"/>
      <w:bookmarkStart w:id="463" w:name="_Toc300835014"/>
      <w:bookmarkStart w:id="464" w:name="_Toc384308278"/>
      <w:bookmarkStart w:id="465" w:name="_Toc144974571"/>
      <w:bookmarkStart w:id="466" w:name="_Toc361508652"/>
      <w:bookmarkStart w:id="467" w:name="_Toc24330"/>
      <w:bookmarkStart w:id="468" w:name="_Toc352691539"/>
      <w:bookmarkStart w:id="469" w:name="_Toc369531583"/>
      <w:bookmarkStart w:id="470" w:name="_Toc152045604"/>
      <w:bookmarkStart w:id="471" w:name="_Toc247514028"/>
      <w:r>
        <w:rPr>
          <w:rFonts w:hint="eastAsia" w:ascii="仿宋" w:hAnsi="仿宋" w:eastAsia="仿宋" w:cs="仿宋"/>
          <w:color w:val="auto"/>
          <w:highlight w:val="none"/>
        </w:rPr>
        <w:t>分值对投标报价</w:t>
      </w:r>
      <w:bookmarkEnd w:id="461"/>
      <w:bookmarkEnd w:id="462"/>
      <w:bookmarkEnd w:id="463"/>
      <w:bookmarkEnd w:id="464"/>
      <w:bookmarkEnd w:id="465"/>
      <w:bookmarkEnd w:id="466"/>
      <w:bookmarkEnd w:id="467"/>
      <w:bookmarkEnd w:id="468"/>
      <w:bookmarkEnd w:id="469"/>
      <w:bookmarkEnd w:id="470"/>
      <w:bookmarkEnd w:id="471"/>
      <w:r>
        <w:rPr>
          <w:rFonts w:hint="eastAsia" w:ascii="仿宋" w:hAnsi="仿宋" w:eastAsia="仿宋" w:cs="仿宋"/>
          <w:color w:val="auto"/>
          <w:highlight w:val="none"/>
        </w:rPr>
        <w:t>计</w:t>
      </w:r>
      <w:bookmarkStart w:id="472" w:name="_Toc300835015"/>
      <w:bookmarkStart w:id="473" w:name="_Toc152045605"/>
      <w:bookmarkStart w:id="474" w:name="_Toc247514029"/>
      <w:bookmarkStart w:id="475" w:name="_Toc361508653"/>
      <w:bookmarkStart w:id="476" w:name="_Toc144974572"/>
      <w:bookmarkStart w:id="477" w:name="_Toc369531584"/>
      <w:bookmarkStart w:id="478" w:name="_Toc18141"/>
      <w:bookmarkStart w:id="479" w:name="_Toc152042382"/>
      <w:bookmarkStart w:id="480" w:name="_Toc247527630"/>
      <w:bookmarkStart w:id="481" w:name="_Toc384308279"/>
      <w:bookmarkStart w:id="482" w:name="_Toc352691540"/>
      <w:r>
        <w:rPr>
          <w:rFonts w:hint="eastAsia" w:ascii="仿宋" w:hAnsi="仿宋" w:eastAsia="仿宋" w:cs="仿宋"/>
          <w:color w:val="auto"/>
          <w:highlight w:val="none"/>
        </w:rPr>
        <w:t>算出得分C。</w:t>
      </w:r>
    </w:p>
    <w:bookmarkEnd w:id="472"/>
    <w:bookmarkEnd w:id="473"/>
    <w:bookmarkEnd w:id="474"/>
    <w:bookmarkEnd w:id="475"/>
    <w:bookmarkEnd w:id="476"/>
    <w:bookmarkEnd w:id="477"/>
    <w:bookmarkEnd w:id="478"/>
    <w:bookmarkEnd w:id="479"/>
    <w:bookmarkEnd w:id="480"/>
    <w:bookmarkEnd w:id="481"/>
    <w:bookmarkEnd w:id="482"/>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3.2.2 评分分值计算保留小数点后两位，小数点后第三位“四舍五入”。</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3.2.3 投标人得分=A+B+C。</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3.2.4 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pPr>
        <w:pStyle w:val="5"/>
        <w:shd w:val="clear"/>
        <w:spacing w:line="240" w:lineRule="auto"/>
        <w:ind w:firstLine="137"/>
        <w:rPr>
          <w:rFonts w:ascii="仿宋" w:hAnsi="仿宋" w:eastAsia="仿宋" w:cs="仿宋"/>
          <w:color w:val="auto"/>
          <w:highlight w:val="none"/>
        </w:rPr>
      </w:pPr>
      <w:bookmarkStart w:id="483" w:name="_Toc56856912"/>
      <w:r>
        <w:rPr>
          <w:rFonts w:hint="eastAsia" w:ascii="仿宋" w:hAnsi="仿宋" w:eastAsia="仿宋" w:cs="仿宋"/>
          <w:color w:val="auto"/>
          <w:highlight w:val="none"/>
        </w:rPr>
        <w:t>3.3 投标文件的澄清</w:t>
      </w:r>
      <w:bookmarkEnd w:id="483"/>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3.3.1 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3.3.2 澄清、说明或补正不得超出投标文件的范围且不得改变投标文件的实质性内容，并构成投标文件的组成部分。</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3.3.3 评标委员会对投标人提交的澄清、说明或补正有疑问的，可以要求投标人进一步澄清、说明或补正，直至满足评标委员会的要求。</w:t>
      </w:r>
    </w:p>
    <w:p>
      <w:pPr>
        <w:pStyle w:val="5"/>
        <w:shd w:val="clear"/>
        <w:spacing w:line="240" w:lineRule="auto"/>
        <w:ind w:firstLine="137"/>
        <w:rPr>
          <w:rFonts w:ascii="仿宋" w:hAnsi="仿宋" w:eastAsia="仿宋" w:cs="仿宋"/>
          <w:color w:val="auto"/>
          <w:highlight w:val="none"/>
        </w:rPr>
      </w:pPr>
      <w:bookmarkStart w:id="484" w:name="_Toc56856913"/>
      <w:r>
        <w:rPr>
          <w:rFonts w:hint="eastAsia" w:ascii="仿宋" w:hAnsi="仿宋" w:eastAsia="仿宋" w:cs="仿宋"/>
          <w:color w:val="auto"/>
          <w:highlight w:val="none"/>
        </w:rPr>
        <w:t>3.4 评标结果</w:t>
      </w:r>
      <w:bookmarkEnd w:id="484"/>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3.4.1 除第二章“投标人须知”前附表授权直接确定中标人外，评标委员会按照得分由高到低的顺序推荐中标候选人，并标明排序。</w:t>
      </w:r>
    </w:p>
    <w:p>
      <w:pPr>
        <w:shd w:val="clear"/>
        <w:spacing w:line="40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3.4.2  评标委员会完成评标后，应当向招标人提交书面评标报告和中标候选人名单。</w:t>
      </w:r>
    </w:p>
    <w:p>
      <w:pPr>
        <w:shd w:val="clear"/>
        <w:rPr>
          <w:rFonts w:ascii="仿宋" w:hAnsi="仿宋" w:eastAsia="仿宋" w:cs="仿宋"/>
          <w:color w:val="auto"/>
          <w:highlight w:val="none"/>
        </w:rPr>
      </w:pPr>
      <w:r>
        <w:rPr>
          <w:rFonts w:hint="eastAsia" w:ascii="仿宋" w:hAnsi="仿宋" w:eastAsia="仿宋" w:cs="仿宋"/>
          <w:color w:val="auto"/>
          <w:highlight w:val="none"/>
        </w:rPr>
        <w:br w:type="page"/>
      </w:r>
    </w:p>
    <w:p>
      <w:pPr>
        <w:shd w:val="clear"/>
        <w:jc w:val="center"/>
        <w:rPr>
          <w:rFonts w:ascii="仿宋" w:hAnsi="仿宋" w:eastAsia="仿宋" w:cs="仿宋"/>
          <w:b/>
          <w:bCs/>
          <w:color w:val="auto"/>
          <w:kern w:val="44"/>
          <w:sz w:val="44"/>
          <w:highlight w:val="none"/>
        </w:rPr>
      </w:pPr>
      <w:bookmarkStart w:id="485" w:name="_Toc56856914"/>
    </w:p>
    <w:p>
      <w:pPr>
        <w:pStyle w:val="3"/>
        <w:shd w:val="clear"/>
        <w:jc w:val="center"/>
        <w:rPr>
          <w:rFonts w:ascii="仿宋" w:hAnsi="仿宋" w:eastAsia="仿宋" w:cs="仿宋"/>
          <w:color w:val="auto"/>
          <w:highlight w:val="none"/>
        </w:rPr>
      </w:pPr>
      <w:bookmarkStart w:id="486" w:name="_Toc32470"/>
      <w:r>
        <w:rPr>
          <w:rFonts w:hint="eastAsia" w:ascii="仿宋" w:hAnsi="仿宋" w:eastAsia="仿宋" w:cs="仿宋"/>
          <w:b/>
          <w:bCs/>
          <w:color w:val="auto"/>
          <w:highlight w:val="none"/>
        </w:rPr>
        <w:t>第四章 合同条款及格式</w:t>
      </w:r>
      <w:bookmarkEnd w:id="485"/>
      <w:bookmarkEnd w:id="486"/>
      <w:bookmarkStart w:id="487" w:name="_Toc247085853"/>
      <w:bookmarkStart w:id="488" w:name="_Toc179632787"/>
      <w:bookmarkStart w:id="489" w:name="_Toc246996338"/>
      <w:bookmarkStart w:id="490" w:name="_Toc246997081"/>
      <w:bookmarkStart w:id="491" w:name="_Toc247514197"/>
      <w:bookmarkStart w:id="492" w:name="_Toc247527798"/>
      <w:bookmarkStart w:id="493" w:name="_Toc144974829"/>
      <w:bookmarkStart w:id="494" w:name="_Toc152045610"/>
      <w:bookmarkStart w:id="495" w:name="_Toc152042388"/>
      <w:bookmarkStart w:id="496" w:name="_Toc144974578"/>
      <w:bookmarkStart w:id="497" w:name="_Toc184635122"/>
      <w:bookmarkStart w:id="498" w:name="_Toc152042549"/>
      <w:bookmarkStart w:id="499" w:name="_Toc300835199"/>
    </w:p>
    <w:bookmarkEnd w:id="487"/>
    <w:bookmarkEnd w:id="488"/>
    <w:bookmarkEnd w:id="489"/>
    <w:bookmarkEnd w:id="490"/>
    <w:p>
      <w:pPr>
        <w:shd w:val="clear"/>
        <w:rPr>
          <w:color w:val="auto"/>
          <w:szCs w:val="21"/>
          <w:highlight w:val="none"/>
        </w:rPr>
      </w:pPr>
      <w:bookmarkStart w:id="500" w:name="_Toc56856927"/>
    </w:p>
    <w:p>
      <w:pPr>
        <w:shd w:val="clear"/>
        <w:tabs>
          <w:tab w:val="left" w:pos="720"/>
        </w:tabs>
        <w:spacing w:line="360" w:lineRule="auto"/>
        <w:jc w:val="center"/>
        <w:rPr>
          <w:rFonts w:eastAsia="仿宋_GB2312"/>
          <w:b/>
          <w:color w:val="auto"/>
          <w:sz w:val="24"/>
          <w:szCs w:val="21"/>
          <w:highlight w:val="none"/>
        </w:rPr>
      </w:pPr>
    </w:p>
    <w:p>
      <w:pPr>
        <w:shd w:val="clear"/>
        <w:tabs>
          <w:tab w:val="left" w:pos="720"/>
        </w:tabs>
        <w:spacing w:line="360" w:lineRule="auto"/>
        <w:jc w:val="center"/>
        <w:rPr>
          <w:rFonts w:ascii="宋体" w:hAnsi="宋体"/>
          <w:b/>
          <w:color w:val="auto"/>
          <w:sz w:val="24"/>
          <w:szCs w:val="21"/>
          <w:highlight w:val="none"/>
        </w:rPr>
      </w:pPr>
    </w:p>
    <w:p>
      <w:pPr>
        <w:shd w:val="clear"/>
        <w:tabs>
          <w:tab w:val="left" w:pos="720"/>
        </w:tabs>
        <w:spacing w:line="360" w:lineRule="auto"/>
        <w:jc w:val="center"/>
        <w:rPr>
          <w:rFonts w:ascii="微软雅黑" w:hAnsi="微软雅黑" w:eastAsia="微软雅黑"/>
          <w:b/>
          <w:color w:val="auto"/>
          <w:sz w:val="72"/>
          <w:szCs w:val="72"/>
          <w:highlight w:val="none"/>
        </w:rPr>
      </w:pPr>
      <w:r>
        <w:rPr>
          <w:rFonts w:ascii="微软雅黑" w:hAnsi="微软雅黑" w:eastAsia="微软雅黑"/>
          <w:b/>
          <w:color w:val="auto"/>
          <w:sz w:val="72"/>
          <w:szCs w:val="72"/>
          <w:highlight w:val="none"/>
        </w:rPr>
        <w:t>合同书</w:t>
      </w:r>
    </w:p>
    <w:p>
      <w:pPr>
        <w:shd w:val="clear"/>
        <w:tabs>
          <w:tab w:val="left" w:pos="720"/>
        </w:tabs>
        <w:spacing w:line="360" w:lineRule="auto"/>
        <w:jc w:val="center"/>
        <w:rPr>
          <w:rFonts w:ascii="微软雅黑" w:hAnsi="微软雅黑" w:eastAsia="微软雅黑"/>
          <w:b/>
          <w:color w:val="auto"/>
          <w:sz w:val="72"/>
          <w:szCs w:val="72"/>
          <w:highlight w:val="none"/>
        </w:rPr>
      </w:pPr>
    </w:p>
    <w:p>
      <w:pPr>
        <w:shd w:val="clear"/>
        <w:tabs>
          <w:tab w:val="left" w:pos="720"/>
        </w:tabs>
        <w:spacing w:line="360" w:lineRule="auto"/>
        <w:jc w:val="center"/>
        <w:rPr>
          <w:rFonts w:ascii="微软雅黑" w:hAnsi="微软雅黑" w:eastAsia="微软雅黑"/>
          <w:b/>
          <w:color w:val="auto"/>
          <w:sz w:val="44"/>
          <w:szCs w:val="44"/>
          <w:highlight w:val="none"/>
        </w:rPr>
      </w:pPr>
      <w:r>
        <w:rPr>
          <w:rFonts w:ascii="微软雅黑" w:hAnsi="微软雅黑" w:eastAsia="微软雅黑"/>
          <w:b/>
          <w:color w:val="auto"/>
          <w:sz w:val="44"/>
          <w:szCs w:val="44"/>
          <w:highlight w:val="none"/>
        </w:rPr>
        <w:t>（</w:t>
      </w:r>
      <w:r>
        <w:rPr>
          <w:rFonts w:hint="eastAsia" w:ascii="微软雅黑" w:hAnsi="微软雅黑" w:eastAsia="微软雅黑"/>
          <w:b/>
          <w:color w:val="auto"/>
          <w:sz w:val="44"/>
          <w:szCs w:val="44"/>
          <w:highlight w:val="none"/>
        </w:rPr>
        <w:t>服务类</w:t>
      </w:r>
      <w:r>
        <w:rPr>
          <w:rFonts w:ascii="微软雅黑" w:hAnsi="微软雅黑" w:eastAsia="微软雅黑"/>
          <w:b/>
          <w:color w:val="auto"/>
          <w:sz w:val="44"/>
          <w:szCs w:val="44"/>
          <w:highlight w:val="none"/>
        </w:rPr>
        <w:t>）</w:t>
      </w:r>
    </w:p>
    <w:p>
      <w:pPr>
        <w:shd w:val="clear"/>
        <w:tabs>
          <w:tab w:val="left" w:pos="720"/>
        </w:tabs>
        <w:spacing w:line="360" w:lineRule="auto"/>
        <w:rPr>
          <w:rFonts w:ascii="宋体" w:hAnsi="宋体"/>
          <w:b/>
          <w:color w:val="auto"/>
          <w:sz w:val="28"/>
          <w:szCs w:val="28"/>
          <w:highlight w:val="none"/>
        </w:rPr>
      </w:pPr>
    </w:p>
    <w:p>
      <w:pPr>
        <w:shd w:val="clear"/>
        <w:tabs>
          <w:tab w:val="left" w:pos="720"/>
        </w:tabs>
        <w:spacing w:line="360" w:lineRule="auto"/>
        <w:rPr>
          <w:rFonts w:ascii="宋体" w:hAnsi="宋体"/>
          <w:b/>
          <w:color w:val="auto"/>
          <w:sz w:val="28"/>
          <w:szCs w:val="28"/>
          <w:highlight w:val="none"/>
        </w:rPr>
      </w:pPr>
    </w:p>
    <w:p>
      <w:pPr>
        <w:shd w:val="clear"/>
        <w:tabs>
          <w:tab w:val="left" w:pos="720"/>
        </w:tabs>
        <w:spacing w:line="360" w:lineRule="auto"/>
        <w:rPr>
          <w:rFonts w:ascii="宋体" w:hAnsi="宋体"/>
          <w:b/>
          <w:color w:val="auto"/>
          <w:sz w:val="28"/>
          <w:szCs w:val="28"/>
          <w:highlight w:val="none"/>
        </w:rPr>
      </w:pPr>
    </w:p>
    <w:p>
      <w:pPr>
        <w:shd w:val="clear"/>
        <w:tabs>
          <w:tab w:val="left" w:pos="720"/>
        </w:tabs>
        <w:spacing w:line="360" w:lineRule="auto"/>
        <w:ind w:firstLine="851" w:firstLineChars="265"/>
        <w:rPr>
          <w:rFonts w:ascii="宋体" w:hAnsi="宋体"/>
          <w:b/>
          <w:color w:val="auto"/>
          <w:sz w:val="32"/>
          <w:szCs w:val="32"/>
          <w:highlight w:val="none"/>
          <w:u w:val="single"/>
        </w:rPr>
      </w:pPr>
      <w:r>
        <w:rPr>
          <w:rFonts w:ascii="宋体" w:hAnsi="宋体"/>
          <w:b/>
          <w:color w:val="auto"/>
          <w:sz w:val="32"/>
          <w:szCs w:val="32"/>
          <w:highlight w:val="none"/>
        </w:rPr>
        <w:t>项目编号：</w:t>
      </w:r>
      <w:r>
        <w:rPr>
          <w:rFonts w:hint="eastAsia" w:ascii="宋体" w:hAnsi="宋体"/>
          <w:b/>
          <w:color w:val="auto"/>
          <w:sz w:val="32"/>
          <w:szCs w:val="32"/>
          <w:highlight w:val="none"/>
          <w:u w:val="single"/>
        </w:rPr>
        <w:t xml:space="preserve">          </w:t>
      </w:r>
    </w:p>
    <w:p>
      <w:pPr>
        <w:shd w:val="clear"/>
        <w:tabs>
          <w:tab w:val="left" w:pos="720"/>
        </w:tabs>
        <w:spacing w:line="360" w:lineRule="auto"/>
        <w:ind w:firstLine="851" w:firstLineChars="265"/>
        <w:rPr>
          <w:rFonts w:ascii="宋体" w:hAnsi="宋体"/>
          <w:b/>
          <w:color w:val="auto"/>
          <w:sz w:val="32"/>
          <w:szCs w:val="32"/>
          <w:highlight w:val="none"/>
          <w:u w:val="single"/>
        </w:rPr>
      </w:pPr>
    </w:p>
    <w:p>
      <w:pPr>
        <w:shd w:val="clear"/>
        <w:tabs>
          <w:tab w:val="left" w:pos="720"/>
        </w:tabs>
        <w:spacing w:line="360" w:lineRule="auto"/>
        <w:ind w:left="808" w:leftChars="385"/>
        <w:rPr>
          <w:rFonts w:hint="eastAsia" w:ascii="宋体" w:hAnsi="宋体" w:eastAsia="宋体"/>
          <w:b/>
          <w:color w:val="auto"/>
          <w:sz w:val="32"/>
          <w:szCs w:val="32"/>
          <w:highlight w:val="none"/>
          <w:u w:val="single"/>
          <w:lang w:eastAsia="zh-CN"/>
        </w:rPr>
      </w:pPr>
      <w:r>
        <w:rPr>
          <w:rFonts w:ascii="宋体" w:hAnsi="宋体"/>
          <w:b/>
          <w:color w:val="auto"/>
          <w:sz w:val="32"/>
          <w:szCs w:val="32"/>
          <w:highlight w:val="none"/>
        </w:rPr>
        <w:t>项目名称：</w:t>
      </w:r>
      <w:r>
        <w:rPr>
          <w:rFonts w:hint="eastAsia" w:ascii="宋体" w:hAnsi="宋体"/>
          <w:color w:val="auto"/>
          <w:sz w:val="32"/>
          <w:szCs w:val="32"/>
          <w:highlight w:val="none"/>
          <w:u w:val="single"/>
          <w:lang w:eastAsia="zh-CN"/>
        </w:rPr>
        <w:t>2025-2027年车险物损修复第三方服务资格入库项目</w:t>
      </w:r>
    </w:p>
    <w:p>
      <w:pPr>
        <w:keepNext/>
        <w:shd w:val="clear"/>
        <w:spacing w:before="312" w:beforeLines="100" w:after="312" w:afterLines="100"/>
        <w:ind w:firstLine="240" w:firstLineChars="100"/>
        <w:jc w:val="left"/>
        <w:outlineLvl w:val="0"/>
        <w:rPr>
          <w:rFonts w:ascii="微软雅黑" w:hAnsi="微软雅黑" w:eastAsia="微软雅黑" w:cs="Arial"/>
          <w:b/>
          <w:bCs/>
          <w:color w:val="auto"/>
          <w:sz w:val="24"/>
          <w:szCs w:val="24"/>
          <w:highlight w:val="none"/>
        </w:rPr>
      </w:pPr>
      <w:bookmarkStart w:id="501" w:name="_Toc9565"/>
      <w:r>
        <w:rPr>
          <w:rFonts w:ascii="微软雅黑" w:hAnsi="微软雅黑" w:eastAsia="微软雅黑" w:cs="Arial"/>
          <w:b/>
          <w:bCs/>
          <w:color w:val="auto"/>
          <w:sz w:val="24"/>
          <w:szCs w:val="24"/>
          <w:highlight w:val="none"/>
        </w:rPr>
        <w:t>注：本合同仅为合同的参考文本，合同签订双方可根据项目的具体要求进行修订。</w:t>
      </w:r>
      <w:bookmarkEnd w:id="501"/>
      <w:r>
        <w:rPr>
          <w:rFonts w:ascii="微软雅黑" w:hAnsi="微软雅黑" w:eastAsia="微软雅黑" w:cs="Arial"/>
          <w:b/>
          <w:bCs/>
          <w:color w:val="auto"/>
          <w:sz w:val="24"/>
          <w:szCs w:val="24"/>
          <w:highlight w:val="none"/>
        </w:rPr>
        <w:t xml:space="preserve"> </w:t>
      </w:r>
    </w:p>
    <w:p>
      <w:pPr>
        <w:shd w:val="clear"/>
        <w:rPr>
          <w:color w:val="auto"/>
          <w:highlight w:val="none"/>
        </w:rPr>
      </w:pPr>
      <w:r>
        <w:rPr>
          <w:color w:val="auto"/>
          <w:highlight w:val="none"/>
        </w:rPr>
        <w:br w:type="page"/>
      </w:r>
    </w:p>
    <w:p>
      <w:pPr>
        <w:keepNext w:val="0"/>
        <w:keepLines w:val="0"/>
        <w:widowControl/>
        <w:suppressLineNumbers w:val="0"/>
        <w:shd w:val="clear"/>
        <w:spacing w:before="0" w:beforeAutospacing="0" w:after="0" w:afterAutospacing="0" w:line="600" w:lineRule="atLeast"/>
        <w:ind w:left="0" w:right="0"/>
        <w:jc w:val="center"/>
        <w:rPr>
          <w:rFonts w:hint="default" w:eastAsia="宋体" w:cs="Calibri"/>
          <w:kern w:val="0"/>
          <w:sz w:val="20"/>
          <w:szCs w:val="20"/>
          <w:highlight w:val="none"/>
          <w:lang w:bidi="ar"/>
        </w:rPr>
      </w:pPr>
      <w:r>
        <w:rPr>
          <w:rFonts w:hint="eastAsia" w:ascii="宋体" w:hAnsi="宋体" w:eastAsia="宋体" w:cs="宋体"/>
          <w:b/>
          <w:bCs/>
          <w:kern w:val="0"/>
          <w:sz w:val="40"/>
          <w:szCs w:val="40"/>
          <w:highlight w:val="none"/>
          <w:lang w:eastAsia="zh-CN" w:bidi="ar"/>
        </w:rPr>
        <w:t>车险物损修复第三方服务合同</w:t>
      </w:r>
    </w:p>
    <w:p>
      <w:pPr>
        <w:spacing w:line="360" w:lineRule="auto"/>
        <w:jc w:val="left"/>
        <w:rPr>
          <w:rFonts w:hint="eastAsia" w:ascii="仿宋" w:hAnsi="仿宋" w:eastAsia="仿宋" w:cs="仿宋"/>
          <w:color w:val="000000"/>
          <w:szCs w:val="21"/>
          <w:lang w:eastAsia="zh-CN"/>
        </w:rPr>
      </w:pPr>
      <w:r>
        <w:rPr>
          <w:rFonts w:hint="eastAsia" w:ascii="仿宋" w:hAnsi="仿宋" w:eastAsia="仿宋" w:cs="仿宋"/>
          <w:kern w:val="0"/>
          <w:sz w:val="24"/>
          <w:szCs w:val="24"/>
          <w:highlight w:val="none"/>
          <w:lang w:eastAsia="zh-CN" w:bidi="ar"/>
        </w:rPr>
        <w:br w:type="textWrapping"/>
      </w:r>
      <w:r>
        <w:rPr>
          <w:rFonts w:hint="eastAsia" w:ascii="仿宋" w:hAnsi="仿宋" w:eastAsia="仿宋" w:cs="仿宋"/>
          <w:color w:val="000000"/>
          <w:szCs w:val="21"/>
        </w:rPr>
        <w:t>甲方：</w:t>
      </w:r>
      <w:r>
        <w:rPr>
          <w:rFonts w:hint="eastAsia" w:ascii="仿宋" w:hAnsi="仿宋" w:eastAsia="仿宋" w:cs="仿宋"/>
          <w:color w:val="000000"/>
          <w:szCs w:val="21"/>
          <w:lang w:eastAsia="zh-CN"/>
        </w:rPr>
        <w:t>中国人民财产保险股份有限公司东莞市分公司</w:t>
      </w:r>
    </w:p>
    <w:p>
      <w:pPr>
        <w:widowControl w:val="0"/>
        <w:spacing w:line="360" w:lineRule="auto"/>
        <w:jc w:val="both"/>
        <w:rPr>
          <w:rFonts w:hint="eastAsia" w:ascii="仿宋" w:hAnsi="仿宋" w:eastAsia="仿宋" w:cs="仿宋"/>
          <w:color w:val="000000"/>
          <w:kern w:val="2"/>
          <w:sz w:val="21"/>
          <w:szCs w:val="21"/>
          <w:lang w:val="en-US" w:eastAsia="zh-CN" w:bidi="ar-SA"/>
        </w:rPr>
      </w:pPr>
      <w:r>
        <w:rPr>
          <w:rFonts w:hint="eastAsia" w:ascii="仿宋" w:hAnsi="仿宋" w:eastAsia="仿宋" w:cs="仿宋"/>
          <w:color w:val="000000"/>
          <w:kern w:val="2"/>
          <w:sz w:val="21"/>
          <w:szCs w:val="21"/>
          <w:lang w:val="en-US" w:eastAsia="zh-CN" w:bidi="ar-SA"/>
        </w:rPr>
        <w:t>法定代表/主要负责人：</w:t>
      </w:r>
    </w:p>
    <w:p>
      <w:pPr>
        <w:widowControl w:val="0"/>
        <w:spacing w:line="360" w:lineRule="auto"/>
        <w:jc w:val="left"/>
        <w:rPr>
          <w:rFonts w:hint="eastAsia" w:ascii="仿宋" w:hAnsi="仿宋" w:eastAsia="仿宋" w:cs="仿宋"/>
          <w:color w:val="000000"/>
          <w:kern w:val="2"/>
          <w:sz w:val="21"/>
          <w:szCs w:val="21"/>
          <w:lang w:val="en-US" w:eastAsia="zh-CN" w:bidi="ar-SA"/>
        </w:rPr>
      </w:pPr>
      <w:r>
        <w:rPr>
          <w:rFonts w:hint="eastAsia" w:ascii="仿宋" w:hAnsi="仿宋" w:eastAsia="仿宋" w:cs="仿宋"/>
          <w:color w:val="000000"/>
          <w:kern w:val="2"/>
          <w:sz w:val="21"/>
          <w:szCs w:val="21"/>
          <w:lang w:val="en-US" w:eastAsia="zh-CN" w:bidi="ar-SA"/>
        </w:rPr>
        <w:t>地址：广东省东莞市东城区东源路9号人保大厦</w:t>
      </w:r>
    </w:p>
    <w:p>
      <w:pPr>
        <w:widowControl w:val="0"/>
        <w:spacing w:line="360" w:lineRule="auto"/>
        <w:jc w:val="left"/>
        <w:rPr>
          <w:rFonts w:hint="eastAsia" w:ascii="仿宋" w:hAnsi="仿宋" w:eastAsia="仿宋" w:cs="仿宋"/>
          <w:color w:val="000000"/>
          <w:kern w:val="2"/>
          <w:sz w:val="21"/>
          <w:szCs w:val="21"/>
          <w:lang w:val="en-US" w:eastAsia="zh-CN" w:bidi="ar-SA"/>
        </w:rPr>
      </w:pPr>
      <w:r>
        <w:rPr>
          <w:rFonts w:hint="eastAsia" w:ascii="仿宋" w:hAnsi="仿宋" w:eastAsia="仿宋" w:cs="仿宋"/>
          <w:color w:val="000000"/>
          <w:kern w:val="2"/>
          <w:sz w:val="21"/>
          <w:szCs w:val="21"/>
          <w:lang w:val="en-US" w:eastAsia="zh-CN" w:bidi="ar-SA"/>
        </w:rPr>
        <w:t>联系方式：、</w:t>
      </w:r>
    </w:p>
    <w:p>
      <w:pPr>
        <w:widowControl w:val="0"/>
        <w:spacing w:line="360" w:lineRule="auto"/>
        <w:jc w:val="left"/>
        <w:rPr>
          <w:rFonts w:hint="eastAsia" w:ascii="仿宋" w:hAnsi="仿宋" w:eastAsia="仿宋" w:cs="仿宋"/>
          <w:color w:val="000000"/>
          <w:kern w:val="2"/>
          <w:sz w:val="21"/>
          <w:szCs w:val="21"/>
          <w:lang w:val="en-US" w:eastAsia="zh-CN" w:bidi="ar-SA"/>
        </w:rPr>
      </w:pPr>
    </w:p>
    <w:p>
      <w:pPr>
        <w:spacing w:line="360" w:lineRule="auto"/>
        <w:jc w:val="left"/>
        <w:rPr>
          <w:rFonts w:hint="eastAsia" w:ascii="仿宋" w:hAnsi="仿宋" w:eastAsia="仿宋" w:cs="仿宋"/>
          <w:color w:val="000000"/>
          <w:szCs w:val="21"/>
        </w:rPr>
      </w:pPr>
      <w:r>
        <w:rPr>
          <w:rFonts w:hint="eastAsia" w:ascii="仿宋" w:hAnsi="仿宋" w:eastAsia="仿宋" w:cs="仿宋"/>
          <w:color w:val="000000"/>
          <w:szCs w:val="21"/>
        </w:rPr>
        <w:t>乙方：</w:t>
      </w:r>
    </w:p>
    <w:p>
      <w:pPr>
        <w:widowControl w:val="0"/>
        <w:spacing w:line="360" w:lineRule="auto"/>
        <w:jc w:val="left"/>
        <w:rPr>
          <w:rFonts w:hint="eastAsia" w:ascii="仿宋" w:hAnsi="仿宋" w:eastAsia="仿宋" w:cs="仿宋"/>
          <w:color w:val="000000"/>
          <w:kern w:val="2"/>
          <w:sz w:val="21"/>
          <w:szCs w:val="21"/>
          <w:lang w:val="en-US" w:eastAsia="zh-CN" w:bidi="ar-SA"/>
        </w:rPr>
      </w:pPr>
      <w:r>
        <w:rPr>
          <w:rFonts w:hint="eastAsia" w:ascii="仿宋" w:hAnsi="仿宋" w:eastAsia="仿宋" w:cs="仿宋"/>
          <w:color w:val="000000"/>
          <w:kern w:val="2"/>
          <w:sz w:val="21"/>
          <w:szCs w:val="21"/>
          <w:lang w:val="en-US" w:eastAsia="zh-CN" w:bidi="ar-SA"/>
        </w:rPr>
        <w:t>法定代表/主要负责人：</w:t>
      </w:r>
    </w:p>
    <w:p>
      <w:pPr>
        <w:widowControl w:val="0"/>
        <w:spacing w:line="360" w:lineRule="auto"/>
        <w:jc w:val="left"/>
        <w:rPr>
          <w:rFonts w:hint="eastAsia" w:ascii="仿宋" w:hAnsi="仿宋" w:eastAsia="仿宋" w:cs="仿宋"/>
          <w:color w:val="000000"/>
          <w:kern w:val="2"/>
          <w:sz w:val="21"/>
          <w:szCs w:val="21"/>
          <w:lang w:val="en-US" w:eastAsia="zh-CN" w:bidi="ar-SA"/>
        </w:rPr>
      </w:pPr>
      <w:r>
        <w:rPr>
          <w:rFonts w:hint="eastAsia" w:ascii="仿宋" w:hAnsi="仿宋" w:eastAsia="仿宋" w:cs="仿宋"/>
          <w:color w:val="000000"/>
          <w:kern w:val="2"/>
          <w:sz w:val="21"/>
          <w:szCs w:val="21"/>
          <w:lang w:val="en-US" w:eastAsia="zh-CN" w:bidi="ar-SA"/>
        </w:rPr>
        <w:t>地址：</w:t>
      </w:r>
    </w:p>
    <w:p>
      <w:pPr>
        <w:widowControl w:val="0"/>
        <w:spacing w:line="360" w:lineRule="auto"/>
        <w:jc w:val="left"/>
        <w:rPr>
          <w:rFonts w:hint="eastAsia" w:ascii="仿宋" w:hAnsi="仿宋" w:eastAsia="仿宋" w:cs="仿宋"/>
          <w:color w:val="000000"/>
          <w:kern w:val="2"/>
          <w:sz w:val="21"/>
          <w:szCs w:val="21"/>
          <w:lang w:val="en-US" w:eastAsia="zh-CN" w:bidi="ar-SA"/>
        </w:rPr>
      </w:pPr>
      <w:r>
        <w:rPr>
          <w:rFonts w:hint="eastAsia" w:ascii="仿宋" w:hAnsi="仿宋" w:eastAsia="仿宋" w:cs="仿宋"/>
          <w:color w:val="000000"/>
          <w:kern w:val="2"/>
          <w:sz w:val="21"/>
          <w:szCs w:val="21"/>
          <w:lang w:val="en-US" w:eastAsia="zh-CN" w:bidi="ar-SA"/>
        </w:rPr>
        <w:t>联系方式：</w:t>
      </w:r>
    </w:p>
    <w:p>
      <w:pPr>
        <w:widowControl w:val="0"/>
        <w:jc w:val="both"/>
        <w:rPr>
          <w:rFonts w:hint="eastAsia" w:ascii="仿宋" w:hAnsi="仿宋" w:eastAsia="仿宋" w:cs="仿宋"/>
          <w:color w:val="000000"/>
          <w:kern w:val="2"/>
          <w:sz w:val="21"/>
          <w:szCs w:val="21"/>
          <w:lang w:val="en-US" w:eastAsia="zh-CN" w:bidi="ar-SA"/>
        </w:rPr>
      </w:pPr>
    </w:p>
    <w:p>
      <w:pPr>
        <w:widowControl w:val="0"/>
        <w:jc w:val="both"/>
        <w:rPr>
          <w:rFonts w:hint="eastAsia" w:ascii="仿宋" w:hAnsi="仿宋" w:eastAsia="仿宋" w:cs="仿宋"/>
          <w:color w:val="000000"/>
          <w:kern w:val="2"/>
          <w:sz w:val="21"/>
          <w:szCs w:val="21"/>
          <w:lang w:val="en-US" w:eastAsia="zh-CN" w:bidi="ar-SA"/>
        </w:rPr>
      </w:pPr>
    </w:p>
    <w:p>
      <w:pPr>
        <w:spacing w:line="600" w:lineRule="atLeast"/>
        <w:ind w:firstLine="420" w:firstLineChars="200"/>
        <w:jc w:val="left"/>
        <w:rPr>
          <w:rFonts w:hint="eastAsia" w:ascii="仿宋" w:hAnsi="仿宋" w:eastAsia="仿宋" w:cs="仿宋"/>
          <w:color w:val="000000"/>
          <w:szCs w:val="21"/>
        </w:rPr>
      </w:pPr>
      <w:r>
        <w:rPr>
          <w:rFonts w:hint="eastAsia" w:ascii="仿宋" w:hAnsi="仿宋" w:eastAsia="仿宋" w:cs="仿宋"/>
          <w:color w:val="000000"/>
          <w:szCs w:val="21"/>
        </w:rPr>
        <w:t>经甲、乙双方友好协商，本着实事求是，互助互利的原则，双方就甲方委托乙方进行物损维修的相关事项达成如下协议以共同遵守：</w:t>
      </w:r>
    </w:p>
    <w:p>
      <w:pPr>
        <w:spacing w:before="156" w:beforeLines="50" w:line="360" w:lineRule="auto"/>
        <w:jc w:val="left"/>
        <w:outlineLvl w:val="2"/>
        <w:rPr>
          <w:rFonts w:hint="eastAsia" w:ascii="仿宋" w:hAnsi="仿宋" w:eastAsia="仿宋" w:cs="仿宋"/>
          <w:b/>
          <w:bCs/>
          <w:color w:val="000000"/>
          <w:szCs w:val="21"/>
        </w:rPr>
      </w:pPr>
      <w:r>
        <w:rPr>
          <w:rFonts w:hint="eastAsia" w:ascii="仿宋" w:hAnsi="仿宋" w:eastAsia="仿宋" w:cs="仿宋"/>
          <w:b/>
          <w:bCs/>
          <w:color w:val="000000"/>
          <w:szCs w:val="21"/>
        </w:rPr>
        <w:t>一、委托事项</w:t>
      </w:r>
    </w:p>
    <w:p>
      <w:pPr>
        <w:spacing w:line="600" w:lineRule="atLeast"/>
        <w:ind w:firstLine="420" w:firstLineChars="200"/>
        <w:jc w:val="left"/>
        <w:rPr>
          <w:rFonts w:hint="eastAsia" w:ascii="仿宋" w:hAnsi="仿宋" w:eastAsia="仿宋" w:cs="仿宋"/>
          <w:color w:val="000000"/>
          <w:szCs w:val="21"/>
        </w:rPr>
      </w:pPr>
      <w:r>
        <w:rPr>
          <w:rFonts w:hint="eastAsia" w:ascii="仿宋" w:hAnsi="仿宋" w:eastAsia="仿宋" w:cs="仿宋"/>
          <w:color w:val="000000"/>
          <w:szCs w:val="21"/>
        </w:rPr>
        <w:t>甲方委托乙方对包含但不限于以下修复范围的物损进行现场勘查、清点损失、提供谈判技术支持、协助协商或修复：</w:t>
      </w:r>
    </w:p>
    <w:p>
      <w:pPr>
        <w:spacing w:line="600" w:lineRule="atLeast"/>
        <w:ind w:firstLine="420" w:firstLineChars="200"/>
        <w:jc w:val="left"/>
        <w:rPr>
          <w:rFonts w:hint="eastAsia" w:ascii="仿宋" w:hAnsi="仿宋" w:eastAsia="仿宋" w:cs="仿宋"/>
          <w:color w:val="000000"/>
          <w:szCs w:val="21"/>
        </w:rPr>
      </w:pPr>
      <w:r>
        <w:rPr>
          <w:rFonts w:hint="eastAsia" w:ascii="仿宋" w:hAnsi="仿宋" w:eastAsia="仿宋" w:cs="仿宋"/>
          <w:color w:val="000000"/>
          <w:szCs w:val="21"/>
          <w:lang w:eastAsia="zh-CN"/>
        </w:rPr>
        <w:t>（</w:t>
      </w:r>
      <w:r>
        <w:rPr>
          <w:rFonts w:hint="eastAsia" w:ascii="仿宋" w:hAnsi="仿宋" w:eastAsia="仿宋" w:cs="仿宋"/>
          <w:color w:val="000000"/>
          <w:szCs w:val="21"/>
          <w:lang w:val="en-US" w:eastAsia="zh-CN"/>
        </w:rPr>
        <w:t>1</w:t>
      </w:r>
      <w:r>
        <w:rPr>
          <w:rFonts w:hint="eastAsia" w:ascii="仿宋" w:hAnsi="仿宋" w:eastAsia="仿宋" w:cs="仿宋"/>
          <w:color w:val="000000"/>
          <w:szCs w:val="21"/>
          <w:lang w:eastAsia="zh-CN"/>
        </w:rPr>
        <w:t>）</w:t>
      </w:r>
      <w:r>
        <w:rPr>
          <w:rFonts w:hint="eastAsia" w:ascii="仿宋" w:hAnsi="仿宋" w:eastAsia="仿宋" w:cs="仿宋"/>
          <w:color w:val="000000"/>
          <w:szCs w:val="21"/>
        </w:rPr>
        <w:t>建筑类：各类建筑物、钢结构、厂房、活动板房、房屋配套设施设备；</w:t>
      </w:r>
    </w:p>
    <w:p>
      <w:pPr>
        <w:spacing w:line="600" w:lineRule="atLeast"/>
        <w:ind w:firstLine="420" w:firstLineChars="200"/>
        <w:jc w:val="left"/>
        <w:rPr>
          <w:rFonts w:hint="eastAsia" w:ascii="仿宋" w:hAnsi="仿宋" w:eastAsia="仿宋" w:cs="仿宋"/>
          <w:color w:val="000000"/>
          <w:szCs w:val="21"/>
        </w:rPr>
      </w:pPr>
      <w:r>
        <w:rPr>
          <w:rFonts w:hint="eastAsia" w:ascii="仿宋" w:hAnsi="仿宋" w:eastAsia="仿宋" w:cs="仿宋"/>
          <w:color w:val="000000"/>
          <w:szCs w:val="21"/>
          <w:lang w:eastAsia="zh-CN"/>
        </w:rPr>
        <w:t>（</w:t>
      </w:r>
      <w:r>
        <w:rPr>
          <w:rFonts w:hint="eastAsia" w:ascii="仿宋" w:hAnsi="仿宋" w:eastAsia="仿宋" w:cs="仿宋"/>
          <w:color w:val="000000"/>
          <w:szCs w:val="21"/>
          <w:lang w:val="en-US" w:eastAsia="zh-CN"/>
        </w:rPr>
        <w:t>2</w:t>
      </w:r>
      <w:r>
        <w:rPr>
          <w:rFonts w:hint="eastAsia" w:ascii="仿宋" w:hAnsi="仿宋" w:eastAsia="仿宋" w:cs="仿宋"/>
          <w:color w:val="000000"/>
          <w:szCs w:val="21"/>
          <w:lang w:eastAsia="zh-CN"/>
        </w:rPr>
        <w:t>）</w:t>
      </w:r>
      <w:r>
        <w:rPr>
          <w:rFonts w:hint="eastAsia" w:ascii="仿宋" w:hAnsi="仿宋" w:eastAsia="仿宋" w:cs="仿宋"/>
          <w:color w:val="000000"/>
          <w:szCs w:val="21"/>
        </w:rPr>
        <w:t>道路类：路基、公路、桥梁、高速路护栏、道路照明设施、限高杆、指示牌、交通指示灯、监控设备等；</w:t>
      </w:r>
    </w:p>
    <w:p>
      <w:pPr>
        <w:spacing w:line="600" w:lineRule="atLeast"/>
        <w:ind w:firstLine="420" w:firstLineChars="200"/>
        <w:jc w:val="left"/>
        <w:rPr>
          <w:rFonts w:hint="eastAsia" w:ascii="仿宋" w:hAnsi="仿宋" w:eastAsia="仿宋" w:cs="仿宋"/>
          <w:color w:val="000000"/>
          <w:szCs w:val="21"/>
        </w:rPr>
      </w:pPr>
      <w:r>
        <w:rPr>
          <w:rFonts w:hint="eastAsia" w:ascii="仿宋" w:hAnsi="仿宋" w:eastAsia="仿宋" w:cs="仿宋"/>
          <w:color w:val="000000"/>
          <w:szCs w:val="21"/>
          <w:lang w:eastAsia="zh-CN"/>
        </w:rPr>
        <w:t>（</w:t>
      </w:r>
      <w:r>
        <w:rPr>
          <w:rFonts w:hint="eastAsia" w:ascii="仿宋" w:hAnsi="仿宋" w:eastAsia="仿宋" w:cs="仿宋"/>
          <w:color w:val="000000"/>
          <w:szCs w:val="21"/>
          <w:lang w:val="en-US" w:eastAsia="zh-CN"/>
        </w:rPr>
        <w:t>3</w:t>
      </w:r>
      <w:r>
        <w:rPr>
          <w:rFonts w:hint="eastAsia" w:ascii="仿宋" w:hAnsi="仿宋" w:eastAsia="仿宋" w:cs="仿宋"/>
          <w:color w:val="000000"/>
          <w:szCs w:val="21"/>
          <w:lang w:eastAsia="zh-CN"/>
        </w:rPr>
        <w:t>）</w:t>
      </w:r>
      <w:r>
        <w:rPr>
          <w:rFonts w:hint="eastAsia" w:ascii="仿宋" w:hAnsi="仿宋" w:eastAsia="仿宋" w:cs="仿宋"/>
          <w:color w:val="000000"/>
          <w:szCs w:val="21"/>
        </w:rPr>
        <w:t>园林类：园林绿化、雕塑、景观、隔离带绿化、行道树等；</w:t>
      </w:r>
    </w:p>
    <w:p>
      <w:pPr>
        <w:spacing w:line="600" w:lineRule="atLeast"/>
        <w:ind w:firstLine="420" w:firstLineChars="200"/>
        <w:jc w:val="left"/>
        <w:rPr>
          <w:rFonts w:hint="eastAsia" w:ascii="仿宋" w:hAnsi="仿宋" w:eastAsia="仿宋" w:cs="仿宋"/>
          <w:color w:val="000000"/>
          <w:szCs w:val="21"/>
        </w:rPr>
      </w:pPr>
      <w:r>
        <w:rPr>
          <w:rFonts w:hint="eastAsia" w:ascii="仿宋" w:hAnsi="仿宋" w:eastAsia="仿宋" w:cs="仿宋"/>
          <w:color w:val="000000"/>
          <w:szCs w:val="21"/>
          <w:lang w:eastAsia="zh-CN"/>
        </w:rPr>
        <w:t>（</w:t>
      </w:r>
      <w:r>
        <w:rPr>
          <w:rFonts w:hint="eastAsia" w:ascii="仿宋" w:hAnsi="仿宋" w:eastAsia="仿宋" w:cs="仿宋"/>
          <w:color w:val="000000"/>
          <w:szCs w:val="21"/>
          <w:lang w:val="en-US" w:eastAsia="zh-CN"/>
        </w:rPr>
        <w:t>4</w:t>
      </w:r>
      <w:r>
        <w:rPr>
          <w:rFonts w:hint="eastAsia" w:ascii="仿宋" w:hAnsi="仿宋" w:eastAsia="仿宋" w:cs="仿宋"/>
          <w:color w:val="000000"/>
          <w:szCs w:val="21"/>
          <w:lang w:eastAsia="zh-CN"/>
        </w:rPr>
        <w:t>）</w:t>
      </w:r>
      <w:r>
        <w:rPr>
          <w:rFonts w:hint="eastAsia" w:ascii="仿宋" w:hAnsi="仿宋" w:eastAsia="仿宋" w:cs="仿宋"/>
          <w:color w:val="000000"/>
          <w:szCs w:val="21"/>
        </w:rPr>
        <w:t>电力、通讯类：电杆、变压器、电缆、光缆、配电设备等；</w:t>
      </w:r>
    </w:p>
    <w:p>
      <w:pPr>
        <w:spacing w:line="600" w:lineRule="atLeast"/>
        <w:ind w:firstLine="420" w:firstLineChars="200"/>
        <w:jc w:val="left"/>
        <w:rPr>
          <w:rFonts w:hint="eastAsia" w:ascii="仿宋" w:hAnsi="仿宋" w:eastAsia="仿宋" w:cs="仿宋"/>
          <w:color w:val="000000"/>
          <w:szCs w:val="21"/>
        </w:rPr>
      </w:pPr>
      <w:r>
        <w:rPr>
          <w:rFonts w:hint="eastAsia" w:ascii="仿宋" w:hAnsi="仿宋" w:eastAsia="仿宋" w:cs="仿宋"/>
          <w:color w:val="000000"/>
          <w:szCs w:val="21"/>
          <w:lang w:eastAsia="zh-CN"/>
        </w:rPr>
        <w:t>（</w:t>
      </w:r>
      <w:r>
        <w:rPr>
          <w:rFonts w:hint="eastAsia" w:ascii="仿宋" w:hAnsi="仿宋" w:eastAsia="仿宋" w:cs="仿宋"/>
          <w:color w:val="000000"/>
          <w:szCs w:val="21"/>
          <w:lang w:val="en-US" w:eastAsia="zh-CN"/>
        </w:rPr>
        <w:t>5</w:t>
      </w:r>
      <w:r>
        <w:rPr>
          <w:rFonts w:hint="eastAsia" w:ascii="仿宋" w:hAnsi="仿宋" w:eastAsia="仿宋" w:cs="仿宋"/>
          <w:color w:val="000000"/>
          <w:szCs w:val="21"/>
          <w:lang w:eastAsia="zh-CN"/>
        </w:rPr>
        <w:t>）</w:t>
      </w:r>
      <w:r>
        <w:rPr>
          <w:rFonts w:hint="eastAsia" w:ascii="仿宋" w:hAnsi="仿宋" w:eastAsia="仿宋" w:cs="仿宋"/>
          <w:color w:val="000000"/>
          <w:szCs w:val="21"/>
        </w:rPr>
        <w:t>综合类：道路及建筑消防设施、监控设备、道闸、广告牌、玻璃门窗、家用家电、各类仪器等。</w:t>
      </w:r>
    </w:p>
    <w:p>
      <w:pPr>
        <w:spacing w:before="156" w:beforeLines="50" w:line="360" w:lineRule="auto"/>
        <w:jc w:val="left"/>
        <w:outlineLvl w:val="2"/>
        <w:rPr>
          <w:rFonts w:hint="eastAsia" w:ascii="仿宋" w:hAnsi="仿宋" w:eastAsia="仿宋" w:cs="仿宋"/>
          <w:b/>
          <w:bCs/>
          <w:color w:val="000000"/>
          <w:szCs w:val="21"/>
        </w:rPr>
      </w:pPr>
      <w:r>
        <w:rPr>
          <w:rFonts w:hint="eastAsia" w:ascii="仿宋" w:hAnsi="仿宋" w:eastAsia="仿宋" w:cs="仿宋"/>
          <w:b/>
          <w:bCs/>
          <w:color w:val="000000"/>
          <w:szCs w:val="21"/>
        </w:rPr>
        <w:t>二、甲乙双方的权利和义务</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（一）甲方的权利和义务</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 xml:space="preserve">（1）甲方有权获得本合同项下乙方应提供的全部合格的服务； </w:t>
      </w:r>
      <w:r>
        <w:rPr>
          <w:rFonts w:hint="eastAsia" w:ascii="仿宋" w:hAnsi="仿宋" w:eastAsia="仿宋" w:cs="仿宋"/>
          <w:color w:val="000000"/>
          <w:szCs w:val="21"/>
        </w:rPr>
        <w:br w:type="textWrapping"/>
      </w:r>
      <w:r>
        <w:rPr>
          <w:rFonts w:hint="eastAsia" w:ascii="仿宋" w:hAnsi="仿宋" w:eastAsia="仿宋" w:cs="仿宋"/>
          <w:color w:val="000000"/>
          <w:szCs w:val="21"/>
        </w:rPr>
        <w:t xml:space="preserve">（2）甲方有权在合同期内对乙方的产品及服务进行监督； </w:t>
      </w:r>
      <w:r>
        <w:rPr>
          <w:rFonts w:hint="eastAsia" w:ascii="仿宋" w:hAnsi="仿宋" w:eastAsia="仿宋" w:cs="仿宋"/>
          <w:color w:val="000000"/>
          <w:szCs w:val="21"/>
        </w:rPr>
        <w:br w:type="textWrapping"/>
      </w:r>
      <w:r>
        <w:rPr>
          <w:rFonts w:hint="eastAsia" w:ascii="仿宋" w:hAnsi="仿宋" w:eastAsia="仿宋" w:cs="仿宋"/>
          <w:color w:val="000000"/>
          <w:szCs w:val="21"/>
        </w:rPr>
        <w:t xml:space="preserve">（3）乙方未按照合同约定履行义务的，甲方有权采取相应的措施； </w:t>
      </w:r>
      <w:r>
        <w:rPr>
          <w:rFonts w:hint="eastAsia" w:ascii="仿宋" w:hAnsi="仿宋" w:eastAsia="仿宋" w:cs="仿宋"/>
          <w:color w:val="000000"/>
          <w:szCs w:val="21"/>
        </w:rPr>
        <w:br w:type="textWrapping"/>
      </w:r>
      <w:r>
        <w:rPr>
          <w:rFonts w:hint="eastAsia" w:ascii="仿宋" w:hAnsi="仿宋" w:eastAsia="仿宋" w:cs="仿宋"/>
          <w:color w:val="000000"/>
          <w:szCs w:val="21"/>
        </w:rPr>
        <w:t xml:space="preserve">（4）甲方应按照合同约定向乙方支付合同价款； </w:t>
      </w:r>
      <w:r>
        <w:rPr>
          <w:rFonts w:hint="eastAsia" w:ascii="仿宋" w:hAnsi="仿宋" w:eastAsia="仿宋" w:cs="仿宋"/>
          <w:color w:val="000000"/>
          <w:szCs w:val="21"/>
        </w:rPr>
        <w:br w:type="textWrapping"/>
      </w:r>
      <w:r>
        <w:rPr>
          <w:rFonts w:hint="eastAsia" w:ascii="仿宋" w:hAnsi="仿宋" w:eastAsia="仿宋" w:cs="仿宋"/>
          <w:color w:val="000000"/>
          <w:szCs w:val="21"/>
        </w:rPr>
        <w:t>（5）甲方享有其它双方约定的权利、承担其它双方约定的义务。</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（6）甲方指定_______联系方式_______负责委托及联络相关事宜，如有调整及时通知乙方。</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（二）乙方的权利和义务</w:t>
      </w:r>
    </w:p>
    <w:p>
      <w:pPr>
        <w:widowControl/>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（1）乙方有权获得甲方支付的合同价款；</w:t>
      </w:r>
    </w:p>
    <w:p>
      <w:pPr>
        <w:widowControl/>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2）乙方应具备开展物损损失鉴定和修复的资质和资源，具有规范的修复流程及内部管理考核制度，按照合同约定期限及要要求向甲方提供全部合格的服务，保证业务开展的合法、合规性，保证报价及维修质量符合国家标准、行业标准。</w:t>
      </w:r>
    </w:p>
    <w:p>
      <w:pPr>
        <w:widowControl/>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（3）乙方对所报价格进行兜底，承接相应物损的修复或置换时，须提供质量保证，后续所产生的安全、质量、验收等问题及由此所造成的损失由乙方承担负责。</w:t>
      </w:r>
    </w:p>
    <w:p>
      <w:pPr>
        <w:widowControl/>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widowControl/>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（5）乙方需遵循甲方的各项管理办法，保证所提供信息的真实性，及时反馈案件的处理，进展情况，并及时向甲方提供所需资料。</w:t>
      </w:r>
    </w:p>
    <w:p>
      <w:pPr>
        <w:widowControl/>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6</w:t>
      </w:r>
      <w:r>
        <w:rPr>
          <w:rFonts w:hint="eastAsia" w:ascii="仿宋" w:hAnsi="仿宋" w:eastAsia="仿宋" w:cs="仿宋"/>
          <w:color w:val="000000"/>
          <w:szCs w:val="21"/>
        </w:rPr>
        <w:t>）乙方应重视消费者权益保护工作，建立相应工作机制。</w:t>
      </w:r>
    </w:p>
    <w:p>
      <w:pPr>
        <w:widowControl/>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7</w:t>
      </w:r>
      <w:r>
        <w:rPr>
          <w:rFonts w:hint="eastAsia" w:ascii="仿宋" w:hAnsi="仿宋" w:eastAsia="仿宋" w:cs="仿宋"/>
          <w:color w:val="000000"/>
          <w:szCs w:val="21"/>
        </w:rPr>
        <w:t>）乙方享有其它双方约定的权利、承担其它双方约定的义务。</w:t>
      </w:r>
    </w:p>
    <w:p>
      <w:pPr>
        <w:widowControl/>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8</w:t>
      </w:r>
      <w:r>
        <w:rPr>
          <w:rFonts w:hint="eastAsia" w:ascii="仿宋" w:hAnsi="仿宋" w:eastAsia="仿宋" w:cs="仿宋"/>
          <w:color w:val="000000"/>
          <w:szCs w:val="21"/>
        </w:rPr>
        <w:t>）乙方指定_______联系方式_______负责甲方委托的相关事务，并指定专人作为甲方的联络人，签收相关文件，及时通报案件处理进展情况。如有调整及时通知甲方。</w:t>
      </w:r>
    </w:p>
    <w:p>
      <w:pPr>
        <w:widowControl/>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（三）其他</w:t>
      </w:r>
    </w:p>
    <w:p>
      <w:pPr>
        <w:widowControl/>
        <w:numPr>
          <w:ilvl w:val="255"/>
          <w:numId w:val="0"/>
        </w:numPr>
        <w:spacing w:line="600" w:lineRule="atLeast"/>
        <w:ind w:firstLine="630" w:firstLineChars="300"/>
        <w:jc w:val="left"/>
        <w:rPr>
          <w:rFonts w:hint="eastAsia" w:ascii="仿宋" w:hAnsi="仿宋" w:eastAsia="仿宋" w:cs="仿宋"/>
          <w:color w:val="000000"/>
          <w:szCs w:val="21"/>
        </w:rPr>
      </w:pPr>
      <w:r>
        <w:rPr>
          <w:rFonts w:hint="eastAsia" w:ascii="仿宋" w:hAnsi="仿宋" w:eastAsia="仿宋" w:cs="仿宋"/>
          <w:color w:val="000000"/>
          <w:szCs w:val="21"/>
        </w:rPr>
        <w:t>甲乙双方应共同维系客户群，维护双方的企业形象和信誉，保障客户的合法权益，杜绝投诉情况的发生。</w:t>
      </w:r>
    </w:p>
    <w:p>
      <w:pPr>
        <w:spacing w:before="156" w:beforeLines="50" w:line="360" w:lineRule="auto"/>
        <w:jc w:val="left"/>
        <w:outlineLvl w:val="2"/>
        <w:rPr>
          <w:rFonts w:hint="eastAsia" w:ascii="仿宋" w:hAnsi="仿宋" w:eastAsia="仿宋" w:cs="仿宋"/>
          <w:b/>
          <w:bCs/>
          <w:color w:val="000000"/>
          <w:szCs w:val="21"/>
        </w:rPr>
      </w:pPr>
      <w:r>
        <w:rPr>
          <w:rFonts w:hint="eastAsia" w:ascii="仿宋" w:hAnsi="仿宋" w:eastAsia="仿宋" w:cs="仿宋"/>
          <w:b/>
          <w:bCs/>
          <w:color w:val="000000"/>
          <w:szCs w:val="21"/>
        </w:rPr>
        <w:t>三、委托方式和流程</w:t>
      </w:r>
    </w:p>
    <w:p>
      <w:pPr>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（一）任务发起</w:t>
      </w:r>
    </w:p>
    <w:p>
      <w:pPr>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（1）甲方设立物损管理岗，负责对接乙方，通过智集平台物损管理模块或其他双方约定的方式发起物损修复竞价流程；</w:t>
      </w:r>
    </w:p>
    <w:p>
      <w:pPr>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（2）估损超1万包括但不限于以下物损品类的案件原则上须在查勘任务完成后24小时内发起第三方修复竞价流程：</w:t>
      </w:r>
    </w:p>
    <w:p>
      <w:pPr>
        <w:numPr>
          <w:ilvl w:val="8"/>
          <w:numId w:val="0"/>
        </w:numPr>
        <w:spacing w:line="600" w:lineRule="atLeast"/>
        <w:ind w:leftChars="100"/>
        <w:jc w:val="left"/>
        <w:rPr>
          <w:rFonts w:hint="eastAsia" w:ascii="仿宋" w:hAnsi="仿宋" w:eastAsia="仿宋" w:cs="仿宋"/>
          <w:color w:val="000000"/>
          <w:szCs w:val="21"/>
        </w:rPr>
      </w:pPr>
      <w:r>
        <w:rPr>
          <w:rFonts w:hint="eastAsia" w:ascii="仿宋" w:hAnsi="仿宋" w:eastAsia="仿宋" w:cs="仿宋"/>
          <w:color w:val="000000"/>
          <w:szCs w:val="21"/>
          <w:lang w:val="en-US" w:eastAsia="zh-CN"/>
        </w:rPr>
        <w:t>1</w:t>
      </w:r>
      <w:r>
        <w:rPr>
          <w:rFonts w:hint="eastAsia" w:ascii="仿宋" w:hAnsi="仿宋" w:eastAsia="仿宋" w:cs="仿宋"/>
          <w:color w:val="000000"/>
          <w:szCs w:val="21"/>
          <w:lang w:eastAsia="zh-CN"/>
        </w:rPr>
        <w:t>）</w:t>
      </w:r>
      <w:r>
        <w:rPr>
          <w:rFonts w:hint="eastAsia" w:ascii="仿宋" w:hAnsi="仿宋" w:eastAsia="仿宋" w:cs="仿宋"/>
          <w:color w:val="000000"/>
          <w:szCs w:val="21"/>
        </w:rPr>
        <w:t>建筑类：各类建筑物、钢结构、厂房、活动板房、房屋配套设施设备；</w:t>
      </w:r>
    </w:p>
    <w:p>
      <w:pPr>
        <w:numPr>
          <w:ilvl w:val="8"/>
          <w:numId w:val="0"/>
        </w:numPr>
        <w:spacing w:line="600" w:lineRule="atLeast"/>
        <w:ind w:leftChars="100"/>
        <w:jc w:val="left"/>
        <w:rPr>
          <w:rFonts w:hint="eastAsia" w:ascii="仿宋" w:hAnsi="仿宋" w:eastAsia="仿宋" w:cs="仿宋"/>
          <w:color w:val="000000"/>
          <w:szCs w:val="21"/>
        </w:rPr>
      </w:pPr>
      <w:r>
        <w:rPr>
          <w:rFonts w:hint="eastAsia" w:ascii="仿宋" w:hAnsi="仿宋" w:eastAsia="仿宋" w:cs="仿宋"/>
          <w:color w:val="000000"/>
          <w:szCs w:val="21"/>
        </w:rPr>
        <w:t>2）道路类：路基、公路、桥梁、高速路护栏、道路照明设施、限高杆、指示牌、交通指示灯、监控设备等；</w:t>
      </w:r>
    </w:p>
    <w:p>
      <w:pPr>
        <w:numPr>
          <w:ilvl w:val="8"/>
          <w:numId w:val="0"/>
        </w:numPr>
        <w:spacing w:line="600" w:lineRule="atLeast"/>
        <w:ind w:leftChars="100"/>
        <w:jc w:val="left"/>
        <w:rPr>
          <w:rFonts w:hint="eastAsia" w:ascii="仿宋" w:hAnsi="仿宋" w:eastAsia="仿宋" w:cs="仿宋"/>
          <w:color w:val="000000"/>
          <w:szCs w:val="21"/>
        </w:rPr>
      </w:pPr>
      <w:r>
        <w:rPr>
          <w:rFonts w:hint="eastAsia" w:ascii="仿宋" w:hAnsi="仿宋" w:eastAsia="仿宋" w:cs="仿宋"/>
          <w:color w:val="000000"/>
          <w:szCs w:val="21"/>
        </w:rPr>
        <w:t>3）园林类：园林绿化、雕塑、景观、隔离带绿化、行道树等；</w:t>
      </w:r>
    </w:p>
    <w:p>
      <w:pPr>
        <w:numPr>
          <w:ilvl w:val="8"/>
          <w:numId w:val="0"/>
        </w:numPr>
        <w:spacing w:line="600" w:lineRule="atLeast"/>
        <w:ind w:leftChars="100"/>
        <w:jc w:val="left"/>
        <w:rPr>
          <w:rFonts w:hint="eastAsia" w:ascii="仿宋" w:hAnsi="仿宋" w:eastAsia="仿宋" w:cs="仿宋"/>
          <w:color w:val="000000"/>
          <w:szCs w:val="21"/>
        </w:rPr>
      </w:pPr>
      <w:r>
        <w:rPr>
          <w:rFonts w:hint="eastAsia" w:ascii="仿宋" w:hAnsi="仿宋" w:eastAsia="仿宋" w:cs="仿宋"/>
          <w:color w:val="000000"/>
          <w:szCs w:val="21"/>
        </w:rPr>
        <w:t>4）电力、通讯类：电杆、变压器、电缆、光缆、配电设备等；</w:t>
      </w:r>
    </w:p>
    <w:p>
      <w:pPr>
        <w:numPr>
          <w:ilvl w:val="8"/>
          <w:numId w:val="0"/>
        </w:numPr>
        <w:spacing w:line="600" w:lineRule="atLeast"/>
        <w:ind w:leftChars="100"/>
        <w:jc w:val="left"/>
        <w:rPr>
          <w:rFonts w:hint="eastAsia" w:ascii="仿宋" w:hAnsi="仿宋" w:eastAsia="仿宋" w:cs="仿宋"/>
          <w:color w:val="000000"/>
          <w:szCs w:val="21"/>
        </w:rPr>
      </w:pPr>
      <w:r>
        <w:rPr>
          <w:rFonts w:hint="eastAsia" w:ascii="仿宋" w:hAnsi="仿宋" w:eastAsia="仿宋" w:cs="仿宋"/>
          <w:color w:val="000000"/>
          <w:szCs w:val="21"/>
        </w:rPr>
        <w:t>5）综合类：道路及建筑消防设施、监控设备、道闸、广告牌、玻璃门窗、家用家电、各类仪器等。</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（二）任务竞价</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（1）乙方结合物损管理模块发起的物损信息及影像资料，根据自身对车险物损维修或置换等市场行情熟知能力及优势，在平台任务约定的时间内完成报价；</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2</w:t>
      </w:r>
      <w:r>
        <w:rPr>
          <w:rFonts w:hint="eastAsia" w:ascii="仿宋" w:hAnsi="仿宋" w:eastAsia="仿宋" w:cs="仿宋"/>
          <w:color w:val="000000"/>
          <w:szCs w:val="21"/>
        </w:rPr>
        <w:t>）甲方根据乙方的维修报价及预估金额与物损方沟通，选择最优方案处理，如物损方最终选择甲方提供修复服务的，采取兜底修复方式，由报价最低的物损修复公司进行修复(竞价原则上至少须3家以上物损修复公司参与竞价作为比价结果)；</w:t>
      </w:r>
    </w:p>
    <w:p>
      <w:pPr>
        <w:widowControl/>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（三）任务接收</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（1）乙方在接到甲方委派的维修任务后，需到现场测量实际受损情况并拟定修复方案单后进行修复工作；</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2</w:t>
      </w:r>
      <w:r>
        <w:rPr>
          <w:rFonts w:hint="eastAsia" w:ascii="仿宋" w:hAnsi="仿宋" w:eastAsia="仿宋" w:cs="仿宋"/>
          <w:color w:val="000000"/>
          <w:szCs w:val="21"/>
        </w:rPr>
        <w:t>）乙方需在现场勘验阶段、人员及材料进场时、维修过程中、维修完毕后，四个阶段拍摄照片并上传物损管理系统，由甲方人员上传至理赔系统；</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3</w:t>
      </w:r>
      <w:r>
        <w:rPr>
          <w:rFonts w:hint="eastAsia" w:ascii="仿宋" w:hAnsi="仿宋" w:eastAsia="仿宋" w:cs="仿宋"/>
          <w:color w:val="000000"/>
          <w:szCs w:val="21"/>
        </w:rPr>
        <w:t>）乙方确认可以修复的并得到物损方同意委托的，应对甲方所需要修复的物损件在约定的时间内进行修复。</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（四）质量保证</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（1）经乙方为甲方修复后的物损件，应根据其维修配件或物损件的不同种类，约定不同的保修期限。在保修期限内，凡属维修质量问题需要重新修复时，所产生的一切返修费用由乙方承担；</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2</w:t>
      </w:r>
      <w:r>
        <w:rPr>
          <w:rFonts w:hint="eastAsia" w:ascii="仿宋" w:hAnsi="仿宋" w:eastAsia="仿宋" w:cs="仿宋"/>
          <w:color w:val="000000"/>
          <w:szCs w:val="21"/>
        </w:rPr>
        <w:t>）乙方按甲方要求，对于修复好的物损件，经物损方验收合格后，方可交付。同时，乙方应为甲方建立维修、维护的质量技术档案。</w:t>
      </w:r>
    </w:p>
    <w:p>
      <w:pPr>
        <w:spacing w:before="156" w:beforeLines="50" w:line="360" w:lineRule="auto"/>
        <w:jc w:val="left"/>
        <w:outlineLvl w:val="2"/>
        <w:rPr>
          <w:rFonts w:hint="eastAsia" w:ascii="仿宋" w:hAnsi="仿宋" w:eastAsia="仿宋" w:cs="仿宋"/>
          <w:b/>
          <w:bCs/>
          <w:color w:val="000000"/>
          <w:szCs w:val="21"/>
        </w:rPr>
      </w:pPr>
      <w:r>
        <w:rPr>
          <w:rFonts w:hint="eastAsia" w:ascii="仿宋" w:hAnsi="仿宋" w:eastAsia="仿宋" w:cs="仿宋"/>
          <w:b/>
          <w:bCs/>
          <w:color w:val="000000"/>
          <w:szCs w:val="21"/>
        </w:rPr>
        <w:t>四、合同价格及支付方式</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（一）合同价格</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（1）本合同服务费用总额包括但不限于乙方向甲方提供服务所收取的劳务费、物料费、税金及完成修复服务涉及的所有费用。除服务费用总额外，甲方无须就本合同项下乙方的任何义务支付任何额外费用。</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2</w:t>
      </w:r>
      <w:r>
        <w:rPr>
          <w:rFonts w:hint="eastAsia" w:ascii="仿宋" w:hAnsi="仿宋" w:eastAsia="仿宋" w:cs="仿宋"/>
          <w:color w:val="000000"/>
          <w:szCs w:val="21"/>
        </w:rPr>
        <w:t>）由于乙方未提供或未及时提供足额有效的增值税专用发票，或乙方变更账户信息但未提前通知甲方而导致的付款迟延，甲方不承担任何责任。</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（二）支付方式</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（1）物损修复案件费用：</w:t>
      </w:r>
      <w:r>
        <w:rPr>
          <w:rFonts w:hint="eastAsia" w:ascii="仿宋" w:hAnsi="仿宋" w:eastAsia="仿宋" w:cs="仿宋"/>
          <w:color w:val="000000"/>
          <w:szCs w:val="21"/>
        </w:rPr>
        <w:br w:type="textWrapping"/>
      </w:r>
      <w:r>
        <w:rPr>
          <w:rFonts w:hint="eastAsia" w:ascii="仿宋" w:hAnsi="仿宋" w:eastAsia="仿宋" w:cs="仿宋"/>
          <w:color w:val="000000"/>
          <w:szCs w:val="21"/>
        </w:rPr>
        <w:t>甲方委托乙方进行物损修复的，价格以甲方核定为准，经物损方验收合格后，甲方向乙方支付修复费用，乙方提供修复结算清单，并按要求开具发票。</w:t>
      </w:r>
      <w:r>
        <w:rPr>
          <w:rFonts w:hint="eastAsia" w:ascii="仿宋" w:hAnsi="仿宋" w:eastAsia="仿宋" w:cs="仿宋"/>
          <w:color w:val="000000"/>
          <w:szCs w:val="21"/>
        </w:rPr>
        <w:br w:type="textWrapping"/>
      </w:r>
      <w:r>
        <w:rPr>
          <w:rFonts w:hint="eastAsia" w:ascii="仿宋" w:hAnsi="仿宋" w:eastAsia="仿宋" w:cs="仿宋"/>
          <w:color w:val="000000"/>
          <w:szCs w:val="21"/>
        </w:rPr>
        <w:t>（2）支付方式：</w:t>
      </w:r>
      <w:r>
        <w:rPr>
          <w:rFonts w:hint="eastAsia" w:ascii="仿宋" w:hAnsi="仿宋" w:eastAsia="仿宋" w:cs="仿宋"/>
          <w:color w:val="000000"/>
          <w:szCs w:val="21"/>
        </w:rPr>
        <w:br w:type="textWrapping"/>
      </w:r>
      <w:r>
        <w:rPr>
          <w:rFonts w:hint="eastAsia" w:ascii="仿宋" w:hAnsi="仿宋" w:eastAsia="仿宋" w:cs="仿宋"/>
          <w:color w:val="000000"/>
          <w:szCs w:val="21"/>
        </w:rPr>
        <w:t>1、逐案支付方式：甲方在收到乙方资料后，应及时作出核定，并在核定结束后10个工作日内向乙方账户转账支付。</w:t>
      </w:r>
      <w:r>
        <w:rPr>
          <w:rFonts w:hint="eastAsia" w:ascii="仿宋" w:hAnsi="仿宋" w:eastAsia="仿宋" w:cs="仿宋"/>
          <w:color w:val="000000"/>
          <w:szCs w:val="21"/>
        </w:rPr>
        <w:br w:type="textWrapping"/>
      </w:r>
      <w:r>
        <w:rPr>
          <w:rFonts w:hint="eastAsia" w:ascii="仿宋" w:hAnsi="仿宋" w:eastAsia="仿宋" w:cs="仿宋"/>
          <w:color w:val="000000"/>
          <w:szCs w:val="21"/>
        </w:rPr>
        <w:t>户 名：</w:t>
      </w:r>
      <w:r>
        <w:rPr>
          <w:rFonts w:hint="eastAsia" w:ascii="仿宋" w:hAnsi="仿宋" w:eastAsia="仿宋" w:cs="仿宋"/>
          <w:color w:val="000000"/>
          <w:szCs w:val="21"/>
        </w:rPr>
        <w:br w:type="textWrapping"/>
      </w:r>
      <w:r>
        <w:rPr>
          <w:rFonts w:hint="eastAsia" w:ascii="仿宋" w:hAnsi="仿宋" w:eastAsia="仿宋" w:cs="仿宋"/>
          <w:color w:val="000000"/>
          <w:szCs w:val="21"/>
        </w:rPr>
        <w:t>开户行：</w:t>
      </w:r>
      <w:r>
        <w:rPr>
          <w:rFonts w:hint="eastAsia" w:ascii="仿宋" w:hAnsi="仿宋" w:eastAsia="仿宋" w:cs="仿宋"/>
          <w:color w:val="000000"/>
          <w:szCs w:val="21"/>
        </w:rPr>
        <w:br w:type="textWrapping"/>
      </w:r>
      <w:r>
        <w:rPr>
          <w:rFonts w:hint="eastAsia" w:ascii="仿宋" w:hAnsi="仿宋" w:eastAsia="仿宋" w:cs="仿宋"/>
          <w:color w:val="000000"/>
          <w:szCs w:val="21"/>
        </w:rPr>
        <w:t>帐 号：</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乙方收到修复费用后，需在5个工作日内按甲方要求开具_______%税率的增值税专用发票交到甲方指定的人员，开票要求如有调整，按甲方上级公司要求为准；</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甲方开票信息如下：</w:t>
      </w:r>
    </w:p>
    <w:tbl>
      <w:tblPr>
        <w:tblStyle w:val="40"/>
        <w:tblpPr w:leftFromText="180" w:rightFromText="180" w:vertAnchor="text" w:horzAnchor="margin" w:tblpY="2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7"/>
        <w:gridCol w:w="7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4" w:hRule="atLeast"/>
        </w:trPr>
        <w:tc>
          <w:tcPr>
            <w:tcW w:w="1757" w:type="dxa"/>
            <w:vAlign w:val="center"/>
          </w:tcPr>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公司名称</w:t>
            </w:r>
          </w:p>
        </w:tc>
        <w:tc>
          <w:tcPr>
            <w:tcW w:w="7615" w:type="dxa"/>
            <w:vAlign w:val="center"/>
          </w:tcPr>
          <w:p>
            <w:pPr>
              <w:spacing w:line="600" w:lineRule="atLeast"/>
              <w:jc w:val="left"/>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中国人民财产保险股份有限公司东莞市分公司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3" w:hRule="atLeast"/>
        </w:trPr>
        <w:tc>
          <w:tcPr>
            <w:tcW w:w="1757" w:type="dxa"/>
            <w:vAlign w:val="center"/>
          </w:tcPr>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纳税人识别号</w:t>
            </w:r>
          </w:p>
        </w:tc>
        <w:tc>
          <w:tcPr>
            <w:tcW w:w="7615" w:type="dxa"/>
            <w:vAlign w:val="center"/>
          </w:tcPr>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91441900707836565X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2" w:hRule="atLeast"/>
        </w:trPr>
        <w:tc>
          <w:tcPr>
            <w:tcW w:w="1757" w:type="dxa"/>
            <w:vAlign w:val="center"/>
          </w:tcPr>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地址、电话</w:t>
            </w:r>
          </w:p>
        </w:tc>
        <w:tc>
          <w:tcPr>
            <w:tcW w:w="7615" w:type="dxa"/>
            <w:vAlign w:val="center"/>
          </w:tcPr>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广东省东莞市东城区东城中心东源路9号人保大厦</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0769-89090627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1757" w:type="dxa"/>
            <w:vAlign w:val="center"/>
          </w:tcPr>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开户行及账号</w:t>
            </w:r>
          </w:p>
        </w:tc>
        <w:tc>
          <w:tcPr>
            <w:tcW w:w="7615" w:type="dxa"/>
            <w:vAlign w:val="center"/>
          </w:tcPr>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中国建设银行股份有限公司东莞东城支行，44001779808059000888</w:t>
            </w:r>
          </w:p>
        </w:tc>
      </w:tr>
    </w:tbl>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2、客户支付方式：除上述情况外，乙方直接向物损方收取修复费用（乙方需事先对物损方做好解释工作），并出具合法有效的发票给物损方。</w:t>
      </w:r>
    </w:p>
    <w:p>
      <w:pPr>
        <w:spacing w:before="156" w:beforeLines="50" w:line="360" w:lineRule="auto"/>
        <w:jc w:val="left"/>
        <w:outlineLvl w:val="2"/>
        <w:rPr>
          <w:rFonts w:hint="eastAsia" w:ascii="仿宋" w:hAnsi="仿宋" w:eastAsia="仿宋" w:cs="仿宋"/>
          <w:b/>
          <w:bCs/>
          <w:color w:val="000000"/>
          <w:szCs w:val="21"/>
        </w:rPr>
      </w:pPr>
      <w:r>
        <w:rPr>
          <w:rFonts w:hint="eastAsia" w:ascii="仿宋" w:hAnsi="仿宋" w:eastAsia="仿宋" w:cs="仿宋"/>
          <w:b/>
          <w:bCs/>
          <w:color w:val="000000"/>
          <w:szCs w:val="21"/>
        </w:rPr>
        <w:t>五、考核指标及结果应用</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（一）考核规则</w:t>
      </w:r>
    </w:p>
    <w:tbl>
      <w:tblPr>
        <w:tblStyle w:val="40"/>
        <w:tblW w:w="9976" w:type="dxa"/>
        <w:jc w:val="center"/>
        <w:tblLayout w:type="autofit"/>
        <w:tblCellMar>
          <w:top w:w="0" w:type="dxa"/>
          <w:left w:w="108" w:type="dxa"/>
          <w:bottom w:w="0" w:type="dxa"/>
          <w:right w:w="108" w:type="dxa"/>
        </w:tblCellMar>
      </w:tblPr>
      <w:tblGrid>
        <w:gridCol w:w="793"/>
        <w:gridCol w:w="1132"/>
        <w:gridCol w:w="680"/>
        <w:gridCol w:w="1701"/>
        <w:gridCol w:w="4536"/>
        <w:gridCol w:w="1134"/>
      </w:tblGrid>
      <w:tr>
        <w:tblPrEx>
          <w:tblCellMar>
            <w:top w:w="0" w:type="dxa"/>
            <w:left w:w="108" w:type="dxa"/>
            <w:bottom w:w="0" w:type="dxa"/>
            <w:right w:w="108" w:type="dxa"/>
          </w:tblCellMar>
        </w:tblPrEx>
        <w:trPr>
          <w:trHeight w:val="630" w:hRule="atLeast"/>
          <w:jc w:val="center"/>
        </w:trPr>
        <w:tc>
          <w:tcPr>
            <w:tcW w:w="7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序号</w:t>
            </w:r>
          </w:p>
        </w:tc>
        <w:tc>
          <w:tcPr>
            <w:tcW w:w="1132" w:type="dxa"/>
            <w:tcBorders>
              <w:top w:val="single" w:color="auto" w:sz="4" w:space="0"/>
              <w:left w:val="nil"/>
              <w:bottom w:val="single" w:color="auto" w:sz="4" w:space="0"/>
              <w:right w:val="single" w:color="auto" w:sz="4" w:space="0"/>
            </w:tcBorders>
            <w:shd w:val="clear" w:color="auto" w:fill="auto"/>
            <w:vAlign w:val="center"/>
          </w:tcPr>
          <w:p>
            <w:pPr>
              <w:widowControl/>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指标</w:t>
            </w:r>
          </w:p>
        </w:tc>
        <w:tc>
          <w:tcPr>
            <w:tcW w:w="680" w:type="dxa"/>
            <w:tcBorders>
              <w:top w:val="single" w:color="auto" w:sz="4" w:space="0"/>
              <w:left w:val="nil"/>
              <w:bottom w:val="single" w:color="auto" w:sz="4" w:space="0"/>
              <w:right w:val="single" w:color="auto" w:sz="4" w:space="0"/>
            </w:tcBorders>
            <w:shd w:val="clear" w:color="auto" w:fill="auto"/>
            <w:vAlign w:val="center"/>
          </w:tcPr>
          <w:p>
            <w:pPr>
              <w:widowControl/>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分值</w:t>
            </w:r>
          </w:p>
        </w:tc>
        <w:tc>
          <w:tcPr>
            <w:tcW w:w="1701" w:type="dxa"/>
            <w:tcBorders>
              <w:top w:val="single" w:color="auto" w:sz="4" w:space="0"/>
              <w:left w:val="nil"/>
              <w:bottom w:val="single" w:color="auto" w:sz="4" w:space="0"/>
              <w:right w:val="single" w:color="auto" w:sz="4" w:space="0"/>
            </w:tcBorders>
            <w:shd w:val="clear" w:color="auto" w:fill="auto"/>
            <w:vAlign w:val="center"/>
          </w:tcPr>
          <w:p>
            <w:pPr>
              <w:widowControl/>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释义</w:t>
            </w:r>
          </w:p>
        </w:tc>
        <w:tc>
          <w:tcPr>
            <w:tcW w:w="4536" w:type="dxa"/>
            <w:tcBorders>
              <w:top w:val="single" w:color="auto" w:sz="4" w:space="0"/>
              <w:left w:val="nil"/>
              <w:bottom w:val="single" w:color="auto" w:sz="4" w:space="0"/>
              <w:right w:val="single" w:color="auto" w:sz="4" w:space="0"/>
            </w:tcBorders>
            <w:shd w:val="clear" w:color="auto" w:fill="auto"/>
            <w:vAlign w:val="center"/>
          </w:tcPr>
          <w:p>
            <w:pPr>
              <w:widowControl/>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计算方式</w:t>
            </w:r>
          </w:p>
        </w:tc>
        <w:tc>
          <w:tcPr>
            <w:tcW w:w="1134" w:type="dxa"/>
            <w:tcBorders>
              <w:top w:val="single" w:color="auto" w:sz="4" w:space="0"/>
              <w:left w:val="nil"/>
              <w:bottom w:val="single" w:color="auto" w:sz="4" w:space="0"/>
              <w:right w:val="single" w:color="auto" w:sz="4" w:space="0"/>
            </w:tcBorders>
            <w:shd w:val="clear" w:color="auto" w:fill="auto"/>
            <w:vAlign w:val="center"/>
          </w:tcPr>
          <w:p>
            <w:pPr>
              <w:widowControl/>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统计口径</w:t>
            </w:r>
          </w:p>
        </w:tc>
      </w:tr>
      <w:tr>
        <w:tblPrEx>
          <w:tblCellMar>
            <w:top w:w="0" w:type="dxa"/>
            <w:left w:w="108" w:type="dxa"/>
            <w:bottom w:w="0" w:type="dxa"/>
            <w:right w:w="108" w:type="dxa"/>
          </w:tblCellMar>
        </w:tblPrEx>
        <w:trPr>
          <w:trHeight w:val="1668" w:hRule="atLeast"/>
          <w:jc w:val="center"/>
        </w:trPr>
        <w:tc>
          <w:tcPr>
            <w:tcW w:w="79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1</w:t>
            </w:r>
          </w:p>
        </w:tc>
        <w:tc>
          <w:tcPr>
            <w:tcW w:w="11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报价率得分</w:t>
            </w:r>
          </w:p>
        </w:tc>
        <w:tc>
          <w:tcPr>
            <w:tcW w:w="680"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30</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报价案件数/发起竞价案件数</w:t>
            </w:r>
          </w:p>
        </w:tc>
        <w:tc>
          <w:tcPr>
            <w:tcW w:w="4536"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000000"/>
                <w:szCs w:val="21"/>
              </w:rPr>
            </w:pPr>
            <w:r>
              <w:rPr>
                <w:rFonts w:hint="eastAsia" w:ascii="仿宋" w:hAnsi="仿宋" w:eastAsia="仿宋" w:cs="宋体"/>
                <w:color w:val="000000"/>
                <w:kern w:val="0"/>
                <w:sz w:val="22"/>
                <w:szCs w:val="22"/>
              </w:rPr>
              <w:t>报价率=报价件数/发起竞价件数*100%,最高得30分，最低为0分，期间线性赋分。</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当期数</w:t>
            </w:r>
          </w:p>
        </w:tc>
      </w:tr>
      <w:tr>
        <w:tblPrEx>
          <w:tblCellMar>
            <w:top w:w="0" w:type="dxa"/>
            <w:left w:w="108" w:type="dxa"/>
            <w:bottom w:w="0" w:type="dxa"/>
            <w:right w:w="108" w:type="dxa"/>
          </w:tblCellMar>
        </w:tblPrEx>
        <w:trPr>
          <w:trHeight w:val="1668" w:hRule="atLeast"/>
          <w:jc w:val="center"/>
        </w:trPr>
        <w:tc>
          <w:tcPr>
            <w:tcW w:w="79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2</w:t>
            </w:r>
          </w:p>
        </w:tc>
        <w:tc>
          <w:tcPr>
            <w:tcW w:w="11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报价准确率得分</w:t>
            </w:r>
          </w:p>
        </w:tc>
        <w:tc>
          <w:tcPr>
            <w:tcW w:w="680"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30</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b/>
                <w:bCs/>
                <w:color w:val="000000"/>
                <w:kern w:val="0"/>
                <w:sz w:val="22"/>
                <w:szCs w:val="22"/>
              </w:rPr>
              <w:t>|</w:t>
            </w:r>
            <w:r>
              <w:rPr>
                <w:rFonts w:hint="eastAsia" w:ascii="仿宋" w:hAnsi="仿宋" w:eastAsia="仿宋" w:cs="宋体"/>
                <w:color w:val="000000"/>
                <w:kern w:val="0"/>
                <w:sz w:val="22"/>
                <w:szCs w:val="22"/>
              </w:rPr>
              <w:t>(物损报价金额-核损金额)</w:t>
            </w:r>
            <w:r>
              <w:rPr>
                <w:rFonts w:hint="eastAsia" w:ascii="仿宋" w:hAnsi="仿宋" w:eastAsia="仿宋" w:cs="宋体"/>
                <w:b/>
                <w:bCs/>
                <w:color w:val="000000"/>
                <w:kern w:val="0"/>
                <w:sz w:val="22"/>
                <w:szCs w:val="22"/>
              </w:rPr>
              <w:t>|</w:t>
            </w:r>
            <w:r>
              <w:rPr>
                <w:rFonts w:hint="eastAsia" w:ascii="仿宋" w:hAnsi="仿宋" w:eastAsia="仿宋" w:cs="宋体"/>
                <w:color w:val="000000"/>
                <w:kern w:val="0"/>
                <w:sz w:val="22"/>
                <w:szCs w:val="22"/>
              </w:rPr>
              <w:t>/物损中标金额</w:t>
            </w:r>
          </w:p>
        </w:tc>
        <w:tc>
          <w:tcPr>
            <w:tcW w:w="4536"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000000"/>
                <w:szCs w:val="21"/>
              </w:rPr>
            </w:pPr>
            <w:r>
              <w:rPr>
                <w:rFonts w:hint="eastAsia" w:ascii="仿宋" w:hAnsi="仿宋" w:eastAsia="仿宋" w:cs="宋体"/>
                <w:b/>
                <w:bCs/>
                <w:color w:val="000000"/>
                <w:kern w:val="0"/>
                <w:sz w:val="22"/>
                <w:szCs w:val="22"/>
              </w:rPr>
              <w:t>|</w:t>
            </w:r>
            <w:r>
              <w:rPr>
                <w:rFonts w:hint="eastAsia" w:ascii="仿宋" w:hAnsi="仿宋" w:eastAsia="仿宋" w:cs="宋体"/>
                <w:color w:val="000000"/>
                <w:kern w:val="0"/>
                <w:sz w:val="22"/>
                <w:szCs w:val="22"/>
              </w:rPr>
              <w:t>(物损报价金额-核损金额)</w:t>
            </w:r>
            <w:r>
              <w:rPr>
                <w:rFonts w:hint="eastAsia" w:ascii="仿宋" w:hAnsi="仿宋" w:eastAsia="仿宋" w:cs="宋体"/>
                <w:b/>
                <w:bCs/>
                <w:color w:val="000000"/>
                <w:kern w:val="0"/>
                <w:sz w:val="22"/>
                <w:szCs w:val="22"/>
              </w:rPr>
              <w:t>|</w:t>
            </w:r>
            <w:r>
              <w:rPr>
                <w:rFonts w:hint="eastAsia" w:ascii="仿宋" w:hAnsi="仿宋" w:eastAsia="仿宋" w:cs="宋体"/>
                <w:color w:val="000000"/>
                <w:kern w:val="0"/>
                <w:sz w:val="22"/>
                <w:szCs w:val="22"/>
              </w:rPr>
              <w:t>/物损报价金额*100%,最高得30分，最低为0分，准确率区间赋分</w:t>
            </w:r>
            <w:r>
              <w:rPr>
                <w:rFonts w:hint="eastAsia" w:ascii="仿宋" w:hAnsi="仿宋" w:eastAsia="仿宋" w:cs="宋体"/>
                <w:color w:val="000000" w:themeColor="text1"/>
                <w:kern w:val="0"/>
                <w:sz w:val="22"/>
                <w:szCs w:val="22"/>
                <w14:textFill>
                  <w14:solidFill>
                    <w14:schemeClr w14:val="tx1"/>
                  </w14:solidFill>
                </w14:textFill>
              </w:rPr>
              <w:t>（统计期内取值小于100%偏差的数据平均值，未出价默认0元偏差100%）</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当期数</w:t>
            </w:r>
          </w:p>
        </w:tc>
      </w:tr>
      <w:tr>
        <w:tblPrEx>
          <w:tblCellMar>
            <w:top w:w="0" w:type="dxa"/>
            <w:left w:w="108" w:type="dxa"/>
            <w:bottom w:w="0" w:type="dxa"/>
            <w:right w:w="108" w:type="dxa"/>
          </w:tblCellMar>
        </w:tblPrEx>
        <w:trPr>
          <w:trHeight w:val="1668" w:hRule="atLeast"/>
          <w:jc w:val="center"/>
        </w:trPr>
        <w:tc>
          <w:tcPr>
            <w:tcW w:w="79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3</w:t>
            </w:r>
          </w:p>
        </w:tc>
        <w:tc>
          <w:tcPr>
            <w:tcW w:w="11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中标率得分（剔除二询）</w:t>
            </w:r>
          </w:p>
        </w:tc>
        <w:tc>
          <w:tcPr>
            <w:tcW w:w="680"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10</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中标案件数/发起竞价案件数</w:t>
            </w:r>
          </w:p>
        </w:tc>
        <w:tc>
          <w:tcPr>
            <w:tcW w:w="4536"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000000"/>
                <w:szCs w:val="21"/>
              </w:rPr>
            </w:pPr>
            <w:r>
              <w:rPr>
                <w:rFonts w:hint="eastAsia" w:ascii="仿宋" w:hAnsi="仿宋" w:eastAsia="仿宋" w:cs="宋体"/>
                <w:color w:val="000000"/>
                <w:kern w:val="0"/>
                <w:sz w:val="22"/>
                <w:szCs w:val="22"/>
              </w:rPr>
              <w:t>中标率=中标件数/发起竞价件数*100%,最高得10分，最低为0分，期间线性赋分。</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当期数</w:t>
            </w:r>
          </w:p>
        </w:tc>
      </w:tr>
      <w:tr>
        <w:tblPrEx>
          <w:tblCellMar>
            <w:top w:w="0" w:type="dxa"/>
            <w:left w:w="108" w:type="dxa"/>
            <w:bottom w:w="0" w:type="dxa"/>
            <w:right w:w="108" w:type="dxa"/>
          </w:tblCellMar>
        </w:tblPrEx>
        <w:trPr>
          <w:trHeight w:val="1728" w:hRule="atLeast"/>
          <w:jc w:val="center"/>
        </w:trPr>
        <w:tc>
          <w:tcPr>
            <w:tcW w:w="793"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4</w:t>
            </w:r>
          </w:p>
        </w:tc>
        <w:tc>
          <w:tcPr>
            <w:tcW w:w="1132" w:type="dxa"/>
            <w:vMerge w:val="restart"/>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维修质量</w:t>
            </w:r>
          </w:p>
        </w:tc>
        <w:tc>
          <w:tcPr>
            <w:tcW w:w="680"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10</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产生质量问题</w:t>
            </w:r>
          </w:p>
        </w:tc>
        <w:tc>
          <w:tcPr>
            <w:tcW w:w="4536"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000000"/>
                <w:szCs w:val="21"/>
              </w:rPr>
            </w:pPr>
            <w:r>
              <w:rPr>
                <w:rFonts w:hint="eastAsia" w:ascii="仿宋" w:hAnsi="仿宋" w:eastAsia="仿宋" w:cs="宋体"/>
                <w:color w:val="000000"/>
                <w:kern w:val="0"/>
                <w:sz w:val="22"/>
                <w:szCs w:val="22"/>
              </w:rPr>
              <w:t>客户或三者方反馈出现维修质量问题，反馈一次扣2分，扣完为止。</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当期数</w:t>
            </w:r>
          </w:p>
        </w:tc>
      </w:tr>
      <w:tr>
        <w:tblPrEx>
          <w:tblCellMar>
            <w:top w:w="0" w:type="dxa"/>
            <w:left w:w="108" w:type="dxa"/>
            <w:bottom w:w="0" w:type="dxa"/>
            <w:right w:w="108" w:type="dxa"/>
          </w:tblCellMar>
        </w:tblPrEx>
        <w:trPr>
          <w:trHeight w:val="1668" w:hRule="atLeast"/>
          <w:jc w:val="center"/>
        </w:trPr>
        <w:tc>
          <w:tcPr>
            <w:tcW w:w="793"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000000"/>
                <w:szCs w:val="21"/>
              </w:rPr>
            </w:pPr>
          </w:p>
        </w:tc>
        <w:tc>
          <w:tcPr>
            <w:tcW w:w="1132" w:type="dxa"/>
            <w:vMerge w:val="continue"/>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000000"/>
                <w:szCs w:val="21"/>
              </w:rPr>
            </w:pPr>
          </w:p>
        </w:tc>
        <w:tc>
          <w:tcPr>
            <w:tcW w:w="680"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扣分</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无理由悔标二询</w:t>
            </w:r>
          </w:p>
        </w:tc>
        <w:tc>
          <w:tcPr>
            <w:tcW w:w="4536"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000000"/>
                <w:szCs w:val="21"/>
              </w:rPr>
            </w:pPr>
            <w:r>
              <w:rPr>
                <w:rFonts w:hint="eastAsia" w:ascii="仿宋" w:hAnsi="仿宋" w:eastAsia="仿宋" w:cs="宋体"/>
                <w:color w:val="000000"/>
                <w:kern w:val="0"/>
                <w:sz w:val="22"/>
                <w:szCs w:val="22"/>
              </w:rPr>
              <w:t>悔标二询扣分项目，一次扣2分，如有争议的溯源后理由充足的可剔除，上不封顶。</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所有</w:t>
            </w:r>
          </w:p>
        </w:tc>
      </w:tr>
      <w:tr>
        <w:tblPrEx>
          <w:tblCellMar>
            <w:top w:w="0" w:type="dxa"/>
            <w:left w:w="108" w:type="dxa"/>
            <w:bottom w:w="0" w:type="dxa"/>
            <w:right w:w="108" w:type="dxa"/>
          </w:tblCellMar>
        </w:tblPrEx>
        <w:trPr>
          <w:trHeight w:val="1668" w:hRule="atLeast"/>
          <w:jc w:val="center"/>
        </w:trPr>
        <w:tc>
          <w:tcPr>
            <w:tcW w:w="79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5</w:t>
            </w:r>
          </w:p>
        </w:tc>
        <w:tc>
          <w:tcPr>
            <w:tcW w:w="11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投诉情况</w:t>
            </w:r>
          </w:p>
        </w:tc>
        <w:tc>
          <w:tcPr>
            <w:tcW w:w="680"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10</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产生95518投诉和保监投诉</w:t>
            </w:r>
          </w:p>
        </w:tc>
        <w:tc>
          <w:tcPr>
            <w:tcW w:w="4536"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000000"/>
                <w:szCs w:val="21"/>
              </w:rPr>
            </w:pPr>
            <w:r>
              <w:rPr>
                <w:rFonts w:hint="eastAsia" w:ascii="仿宋" w:hAnsi="仿宋" w:eastAsia="仿宋" w:cs="宋体"/>
                <w:color w:val="000000"/>
                <w:kern w:val="0"/>
                <w:sz w:val="22"/>
                <w:szCs w:val="22"/>
              </w:rPr>
              <w:t>如引发客户或三者方投诉的，司内投诉每投诉一次扣5分</w:t>
            </w:r>
            <w:r>
              <w:rPr>
                <w:rFonts w:hint="eastAsia" w:ascii="仿宋" w:hAnsi="仿宋" w:eastAsia="仿宋" w:cs="宋体"/>
                <w:color w:val="000000" w:themeColor="text1"/>
                <w:kern w:val="0"/>
                <w:sz w:val="22"/>
                <w:szCs w:val="22"/>
                <w14:textFill>
                  <w14:solidFill>
                    <w14:schemeClr w14:val="tx1"/>
                  </w14:solidFill>
                </w14:textFill>
              </w:rPr>
              <w:t>（暂停业务一星期）</w:t>
            </w:r>
            <w:r>
              <w:rPr>
                <w:rFonts w:hint="eastAsia" w:ascii="仿宋" w:hAnsi="仿宋" w:eastAsia="仿宋" w:cs="宋体"/>
                <w:color w:val="000000"/>
                <w:kern w:val="0"/>
                <w:sz w:val="22"/>
                <w:szCs w:val="22"/>
              </w:rPr>
              <w:t>，监管投诉每投诉一次扣10分</w:t>
            </w:r>
            <w:r>
              <w:rPr>
                <w:rFonts w:hint="eastAsia" w:ascii="仿宋" w:hAnsi="仿宋" w:eastAsia="仿宋" w:cs="宋体"/>
                <w:color w:val="000000" w:themeColor="text1"/>
                <w:kern w:val="0"/>
                <w:sz w:val="22"/>
                <w:szCs w:val="22"/>
                <w14:textFill>
                  <w14:solidFill>
                    <w14:schemeClr w14:val="tx1"/>
                  </w14:solidFill>
                </w14:textFill>
              </w:rPr>
              <w:t>（并暂停业务一个月）</w:t>
            </w:r>
            <w:r>
              <w:rPr>
                <w:rFonts w:hint="eastAsia" w:ascii="仿宋" w:hAnsi="仿宋" w:eastAsia="仿宋" w:cs="宋体"/>
                <w:color w:val="000000"/>
                <w:kern w:val="0"/>
                <w:sz w:val="22"/>
                <w:szCs w:val="22"/>
              </w:rPr>
              <w:t>，扣完为止。</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当期数</w:t>
            </w:r>
          </w:p>
        </w:tc>
      </w:tr>
      <w:tr>
        <w:tblPrEx>
          <w:tblCellMar>
            <w:top w:w="0" w:type="dxa"/>
            <w:left w:w="108" w:type="dxa"/>
            <w:bottom w:w="0" w:type="dxa"/>
            <w:right w:w="108" w:type="dxa"/>
          </w:tblCellMar>
        </w:tblPrEx>
        <w:trPr>
          <w:trHeight w:val="1668" w:hRule="atLeast"/>
          <w:jc w:val="center"/>
        </w:trPr>
        <w:tc>
          <w:tcPr>
            <w:tcW w:w="7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6</w:t>
            </w:r>
          </w:p>
        </w:tc>
        <w:tc>
          <w:tcPr>
            <w:tcW w:w="113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评价分数</w:t>
            </w:r>
          </w:p>
        </w:tc>
        <w:tc>
          <w:tcPr>
            <w:tcW w:w="6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10</w:t>
            </w:r>
          </w:p>
        </w:tc>
        <w:tc>
          <w:tcPr>
            <w:tcW w:w="170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地市分工公司对合作企业的服务评价</w:t>
            </w:r>
          </w:p>
        </w:tc>
        <w:tc>
          <w:tcPr>
            <w:tcW w:w="4536"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000000"/>
                <w:szCs w:val="21"/>
              </w:rPr>
            </w:pPr>
            <w:r>
              <w:rPr>
                <w:rFonts w:hint="eastAsia" w:ascii="仿宋" w:hAnsi="仿宋" w:eastAsia="仿宋" w:cs="宋体"/>
                <w:color w:val="000000"/>
                <w:kern w:val="0"/>
                <w:sz w:val="22"/>
                <w:szCs w:val="22"/>
              </w:rPr>
              <w:t>地市分公司对合作企业的服务能力进行综合评价，按照服务水平从0-10对其赋分。</w:t>
            </w:r>
          </w:p>
        </w:tc>
        <w:tc>
          <w:tcPr>
            <w:tcW w:w="113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000000"/>
                <w:szCs w:val="21"/>
              </w:rPr>
            </w:pPr>
            <w:r>
              <w:rPr>
                <w:rFonts w:hint="eastAsia" w:ascii="仿宋" w:hAnsi="仿宋" w:eastAsia="仿宋" w:cs="宋体"/>
                <w:color w:val="000000"/>
                <w:kern w:val="0"/>
                <w:sz w:val="22"/>
                <w:szCs w:val="22"/>
              </w:rPr>
              <w:t>当期数</w:t>
            </w:r>
          </w:p>
        </w:tc>
      </w:tr>
    </w:tbl>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（二）考核结果应用</w:t>
      </w:r>
    </w:p>
    <w:p>
      <w:pPr>
        <w:widowControl/>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lang w:val="en-US" w:eastAsia="zh-CN"/>
        </w:rPr>
        <w:t>1.</w:t>
      </w:r>
      <w:r>
        <w:rPr>
          <w:rFonts w:hint="eastAsia" w:ascii="仿宋" w:hAnsi="仿宋" w:eastAsia="仿宋" w:cs="仿宋"/>
          <w:color w:val="000000"/>
          <w:szCs w:val="21"/>
        </w:rPr>
        <w:t>考核结果作为合作企业使用和退出的参考依据，按月度进行监控，按季度进行考核；</w:t>
      </w:r>
    </w:p>
    <w:p>
      <w:pPr>
        <w:widowControl/>
        <w:numPr>
          <w:ilvl w:val="255"/>
          <w:numId w:val="0"/>
        </w:numPr>
        <w:spacing w:line="600" w:lineRule="atLeast"/>
        <w:jc w:val="left"/>
        <w:rPr>
          <w:rFonts w:hint="eastAsia" w:ascii="仿宋" w:hAnsi="仿宋" w:eastAsia="仿宋" w:cs="仿宋"/>
          <w:color w:val="000000"/>
          <w:szCs w:val="21"/>
          <w:lang w:eastAsia="zh-CN"/>
        </w:rPr>
      </w:pPr>
      <w:r>
        <w:rPr>
          <w:rFonts w:hint="eastAsia" w:ascii="仿宋" w:hAnsi="仿宋" w:eastAsia="仿宋" w:cs="仿宋"/>
          <w:color w:val="000000"/>
          <w:szCs w:val="21"/>
        </w:rPr>
        <w:t>2.季度考核评分按照该季度的月度平均分计算，年度考核评分按照季度平均分计算</w:t>
      </w:r>
      <w:r>
        <w:rPr>
          <w:rFonts w:hint="eastAsia" w:ascii="仿宋" w:hAnsi="仿宋" w:eastAsia="仿宋" w:cs="仿宋"/>
          <w:color w:val="000000"/>
          <w:szCs w:val="21"/>
          <w:lang w:eastAsia="zh-CN"/>
        </w:rPr>
        <w:t>；</w:t>
      </w:r>
    </w:p>
    <w:p>
      <w:pPr>
        <w:widowControl/>
        <w:numPr>
          <w:ilvl w:val="255"/>
          <w:numId w:val="0"/>
        </w:numPr>
        <w:spacing w:line="600" w:lineRule="atLeast"/>
        <w:jc w:val="left"/>
        <w:rPr>
          <w:rFonts w:hint="eastAsia" w:ascii="仿宋" w:hAnsi="仿宋" w:eastAsia="仿宋" w:cs="仿宋"/>
          <w:color w:val="000000"/>
          <w:szCs w:val="21"/>
          <w:lang w:eastAsia="zh-CN"/>
        </w:rPr>
      </w:pPr>
      <w:r>
        <w:rPr>
          <w:rFonts w:hint="eastAsia" w:ascii="仿宋" w:hAnsi="仿宋" w:eastAsia="仿宋" w:cs="仿宋"/>
          <w:color w:val="000000"/>
          <w:szCs w:val="21"/>
        </w:rPr>
        <w:t>3.月度考核分值低于55分的乙方警告一次</w:t>
      </w:r>
      <w:r>
        <w:rPr>
          <w:rFonts w:hint="eastAsia" w:ascii="仿宋" w:hAnsi="仿宋" w:eastAsia="仿宋" w:cs="仿宋"/>
          <w:color w:val="000000"/>
          <w:szCs w:val="21"/>
          <w:lang w:eastAsia="zh-CN"/>
        </w:rPr>
        <w:t>；</w:t>
      </w:r>
    </w:p>
    <w:p>
      <w:pPr>
        <w:widowControl/>
        <w:numPr>
          <w:ilvl w:val="255"/>
          <w:numId w:val="0"/>
        </w:numPr>
        <w:spacing w:line="600" w:lineRule="atLeast"/>
        <w:jc w:val="left"/>
        <w:rPr>
          <w:rFonts w:hint="eastAsia" w:ascii="仿宋" w:hAnsi="仿宋" w:eastAsia="仿宋" w:cs="仿宋"/>
          <w:color w:val="000000"/>
          <w:szCs w:val="21"/>
          <w:lang w:eastAsia="zh-CN"/>
        </w:rPr>
      </w:pPr>
      <w:r>
        <w:rPr>
          <w:rFonts w:hint="eastAsia" w:ascii="仿宋" w:hAnsi="仿宋" w:eastAsia="仿宋" w:cs="仿宋"/>
          <w:color w:val="000000"/>
          <w:szCs w:val="21"/>
        </w:rPr>
        <w:t>4.季度内三个月月度分值均低于55分的暂停合作一个月处理</w:t>
      </w:r>
      <w:r>
        <w:rPr>
          <w:rFonts w:hint="eastAsia" w:ascii="仿宋" w:hAnsi="仿宋" w:eastAsia="仿宋" w:cs="仿宋"/>
          <w:color w:val="000000"/>
          <w:szCs w:val="21"/>
          <w:lang w:eastAsia="zh-CN"/>
        </w:rPr>
        <w:t>；</w:t>
      </w:r>
    </w:p>
    <w:p>
      <w:pPr>
        <w:widowControl/>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5.被停两次（含）以上，年度考核排名后5名并且低于55分的终止合作处理；</w:t>
      </w:r>
    </w:p>
    <w:p>
      <w:pPr>
        <w:widowControl/>
        <w:numPr>
          <w:ilvl w:val="255"/>
          <w:numId w:val="0"/>
        </w:numPr>
        <w:spacing w:line="600" w:lineRule="atLeast"/>
        <w:jc w:val="left"/>
        <w:rPr>
          <w:rFonts w:hint="eastAsia" w:ascii="仿宋" w:hAnsi="仿宋" w:eastAsia="仿宋" w:cs="仿宋"/>
          <w:color w:val="000000"/>
          <w:szCs w:val="21"/>
          <w:lang w:eastAsia="zh-CN"/>
        </w:rPr>
      </w:pPr>
      <w:r>
        <w:rPr>
          <w:rFonts w:hint="eastAsia" w:ascii="仿宋" w:hAnsi="仿宋" w:eastAsia="仿宋" w:cs="仿宋"/>
          <w:color w:val="000000"/>
          <w:szCs w:val="21"/>
        </w:rPr>
        <w:t>6.对于唆使客户投诉，或勾结客户、理赔人员提供虚假修复的，采取一票否决停止合作处理，并纳入全省黑名单</w:t>
      </w:r>
      <w:r>
        <w:rPr>
          <w:rFonts w:hint="eastAsia" w:ascii="仿宋" w:hAnsi="仿宋" w:eastAsia="仿宋" w:cs="仿宋"/>
          <w:color w:val="000000"/>
          <w:szCs w:val="21"/>
          <w:lang w:eastAsia="zh-CN"/>
        </w:rPr>
        <w:t>；</w:t>
      </w:r>
    </w:p>
    <w:p>
      <w:pPr>
        <w:widowControl/>
        <w:numPr>
          <w:ilvl w:val="255"/>
          <w:numId w:val="0"/>
        </w:numPr>
        <w:spacing w:line="600" w:lineRule="atLeast"/>
        <w:jc w:val="left"/>
        <w:rPr>
          <w:rFonts w:hint="eastAsia" w:ascii="仿宋" w:hAnsi="仿宋" w:eastAsia="仿宋" w:cs="仿宋"/>
          <w:color w:val="000000"/>
          <w:szCs w:val="21"/>
          <w:lang w:eastAsia="zh-CN"/>
        </w:rPr>
      </w:pPr>
      <w:r>
        <w:rPr>
          <w:rFonts w:hint="eastAsia" w:ascii="仿宋" w:hAnsi="仿宋" w:eastAsia="仿宋" w:cs="仿宋"/>
          <w:color w:val="000000"/>
          <w:szCs w:val="21"/>
        </w:rPr>
        <w:t>7.第三方合作机构以季度为单位，向我司提供业务报表，以备上级单位监督稽查</w:t>
      </w:r>
      <w:r>
        <w:rPr>
          <w:rFonts w:hint="eastAsia" w:ascii="仿宋" w:hAnsi="仿宋" w:eastAsia="仿宋" w:cs="仿宋"/>
          <w:color w:val="000000"/>
          <w:szCs w:val="21"/>
          <w:lang w:eastAsia="zh-CN"/>
        </w:rPr>
        <w:t>；</w:t>
      </w:r>
    </w:p>
    <w:p>
      <w:pPr>
        <w:widowControl/>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lang w:val="en-US" w:eastAsia="zh-CN"/>
        </w:rPr>
        <w:t>8.</w:t>
      </w:r>
      <w:r>
        <w:rPr>
          <w:rFonts w:hint="eastAsia" w:ascii="仿宋" w:hAnsi="仿宋" w:eastAsia="仿宋" w:cs="仿宋"/>
          <w:color w:val="000000"/>
          <w:szCs w:val="21"/>
        </w:rPr>
        <w:t>乙方在签定本协议5个工作日内支付贰万元（¥20,000.00）整至甲方指定账户，作为履约保证金。</w:t>
      </w:r>
    </w:p>
    <w:p>
      <w:pPr>
        <w:widowControl/>
        <w:numPr>
          <w:ilvl w:val="255"/>
          <w:numId w:val="0"/>
        </w:num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lang w:val="en-US" w:eastAsia="zh-CN"/>
        </w:rPr>
        <w:t>9</w:t>
      </w:r>
      <w:r>
        <w:rPr>
          <w:rFonts w:hint="eastAsia" w:ascii="仿宋" w:hAnsi="仿宋" w:eastAsia="仿宋" w:cs="仿宋"/>
          <w:color w:val="000000"/>
          <w:szCs w:val="21"/>
        </w:rPr>
        <w:t>.在现场勘查、协商及修复过程中，乙方应避免客户投诉，经甲方核实，属有效投诉的：①投诉到甲方公司的（三级投诉），每笔投诉甲方将扣减乙方¥1000元的履约保证金。②投诉到甲方上级公司或监管部门的（一级、二级投诉），每笔投诉甲方将扣减乙方¥1500元的履约保证金。扣减履约保证金后，乙方需在当月月末之前向甲方补充履约保证金贰万元（¥20,000.00）整,乙方超时未补充的，甲方有权终止合作且不退还剩余履约保证金。合作期间内，三级投诉有效投诉超5笔，一级、二级投诉有效投诉超3笔，甲方暂停乙方服务资格，乙方进行为期2个月的整改，整改后如再达到上述投诉标准的，终止合作。</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lang w:val="en-US" w:eastAsia="zh-CN"/>
        </w:rPr>
        <w:t>10.</w:t>
      </w:r>
      <w:r>
        <w:rPr>
          <w:rFonts w:hint="eastAsia" w:ascii="仿宋" w:hAnsi="仿宋" w:eastAsia="仿宋" w:cs="仿宋"/>
          <w:color w:val="000000"/>
          <w:szCs w:val="21"/>
        </w:rPr>
        <w:t>对于唆使客户投诉，或勾结客户、理赔人员提供虚假修复的，采取一票否决停止合作处理，并纳入全省黑名单。</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lang w:val="en-US" w:eastAsia="zh-CN"/>
        </w:rPr>
        <w:t>11</w:t>
      </w:r>
      <w:r>
        <w:rPr>
          <w:rFonts w:hint="eastAsia" w:ascii="仿宋" w:hAnsi="仿宋" w:eastAsia="仿宋" w:cs="仿宋"/>
          <w:color w:val="000000"/>
          <w:szCs w:val="21"/>
        </w:rPr>
        <w:t>.以上考核方案如有调整，按甲方上级公司要求为准。</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b/>
          <w:bCs/>
          <w:color w:val="000000"/>
          <w:szCs w:val="21"/>
        </w:rPr>
        <w:t xml:space="preserve">六、 禁止转让 </w:t>
      </w:r>
      <w:r>
        <w:rPr>
          <w:rFonts w:hint="eastAsia" w:ascii="仿宋" w:hAnsi="仿宋" w:eastAsia="仿宋" w:cs="仿宋"/>
          <w:color w:val="000000"/>
          <w:szCs w:val="21"/>
        </w:rPr>
        <w:br w:type="textWrapping"/>
      </w:r>
      <w:r>
        <w:rPr>
          <w:rFonts w:hint="eastAsia" w:ascii="仿宋" w:hAnsi="仿宋" w:eastAsia="仿宋" w:cs="仿宋"/>
          <w:color w:val="000000"/>
          <w:szCs w:val="21"/>
        </w:rPr>
        <w:t>未经甲方事先书面同意，乙方不得将其本合同项下之全部义务或其中一部分义务转让给第三方执行。</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b/>
          <w:bCs/>
          <w:color w:val="000000"/>
          <w:szCs w:val="21"/>
        </w:rPr>
        <w:t xml:space="preserve">七、 权利保证 </w:t>
      </w:r>
      <w:r>
        <w:rPr>
          <w:rFonts w:hint="eastAsia" w:ascii="仿宋" w:hAnsi="仿宋" w:eastAsia="仿宋" w:cs="仿宋"/>
          <w:color w:val="000000"/>
          <w:szCs w:val="21"/>
        </w:rPr>
        <w:br w:type="textWrapping"/>
      </w:r>
      <w:r>
        <w:rPr>
          <w:rFonts w:hint="eastAsia" w:ascii="仿宋" w:hAnsi="仿宋" w:eastAsia="仿宋" w:cs="仿宋"/>
          <w:color w:val="000000"/>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before="156" w:beforeLines="50" w:line="360" w:lineRule="auto"/>
        <w:jc w:val="left"/>
        <w:outlineLvl w:val="2"/>
        <w:rPr>
          <w:rFonts w:hint="eastAsia" w:ascii="仿宋" w:hAnsi="仿宋" w:eastAsia="仿宋" w:cs="仿宋"/>
          <w:b/>
          <w:bCs/>
          <w:color w:val="000000"/>
          <w:szCs w:val="21"/>
        </w:rPr>
      </w:pPr>
      <w:r>
        <w:rPr>
          <w:rFonts w:hint="eastAsia" w:ascii="仿宋" w:hAnsi="仿宋" w:eastAsia="仿宋" w:cs="仿宋"/>
          <w:b/>
          <w:bCs/>
          <w:color w:val="000000"/>
          <w:szCs w:val="21"/>
        </w:rPr>
        <w:t>八 、合同变更和终止</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（一）甲方有权对本合同的任何变更或修订，乙方无条件服从，不得拒绝。</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二）如果乙方破产、解散或发生未经甲方书面同意的重大产权变更，甲方可在任何时候以书面形式通知乙方，提出终止合同而不向乙方提供任何补偿。该种情形下的合同终止将不损害或影响甲方已经采取或将要采取任何行动或措施进行补救的权利。</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（三）乙方或乙方指派的办案人员存在下列行为之一的，甲方可以解除本合同，由此给甲方造成经济损失的，全部由乙方承担赔偿:</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1.未按甲方合理要求完成规定的工作或未履行约定义务的；</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2.违反职业道德，使甲方遭受经济损失或造成恶劣影响的；</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3.在接受甲方委托过程中向案件当事人或相关利益方索贿、受贿、违反诚实、信用原则的。</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（四）乙方针对消费者权益保护机制不健全，在合作期内出现侵害消费者权益的行为并被监管机构通报的情形，甲方有权提前解除本协议，自解约通知送达乙方时协议效力终止。</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（五）乙方拒不配合甲方对消费投诉事项进行核实，及时提供相关情况，促进消费投诉妥善处理的，甲方有权提前解除本协议，自解约通知送达乙方时协议效力终止。</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 xml:space="preserve">（六）如需对协议进行修改、补充，经双方协商一致，可订立补充协议，补充协议为本协议不可分割的一部分，具有同等效力。 </w:t>
      </w:r>
    </w:p>
    <w:p>
      <w:pPr>
        <w:widowControl/>
        <w:numPr>
          <w:ilvl w:val="255"/>
          <w:numId w:val="0"/>
        </w:numPr>
        <w:spacing w:before="156" w:beforeLines="50" w:line="360" w:lineRule="auto"/>
        <w:jc w:val="left"/>
        <w:outlineLvl w:val="2"/>
        <w:rPr>
          <w:rFonts w:hint="eastAsia" w:ascii="仿宋" w:hAnsi="仿宋" w:eastAsia="仿宋" w:cs="仿宋"/>
          <w:b/>
          <w:bCs/>
          <w:color w:val="000000"/>
          <w:szCs w:val="21"/>
        </w:rPr>
      </w:pPr>
      <w:r>
        <w:rPr>
          <w:rFonts w:hint="eastAsia" w:ascii="仿宋" w:hAnsi="仿宋" w:eastAsia="仿宋" w:cs="仿宋"/>
          <w:b/>
          <w:bCs/>
          <w:color w:val="000000"/>
          <w:szCs w:val="21"/>
        </w:rPr>
        <w:t>九、合同的续签</w:t>
      </w:r>
    </w:p>
    <w:p>
      <w:pPr>
        <w:widowControl/>
        <w:numPr>
          <w:ilvl w:val="255"/>
          <w:numId w:val="0"/>
        </w:numPr>
        <w:spacing w:before="156" w:beforeLines="50" w:line="360" w:lineRule="auto"/>
        <w:jc w:val="left"/>
        <w:outlineLvl w:val="2"/>
        <w:rPr>
          <w:rFonts w:hint="eastAsia" w:ascii="仿宋" w:hAnsi="仿宋" w:eastAsia="仿宋" w:cs="仿宋"/>
          <w:b w:val="0"/>
          <w:bCs w:val="0"/>
          <w:color w:val="auto"/>
          <w:szCs w:val="21"/>
          <w:u w:val="none"/>
        </w:rPr>
      </w:pPr>
      <w:r>
        <w:rPr>
          <w:rFonts w:hint="eastAsia" w:ascii="仿宋" w:hAnsi="仿宋" w:eastAsia="仿宋" w:cs="仿宋"/>
          <w:color w:val="auto"/>
          <w:sz w:val="21"/>
          <w:szCs w:val="21"/>
          <w:u w:val="none"/>
          <w:lang w:val="en-US" w:eastAsia="zh-CN"/>
        </w:rPr>
        <w:t>供应商入库时间为2年，服务供应商入库后，仅代表获得服务资格，不意味获得具体的服务任务。采取一年一签的合同签订模式订立供应商合同。</w:t>
      </w:r>
      <w:r>
        <w:rPr>
          <w:rFonts w:hint="eastAsia" w:ascii="仿宋" w:hAnsi="仿宋" w:eastAsia="仿宋" w:cs="仿宋"/>
          <w:color w:val="auto"/>
          <w:szCs w:val="21"/>
          <w:u w:val="none"/>
        </w:rPr>
        <w:t>在本招投标项目服务期限内，甲方有继续合作的意愿，且乙方通过甲方的相关考核并未出现违反合同约定的情形，甲乙双方可以续签合作协议。</w:t>
      </w:r>
      <w:r>
        <w:rPr>
          <w:rFonts w:hint="eastAsia" w:ascii="仿宋" w:hAnsi="仿宋" w:eastAsia="仿宋" w:cs="仿宋"/>
          <w:b w:val="0"/>
          <w:bCs w:val="0"/>
          <w:color w:val="auto"/>
          <w:szCs w:val="21"/>
          <w:u w:val="none"/>
        </w:rPr>
        <w:t xml:space="preserve"> </w:t>
      </w:r>
    </w:p>
    <w:p>
      <w:pPr>
        <w:widowControl/>
        <w:numPr>
          <w:ilvl w:val="255"/>
          <w:numId w:val="0"/>
        </w:numPr>
        <w:spacing w:before="156" w:beforeLines="50" w:line="360" w:lineRule="auto"/>
        <w:jc w:val="left"/>
        <w:outlineLvl w:val="2"/>
        <w:rPr>
          <w:rFonts w:hint="eastAsia" w:ascii="仿宋" w:hAnsi="仿宋" w:eastAsia="仿宋" w:cs="仿宋"/>
          <w:b/>
          <w:bCs/>
          <w:color w:val="000000"/>
          <w:szCs w:val="21"/>
        </w:rPr>
      </w:pPr>
      <w:r>
        <w:rPr>
          <w:rFonts w:hint="eastAsia" w:ascii="仿宋" w:hAnsi="仿宋" w:eastAsia="仿宋" w:cs="仿宋"/>
          <w:b/>
          <w:bCs/>
          <w:color w:val="000000"/>
          <w:szCs w:val="21"/>
        </w:rPr>
        <w:t>十、 保密义务</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一）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（二）乙方在本合同中所受领的保密信息应及时返还甲方或在甲方监督下予以销毁。乙方擅自留存备份信息，视为违反保密约定。</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（三）无论本合同因何种原因终止，本保密条款依然有效。</w:t>
      </w:r>
    </w:p>
    <w:p>
      <w:pPr>
        <w:widowControl/>
        <w:numPr>
          <w:ilvl w:val="255"/>
          <w:numId w:val="0"/>
        </w:numPr>
        <w:spacing w:before="156" w:beforeLines="50" w:line="360" w:lineRule="auto"/>
        <w:jc w:val="left"/>
        <w:outlineLvl w:val="2"/>
        <w:rPr>
          <w:rFonts w:hint="eastAsia" w:ascii="仿宋" w:hAnsi="仿宋" w:eastAsia="仿宋" w:cs="仿宋"/>
          <w:b/>
          <w:bCs/>
          <w:color w:val="000000"/>
          <w:szCs w:val="21"/>
        </w:rPr>
      </w:pPr>
      <w:r>
        <w:rPr>
          <w:rFonts w:hint="eastAsia" w:ascii="仿宋" w:hAnsi="仿宋" w:eastAsia="仿宋" w:cs="仿宋"/>
          <w:b/>
          <w:bCs/>
          <w:color w:val="000000"/>
          <w:szCs w:val="21"/>
        </w:rPr>
        <w:t>十一、不可抗力</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一）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二）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（三）合同一方迟延履行后发生不可抗力的，不能免除其责任。</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四）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b/>
          <w:bCs/>
          <w:color w:val="000000"/>
          <w:szCs w:val="21"/>
        </w:rPr>
        <w:t>十二、 反商业贿赂条款</w:t>
      </w:r>
      <w:r>
        <w:rPr>
          <w:rFonts w:hint="eastAsia" w:ascii="仿宋" w:hAnsi="仿宋" w:eastAsia="仿宋" w:cs="仿宋"/>
          <w:b/>
          <w:bCs/>
          <w:color w:val="000000"/>
          <w:szCs w:val="21"/>
        </w:rPr>
        <w:br w:type="textWrapping"/>
      </w:r>
      <w:r>
        <w:rPr>
          <w:rFonts w:hint="eastAsia" w:ascii="仿宋" w:hAnsi="仿宋" w:eastAsia="仿宋" w:cs="仿宋"/>
          <w:color w:val="000000"/>
          <w:szCs w:val="21"/>
        </w:rPr>
        <w:t xml:space="preserve">    反商业贿赂条款是本合同之必备条款，与本合同其他条款具有同等法律效力，甲乙双方应遵守如下反商业贿赂条款：</w:t>
      </w:r>
      <w:r>
        <w:rPr>
          <w:rFonts w:hint="eastAsia" w:ascii="仿宋" w:hAnsi="仿宋" w:eastAsia="仿宋" w:cs="仿宋"/>
          <w:color w:val="000000"/>
          <w:szCs w:val="21"/>
        </w:rPr>
        <w:br w:type="textWrapping"/>
      </w:r>
      <w:r>
        <w:rPr>
          <w:rFonts w:hint="eastAsia" w:ascii="仿宋" w:hAnsi="仿宋" w:eastAsia="仿宋" w:cs="仿宋"/>
          <w:color w:val="000000"/>
          <w:szCs w:val="21"/>
        </w:rPr>
        <w:t>（一）甲乙双方都清楚并愿意严格遵守中华人民共和国反商业贿赂的法律规定，双方都清楚任何形式的贿赂和贪污行为都将触犯法律，并将收到法律的严惩。</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二）甲方或乙方均不得向对方或经办人或其他相关人员索要、收益、提供、给予协议约定外的任何利益，包括但不限于明扣、暗扣、现金、购物卡、实物、有价证?、旅游或其他非物质性利益等。但如该等利益属于行业惯例或通常做法，则需在协议中明示。</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（三）甲方严格禁止甲方经办人员的任何商业贿赂行为。甲方经办人发生本条第二款所列示任何一种行为，都是违反甲方公司制度的，都将受到甲方公司制度和国家法律的惩罚。</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（四）甲方郑重提示：甲方反对乙方或乙方经办人员为了本协议之目的与本合同以外的任何第三方发生本条款第二条所列示的任何一种行为，该等行为都是违反国家法律的行为，并将受到国家法律的惩处。</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（五）因乙方或乙方经办人违反上述第（二）、（三）、（四）款之规定，给对方造成损失的，应承担损害赔偿责任。</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（六）本条所称“其他相关人员”是指甲乙双方经办人以外的与协议有直接或间接利益关系的人员，包括但不仅限于协议经办人的亲友。</w:t>
      </w:r>
    </w:p>
    <w:p>
      <w:pPr>
        <w:spacing w:before="156" w:beforeLines="50" w:line="360" w:lineRule="auto"/>
        <w:jc w:val="left"/>
        <w:outlineLvl w:val="2"/>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十三、消费者权益保护条款</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乙方应确保本协议项下，各类业务严格遵守国家法律法规及监管规定中消费者权益保护相关要求，依法保护保险消费者合法权益。本条所指的法律法规及监管规定包括但不限于《中华人民共和国保险法》、《中华人民共和国消费者权益保护法》、《银行保险机构消费者权益保护管理办法》（银保监会令2022年第9号）等。具体如下：</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一）甲乙双方应重视消费者权益保护工作，依法合规建立合作机构准入和退出机制。乙方近两年内不得存在侵害消费者权益的行为或被监管机构通报的情形。乙方应建立健全消费者权益保护机制，积极配合甲方处理消费投诉。如果在业务合作过程中，乙方发生被监管机构认定的侵害消费者权益行为，或不配合甲方开展消费投诉处理工作，甲方有权终止与乙方的合作，包括但不限于解除合同等方式，并将其列入公司合作机构管理负面清单。</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（二）双方应严格按照相关法律法规要求履行合规及风险管理、信息安全管控、服务价格管理、服务连续性、信息披露、纠纷解决机制、违约责任承担和应急处置等方面的责任。</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三）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合作协议要求情形时采取措施予以制止和督促纠正，并依法追究乙方责任。</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四）甲乙双方应建立健全消费者投诉处理机制，明示消费者投诉渠道和方式，完善投诉数据统计，妥善对接和处理合作过程中发生的保险消费纠纷。客户向乙方投诉的，乙方应在初步调查核实的基础上及时向甲方进行报告，并配合甲方后续处理措施；客户直接向甲方投诉的，甲方有权就与乙方相关的事实或乙方所掌握的信息要求乙方提供协助，乙方应积极配合；客户向监管部门投诉的，甲乙双方应立即成立专项投诉处理小组，相互配合完成投诉案件处置。双方在投诉处理过程中应积极做好与政府、监管部门、新闻媒体等机构的沟通协调，防范风险扩散。</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（五）甲乙双方应根据消费者投诉反映出的问题积极进行溯源改进，查找服务薄弱环节和风险隐患，从源头上减少消费投诉的发生，提高服务水平，加强保险消费者权益保护。</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（六）对于客户投诉较多、设计上存在缺陷的保险产品或服务，乙方及时通知甲方，并按照甲方要求妥善处理相关事宜，包括停止销售或提供服务等。</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七）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spacing w:before="156" w:beforeLines="50" w:line="360" w:lineRule="auto"/>
        <w:jc w:val="left"/>
        <w:outlineLvl w:val="2"/>
        <w:rPr>
          <w:rFonts w:hint="eastAsia" w:ascii="仿宋" w:hAnsi="仿宋" w:eastAsia="仿宋" w:cs="仿宋"/>
          <w:b/>
          <w:bCs/>
          <w:color w:val="000000"/>
          <w:szCs w:val="21"/>
        </w:rPr>
      </w:pPr>
      <w:r>
        <w:rPr>
          <w:rFonts w:hint="eastAsia" w:ascii="仿宋" w:hAnsi="仿宋" w:eastAsia="仿宋" w:cs="仿宋"/>
          <w:b/>
          <w:bCs/>
          <w:color w:val="000000"/>
          <w:szCs w:val="21"/>
          <w:lang w:val="en-US" w:eastAsia="zh-CN"/>
        </w:rPr>
        <w:t>十四、</w:t>
      </w:r>
      <w:r>
        <w:rPr>
          <w:rFonts w:hint="eastAsia" w:ascii="仿宋" w:hAnsi="仿宋" w:eastAsia="仿宋" w:cs="仿宋"/>
          <w:b/>
          <w:bCs/>
          <w:color w:val="000000"/>
          <w:szCs w:val="21"/>
        </w:rPr>
        <w:t>客户信息保护条款</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合作中若涉及客户信息收集、使用等处理，应确保符合《民法典》《个人信息保护法》《数据安全法》《网络安全法》《消费者权益保护法》《全国人民代表大会常务委员会关于加强网络信息保护的决定》、国家标准《信息安全技术个人信息安全规范》等规定要求，遵循合法、正当、必要、诚信的原则，向客户明示收集、使用及处理信息的目的、方式和范围，并经客户授权同意。具体要求如下：</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（一）收集、使用及处理客户个人信息必须是依据法定义务或履行本协议所必要的行为，并在履行本协议必要范围内收集客户信息。未经客户授权同意，不得将客户个人信息公开披露，不得转移、出售给第三方。</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二）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（三）涉及客户敏感信息处理的，应具有特定的目的和充分的必要性，取得客户的单独同意，符合个人信息保护相关法律法规规定和管理要求。</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四）乙方应对客户个人信息严格保密，采取技术措施和其他必要措施，确保客户信息安全。若乙方发生或者可能发生客户个人信息泄露、篡改、丢失的，应当立即采取补救措施，并同步通知甲方，减轻对客户及甲方的危害。</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五）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spacing w:before="156" w:beforeLines="50" w:line="360" w:lineRule="auto"/>
        <w:jc w:val="left"/>
        <w:outlineLvl w:val="2"/>
        <w:rPr>
          <w:rFonts w:hint="eastAsia" w:ascii="仿宋" w:hAnsi="仿宋" w:eastAsia="仿宋" w:cs="仿宋"/>
          <w:color w:val="000000"/>
          <w:szCs w:val="21"/>
        </w:rPr>
      </w:pPr>
      <w:r>
        <w:rPr>
          <w:rFonts w:hint="eastAsia" w:ascii="仿宋" w:hAnsi="仿宋" w:eastAsia="仿宋" w:cs="仿宋"/>
          <w:color w:val="000000"/>
          <w:szCs w:val="21"/>
        </w:rPr>
        <w:t>（六）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spacing w:before="156" w:beforeLines="50" w:line="360" w:lineRule="auto"/>
        <w:jc w:val="left"/>
        <w:outlineLvl w:val="2"/>
        <w:rPr>
          <w:rFonts w:hint="eastAsia" w:ascii="仿宋" w:hAnsi="仿宋" w:eastAsia="仿宋" w:cs="仿宋"/>
          <w:b/>
          <w:bCs/>
          <w:color w:val="000000"/>
          <w:szCs w:val="21"/>
        </w:rPr>
      </w:pPr>
      <w:r>
        <w:rPr>
          <w:rFonts w:hint="eastAsia" w:ascii="仿宋" w:hAnsi="仿宋" w:eastAsia="仿宋" w:cs="仿宋"/>
          <w:b/>
          <w:bCs/>
          <w:color w:val="000000"/>
          <w:szCs w:val="21"/>
        </w:rPr>
        <w:t>十</w:t>
      </w:r>
      <w:r>
        <w:rPr>
          <w:rFonts w:hint="eastAsia" w:ascii="仿宋" w:hAnsi="仿宋" w:eastAsia="仿宋" w:cs="仿宋"/>
          <w:b/>
          <w:bCs/>
          <w:color w:val="000000"/>
          <w:szCs w:val="21"/>
          <w:lang w:val="en-US" w:eastAsia="zh-CN"/>
        </w:rPr>
        <w:t>五</w:t>
      </w:r>
      <w:r>
        <w:rPr>
          <w:rFonts w:hint="eastAsia" w:ascii="仿宋" w:hAnsi="仿宋" w:eastAsia="仿宋" w:cs="仿宋"/>
          <w:b/>
          <w:bCs/>
          <w:color w:val="000000"/>
          <w:szCs w:val="21"/>
        </w:rPr>
        <w:t>、 法律适用与争议解决</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（一）本合同的订立、效力、解释、履行和争议的解决均适用中华人民共和国法律（不包括港澳台地区法律）。</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（二）凡因本合同引起的或与本合同有关的任何争议，双方首先应友好协商解决。协商不成的，任何一方均有权将争议提交甲方所在地有管辖权的人民法院。</w:t>
      </w:r>
    </w:p>
    <w:p>
      <w:pPr>
        <w:spacing w:before="156" w:beforeLines="50" w:line="360" w:lineRule="auto"/>
        <w:jc w:val="left"/>
        <w:outlineLvl w:val="2"/>
        <w:rPr>
          <w:rFonts w:hint="eastAsia" w:ascii="仿宋" w:hAnsi="仿宋" w:eastAsia="仿宋" w:cs="仿宋"/>
          <w:b/>
          <w:bCs/>
          <w:color w:val="000000"/>
          <w:szCs w:val="21"/>
        </w:rPr>
      </w:pPr>
      <w:r>
        <w:rPr>
          <w:rFonts w:hint="eastAsia" w:ascii="仿宋" w:hAnsi="仿宋" w:eastAsia="仿宋" w:cs="仿宋"/>
          <w:b/>
          <w:bCs/>
          <w:color w:val="000000"/>
          <w:szCs w:val="21"/>
        </w:rPr>
        <w:t>十</w:t>
      </w:r>
      <w:r>
        <w:rPr>
          <w:rFonts w:hint="eastAsia" w:ascii="仿宋" w:hAnsi="仿宋" w:eastAsia="仿宋" w:cs="仿宋"/>
          <w:b/>
          <w:bCs/>
          <w:color w:val="000000"/>
          <w:szCs w:val="21"/>
          <w:lang w:val="en-US" w:eastAsia="zh-CN"/>
        </w:rPr>
        <w:t>六</w:t>
      </w:r>
      <w:r>
        <w:rPr>
          <w:rFonts w:hint="eastAsia" w:ascii="仿宋" w:hAnsi="仿宋" w:eastAsia="仿宋" w:cs="仿宋"/>
          <w:b/>
          <w:bCs/>
          <w:color w:val="000000"/>
          <w:szCs w:val="21"/>
        </w:rPr>
        <w:t>、 合同生效及其他</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（一）本合同经甲乙双方盖公章后生效，服务期限自_______年_______月_______日起至_______年_______月_______日止。</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（二）本合同一式_______份，其中正本_______份，副本_______份。甲方执_______份正本，_______份副本；乙方执_______份正本，_______份副本。</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（三）无论本合同是否有相反约定，本合同附件（如有）作为本合同的组成部分，与本合同具有同等法律效力，当附件条款与本合同条款发生冲突时，以本合同条款为准。</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四）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atLeast"/>
        <w:jc w:val="left"/>
        <w:rPr>
          <w:rFonts w:hint="eastAsia" w:ascii="仿宋" w:hAnsi="仿宋" w:eastAsia="仿宋" w:cs="仿宋"/>
          <w:color w:val="000000"/>
          <w:szCs w:val="21"/>
        </w:rPr>
      </w:pPr>
      <w:r>
        <w:rPr>
          <w:rFonts w:hint="eastAsia" w:ascii="仿宋" w:hAnsi="仿宋" w:eastAsia="仿宋" w:cs="仿宋"/>
          <w:color w:val="000000"/>
          <w:szCs w:val="21"/>
        </w:rPr>
        <w:t>（五）由于法律和法规、政策而导致本合同任何条款无效或无法执行，则该条款无效，但不影响剩余其他条款的效力。</w:t>
      </w:r>
    </w:p>
    <w:p>
      <w:pPr>
        <w:keepNext w:val="0"/>
        <w:keepLines w:val="0"/>
        <w:widowControl/>
        <w:suppressLineNumbers w:val="0"/>
        <w:shd w:val="clear"/>
        <w:spacing w:before="0" w:beforeAutospacing="0" w:after="240" w:afterAutospacing="0" w:line="360" w:lineRule="auto"/>
        <w:ind w:left="0" w:right="0"/>
        <w:jc w:val="left"/>
        <w:rPr>
          <w:rFonts w:hint="eastAsia" w:ascii="仿宋" w:hAnsi="仿宋" w:eastAsia="仿宋" w:cs="仿宋"/>
          <w:color w:val="auto"/>
          <w:highlight w:val="none"/>
        </w:rPr>
      </w:pPr>
      <w:r>
        <w:rPr>
          <w:rFonts w:hint="eastAsia" w:ascii="仿宋" w:hAnsi="仿宋" w:eastAsia="仿宋" w:cs="仿宋"/>
          <w:color w:val="000000"/>
          <w:szCs w:val="21"/>
        </w:rPr>
        <w:t xml:space="preserve">   </w:t>
      </w:r>
      <w:r>
        <w:rPr>
          <w:rFonts w:hint="eastAsia" w:ascii="仿宋" w:hAnsi="仿宋" w:eastAsia="仿宋" w:cs="仿宋"/>
          <w:color w:val="000000"/>
          <w:szCs w:val="21"/>
        </w:rPr>
        <w:br w:type="textWrapping"/>
      </w:r>
      <w:r>
        <w:rPr>
          <w:rFonts w:hint="eastAsia" w:ascii="仿宋" w:hAnsi="仿宋" w:eastAsia="仿宋" w:cs="仿宋"/>
          <w:color w:val="000000"/>
          <w:szCs w:val="21"/>
        </w:rPr>
        <w:t>甲方（盖章）：                                    乙方（盖章）：</w:t>
      </w:r>
      <w:r>
        <w:rPr>
          <w:rFonts w:hint="eastAsia" w:ascii="仿宋" w:hAnsi="仿宋" w:eastAsia="仿宋" w:cs="仿宋"/>
          <w:color w:val="000000"/>
          <w:szCs w:val="21"/>
        </w:rPr>
        <w:br w:type="textWrapping"/>
      </w:r>
      <w:r>
        <w:rPr>
          <w:rFonts w:hint="eastAsia" w:ascii="仿宋" w:hAnsi="仿宋" w:eastAsia="仿宋" w:cs="仿宋"/>
          <w:color w:val="000000"/>
          <w:szCs w:val="21"/>
        </w:rPr>
        <w:t xml:space="preserve">法定代表人/授权代表（签字）：                     法定代表人/授权代表（签字）： </w:t>
      </w:r>
      <w:r>
        <w:rPr>
          <w:rFonts w:hint="eastAsia" w:ascii="仿宋" w:hAnsi="仿宋" w:eastAsia="仿宋" w:cs="仿宋"/>
          <w:color w:val="000000"/>
          <w:szCs w:val="21"/>
        </w:rPr>
        <w:br w:type="textWrapping"/>
      </w:r>
      <w:r>
        <w:rPr>
          <w:rFonts w:hint="eastAsia" w:ascii="仿宋" w:hAnsi="仿宋" w:eastAsia="仿宋" w:cs="仿宋"/>
          <w:color w:val="000000"/>
          <w:szCs w:val="21"/>
        </w:rPr>
        <w:t xml:space="preserve">  年   月   日                                        年   月   日</w:t>
      </w:r>
      <w:r>
        <w:rPr>
          <w:rFonts w:hint="eastAsia" w:ascii="仿宋" w:hAnsi="仿宋" w:eastAsia="仿宋" w:cs="仿宋"/>
          <w:color w:val="000000"/>
          <w:szCs w:val="21"/>
        </w:rPr>
        <w:br w:type="textWrapping"/>
      </w:r>
    </w:p>
    <w:p>
      <w:pPr>
        <w:shd w:val="clear"/>
        <w:rPr>
          <w:highlight w:val="none"/>
        </w:rPr>
      </w:pPr>
    </w:p>
    <w:p>
      <w:pPr>
        <w:shd w:val="clear"/>
        <w:rPr>
          <w:color w:val="auto"/>
          <w:highlight w:val="none"/>
        </w:rPr>
        <w:sectPr>
          <w:headerReference r:id="rId4" w:type="default"/>
          <w:footerReference r:id="rId5" w:type="default"/>
          <w:pgSz w:w="11906" w:h="16838"/>
          <w:pgMar w:top="1440" w:right="1800" w:bottom="1440" w:left="1800" w:header="851" w:footer="992" w:gutter="0"/>
          <w:cols w:space="425" w:num="1"/>
          <w:docGrid w:type="lines" w:linePitch="312" w:charSpace="0"/>
        </w:sectPr>
      </w:pPr>
    </w:p>
    <w:p>
      <w:pPr>
        <w:pStyle w:val="3"/>
        <w:shd w:val="clear"/>
        <w:spacing w:line="360" w:lineRule="auto"/>
        <w:jc w:val="center"/>
        <w:rPr>
          <w:rFonts w:ascii="仿宋" w:hAnsi="仿宋" w:eastAsia="仿宋" w:cs="仿宋"/>
          <w:b/>
          <w:bCs/>
          <w:color w:val="auto"/>
          <w:highlight w:val="none"/>
        </w:rPr>
      </w:pPr>
      <w:bookmarkStart w:id="502" w:name="_Toc7972"/>
      <w:r>
        <w:rPr>
          <w:rFonts w:hint="eastAsia" w:ascii="仿宋" w:hAnsi="仿宋" w:eastAsia="仿宋" w:cs="仿宋"/>
          <w:b/>
          <w:bCs/>
          <w:color w:val="auto"/>
          <w:highlight w:val="none"/>
        </w:rPr>
        <w:t xml:space="preserve">第五章 </w:t>
      </w:r>
      <w:bookmarkEnd w:id="500"/>
      <w:r>
        <w:rPr>
          <w:rFonts w:hint="eastAsia" w:ascii="仿宋" w:hAnsi="仿宋" w:eastAsia="仿宋" w:cs="仿宋"/>
          <w:b/>
          <w:bCs/>
          <w:color w:val="auto"/>
          <w:highlight w:val="none"/>
        </w:rPr>
        <w:t>项目用户需求书</w:t>
      </w:r>
      <w:bookmarkEnd w:id="502"/>
    </w:p>
    <w:p>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一、采购项目</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通过公开招标方式建立分公司</w:t>
      </w:r>
      <w:r>
        <w:rPr>
          <w:rFonts w:hint="eastAsia" w:ascii="仿宋" w:hAnsi="仿宋" w:eastAsia="仿宋" w:cs="仿宋"/>
          <w:sz w:val="24"/>
          <w:szCs w:val="24"/>
          <w:highlight w:val="none"/>
          <w:lang w:eastAsia="zh-CN"/>
        </w:rPr>
        <w:t>2025-2027</w:t>
      </w:r>
      <w:r>
        <w:rPr>
          <w:rFonts w:hint="eastAsia" w:ascii="仿宋" w:hAnsi="仿宋" w:eastAsia="仿宋" w:cs="仿宋"/>
          <w:sz w:val="24"/>
          <w:szCs w:val="24"/>
          <w:highlight w:val="none"/>
        </w:rPr>
        <w:t>年物损修复第三方服务供应商库</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提供物损市场化询价及兜底维修服务</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本次</w:t>
      </w:r>
      <w:r>
        <w:rPr>
          <w:rFonts w:hint="eastAsia" w:ascii="仿宋" w:hAnsi="仿宋" w:eastAsia="仿宋" w:cs="仿宋"/>
          <w:sz w:val="24"/>
          <w:szCs w:val="24"/>
          <w:highlight w:val="none"/>
        </w:rPr>
        <w:t>拟招标入库6家，项目服务期限为2年。</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二、服务内容</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提供机动车保险事故三者财产损失市场化询价及维修服务，并保证其维修质量符合国家标准、行业标准。对于没有国家标准、行业标准的，按照通常标准或者合同目的的特定标准。报价、修复范围包括但不限于：</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建筑类：各类建筑物、钢结构、厂房、活动板房、房屋配套设施设备；</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道路类：路基、</w:t>
      </w:r>
      <w:r>
        <w:rPr>
          <w:rFonts w:hint="eastAsia" w:ascii="仿宋" w:hAnsi="仿宋" w:eastAsia="仿宋" w:cs="仿宋"/>
          <w:sz w:val="24"/>
          <w:szCs w:val="24"/>
          <w:highlight w:val="none"/>
          <w:lang w:eastAsia="zh-CN"/>
        </w:rPr>
        <w:t>边坡</w:t>
      </w:r>
      <w:r>
        <w:rPr>
          <w:rFonts w:hint="eastAsia" w:ascii="仿宋" w:hAnsi="仿宋" w:eastAsia="仿宋" w:cs="仿宋"/>
          <w:sz w:val="24"/>
          <w:szCs w:val="24"/>
          <w:highlight w:val="none"/>
        </w:rPr>
        <w:t>、公路、桥梁、高速路护栏、道路照明设施、限高杆、指示牌、交通指示灯、监控设备等；</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园林类：园林绿化、雕塑、景观、隔离带绿化、行道树等；</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电力、通讯类：电杆、变压器、电缆、光缆、配电设备等；</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综合类：道路及建筑消防设施、监控设备、道闸、广告牌、玻璃门窗、家用家电、各类仪器等。</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三、服务期限及服务地点</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（1）服务期限：</w:t>
      </w:r>
      <w:r>
        <w:rPr>
          <w:rFonts w:hint="eastAsia" w:ascii="仿宋" w:hAnsi="仿宋" w:eastAsia="仿宋" w:cs="仿宋"/>
          <w:sz w:val="24"/>
          <w:szCs w:val="24"/>
          <w:highlight w:val="none"/>
          <w:lang w:val="en-US" w:eastAsia="zh-CN"/>
        </w:rPr>
        <w:t>供应商入库时间为2年，服务供应商入库后，仅代表获得服务资格，不意味获得具体的服务任务。采取一年一签的合同签订模式订立供应商合同。</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（2）服务地点：采购人指定地点。</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四、订单分配原则</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入围后，第一轮份额分配规则以平均分配为原则，第一轮周期原则上不少于3 个月。第二轮开始根据各入围单位的服务考核情况进行调整；具体参考验收/考核标准，不涉及暂停合作、终止合作的情况，片区进行顺序轮换；涉及暂停合作的情况，在暂停时间内，重新平均分配区域；涉及终止合的情况，按入库规则，选择其他中标（入围）候选人予以替代调整后，以平均分配为原则，重新平均分配区域。如上级公司有其他调整要求，以上级公司调整要求为准。</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五</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支付</w:t>
      </w:r>
      <w:r>
        <w:rPr>
          <w:rFonts w:hint="eastAsia" w:ascii="仿宋" w:hAnsi="仿宋" w:eastAsia="仿宋" w:cs="仿宋"/>
          <w:b/>
          <w:bCs/>
          <w:sz w:val="24"/>
          <w:szCs w:val="24"/>
          <w:highlight w:val="none"/>
        </w:rPr>
        <w:t>方式</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招标人</w:t>
      </w:r>
      <w:r>
        <w:rPr>
          <w:rFonts w:hint="eastAsia" w:ascii="仿宋" w:hAnsi="仿宋" w:eastAsia="仿宋" w:cs="仿宋"/>
          <w:sz w:val="24"/>
          <w:szCs w:val="24"/>
          <w:highlight w:val="none"/>
          <w:lang w:eastAsia="zh-CN"/>
        </w:rPr>
        <w:t>遇物损需要报价或维修时，应及时通知</w:t>
      </w:r>
      <w:r>
        <w:rPr>
          <w:rFonts w:hint="eastAsia" w:ascii="仿宋" w:hAnsi="仿宋" w:eastAsia="仿宋" w:cs="仿宋"/>
          <w:sz w:val="24"/>
          <w:szCs w:val="24"/>
          <w:highlight w:val="none"/>
          <w:lang w:val="en-US" w:eastAsia="zh-CN"/>
        </w:rPr>
        <w:t>服务商</w:t>
      </w:r>
      <w:r>
        <w:rPr>
          <w:rFonts w:hint="eastAsia" w:ascii="仿宋" w:hAnsi="仿宋" w:eastAsia="仿宋" w:cs="仿宋"/>
          <w:sz w:val="24"/>
          <w:szCs w:val="24"/>
          <w:highlight w:val="none"/>
          <w:lang w:eastAsia="zh-CN"/>
        </w:rPr>
        <w:t>，并通过</w:t>
      </w:r>
      <w:r>
        <w:rPr>
          <w:rFonts w:hint="eastAsia" w:ascii="仿宋" w:hAnsi="仿宋" w:eastAsia="仿宋" w:cs="仿宋"/>
          <w:sz w:val="24"/>
          <w:szCs w:val="24"/>
          <w:highlight w:val="none"/>
          <w:lang w:val="en-US" w:eastAsia="zh-CN"/>
        </w:rPr>
        <w:t>服务商</w:t>
      </w:r>
      <w:r>
        <w:rPr>
          <w:rFonts w:hint="eastAsia" w:ascii="仿宋" w:hAnsi="仿宋" w:eastAsia="仿宋" w:cs="仿宋"/>
          <w:sz w:val="24"/>
          <w:szCs w:val="24"/>
          <w:highlight w:val="none"/>
          <w:lang w:eastAsia="zh-CN"/>
        </w:rPr>
        <w:t>的专业技术确认物损件损坏程度，确认价值及是否可以修复。经</w:t>
      </w:r>
      <w:r>
        <w:rPr>
          <w:rFonts w:hint="eastAsia" w:ascii="仿宋" w:hAnsi="仿宋" w:eastAsia="仿宋" w:cs="仿宋"/>
          <w:sz w:val="24"/>
          <w:szCs w:val="24"/>
          <w:highlight w:val="none"/>
          <w:lang w:val="en-US" w:eastAsia="zh-CN"/>
        </w:rPr>
        <w:t>服务商</w:t>
      </w:r>
      <w:r>
        <w:rPr>
          <w:rFonts w:hint="eastAsia" w:ascii="仿宋" w:hAnsi="仿宋" w:eastAsia="仿宋" w:cs="仿宋"/>
          <w:sz w:val="24"/>
          <w:szCs w:val="24"/>
          <w:highlight w:val="none"/>
          <w:lang w:eastAsia="zh-CN"/>
        </w:rPr>
        <w:t>确认可以修复的并得到第三方同意委托的，应在约定的时间内进行修复。</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招标人</w:t>
      </w:r>
      <w:r>
        <w:rPr>
          <w:rFonts w:hint="eastAsia" w:ascii="仿宋" w:hAnsi="仿宋" w:eastAsia="仿宋" w:cs="仿宋"/>
          <w:sz w:val="24"/>
          <w:szCs w:val="24"/>
          <w:highlight w:val="none"/>
          <w:lang w:eastAsia="zh-CN"/>
        </w:rPr>
        <w:t>委托</w:t>
      </w:r>
      <w:r>
        <w:rPr>
          <w:rFonts w:hint="eastAsia" w:ascii="仿宋" w:hAnsi="仿宋" w:eastAsia="仿宋" w:cs="仿宋"/>
          <w:sz w:val="24"/>
          <w:szCs w:val="24"/>
          <w:highlight w:val="none"/>
          <w:lang w:val="en-US" w:eastAsia="zh-CN"/>
        </w:rPr>
        <w:t>服务商</w:t>
      </w:r>
      <w:r>
        <w:rPr>
          <w:rFonts w:hint="eastAsia" w:ascii="仿宋" w:hAnsi="仿宋" w:eastAsia="仿宋" w:cs="仿宋"/>
          <w:sz w:val="24"/>
          <w:szCs w:val="24"/>
          <w:highlight w:val="none"/>
          <w:lang w:eastAsia="zh-CN"/>
        </w:rPr>
        <w:t>进行物损修复的，</w:t>
      </w:r>
      <w:r>
        <w:rPr>
          <w:rFonts w:hint="eastAsia" w:ascii="仿宋" w:hAnsi="仿宋" w:eastAsia="仿宋" w:cs="仿宋"/>
          <w:sz w:val="24"/>
          <w:szCs w:val="24"/>
          <w:highlight w:val="none"/>
          <w:lang w:val="en-US" w:eastAsia="zh-CN"/>
        </w:rPr>
        <w:t>最终</w:t>
      </w:r>
      <w:r>
        <w:rPr>
          <w:rFonts w:hint="eastAsia" w:ascii="仿宋" w:hAnsi="仿宋" w:eastAsia="仿宋" w:cs="仿宋"/>
          <w:sz w:val="24"/>
          <w:szCs w:val="24"/>
          <w:highlight w:val="none"/>
          <w:lang w:eastAsia="zh-CN"/>
        </w:rPr>
        <w:t>价格以</w:t>
      </w:r>
      <w:r>
        <w:rPr>
          <w:rFonts w:hint="eastAsia" w:ascii="仿宋" w:hAnsi="仿宋" w:eastAsia="仿宋" w:cs="仿宋"/>
          <w:sz w:val="24"/>
          <w:szCs w:val="24"/>
          <w:highlight w:val="none"/>
          <w:lang w:val="en-US" w:eastAsia="zh-CN"/>
        </w:rPr>
        <w:t>招标人</w:t>
      </w:r>
      <w:r>
        <w:rPr>
          <w:rFonts w:hint="eastAsia" w:ascii="仿宋" w:hAnsi="仿宋" w:eastAsia="仿宋" w:cs="仿宋"/>
          <w:sz w:val="24"/>
          <w:szCs w:val="24"/>
          <w:highlight w:val="none"/>
          <w:lang w:eastAsia="zh-CN"/>
        </w:rPr>
        <w:t>核定为准，经第三方业主确认修复合格后，</w:t>
      </w:r>
      <w:r>
        <w:rPr>
          <w:rFonts w:hint="eastAsia" w:ascii="仿宋" w:hAnsi="仿宋" w:eastAsia="仿宋" w:cs="仿宋"/>
          <w:sz w:val="24"/>
          <w:szCs w:val="24"/>
          <w:highlight w:val="none"/>
          <w:lang w:val="en-US" w:eastAsia="zh-CN"/>
        </w:rPr>
        <w:t>招标人</w:t>
      </w:r>
      <w:r>
        <w:rPr>
          <w:rFonts w:hint="eastAsia" w:ascii="仿宋" w:hAnsi="仿宋" w:eastAsia="仿宋" w:cs="仿宋"/>
          <w:sz w:val="24"/>
          <w:szCs w:val="24"/>
          <w:highlight w:val="none"/>
          <w:lang w:eastAsia="zh-CN"/>
        </w:rPr>
        <w:t>向</w:t>
      </w:r>
      <w:r>
        <w:rPr>
          <w:rFonts w:hint="eastAsia" w:ascii="仿宋" w:hAnsi="仿宋" w:eastAsia="仿宋" w:cs="仿宋"/>
          <w:sz w:val="24"/>
          <w:szCs w:val="24"/>
          <w:highlight w:val="none"/>
          <w:lang w:val="en-US" w:eastAsia="zh-CN"/>
        </w:rPr>
        <w:t>承修服务商</w:t>
      </w:r>
      <w:r>
        <w:rPr>
          <w:rFonts w:hint="eastAsia" w:ascii="仿宋" w:hAnsi="仿宋" w:eastAsia="仿宋" w:cs="仿宋"/>
          <w:sz w:val="24"/>
          <w:szCs w:val="24"/>
          <w:highlight w:val="none"/>
          <w:lang w:eastAsia="zh-CN"/>
        </w:rPr>
        <w:t>支付修复费用，</w:t>
      </w:r>
      <w:r>
        <w:rPr>
          <w:rFonts w:hint="eastAsia" w:ascii="仿宋" w:hAnsi="仿宋" w:eastAsia="仿宋" w:cs="仿宋"/>
          <w:sz w:val="24"/>
          <w:szCs w:val="24"/>
          <w:highlight w:val="none"/>
          <w:lang w:val="en-US" w:eastAsia="zh-CN"/>
        </w:rPr>
        <w:t>承修服务商</w:t>
      </w:r>
      <w:r>
        <w:rPr>
          <w:rFonts w:hint="eastAsia" w:ascii="仿宋" w:hAnsi="仿宋" w:eastAsia="仿宋" w:cs="仿宋"/>
          <w:sz w:val="24"/>
          <w:szCs w:val="24"/>
          <w:highlight w:val="none"/>
          <w:lang w:eastAsia="zh-CN"/>
        </w:rPr>
        <w:t>提供修复结算清单，并按要求开具发票。</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）逐案支付方式：</w:t>
      </w:r>
      <w:r>
        <w:rPr>
          <w:rFonts w:hint="eastAsia" w:ascii="仿宋" w:hAnsi="仿宋" w:eastAsia="仿宋" w:cs="仿宋"/>
          <w:sz w:val="24"/>
          <w:szCs w:val="24"/>
          <w:highlight w:val="none"/>
          <w:lang w:val="en-US" w:eastAsia="zh-CN"/>
        </w:rPr>
        <w:t>招标人</w:t>
      </w:r>
      <w:r>
        <w:rPr>
          <w:rFonts w:hint="eastAsia" w:ascii="仿宋" w:hAnsi="仿宋" w:eastAsia="仿宋" w:cs="仿宋"/>
          <w:sz w:val="24"/>
          <w:szCs w:val="24"/>
          <w:highlight w:val="none"/>
          <w:lang w:eastAsia="zh-CN"/>
        </w:rPr>
        <w:t>在收到</w:t>
      </w:r>
      <w:r>
        <w:rPr>
          <w:rFonts w:hint="eastAsia" w:ascii="仿宋" w:hAnsi="仿宋" w:eastAsia="仿宋" w:cs="仿宋"/>
          <w:sz w:val="24"/>
          <w:szCs w:val="24"/>
          <w:highlight w:val="none"/>
          <w:lang w:val="en-US" w:eastAsia="zh-CN"/>
        </w:rPr>
        <w:t>服务商的</w:t>
      </w:r>
      <w:r>
        <w:rPr>
          <w:rFonts w:hint="eastAsia" w:ascii="仿宋" w:hAnsi="仿宋" w:eastAsia="仿宋" w:cs="仿宋"/>
          <w:sz w:val="24"/>
          <w:szCs w:val="24"/>
          <w:highlight w:val="none"/>
          <w:lang w:eastAsia="zh-CN"/>
        </w:rPr>
        <w:t>资料后，应及时作出核定，并在核定结束后10个工作日内向</w:t>
      </w:r>
      <w:r>
        <w:rPr>
          <w:rFonts w:hint="eastAsia" w:ascii="仿宋" w:hAnsi="仿宋" w:eastAsia="仿宋" w:cs="仿宋"/>
          <w:sz w:val="24"/>
          <w:szCs w:val="24"/>
          <w:highlight w:val="none"/>
          <w:lang w:val="en-US" w:eastAsia="zh-CN"/>
        </w:rPr>
        <w:t>服务商</w:t>
      </w:r>
      <w:r>
        <w:rPr>
          <w:rFonts w:hint="eastAsia" w:ascii="仿宋" w:hAnsi="仿宋" w:eastAsia="仿宋" w:cs="仿宋"/>
          <w:sz w:val="24"/>
          <w:szCs w:val="24"/>
          <w:highlight w:val="none"/>
          <w:lang w:eastAsia="zh-CN"/>
        </w:rPr>
        <w:t>账户转账支付。</w:t>
      </w:r>
      <w:r>
        <w:rPr>
          <w:rFonts w:hint="eastAsia" w:ascii="仿宋" w:hAnsi="仿宋" w:eastAsia="仿宋" w:cs="仿宋"/>
          <w:sz w:val="24"/>
          <w:szCs w:val="24"/>
          <w:highlight w:val="none"/>
          <w:lang w:val="en-US" w:eastAsia="zh-CN"/>
        </w:rPr>
        <w:t>服务商</w:t>
      </w:r>
      <w:r>
        <w:rPr>
          <w:rFonts w:hint="eastAsia" w:ascii="仿宋" w:hAnsi="仿宋" w:eastAsia="仿宋" w:cs="仿宋"/>
          <w:sz w:val="24"/>
          <w:szCs w:val="24"/>
          <w:highlight w:val="none"/>
          <w:lang w:eastAsia="zh-CN"/>
        </w:rPr>
        <w:t>收到修复费用后，需在5个工作日内按</w:t>
      </w:r>
      <w:r>
        <w:rPr>
          <w:rFonts w:hint="eastAsia" w:ascii="仿宋" w:hAnsi="仿宋" w:eastAsia="仿宋" w:cs="仿宋"/>
          <w:sz w:val="24"/>
          <w:szCs w:val="24"/>
          <w:highlight w:val="none"/>
          <w:lang w:val="en-US" w:eastAsia="zh-CN"/>
        </w:rPr>
        <w:t>招标人</w:t>
      </w:r>
      <w:r>
        <w:rPr>
          <w:rFonts w:hint="eastAsia" w:ascii="仿宋" w:hAnsi="仿宋" w:eastAsia="仿宋" w:cs="仿宋"/>
          <w:sz w:val="24"/>
          <w:szCs w:val="24"/>
          <w:highlight w:val="none"/>
          <w:lang w:eastAsia="zh-CN"/>
        </w:rPr>
        <w:t>要求开具13%税率的增值税专用发票交到</w:t>
      </w:r>
      <w:r>
        <w:rPr>
          <w:rFonts w:hint="eastAsia" w:ascii="仿宋" w:hAnsi="仿宋" w:eastAsia="仿宋" w:cs="仿宋"/>
          <w:sz w:val="24"/>
          <w:szCs w:val="24"/>
          <w:highlight w:val="none"/>
          <w:lang w:val="en-US" w:eastAsia="zh-CN"/>
        </w:rPr>
        <w:t>招标人指定</w:t>
      </w:r>
      <w:r>
        <w:rPr>
          <w:rFonts w:hint="eastAsia" w:ascii="仿宋" w:hAnsi="仿宋" w:eastAsia="仿宋" w:cs="仿宋"/>
          <w:sz w:val="24"/>
          <w:szCs w:val="24"/>
          <w:highlight w:val="none"/>
          <w:lang w:eastAsia="zh-CN"/>
        </w:rPr>
        <w:t>的人员。</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）客户支付方式：除上述情况外，</w:t>
      </w:r>
      <w:r>
        <w:rPr>
          <w:rFonts w:hint="eastAsia" w:ascii="仿宋" w:hAnsi="仿宋" w:eastAsia="仿宋" w:cs="仿宋"/>
          <w:sz w:val="24"/>
          <w:szCs w:val="24"/>
          <w:highlight w:val="none"/>
          <w:lang w:val="en-US" w:eastAsia="zh-CN"/>
        </w:rPr>
        <w:t>服务商</w:t>
      </w:r>
      <w:r>
        <w:rPr>
          <w:rFonts w:hint="eastAsia" w:ascii="仿宋" w:hAnsi="仿宋" w:eastAsia="仿宋" w:cs="仿宋"/>
          <w:sz w:val="24"/>
          <w:szCs w:val="24"/>
          <w:highlight w:val="none"/>
          <w:lang w:eastAsia="zh-CN"/>
        </w:rPr>
        <w:t>直接向</w:t>
      </w:r>
      <w:r>
        <w:rPr>
          <w:rFonts w:hint="eastAsia" w:ascii="仿宋" w:hAnsi="仿宋" w:eastAsia="仿宋" w:cs="仿宋"/>
          <w:sz w:val="24"/>
          <w:szCs w:val="24"/>
          <w:highlight w:val="none"/>
          <w:lang w:val="en-US" w:eastAsia="zh-CN"/>
        </w:rPr>
        <w:t>招标人</w:t>
      </w:r>
      <w:r>
        <w:rPr>
          <w:rFonts w:hint="eastAsia" w:ascii="仿宋" w:hAnsi="仿宋" w:eastAsia="仿宋" w:cs="仿宋"/>
          <w:sz w:val="24"/>
          <w:szCs w:val="24"/>
          <w:highlight w:val="none"/>
          <w:lang w:eastAsia="zh-CN"/>
        </w:rPr>
        <w:t>客户收取修复费用（</w:t>
      </w:r>
      <w:r>
        <w:rPr>
          <w:rFonts w:hint="eastAsia" w:ascii="仿宋" w:hAnsi="仿宋" w:eastAsia="仿宋" w:cs="仿宋"/>
          <w:sz w:val="24"/>
          <w:szCs w:val="24"/>
          <w:highlight w:val="none"/>
          <w:lang w:val="en-US" w:eastAsia="zh-CN"/>
        </w:rPr>
        <w:t>服务商</w:t>
      </w:r>
      <w:r>
        <w:rPr>
          <w:rFonts w:hint="eastAsia" w:ascii="仿宋" w:hAnsi="仿宋" w:eastAsia="仿宋" w:cs="仿宋"/>
          <w:sz w:val="24"/>
          <w:szCs w:val="24"/>
          <w:highlight w:val="none"/>
          <w:lang w:eastAsia="zh-CN"/>
        </w:rPr>
        <w:t>需事先做好客户的解释工作），并出具合法有效的发票给</w:t>
      </w:r>
      <w:r>
        <w:rPr>
          <w:rFonts w:hint="eastAsia" w:ascii="仿宋" w:hAnsi="仿宋" w:eastAsia="仿宋" w:cs="仿宋"/>
          <w:sz w:val="24"/>
          <w:szCs w:val="24"/>
          <w:highlight w:val="none"/>
          <w:lang w:val="en-US" w:eastAsia="zh-CN"/>
        </w:rPr>
        <w:t>招标人</w:t>
      </w:r>
      <w:r>
        <w:rPr>
          <w:rFonts w:hint="eastAsia" w:ascii="仿宋" w:hAnsi="仿宋" w:eastAsia="仿宋" w:cs="仿宋"/>
          <w:sz w:val="24"/>
          <w:szCs w:val="24"/>
          <w:highlight w:val="none"/>
          <w:lang w:eastAsia="zh-CN"/>
        </w:rPr>
        <w:t>客户。</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六</w:t>
      </w:r>
      <w:r>
        <w:rPr>
          <w:rFonts w:hint="eastAsia" w:ascii="仿宋" w:hAnsi="仿宋" w:eastAsia="仿宋" w:cs="仿宋"/>
          <w:b/>
          <w:bCs/>
          <w:sz w:val="24"/>
          <w:szCs w:val="24"/>
          <w:highlight w:val="none"/>
        </w:rPr>
        <w:t>、服务要求</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（1）具备为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提供专业市场化询价及兜底维修服务的能力，并服从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物损第三方管理相关规定，接受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考核管理。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将按月度或季度开展考核，对不符合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管理规定或考核未能达到要求的，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将停止、终止合作。</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（2）结合物损管理模块发起的物损信息及影像资料，根据自身对车险物损维修或置换等市场行情熟知能力及优势，在平台任务约定的时间内完成报价。</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（3）接到</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委派的维修任务后，需到现场测量实际受损情况并拟定修复方案单，在与物损方协商一致后进行修复工作。</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（4）在现场勘验阶段；人员、材料进场时；维修过程中；维修完毕后，四个阶段拍摄照片存留，根据实际需要上传</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物损管理系统或发送</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人员，并出具完整的案件报告，包括：查勘报告、报价详细清单、承修或置换时的作业记录等，若收款方为物损第三方的，还需提供三方（被保险人、物损方、收款人）签章的赔款授权书以及增值税专用发票等。</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（5）保证业务开展的合法、合规性，定损方案和报价金额需保证保险公司、被保人和物损方的合法权益，对接与物损当事各方所产生的方案、价格等争议须上报</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，最终需以</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审核意见为准。</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（6）对所报价格进行兜底，承接相应物损的修复或置换时，须提供质量保证，对后续所产生的安全、质量、验收等问题及由此所造成的损失负责。</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（7）作为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的合作伙伴，须积极服务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客户和第三者财产损失方，在开展工作中，需时刻以服务为核心，维护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的企业形象和客户的合法权益，避免引发客户投诉。</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（8）不得向理赔人员、被保人、物损方或其他相关人员提供或给予合同约定外的任何利益包括但不限于现金、购物卡、实物、有价证券、旅游或其他非物质性利益等。</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lang w:eastAsia="zh-CN"/>
        </w:rPr>
        <w:t>）本次采购项目不允许转包、分包。未经</w:t>
      </w:r>
      <w:r>
        <w:rPr>
          <w:rFonts w:hint="eastAsia" w:ascii="仿宋" w:hAnsi="仿宋" w:eastAsia="仿宋" w:cs="仿宋"/>
          <w:sz w:val="24"/>
          <w:szCs w:val="24"/>
          <w:highlight w:val="none"/>
          <w:lang w:val="en-US" w:eastAsia="zh-CN"/>
        </w:rPr>
        <w:t>招标人</w:t>
      </w:r>
      <w:r>
        <w:rPr>
          <w:rFonts w:hint="eastAsia" w:ascii="仿宋" w:hAnsi="仿宋" w:eastAsia="仿宋" w:cs="仿宋"/>
          <w:sz w:val="24"/>
          <w:szCs w:val="24"/>
          <w:highlight w:val="none"/>
          <w:lang w:eastAsia="zh-CN"/>
        </w:rPr>
        <w:t>事先书面同意，若供应商将本项目全部或部分工作分包或转包第三方承担，将导致违约。</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七</w:t>
      </w:r>
      <w:r>
        <w:rPr>
          <w:rFonts w:hint="eastAsia" w:ascii="仿宋" w:hAnsi="仿宋" w:eastAsia="仿宋" w:cs="仿宋"/>
          <w:b/>
          <w:bCs/>
          <w:sz w:val="24"/>
          <w:szCs w:val="24"/>
          <w:highlight w:val="none"/>
        </w:rPr>
        <w:t>、退出机制</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一</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考核结果作为合作企业使用和退出的依据，按月度进行监控，按季度进行考核。</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二</w:t>
      </w:r>
      <w:r>
        <w:rPr>
          <w:rFonts w:hint="eastAsia" w:ascii="仿宋" w:hAnsi="仿宋" w:eastAsia="仿宋" w:cs="仿宋"/>
          <w:sz w:val="24"/>
          <w:szCs w:val="24"/>
          <w:highlight w:val="none"/>
        </w:rPr>
        <w:t>）经查实，提供询价或兜底维修服务期间，存在如下问题：</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1、服务机构人员收受或给予与案件有关人员礼金回扣或好处费；</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2、服务机构人员不能秉公处理委托事项的，如暗中接受他人请托，影响公平公正等情形；</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3、存在弄虚作假，虚列损失及数量的行为；</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4、投诉问题严重、社会反响大、给公司造成不良影响的；</w:t>
      </w:r>
    </w:p>
    <w:p>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5、经查实在履行合同期间存在其他违法违规行为的。</w:t>
      </w:r>
    </w:p>
    <w:p>
      <w:pPr>
        <w:pStyle w:val="2"/>
        <w:shd w:val="clear"/>
        <w:rPr>
          <w:rFonts w:ascii="仿宋" w:hAnsi="仿宋" w:eastAsia="仿宋" w:cs="仿宋"/>
          <w:color w:val="auto"/>
          <w:highlight w:val="none"/>
        </w:rPr>
      </w:pPr>
    </w:p>
    <w:p>
      <w:pPr>
        <w:shd w:val="clear"/>
        <w:rPr>
          <w:rFonts w:ascii="仿宋" w:hAnsi="仿宋" w:eastAsia="仿宋" w:cs="仿宋"/>
          <w:b/>
          <w:bCs/>
          <w:color w:val="auto"/>
          <w:highlight w:val="none"/>
        </w:rPr>
      </w:pPr>
      <w:bookmarkStart w:id="503" w:name="_Toc56856958"/>
      <w:r>
        <w:rPr>
          <w:rFonts w:hint="eastAsia" w:ascii="仿宋" w:hAnsi="仿宋" w:eastAsia="仿宋" w:cs="仿宋"/>
          <w:b/>
          <w:bCs/>
          <w:color w:val="auto"/>
          <w:highlight w:val="none"/>
        </w:rPr>
        <w:br w:type="page"/>
      </w:r>
    </w:p>
    <w:p>
      <w:pPr>
        <w:pStyle w:val="3"/>
        <w:shd w:val="clear"/>
        <w:jc w:val="center"/>
        <w:rPr>
          <w:rFonts w:ascii="仿宋" w:hAnsi="仿宋" w:eastAsia="仿宋" w:cs="仿宋"/>
          <w:b/>
          <w:bCs/>
          <w:color w:val="auto"/>
          <w:highlight w:val="none"/>
        </w:rPr>
      </w:pPr>
      <w:bookmarkStart w:id="504" w:name="_Toc27261"/>
      <w:r>
        <w:rPr>
          <w:rFonts w:hint="eastAsia" w:ascii="仿宋" w:hAnsi="仿宋" w:eastAsia="仿宋" w:cs="仿宋"/>
          <w:b/>
          <w:bCs/>
          <w:color w:val="auto"/>
          <w:highlight w:val="none"/>
        </w:rPr>
        <w:t>第六章 投标文件格式</w:t>
      </w:r>
      <w:bookmarkEnd w:id="503"/>
      <w:bookmarkEnd w:id="504"/>
    </w:p>
    <w:p>
      <w:pPr>
        <w:shd w:val="clear"/>
        <w:spacing w:line="400" w:lineRule="exact"/>
        <w:rPr>
          <w:rFonts w:ascii="仿宋" w:hAnsi="仿宋" w:eastAsia="仿宋" w:cs="仿宋"/>
          <w:color w:val="auto"/>
          <w:highlight w:val="none"/>
        </w:rPr>
      </w:pPr>
    </w:p>
    <w:p>
      <w:pPr>
        <w:shd w:val="clear"/>
        <w:spacing w:line="400" w:lineRule="exact"/>
        <w:rPr>
          <w:rFonts w:ascii="仿宋" w:hAnsi="仿宋" w:eastAsia="仿宋" w:cs="仿宋"/>
          <w:color w:val="auto"/>
          <w:highlight w:val="none"/>
        </w:rPr>
      </w:pPr>
    </w:p>
    <w:p>
      <w:pPr>
        <w:shd w:val="clear"/>
        <w:spacing w:line="480" w:lineRule="auto"/>
        <w:rPr>
          <w:rFonts w:ascii="仿宋" w:hAnsi="仿宋" w:eastAsia="仿宋" w:cs="仿宋"/>
          <w:color w:val="auto"/>
          <w:sz w:val="20"/>
          <w:highlight w:val="none"/>
        </w:rPr>
      </w:pPr>
    </w:p>
    <w:p>
      <w:pPr>
        <w:shd w:val="clear"/>
        <w:spacing w:line="480" w:lineRule="auto"/>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p>
    <w:p>
      <w:pPr>
        <w:shd w:val="clear"/>
        <w:spacing w:line="480" w:lineRule="auto"/>
        <w:rPr>
          <w:rFonts w:ascii="仿宋" w:hAnsi="仿宋" w:eastAsia="仿宋" w:cs="仿宋"/>
          <w:color w:val="auto"/>
          <w:sz w:val="20"/>
          <w:highlight w:val="none"/>
        </w:rPr>
      </w:pPr>
    </w:p>
    <w:p>
      <w:pPr>
        <w:shd w:val="clear"/>
        <w:spacing w:line="480" w:lineRule="auto"/>
        <w:rPr>
          <w:rFonts w:ascii="仿宋" w:hAnsi="仿宋" w:eastAsia="仿宋" w:cs="仿宋"/>
          <w:color w:val="auto"/>
          <w:sz w:val="20"/>
          <w:highlight w:val="none"/>
        </w:rPr>
      </w:pPr>
    </w:p>
    <w:p>
      <w:pPr>
        <w:shd w:val="clear"/>
        <w:spacing w:line="480" w:lineRule="auto"/>
        <w:jc w:val="center"/>
        <w:rPr>
          <w:rFonts w:ascii="仿宋" w:hAnsi="仿宋" w:eastAsia="仿宋" w:cs="仿宋"/>
          <w:color w:val="auto"/>
          <w:sz w:val="44"/>
          <w:highlight w:val="none"/>
        </w:rPr>
      </w:pPr>
      <w:r>
        <w:rPr>
          <w:rFonts w:hint="eastAsia" w:ascii="仿宋" w:hAnsi="仿宋" w:eastAsia="仿宋" w:cs="仿宋"/>
          <w:color w:val="auto"/>
          <w:sz w:val="44"/>
          <w:highlight w:val="none"/>
        </w:rPr>
        <w:t>投 标 文 件</w:t>
      </w:r>
    </w:p>
    <w:p>
      <w:pPr>
        <w:shd w:val="clear"/>
        <w:rPr>
          <w:rFonts w:ascii="仿宋" w:hAnsi="仿宋" w:eastAsia="仿宋" w:cs="仿宋"/>
          <w:color w:val="auto"/>
          <w:sz w:val="28"/>
          <w:highlight w:val="none"/>
        </w:rPr>
      </w:pPr>
    </w:p>
    <w:p>
      <w:pPr>
        <w:shd w:val="clear"/>
        <w:rPr>
          <w:rFonts w:ascii="仿宋" w:hAnsi="仿宋" w:eastAsia="仿宋" w:cs="仿宋"/>
          <w:color w:val="auto"/>
          <w:sz w:val="28"/>
          <w:highlight w:val="none"/>
        </w:rPr>
      </w:pPr>
    </w:p>
    <w:p>
      <w:pPr>
        <w:shd w:val="clear"/>
        <w:rPr>
          <w:rFonts w:ascii="仿宋" w:hAnsi="仿宋" w:eastAsia="仿宋" w:cs="仿宋"/>
          <w:color w:val="auto"/>
          <w:sz w:val="28"/>
          <w:highlight w:val="none"/>
        </w:rPr>
      </w:pPr>
    </w:p>
    <w:p>
      <w:pPr>
        <w:shd w:val="clear"/>
        <w:rPr>
          <w:rFonts w:ascii="仿宋" w:hAnsi="仿宋" w:eastAsia="仿宋" w:cs="仿宋"/>
          <w:color w:val="auto"/>
          <w:sz w:val="28"/>
          <w:highlight w:val="none"/>
        </w:rPr>
      </w:pPr>
    </w:p>
    <w:p>
      <w:pPr>
        <w:shd w:val="clear"/>
        <w:rPr>
          <w:rFonts w:ascii="仿宋" w:hAnsi="仿宋" w:eastAsia="仿宋" w:cs="仿宋"/>
          <w:color w:val="auto"/>
          <w:sz w:val="28"/>
          <w:highlight w:val="none"/>
        </w:rPr>
      </w:pPr>
    </w:p>
    <w:p>
      <w:pPr>
        <w:shd w:val="clear"/>
        <w:rPr>
          <w:rFonts w:ascii="仿宋" w:hAnsi="仿宋" w:eastAsia="仿宋" w:cs="仿宋"/>
          <w:color w:val="auto"/>
          <w:sz w:val="28"/>
          <w:highlight w:val="none"/>
        </w:rPr>
      </w:pPr>
    </w:p>
    <w:p>
      <w:pPr>
        <w:shd w:val="clear"/>
        <w:rPr>
          <w:rFonts w:ascii="仿宋" w:hAnsi="仿宋" w:eastAsia="仿宋" w:cs="仿宋"/>
          <w:color w:val="auto"/>
          <w:sz w:val="28"/>
          <w:highlight w:val="none"/>
        </w:rPr>
      </w:pPr>
    </w:p>
    <w:p>
      <w:pPr>
        <w:shd w:val="clear"/>
        <w:rPr>
          <w:rFonts w:ascii="仿宋" w:hAnsi="仿宋" w:eastAsia="仿宋" w:cs="仿宋"/>
          <w:color w:val="auto"/>
          <w:sz w:val="28"/>
          <w:highlight w:val="none"/>
        </w:rPr>
      </w:pPr>
    </w:p>
    <w:p>
      <w:pPr>
        <w:shd w:val="clear"/>
        <w:rPr>
          <w:rFonts w:ascii="仿宋" w:hAnsi="仿宋" w:eastAsia="仿宋" w:cs="仿宋"/>
          <w:color w:val="auto"/>
          <w:sz w:val="28"/>
          <w:highlight w:val="none"/>
        </w:rPr>
      </w:pPr>
    </w:p>
    <w:p>
      <w:pPr>
        <w:shd w:val="clear"/>
        <w:rPr>
          <w:rFonts w:ascii="仿宋" w:hAnsi="仿宋" w:eastAsia="仿宋" w:cs="仿宋"/>
          <w:color w:val="auto"/>
          <w:sz w:val="28"/>
          <w:highlight w:val="none"/>
        </w:rPr>
      </w:pPr>
    </w:p>
    <w:p>
      <w:pPr>
        <w:shd w:val="clear"/>
        <w:rPr>
          <w:rFonts w:ascii="仿宋" w:hAnsi="仿宋" w:eastAsia="仿宋" w:cs="仿宋"/>
          <w:color w:val="auto"/>
          <w:sz w:val="28"/>
          <w:highlight w:val="none"/>
        </w:rPr>
      </w:pPr>
    </w:p>
    <w:p>
      <w:pPr>
        <w:shd w:val="clear"/>
        <w:rPr>
          <w:rFonts w:ascii="仿宋" w:hAnsi="仿宋" w:eastAsia="仿宋" w:cs="仿宋"/>
          <w:color w:val="auto"/>
          <w:sz w:val="28"/>
          <w:highlight w:val="none"/>
        </w:rPr>
      </w:pPr>
    </w:p>
    <w:p>
      <w:pPr>
        <w:shd w:val="clear"/>
        <w:rPr>
          <w:rFonts w:ascii="仿宋" w:hAnsi="仿宋" w:eastAsia="仿宋" w:cs="仿宋"/>
          <w:color w:val="auto"/>
          <w:sz w:val="28"/>
          <w:highlight w:val="none"/>
        </w:rPr>
      </w:pPr>
    </w:p>
    <w:p>
      <w:pPr>
        <w:shd w:val="clear"/>
        <w:rPr>
          <w:rFonts w:ascii="仿宋" w:hAnsi="仿宋" w:eastAsia="仿宋" w:cs="仿宋"/>
          <w:color w:val="auto"/>
          <w:sz w:val="28"/>
          <w:highlight w:val="none"/>
        </w:rPr>
      </w:pPr>
    </w:p>
    <w:p>
      <w:pPr>
        <w:shd w:val="clear"/>
        <w:spacing w:line="360" w:lineRule="auto"/>
        <w:ind w:firstLine="1120" w:firstLineChars="400"/>
        <w:rPr>
          <w:rFonts w:ascii="仿宋" w:hAnsi="仿宋" w:eastAsia="仿宋" w:cs="仿宋"/>
          <w:color w:val="auto"/>
          <w:sz w:val="28"/>
          <w:highlight w:val="none"/>
          <w:u w:val="single"/>
        </w:rPr>
      </w:pPr>
      <w:r>
        <w:rPr>
          <w:rFonts w:hint="eastAsia" w:ascii="仿宋" w:hAnsi="仿宋" w:eastAsia="仿宋" w:cs="仿宋"/>
          <w:color w:val="auto"/>
          <w:sz w:val="28"/>
          <w:highlight w:val="none"/>
        </w:rPr>
        <w:t>投标人：</w:t>
      </w:r>
      <w:r>
        <w:rPr>
          <w:rFonts w:hint="eastAsia" w:ascii="仿宋" w:hAnsi="仿宋" w:eastAsia="仿宋" w:cs="仿宋"/>
          <w:color w:val="auto"/>
          <w:highlight w:val="none"/>
          <w:u w:val="single"/>
        </w:rPr>
        <w:t xml:space="preserve">                                            </w:t>
      </w:r>
      <w:r>
        <w:rPr>
          <w:rFonts w:hint="eastAsia" w:ascii="仿宋" w:hAnsi="仿宋" w:eastAsia="仿宋" w:cs="仿宋"/>
          <w:color w:val="auto"/>
          <w:sz w:val="28"/>
          <w:highlight w:val="none"/>
        </w:rPr>
        <w:t>（盖单位章）</w:t>
      </w:r>
    </w:p>
    <w:p>
      <w:pPr>
        <w:shd w:val="clear"/>
        <w:spacing w:line="360" w:lineRule="auto"/>
        <w:ind w:firstLine="1120" w:firstLineChars="400"/>
        <w:jc w:val="left"/>
        <w:rPr>
          <w:rFonts w:ascii="仿宋" w:hAnsi="仿宋" w:eastAsia="仿宋" w:cs="仿宋"/>
          <w:color w:val="auto"/>
          <w:sz w:val="28"/>
          <w:highlight w:val="none"/>
        </w:rPr>
      </w:pPr>
      <w:r>
        <w:rPr>
          <w:rFonts w:hint="eastAsia" w:ascii="仿宋" w:hAnsi="仿宋" w:eastAsia="仿宋" w:cs="仿宋"/>
          <w:color w:val="auto"/>
          <w:sz w:val="28"/>
          <w:highlight w:val="none"/>
        </w:rPr>
        <w:t>法定代表人或其委托代理人：</w:t>
      </w:r>
      <w:r>
        <w:rPr>
          <w:rFonts w:hint="eastAsia" w:ascii="仿宋" w:hAnsi="仿宋" w:eastAsia="仿宋" w:cs="仿宋"/>
          <w:color w:val="auto"/>
          <w:highlight w:val="none"/>
          <w:u w:val="single"/>
        </w:rPr>
        <w:t xml:space="preserve">       </w:t>
      </w:r>
      <w:r>
        <w:rPr>
          <w:rFonts w:hint="eastAsia" w:ascii="仿宋" w:hAnsi="仿宋" w:eastAsia="仿宋" w:cs="仿宋"/>
          <w:color w:val="auto"/>
          <w:sz w:val="28"/>
          <w:highlight w:val="none"/>
        </w:rPr>
        <w:t>（签字或盖章）</w:t>
      </w:r>
    </w:p>
    <w:p>
      <w:pPr>
        <w:shd w:val="clear"/>
        <w:jc w:val="center"/>
        <w:rPr>
          <w:rFonts w:ascii="仿宋" w:hAnsi="仿宋" w:eastAsia="仿宋" w:cs="仿宋"/>
          <w:color w:val="auto"/>
          <w:sz w:val="28"/>
          <w:highlight w:val="none"/>
        </w:rPr>
      </w:pPr>
    </w:p>
    <w:p>
      <w:pPr>
        <w:shd w:val="clear"/>
        <w:spacing w:line="400" w:lineRule="exact"/>
        <w:jc w:val="center"/>
        <w:rPr>
          <w:rFonts w:ascii="仿宋" w:hAnsi="仿宋" w:eastAsia="仿宋" w:cs="仿宋"/>
          <w:color w:val="auto"/>
          <w:sz w:val="28"/>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sz w:val="28"/>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sz w:val="28"/>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sz w:val="28"/>
          <w:highlight w:val="none"/>
        </w:rPr>
        <w:t>日</w:t>
      </w:r>
    </w:p>
    <w:p>
      <w:pPr>
        <w:shd w:val="clear"/>
        <w:spacing w:line="400" w:lineRule="exact"/>
        <w:jc w:val="center"/>
        <w:rPr>
          <w:rFonts w:ascii="仿宋" w:hAnsi="仿宋" w:eastAsia="仿宋" w:cs="仿宋"/>
          <w:color w:val="auto"/>
          <w:sz w:val="28"/>
          <w:highlight w:val="none"/>
        </w:rPr>
      </w:pPr>
    </w:p>
    <w:p>
      <w:pPr>
        <w:shd w:val="clear"/>
        <w:spacing w:line="400" w:lineRule="exact"/>
        <w:jc w:val="center"/>
        <w:rPr>
          <w:rFonts w:ascii="仿宋" w:hAnsi="仿宋" w:eastAsia="仿宋" w:cs="仿宋"/>
          <w:color w:val="auto"/>
          <w:highlight w:val="none"/>
        </w:rPr>
      </w:pPr>
      <w:r>
        <w:rPr>
          <w:rFonts w:hint="eastAsia" w:ascii="仿宋" w:hAnsi="仿宋" w:eastAsia="仿宋" w:cs="仿宋"/>
          <w:color w:val="auto"/>
          <w:highlight w:val="none"/>
        </w:rPr>
        <w:br w:type="page"/>
      </w:r>
    </w:p>
    <w:p>
      <w:pPr>
        <w:shd w:val="clear"/>
        <w:jc w:val="center"/>
        <w:rPr>
          <w:rFonts w:ascii="仿宋" w:hAnsi="仿宋" w:eastAsia="仿宋" w:cs="仿宋"/>
          <w:color w:val="auto"/>
          <w:sz w:val="28"/>
          <w:szCs w:val="32"/>
          <w:highlight w:val="none"/>
        </w:rPr>
      </w:pPr>
      <w:bookmarkStart w:id="505" w:name="_Toc56856959"/>
      <w:r>
        <w:rPr>
          <w:rFonts w:hint="eastAsia" w:ascii="仿宋" w:hAnsi="仿宋" w:eastAsia="仿宋" w:cs="仿宋"/>
          <w:color w:val="auto"/>
          <w:sz w:val="28"/>
          <w:szCs w:val="32"/>
          <w:highlight w:val="none"/>
        </w:rPr>
        <w:t>目录</w:t>
      </w:r>
      <w:bookmarkEnd w:id="505"/>
    </w:p>
    <w:p>
      <w:pPr>
        <w:shd w:val="clear"/>
        <w:spacing w:line="540" w:lineRule="exact"/>
        <w:rPr>
          <w:rFonts w:ascii="仿宋" w:hAnsi="仿宋" w:eastAsia="仿宋" w:cs="仿宋"/>
          <w:color w:val="auto"/>
          <w:highlight w:val="none"/>
        </w:rPr>
      </w:pPr>
    </w:p>
    <w:p>
      <w:pPr>
        <w:shd w:val="clear"/>
        <w:spacing w:line="540" w:lineRule="exact"/>
        <w:rPr>
          <w:rFonts w:ascii="仿宋" w:hAnsi="仿宋" w:eastAsia="仿宋" w:cs="仿宋"/>
          <w:color w:val="auto"/>
          <w:highlight w:val="none"/>
        </w:rPr>
      </w:pPr>
      <w:r>
        <w:rPr>
          <w:rFonts w:hint="eastAsia" w:ascii="仿宋" w:hAnsi="仿宋" w:eastAsia="仿宋" w:cs="仿宋"/>
          <w:color w:val="auto"/>
          <w:highlight w:val="none"/>
        </w:rPr>
        <w:t>一、投标函及投标函附录</w:t>
      </w:r>
    </w:p>
    <w:p>
      <w:pPr>
        <w:shd w:val="clear"/>
        <w:spacing w:line="540" w:lineRule="exact"/>
        <w:rPr>
          <w:rFonts w:ascii="仿宋" w:hAnsi="仿宋" w:eastAsia="仿宋" w:cs="仿宋"/>
          <w:color w:val="auto"/>
          <w:highlight w:val="none"/>
        </w:rPr>
      </w:pPr>
      <w:r>
        <w:rPr>
          <w:rFonts w:hint="eastAsia" w:ascii="仿宋" w:hAnsi="仿宋" w:eastAsia="仿宋" w:cs="仿宋"/>
          <w:color w:val="auto"/>
          <w:highlight w:val="none"/>
        </w:rPr>
        <w:t>二、法定代表人身份证明（适用于无委托代理人的情况）</w:t>
      </w:r>
    </w:p>
    <w:p>
      <w:pPr>
        <w:shd w:val="clear"/>
        <w:spacing w:line="540" w:lineRule="exact"/>
        <w:rPr>
          <w:rFonts w:ascii="仿宋" w:hAnsi="仿宋" w:eastAsia="仿宋" w:cs="仿宋"/>
          <w:color w:val="auto"/>
          <w:highlight w:val="none"/>
        </w:rPr>
      </w:pPr>
      <w:r>
        <w:rPr>
          <w:rFonts w:hint="eastAsia" w:ascii="仿宋" w:hAnsi="仿宋" w:eastAsia="仿宋" w:cs="仿宋"/>
          <w:color w:val="auto"/>
          <w:highlight w:val="none"/>
        </w:rPr>
        <w:t>三、授权委托书（适用于有委托代理人的情况）</w:t>
      </w:r>
    </w:p>
    <w:p>
      <w:pPr>
        <w:shd w:val="clear"/>
        <w:spacing w:line="540" w:lineRule="exact"/>
        <w:rPr>
          <w:rFonts w:ascii="仿宋" w:hAnsi="仿宋" w:eastAsia="仿宋" w:cs="仿宋"/>
          <w:color w:val="auto"/>
          <w:highlight w:val="none"/>
        </w:rPr>
      </w:pPr>
      <w:r>
        <w:rPr>
          <w:rFonts w:hint="eastAsia" w:ascii="仿宋" w:hAnsi="仿宋" w:eastAsia="仿宋" w:cs="仿宋"/>
          <w:color w:val="auto"/>
          <w:highlight w:val="none"/>
        </w:rPr>
        <w:t>四、资格审查资料</w:t>
      </w:r>
    </w:p>
    <w:p>
      <w:pPr>
        <w:shd w:val="clear"/>
        <w:spacing w:line="540" w:lineRule="exact"/>
        <w:rPr>
          <w:rFonts w:ascii="仿宋" w:hAnsi="仿宋" w:eastAsia="仿宋" w:cs="仿宋"/>
          <w:color w:val="auto"/>
          <w:highlight w:val="none"/>
        </w:rPr>
      </w:pPr>
      <w:r>
        <w:rPr>
          <w:rFonts w:hint="eastAsia" w:ascii="仿宋" w:hAnsi="仿宋" w:eastAsia="仿宋" w:cs="仿宋"/>
          <w:color w:val="auto"/>
          <w:highlight w:val="none"/>
        </w:rPr>
        <w:t>五、团队成员</w:t>
      </w:r>
    </w:p>
    <w:p>
      <w:pPr>
        <w:shd w:val="clear"/>
        <w:spacing w:line="540" w:lineRule="exact"/>
        <w:rPr>
          <w:rFonts w:ascii="仿宋" w:hAnsi="仿宋" w:eastAsia="仿宋" w:cs="仿宋"/>
          <w:color w:val="auto"/>
          <w:highlight w:val="none"/>
        </w:rPr>
      </w:pPr>
      <w:r>
        <w:rPr>
          <w:rFonts w:hint="eastAsia" w:ascii="仿宋" w:hAnsi="仿宋" w:eastAsia="仿宋" w:cs="仿宋"/>
          <w:color w:val="auto"/>
          <w:highlight w:val="none"/>
        </w:rPr>
        <w:t>六、类似项目业绩情况表</w:t>
      </w:r>
    </w:p>
    <w:p>
      <w:pPr>
        <w:shd w:val="clear"/>
        <w:spacing w:line="540" w:lineRule="exact"/>
        <w:rPr>
          <w:rFonts w:ascii="仿宋" w:hAnsi="仿宋" w:eastAsia="仿宋" w:cs="仿宋"/>
          <w:color w:val="auto"/>
          <w:highlight w:val="none"/>
        </w:rPr>
      </w:pPr>
      <w:r>
        <w:rPr>
          <w:rFonts w:hint="eastAsia" w:ascii="仿宋" w:hAnsi="仿宋" w:eastAsia="仿宋" w:cs="仿宋"/>
          <w:color w:val="auto"/>
          <w:highlight w:val="none"/>
        </w:rPr>
        <w:t>七、项目需求响应表</w:t>
      </w:r>
    </w:p>
    <w:p>
      <w:pPr>
        <w:shd w:val="clear"/>
        <w:spacing w:line="540" w:lineRule="exact"/>
        <w:rPr>
          <w:rFonts w:ascii="仿宋" w:hAnsi="仿宋" w:eastAsia="仿宋" w:cs="仿宋"/>
          <w:color w:val="auto"/>
          <w:highlight w:val="none"/>
        </w:rPr>
      </w:pPr>
      <w:r>
        <w:rPr>
          <w:rFonts w:hint="eastAsia" w:ascii="仿宋" w:hAnsi="仿宋" w:eastAsia="仿宋" w:cs="仿宋"/>
          <w:color w:val="auto"/>
          <w:highlight w:val="none"/>
        </w:rPr>
        <w:t>八、合同条款响应表</w:t>
      </w:r>
    </w:p>
    <w:p>
      <w:pPr>
        <w:shd w:val="clear"/>
        <w:spacing w:line="540" w:lineRule="exact"/>
        <w:rPr>
          <w:rFonts w:ascii="仿宋" w:hAnsi="仿宋" w:eastAsia="仿宋" w:cs="仿宋"/>
          <w:color w:val="auto"/>
          <w:highlight w:val="none"/>
        </w:rPr>
      </w:pPr>
      <w:r>
        <w:rPr>
          <w:rFonts w:hint="eastAsia" w:ascii="仿宋" w:hAnsi="仿宋" w:eastAsia="仿宋" w:cs="仿宋"/>
          <w:color w:val="auto"/>
          <w:highlight w:val="none"/>
        </w:rPr>
        <w:t>九、企业荣誉</w:t>
      </w:r>
    </w:p>
    <w:p>
      <w:pPr>
        <w:shd w:val="clear"/>
        <w:spacing w:line="540" w:lineRule="exact"/>
        <w:rPr>
          <w:rFonts w:ascii="仿宋" w:hAnsi="仿宋" w:eastAsia="仿宋" w:cs="仿宋"/>
          <w:color w:val="auto"/>
          <w:highlight w:val="none"/>
        </w:rPr>
      </w:pPr>
      <w:r>
        <w:rPr>
          <w:rFonts w:hint="eastAsia" w:ascii="仿宋" w:hAnsi="仿宋" w:eastAsia="仿宋" w:cs="仿宋"/>
          <w:color w:val="auto"/>
          <w:highlight w:val="none"/>
        </w:rPr>
        <w:t>十、实施方案</w:t>
      </w:r>
    </w:p>
    <w:p>
      <w:pPr>
        <w:shd w:val="clear"/>
        <w:spacing w:line="540" w:lineRule="exact"/>
        <w:rPr>
          <w:rFonts w:ascii="仿宋" w:hAnsi="仿宋" w:eastAsia="仿宋" w:cs="仿宋"/>
          <w:color w:val="auto"/>
          <w:highlight w:val="none"/>
        </w:rPr>
      </w:pPr>
      <w:r>
        <w:rPr>
          <w:rFonts w:hint="eastAsia" w:ascii="仿宋" w:hAnsi="仿宋" w:eastAsia="仿宋" w:cs="仿宋"/>
          <w:color w:val="auto"/>
          <w:highlight w:val="none"/>
        </w:rPr>
        <w:t>十一、其他资料</w:t>
      </w:r>
    </w:p>
    <w:p>
      <w:pPr>
        <w:shd w:val="clear"/>
        <w:spacing w:line="540" w:lineRule="exact"/>
        <w:rPr>
          <w:rFonts w:ascii="仿宋" w:hAnsi="仿宋" w:eastAsia="仿宋" w:cs="仿宋"/>
          <w:color w:val="auto"/>
          <w:highlight w:val="none"/>
        </w:rPr>
      </w:pPr>
      <w:bookmarkStart w:id="506" w:name="_Toc7039"/>
      <w:bookmarkStart w:id="507" w:name="_Toc352691655"/>
      <w:bookmarkStart w:id="508" w:name="_Toc369531691"/>
      <w:r>
        <w:rPr>
          <w:rFonts w:hint="eastAsia" w:ascii="仿宋" w:hAnsi="仿宋" w:eastAsia="仿宋" w:cs="仿宋"/>
          <w:color w:val="auto"/>
          <w:highlight w:val="none"/>
        </w:rPr>
        <w:t>……</w:t>
      </w:r>
    </w:p>
    <w:p>
      <w:pPr>
        <w:shd w:val="clear"/>
        <w:spacing w:line="540" w:lineRule="exact"/>
        <w:rPr>
          <w:rFonts w:ascii="仿宋" w:hAnsi="仿宋" w:eastAsia="仿宋" w:cs="仿宋"/>
          <w:color w:val="auto"/>
          <w:sz w:val="20"/>
          <w:highlight w:val="none"/>
        </w:rPr>
      </w:pPr>
      <w:r>
        <w:rPr>
          <w:rFonts w:hint="eastAsia" w:ascii="仿宋" w:hAnsi="仿宋" w:eastAsia="仿宋" w:cs="仿宋"/>
          <w:color w:val="auto"/>
          <w:highlight w:val="none"/>
        </w:rPr>
        <w:br w:type="page"/>
      </w:r>
    </w:p>
    <w:bookmarkEnd w:id="506"/>
    <w:bookmarkEnd w:id="507"/>
    <w:bookmarkEnd w:id="508"/>
    <w:p>
      <w:pPr>
        <w:pStyle w:val="4"/>
        <w:shd w:val="clear"/>
        <w:spacing w:line="360" w:lineRule="auto"/>
        <w:jc w:val="center"/>
        <w:rPr>
          <w:rFonts w:ascii="仿宋" w:hAnsi="仿宋" w:eastAsia="仿宋" w:cs="仿宋"/>
          <w:color w:val="auto"/>
          <w:highlight w:val="none"/>
        </w:rPr>
      </w:pPr>
      <w:bookmarkStart w:id="509" w:name="_Toc512012360"/>
      <w:bookmarkStart w:id="510" w:name="_Toc6218769"/>
      <w:bookmarkStart w:id="511" w:name="_Toc56856960"/>
      <w:bookmarkStart w:id="512" w:name="_Toc6218666"/>
      <w:r>
        <w:rPr>
          <w:rFonts w:hint="eastAsia" w:ascii="仿宋" w:hAnsi="仿宋" w:eastAsia="仿宋" w:cs="仿宋"/>
          <w:color w:val="auto"/>
          <w:highlight w:val="none"/>
        </w:rPr>
        <w:t>评标办法响应情况索引</w:t>
      </w:r>
      <w:bookmarkEnd w:id="509"/>
      <w:bookmarkEnd w:id="510"/>
      <w:bookmarkEnd w:id="511"/>
      <w:bookmarkEnd w:id="512"/>
    </w:p>
    <w:p>
      <w:pPr>
        <w:shd w:val="clear"/>
        <w:rPr>
          <w:rFonts w:ascii="仿宋" w:hAnsi="仿宋" w:eastAsia="仿宋" w:cs="仿宋"/>
          <w:b/>
          <w:color w:val="auto"/>
          <w:highlight w:val="none"/>
        </w:rPr>
      </w:pPr>
      <w:r>
        <w:rPr>
          <w:rFonts w:hint="eastAsia" w:ascii="仿宋" w:hAnsi="仿宋" w:eastAsia="仿宋" w:cs="仿宋"/>
          <w:b/>
          <w:color w:val="auto"/>
          <w:highlight w:val="none"/>
        </w:rPr>
        <w:t>请投标人按评标办法各评审表格的格式填写下述表格，注明对各评审项目响应情况所在的投标文件页码：</w:t>
      </w:r>
    </w:p>
    <w:p>
      <w:pPr>
        <w:shd w:val="clear"/>
        <w:rPr>
          <w:rFonts w:ascii="仿宋" w:hAnsi="仿宋" w:eastAsia="仿宋" w:cs="仿宋"/>
          <w:b/>
          <w:color w:val="auto"/>
          <w:highlight w:val="none"/>
        </w:rPr>
      </w:pPr>
      <w:r>
        <w:rPr>
          <w:rFonts w:hint="eastAsia" w:ascii="仿宋" w:hAnsi="仿宋" w:eastAsia="仿宋" w:cs="仿宋"/>
          <w:b/>
          <w:color w:val="auto"/>
          <w:highlight w:val="none"/>
        </w:rPr>
        <w:t>注：下面提供的表格仅供投标人参考，具体评审内容，请以评标办法所附的各表格为准。</w:t>
      </w:r>
    </w:p>
    <w:p>
      <w:pPr>
        <w:shd w:val="clear"/>
        <w:jc w:val="center"/>
        <w:rPr>
          <w:rFonts w:ascii="仿宋" w:hAnsi="仿宋" w:eastAsia="仿宋" w:cs="仿宋"/>
          <w:bCs/>
          <w:color w:val="auto"/>
          <w:highlight w:val="none"/>
        </w:rPr>
      </w:pPr>
    </w:p>
    <w:p>
      <w:pPr>
        <w:shd w:val="clear"/>
        <w:rPr>
          <w:rFonts w:ascii="仿宋" w:hAnsi="仿宋" w:eastAsia="仿宋" w:cs="仿宋"/>
          <w:bCs/>
          <w:color w:val="auto"/>
          <w:highlight w:val="none"/>
        </w:rPr>
      </w:pPr>
      <w:r>
        <w:rPr>
          <w:rFonts w:hint="eastAsia" w:ascii="仿宋" w:hAnsi="仿宋" w:eastAsia="仿宋" w:cs="仿宋"/>
          <w:bCs/>
          <w:color w:val="auto"/>
          <w:highlight w:val="none"/>
        </w:rPr>
        <w:t>附表一：初步评审索引</w:t>
      </w:r>
    </w:p>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5131"/>
        <w:gridCol w:w="2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评审因素</w:t>
            </w: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投标人响应情况（所在投标文件页码）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spacing w:line="440" w:lineRule="exact"/>
              <w:jc w:val="center"/>
              <w:rPr>
                <w:rFonts w:ascii="仿宋" w:hAnsi="仿宋" w:eastAsia="仿宋" w:cs="仿宋"/>
                <w:color w:val="auto"/>
                <w:highlight w:val="none"/>
              </w:rPr>
            </w:pP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spacing w:line="440" w:lineRule="exact"/>
              <w:jc w:val="center"/>
              <w:rPr>
                <w:rFonts w:ascii="仿宋" w:hAnsi="仿宋" w:eastAsia="仿宋" w:cs="仿宋"/>
                <w:color w:val="auto"/>
                <w:highlight w:val="none"/>
              </w:rPr>
            </w:pP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spacing w:line="440" w:lineRule="exact"/>
              <w:jc w:val="center"/>
              <w:rPr>
                <w:rFonts w:ascii="仿宋" w:hAnsi="仿宋" w:eastAsia="仿宋" w:cs="仿宋"/>
                <w:color w:val="auto"/>
                <w:highlight w:val="none"/>
              </w:rPr>
            </w:pP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spacing w:line="440" w:lineRule="exact"/>
              <w:jc w:val="center"/>
              <w:rPr>
                <w:rFonts w:ascii="仿宋" w:hAnsi="仿宋" w:eastAsia="仿宋" w:cs="仿宋"/>
                <w:color w:val="auto"/>
                <w:highlight w:val="none"/>
              </w:rPr>
            </w:pP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r>
    </w:tbl>
    <w:p>
      <w:pPr>
        <w:shd w:val="clear"/>
        <w:rPr>
          <w:rFonts w:ascii="仿宋" w:hAnsi="仿宋" w:eastAsia="仿宋" w:cs="仿宋"/>
          <w:bCs/>
          <w:color w:val="auto"/>
          <w:highlight w:val="none"/>
        </w:rPr>
      </w:pPr>
    </w:p>
    <w:p>
      <w:pPr>
        <w:shd w:val="clear"/>
        <w:rPr>
          <w:rFonts w:ascii="仿宋" w:hAnsi="仿宋" w:eastAsia="仿宋" w:cs="仿宋"/>
          <w:bCs/>
          <w:color w:val="auto"/>
          <w:highlight w:val="none"/>
        </w:rPr>
      </w:pPr>
      <w:r>
        <w:rPr>
          <w:rFonts w:hint="eastAsia" w:ascii="仿宋" w:hAnsi="仿宋" w:eastAsia="仿宋" w:cs="仿宋"/>
          <w:bCs/>
          <w:color w:val="auto"/>
          <w:highlight w:val="none"/>
        </w:rPr>
        <w:t>附表二：商务部分详细评审索引</w:t>
      </w:r>
    </w:p>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5131"/>
        <w:gridCol w:w="2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评审内容</w:t>
            </w: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投标人响应情况（所在投标文件页码）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r>
    </w:tbl>
    <w:p>
      <w:pPr>
        <w:shd w:val="clear"/>
        <w:rPr>
          <w:rFonts w:ascii="仿宋" w:hAnsi="仿宋" w:eastAsia="仿宋" w:cs="仿宋"/>
          <w:color w:val="auto"/>
          <w:highlight w:val="none"/>
        </w:rPr>
      </w:pPr>
    </w:p>
    <w:p>
      <w:pPr>
        <w:shd w:val="clear"/>
        <w:rPr>
          <w:rFonts w:ascii="仿宋" w:hAnsi="仿宋" w:eastAsia="仿宋" w:cs="仿宋"/>
          <w:bCs/>
          <w:color w:val="auto"/>
          <w:highlight w:val="none"/>
        </w:rPr>
      </w:pPr>
      <w:r>
        <w:rPr>
          <w:rFonts w:hint="eastAsia" w:ascii="仿宋" w:hAnsi="仿宋" w:eastAsia="仿宋" w:cs="仿宋"/>
          <w:bCs/>
          <w:color w:val="auto"/>
          <w:highlight w:val="none"/>
        </w:rPr>
        <w:t>附表三：技术部分详细评审索引</w:t>
      </w:r>
    </w:p>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5131"/>
        <w:gridCol w:w="2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评审内容</w:t>
            </w: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投标人响应情况（所在投标文件页码）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3010" w:type="pct"/>
            <w:vAlign w:val="center"/>
          </w:tcPr>
          <w:p>
            <w:pPr>
              <w:shd w:val="clear"/>
              <w:jc w:val="center"/>
              <w:rPr>
                <w:rFonts w:ascii="仿宋" w:hAnsi="仿宋" w:eastAsia="仿宋" w:cs="仿宋"/>
                <w:color w:val="auto"/>
                <w:highlight w:val="none"/>
              </w:rPr>
            </w:pPr>
          </w:p>
        </w:tc>
        <w:tc>
          <w:tcPr>
            <w:tcW w:w="1501" w:type="pct"/>
          </w:tcPr>
          <w:p>
            <w:pPr>
              <w:shd w:val="clear"/>
              <w:jc w:val="center"/>
              <w:rPr>
                <w:rFonts w:ascii="仿宋" w:hAnsi="仿宋" w:eastAsia="仿宋" w:cs="仿宋"/>
                <w:color w:val="auto"/>
                <w:highlight w:val="none"/>
              </w:rPr>
            </w:pPr>
          </w:p>
        </w:tc>
      </w:tr>
    </w:tbl>
    <w:p>
      <w:pPr>
        <w:shd w:val="clear"/>
        <w:rPr>
          <w:rFonts w:ascii="仿宋" w:hAnsi="仿宋" w:eastAsia="仿宋" w:cs="仿宋"/>
          <w:color w:val="auto"/>
          <w:highlight w:val="none"/>
        </w:rPr>
      </w:pPr>
    </w:p>
    <w:p>
      <w:pPr>
        <w:shd w:val="clear"/>
        <w:rPr>
          <w:rFonts w:ascii="仿宋" w:hAnsi="仿宋" w:eastAsia="仿宋" w:cs="仿宋"/>
          <w:bCs/>
          <w:color w:val="auto"/>
          <w:highlight w:val="none"/>
        </w:rPr>
      </w:pPr>
      <w:r>
        <w:rPr>
          <w:rFonts w:hint="eastAsia" w:ascii="仿宋" w:hAnsi="仿宋" w:eastAsia="仿宋" w:cs="仿宋"/>
          <w:bCs/>
          <w:color w:val="auto"/>
          <w:highlight w:val="none"/>
        </w:rPr>
        <w:t>附表四：价格部分详细评审索引</w:t>
      </w:r>
    </w:p>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5131"/>
        <w:gridCol w:w="2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评审内容</w:t>
            </w: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投标人响应情况（所在投标文件页码）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3010"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r>
              <w:rPr>
                <w:rFonts w:hint="eastAsia" w:ascii="仿宋" w:hAnsi="仿宋" w:eastAsia="仿宋" w:cs="仿宋"/>
                <w:color w:val="auto"/>
                <w:highlight w:val="none"/>
              </w:rPr>
              <w:t>投标报价</w:t>
            </w:r>
          </w:p>
        </w:tc>
        <w:tc>
          <w:tcPr>
            <w:tcW w:w="1501" w:type="pct"/>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r>
    </w:tbl>
    <w:p>
      <w:pPr>
        <w:shd w:val="clear"/>
        <w:rPr>
          <w:rFonts w:ascii="仿宋" w:hAnsi="仿宋" w:eastAsia="仿宋" w:cs="仿宋"/>
          <w:color w:val="auto"/>
          <w:highlight w:val="none"/>
        </w:rPr>
      </w:pPr>
    </w:p>
    <w:p>
      <w:pPr>
        <w:shd w:val="clear"/>
        <w:rPr>
          <w:rFonts w:ascii="仿宋" w:hAnsi="仿宋" w:eastAsia="仿宋" w:cs="仿宋"/>
          <w:color w:val="auto"/>
          <w:highlight w:val="none"/>
        </w:rPr>
      </w:pPr>
      <w:r>
        <w:rPr>
          <w:rFonts w:hint="eastAsia" w:ascii="仿宋" w:hAnsi="仿宋" w:eastAsia="仿宋" w:cs="仿宋"/>
          <w:color w:val="auto"/>
          <w:highlight w:val="none"/>
        </w:rPr>
        <w:t>注：1.为便于评审，投标文件编制过程中，除编制相对应的目录外，还需编制评标索引。按上表展开。</w:t>
      </w:r>
    </w:p>
    <w:p>
      <w:pPr>
        <w:shd w:val="clear"/>
        <w:ind w:firstLine="420" w:firstLineChars="200"/>
        <w:rPr>
          <w:rFonts w:ascii="仿宋" w:hAnsi="仿宋" w:eastAsia="仿宋" w:cs="仿宋"/>
          <w:color w:val="auto"/>
          <w:highlight w:val="none"/>
        </w:rPr>
      </w:pPr>
      <w:r>
        <w:rPr>
          <w:rFonts w:hint="eastAsia" w:ascii="仿宋" w:hAnsi="仿宋" w:eastAsia="仿宋" w:cs="仿宋"/>
          <w:color w:val="auto"/>
          <w:highlight w:val="none"/>
        </w:rPr>
        <w:t>2.投标人编制的索引表应包括与评标办法附表相对应的索引表。</w:t>
      </w:r>
    </w:p>
    <w:p>
      <w:pPr>
        <w:shd w:val="clear"/>
        <w:ind w:firstLine="420" w:firstLineChars="200"/>
        <w:rPr>
          <w:rFonts w:ascii="仿宋" w:hAnsi="仿宋" w:eastAsia="仿宋" w:cs="仿宋"/>
          <w:color w:val="auto"/>
          <w:highlight w:val="none"/>
        </w:rPr>
      </w:pPr>
      <w:r>
        <w:rPr>
          <w:rFonts w:hint="eastAsia" w:ascii="仿宋" w:hAnsi="仿宋" w:eastAsia="仿宋" w:cs="仿宋"/>
          <w:color w:val="auto"/>
          <w:highlight w:val="none"/>
        </w:rPr>
        <w:t>3.索引列于投标文件首页，随后再放置目录。</w:t>
      </w:r>
    </w:p>
    <w:p>
      <w:pPr>
        <w:shd w:val="clear"/>
        <w:ind w:firstLine="422" w:firstLineChars="200"/>
        <w:rPr>
          <w:rFonts w:ascii="仿宋" w:hAnsi="仿宋" w:eastAsia="仿宋" w:cs="仿宋"/>
          <w:color w:val="auto"/>
          <w:highlight w:val="none"/>
        </w:rPr>
      </w:pPr>
      <w:r>
        <w:rPr>
          <w:rFonts w:hint="eastAsia" w:ascii="仿宋" w:hAnsi="仿宋" w:eastAsia="仿宋" w:cs="仿宋"/>
          <w:b/>
          <w:color w:val="auto"/>
          <w:highlight w:val="none"/>
        </w:rPr>
        <w:t>4.投标人未提供本索引表的，评标过程中不能找到相应评审内容的，由此造成的后果由投标人承担。</w:t>
      </w:r>
    </w:p>
    <w:p>
      <w:pPr>
        <w:shd w:val="clear"/>
        <w:jc w:val="center"/>
        <w:rPr>
          <w:rFonts w:ascii="仿宋" w:hAnsi="仿宋" w:eastAsia="仿宋" w:cs="仿宋"/>
          <w:color w:val="auto"/>
          <w:highlight w:val="none"/>
        </w:rPr>
      </w:pPr>
      <w:r>
        <w:rPr>
          <w:rFonts w:hint="eastAsia" w:ascii="仿宋" w:hAnsi="仿宋" w:eastAsia="仿宋" w:cs="仿宋"/>
          <w:color w:val="auto"/>
          <w:highlight w:val="none"/>
        </w:rPr>
        <w:br w:type="page"/>
      </w:r>
    </w:p>
    <w:p>
      <w:pPr>
        <w:pStyle w:val="4"/>
        <w:shd w:val="clear"/>
        <w:jc w:val="center"/>
        <w:rPr>
          <w:rFonts w:ascii="仿宋" w:hAnsi="仿宋" w:eastAsia="仿宋" w:cs="仿宋"/>
          <w:color w:val="auto"/>
          <w:highlight w:val="none"/>
        </w:rPr>
      </w:pPr>
      <w:bookmarkStart w:id="513" w:name="_Toc56856961"/>
      <w:r>
        <w:rPr>
          <w:rFonts w:hint="eastAsia" w:ascii="仿宋" w:hAnsi="仿宋" w:eastAsia="仿宋" w:cs="仿宋"/>
          <w:color w:val="auto"/>
          <w:highlight w:val="none"/>
        </w:rPr>
        <w:t>一、投标</w:t>
      </w:r>
      <w:bookmarkStart w:id="514" w:name="_Toc352691656"/>
      <w:bookmarkStart w:id="515" w:name="_Toc369531692"/>
      <w:bookmarkStart w:id="516" w:name="_Toc6931"/>
      <w:r>
        <w:rPr>
          <w:rFonts w:hint="eastAsia" w:ascii="仿宋" w:hAnsi="仿宋" w:eastAsia="仿宋" w:cs="仿宋"/>
          <w:color w:val="auto"/>
          <w:highlight w:val="none"/>
        </w:rPr>
        <w:t>函及投标函附录</w:t>
      </w:r>
      <w:bookmarkEnd w:id="513"/>
    </w:p>
    <w:bookmarkEnd w:id="514"/>
    <w:bookmarkEnd w:id="515"/>
    <w:bookmarkEnd w:id="516"/>
    <w:p>
      <w:pPr>
        <w:pStyle w:val="5"/>
        <w:shd w:val="clear"/>
        <w:ind w:firstLine="137"/>
        <w:rPr>
          <w:rFonts w:ascii="仿宋" w:hAnsi="仿宋" w:eastAsia="仿宋" w:cs="仿宋"/>
          <w:color w:val="auto"/>
          <w:highlight w:val="none"/>
        </w:rPr>
      </w:pPr>
      <w:bookmarkStart w:id="517" w:name="_Toc482188651"/>
      <w:bookmarkStart w:id="518" w:name="_Toc359594235"/>
      <w:bookmarkStart w:id="519" w:name="_Toc391394111"/>
      <w:bookmarkStart w:id="520" w:name="_Toc370676426"/>
      <w:bookmarkStart w:id="521" w:name="_Toc56856962"/>
      <w:bookmarkStart w:id="522" w:name="_Toc385943065"/>
      <w:r>
        <w:rPr>
          <w:rFonts w:hint="eastAsia" w:ascii="仿宋" w:hAnsi="仿宋" w:eastAsia="仿宋" w:cs="仿宋"/>
          <w:color w:val="auto"/>
          <w:highlight w:val="none"/>
        </w:rPr>
        <w:t>（一）投标函</w:t>
      </w:r>
      <w:bookmarkEnd w:id="517"/>
      <w:bookmarkEnd w:id="518"/>
      <w:bookmarkEnd w:id="519"/>
      <w:bookmarkEnd w:id="520"/>
      <w:bookmarkEnd w:id="521"/>
      <w:bookmarkEnd w:id="522"/>
    </w:p>
    <w:p>
      <w:pPr>
        <w:shd w:val="clear"/>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（招标人名称）：</w:t>
      </w:r>
    </w:p>
    <w:p>
      <w:pPr>
        <w:shd w:val="clear"/>
        <w:spacing w:line="440" w:lineRule="exact"/>
        <w:ind w:firstLine="405"/>
        <w:rPr>
          <w:rFonts w:ascii="仿宋" w:hAnsi="仿宋" w:eastAsia="仿宋" w:cs="仿宋"/>
          <w:color w:val="auto"/>
          <w:szCs w:val="21"/>
          <w:highlight w:val="none"/>
        </w:rPr>
      </w:pPr>
      <w:r>
        <w:rPr>
          <w:rFonts w:hint="eastAsia" w:ascii="仿宋" w:hAnsi="仿宋" w:eastAsia="仿宋" w:cs="仿宋"/>
          <w:color w:val="auto"/>
          <w:szCs w:val="21"/>
          <w:highlight w:val="none"/>
        </w:rPr>
        <w:t>1．我方已仔细研究了</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（项目名称）招标文件的全部内容，愿意以投标文件所填报的投标报价，按合同约定完成相关工作。</w:t>
      </w:r>
    </w:p>
    <w:p>
      <w:pPr>
        <w:shd w:val="clear"/>
        <w:spacing w:line="44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2. 我方的投标文件包括下列内容：</w:t>
      </w:r>
    </w:p>
    <w:p>
      <w:pPr>
        <w:shd w:val="clear"/>
        <w:spacing w:line="400" w:lineRule="exact"/>
        <w:ind w:firstLine="405"/>
        <w:rPr>
          <w:rFonts w:ascii="仿宋" w:hAnsi="仿宋" w:eastAsia="仿宋" w:cs="仿宋"/>
          <w:color w:val="auto"/>
          <w:szCs w:val="21"/>
          <w:highlight w:val="none"/>
        </w:rPr>
      </w:pPr>
      <w:r>
        <w:rPr>
          <w:rFonts w:hint="eastAsia" w:ascii="仿宋" w:hAnsi="仿宋" w:eastAsia="仿宋" w:cs="仿宋"/>
          <w:color w:val="auto"/>
          <w:szCs w:val="21"/>
          <w:highlight w:val="none"/>
        </w:rPr>
        <w:t>（1）投标函</w:t>
      </w:r>
      <w:r>
        <w:rPr>
          <w:rFonts w:hint="eastAsia" w:ascii="仿宋" w:hAnsi="仿宋" w:eastAsia="仿宋" w:cs="仿宋"/>
          <w:color w:val="auto"/>
          <w:highlight w:val="none"/>
        </w:rPr>
        <w:t>及投标函附录</w:t>
      </w:r>
      <w:r>
        <w:rPr>
          <w:rFonts w:hint="eastAsia" w:ascii="仿宋" w:hAnsi="仿宋" w:eastAsia="仿宋" w:cs="仿宋"/>
          <w:color w:val="auto"/>
          <w:szCs w:val="21"/>
          <w:highlight w:val="none"/>
        </w:rPr>
        <w:t>；</w:t>
      </w:r>
    </w:p>
    <w:p>
      <w:pPr>
        <w:shd w:val="clear"/>
        <w:spacing w:line="400" w:lineRule="exact"/>
        <w:ind w:firstLine="405"/>
        <w:rPr>
          <w:rFonts w:ascii="仿宋" w:hAnsi="仿宋" w:eastAsia="仿宋" w:cs="仿宋"/>
          <w:color w:val="auto"/>
          <w:szCs w:val="21"/>
          <w:highlight w:val="none"/>
        </w:rPr>
      </w:pPr>
      <w:r>
        <w:rPr>
          <w:rFonts w:hint="eastAsia" w:ascii="仿宋" w:hAnsi="仿宋" w:eastAsia="仿宋" w:cs="仿宋"/>
          <w:color w:val="auto"/>
          <w:szCs w:val="21"/>
          <w:highlight w:val="none"/>
        </w:rPr>
        <w:t>（2）法定代表人身份证明或授权委托书；</w:t>
      </w:r>
    </w:p>
    <w:p>
      <w:pPr>
        <w:shd w:val="clear"/>
        <w:spacing w:line="400" w:lineRule="exact"/>
        <w:ind w:firstLine="405"/>
        <w:rPr>
          <w:rFonts w:ascii="仿宋" w:hAnsi="仿宋" w:eastAsia="仿宋" w:cs="仿宋"/>
          <w:color w:val="auto"/>
          <w:szCs w:val="21"/>
          <w:highlight w:val="none"/>
        </w:rPr>
      </w:pPr>
      <w:r>
        <w:rPr>
          <w:rFonts w:hint="eastAsia" w:ascii="仿宋" w:hAnsi="仿宋" w:eastAsia="仿宋" w:cs="仿宋"/>
          <w:color w:val="auto"/>
          <w:szCs w:val="21"/>
          <w:highlight w:val="none"/>
        </w:rPr>
        <w:t>（3）</w:t>
      </w:r>
      <w:r>
        <w:rPr>
          <w:rFonts w:hint="eastAsia" w:ascii="仿宋" w:hAnsi="仿宋" w:eastAsia="仿宋" w:cs="仿宋"/>
          <w:color w:val="auto"/>
          <w:highlight w:val="none"/>
        </w:rPr>
        <w:t>投标报价表</w:t>
      </w:r>
      <w:r>
        <w:rPr>
          <w:rFonts w:hint="eastAsia" w:ascii="仿宋" w:hAnsi="仿宋" w:eastAsia="仿宋" w:cs="仿宋"/>
          <w:color w:val="auto"/>
          <w:szCs w:val="21"/>
          <w:highlight w:val="none"/>
        </w:rPr>
        <w:t>；</w:t>
      </w:r>
    </w:p>
    <w:p>
      <w:pPr>
        <w:shd w:val="clear"/>
        <w:spacing w:line="400" w:lineRule="exact"/>
        <w:ind w:firstLine="405"/>
        <w:rPr>
          <w:rFonts w:ascii="仿宋" w:hAnsi="仿宋" w:eastAsia="仿宋" w:cs="仿宋"/>
          <w:color w:val="auto"/>
          <w:szCs w:val="21"/>
          <w:highlight w:val="none"/>
        </w:rPr>
      </w:pPr>
      <w:r>
        <w:rPr>
          <w:rFonts w:hint="eastAsia" w:ascii="仿宋" w:hAnsi="仿宋" w:eastAsia="仿宋" w:cs="仿宋"/>
          <w:color w:val="auto"/>
          <w:szCs w:val="21"/>
          <w:highlight w:val="none"/>
        </w:rPr>
        <w:t>（4）资格审查资料；</w:t>
      </w:r>
    </w:p>
    <w:p>
      <w:pPr>
        <w:shd w:val="clear"/>
        <w:spacing w:line="400" w:lineRule="exact"/>
        <w:ind w:firstLine="405"/>
        <w:rPr>
          <w:rFonts w:ascii="仿宋" w:hAnsi="仿宋" w:eastAsia="仿宋" w:cs="仿宋"/>
          <w:color w:val="auto"/>
          <w:szCs w:val="21"/>
          <w:highlight w:val="none"/>
        </w:rPr>
      </w:pPr>
      <w:r>
        <w:rPr>
          <w:rFonts w:hint="eastAsia" w:ascii="仿宋" w:hAnsi="仿宋" w:eastAsia="仿宋" w:cs="仿宋"/>
          <w:color w:val="auto"/>
          <w:szCs w:val="21"/>
          <w:highlight w:val="none"/>
        </w:rPr>
        <w:t>……</w:t>
      </w:r>
    </w:p>
    <w:p>
      <w:pPr>
        <w:shd w:val="clear"/>
        <w:spacing w:line="44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投标文件的上述组成部分如存在内容不一致的，以投标函为准。</w:t>
      </w:r>
    </w:p>
    <w:p>
      <w:pPr>
        <w:shd w:val="clear"/>
        <w:spacing w:line="44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3．我方承诺在招标文件规定的投标有效期内不撤销投标文件。</w:t>
      </w:r>
    </w:p>
    <w:p>
      <w:pPr>
        <w:shd w:val="clear"/>
        <w:spacing w:line="44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4．如我方中标，我方承诺：</w:t>
      </w:r>
    </w:p>
    <w:p>
      <w:pPr>
        <w:shd w:val="clear"/>
        <w:spacing w:line="440" w:lineRule="exact"/>
        <w:ind w:left="945" w:leftChars="400" w:hanging="105" w:hangingChars="50"/>
        <w:rPr>
          <w:rFonts w:ascii="仿宋" w:hAnsi="仿宋" w:eastAsia="仿宋" w:cs="仿宋"/>
          <w:color w:val="auto"/>
          <w:szCs w:val="21"/>
          <w:highlight w:val="none"/>
        </w:rPr>
      </w:pPr>
      <w:r>
        <w:rPr>
          <w:rFonts w:hint="eastAsia" w:ascii="仿宋" w:hAnsi="仿宋" w:eastAsia="仿宋" w:cs="仿宋"/>
          <w:color w:val="auto"/>
          <w:szCs w:val="21"/>
          <w:highlight w:val="none"/>
        </w:rPr>
        <w:t>（1）在收到中标通知书后，在中标通知书规定的期限内与你方签订合同；</w:t>
      </w:r>
    </w:p>
    <w:p>
      <w:pPr>
        <w:shd w:val="clear"/>
        <w:spacing w:line="440" w:lineRule="exact"/>
        <w:ind w:left="945" w:leftChars="400" w:hanging="105" w:hangingChars="50"/>
        <w:rPr>
          <w:rFonts w:ascii="仿宋" w:hAnsi="仿宋" w:eastAsia="仿宋" w:cs="仿宋"/>
          <w:color w:val="auto"/>
          <w:szCs w:val="21"/>
          <w:highlight w:val="none"/>
        </w:rPr>
      </w:pPr>
      <w:r>
        <w:rPr>
          <w:rFonts w:hint="eastAsia" w:ascii="仿宋" w:hAnsi="仿宋" w:eastAsia="仿宋" w:cs="仿宋"/>
          <w:color w:val="auto"/>
          <w:szCs w:val="21"/>
          <w:highlight w:val="none"/>
        </w:rPr>
        <w:t>（2）在签订合同时不向你方提出附加条件；</w:t>
      </w:r>
    </w:p>
    <w:p>
      <w:pPr>
        <w:shd w:val="clear"/>
        <w:spacing w:line="440" w:lineRule="exact"/>
        <w:ind w:left="945" w:leftChars="400" w:hanging="105" w:hangingChars="50"/>
        <w:rPr>
          <w:rFonts w:ascii="仿宋" w:hAnsi="仿宋" w:eastAsia="仿宋" w:cs="仿宋"/>
          <w:color w:val="auto"/>
          <w:szCs w:val="21"/>
          <w:highlight w:val="none"/>
        </w:rPr>
      </w:pPr>
      <w:r>
        <w:rPr>
          <w:rFonts w:hint="eastAsia" w:ascii="仿宋" w:hAnsi="仿宋" w:eastAsia="仿宋" w:cs="仿宋"/>
          <w:color w:val="auto"/>
          <w:szCs w:val="21"/>
          <w:highlight w:val="none"/>
        </w:rPr>
        <w:t>（3）按照招标文件要求提交履约保证金；</w:t>
      </w:r>
      <w:bookmarkStart w:id="523" w:name="_Toc369531694"/>
      <w:bookmarkStart w:id="524" w:name="_Toc352691658"/>
      <w:bookmarkStart w:id="525" w:name="_Toc1187"/>
    </w:p>
    <w:p>
      <w:pPr>
        <w:shd w:val="clear"/>
        <w:spacing w:line="440" w:lineRule="exact"/>
        <w:ind w:left="945" w:leftChars="400" w:hanging="105" w:hangingChars="50"/>
        <w:rPr>
          <w:rFonts w:ascii="仿宋" w:hAnsi="仿宋" w:eastAsia="仿宋" w:cs="仿宋"/>
          <w:color w:val="auto"/>
          <w:szCs w:val="21"/>
          <w:highlight w:val="none"/>
        </w:rPr>
      </w:pPr>
      <w:r>
        <w:rPr>
          <w:rFonts w:hint="eastAsia" w:ascii="仿宋" w:hAnsi="仿宋" w:eastAsia="仿宋" w:cs="仿宋"/>
          <w:color w:val="auto"/>
          <w:szCs w:val="21"/>
          <w:highlight w:val="none"/>
        </w:rPr>
        <w:t>（4）在合</w:t>
      </w:r>
      <w:bookmarkEnd w:id="523"/>
      <w:bookmarkEnd w:id="524"/>
      <w:bookmarkEnd w:id="525"/>
      <w:r>
        <w:rPr>
          <w:rFonts w:hint="eastAsia" w:ascii="仿宋" w:hAnsi="仿宋" w:eastAsia="仿宋" w:cs="仿宋"/>
          <w:color w:val="auto"/>
          <w:szCs w:val="21"/>
          <w:highlight w:val="none"/>
        </w:rPr>
        <w:t>同约定的期限内完成合同规定的全部义务。</w:t>
      </w:r>
    </w:p>
    <w:p>
      <w:pPr>
        <w:shd w:val="clear"/>
        <w:spacing w:line="44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5．我方在此声明，所递交的投标文件及有关资料内容完整、真实和准确，且不存在第二章“投标人须知”第1.4.3项规定的任何一种情形。</w:t>
      </w:r>
    </w:p>
    <w:p>
      <w:pPr>
        <w:shd w:val="clear"/>
        <w:spacing w:line="44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6．</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rPr>
        <w:t>（其他补充说明）。</w:t>
      </w:r>
    </w:p>
    <w:bookmarkEnd w:id="491"/>
    <w:bookmarkEnd w:id="492"/>
    <w:bookmarkEnd w:id="493"/>
    <w:bookmarkEnd w:id="494"/>
    <w:bookmarkEnd w:id="495"/>
    <w:bookmarkEnd w:id="496"/>
    <w:bookmarkEnd w:id="497"/>
    <w:bookmarkEnd w:id="498"/>
    <w:bookmarkEnd w:id="499"/>
    <w:p>
      <w:pPr>
        <w:shd w:val="clear"/>
        <w:spacing w:line="440" w:lineRule="exact"/>
        <w:ind w:firstLine="2520" w:firstLineChars="1200"/>
        <w:jc w:val="left"/>
        <w:rPr>
          <w:rFonts w:ascii="仿宋" w:hAnsi="仿宋" w:eastAsia="仿宋" w:cs="仿宋"/>
          <w:color w:val="auto"/>
          <w:szCs w:val="21"/>
          <w:highlight w:val="none"/>
        </w:rPr>
      </w:pPr>
      <w:bookmarkStart w:id="526" w:name="_Toc16568"/>
      <w:bookmarkEnd w:id="526"/>
      <w:bookmarkStart w:id="527" w:name="_Toc16824"/>
      <w:bookmarkEnd w:id="527"/>
      <w:bookmarkStart w:id="528" w:name="_Toc352691659"/>
      <w:bookmarkEnd w:id="528"/>
      <w:bookmarkStart w:id="529" w:name="_Toc352691660"/>
      <w:bookmarkEnd w:id="529"/>
      <w:bookmarkStart w:id="530" w:name="_Toc369531695"/>
      <w:bookmarkEnd w:id="530"/>
      <w:bookmarkStart w:id="531" w:name="_Toc369531696"/>
      <w:bookmarkEnd w:id="531"/>
      <w:r>
        <w:rPr>
          <w:rFonts w:hint="eastAsia" w:ascii="仿宋" w:hAnsi="仿宋" w:eastAsia="仿宋" w:cs="仿宋"/>
          <w:color w:val="auto"/>
          <w:szCs w:val="21"/>
          <w:highlight w:val="none"/>
        </w:rPr>
        <w:t>投 标 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rPr>
        <w:t>（盖章）</w:t>
      </w:r>
    </w:p>
    <w:p>
      <w:pPr>
        <w:shd w:val="clear"/>
        <w:spacing w:line="440" w:lineRule="exact"/>
        <w:ind w:firstLine="2520" w:firstLineChars="1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地    址：</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p>
    <w:p>
      <w:pPr>
        <w:shd w:val="clear"/>
        <w:spacing w:line="440" w:lineRule="exact"/>
        <w:ind w:firstLine="2520" w:firstLineChars="1200"/>
        <w:jc w:val="left"/>
        <w:rPr>
          <w:rFonts w:ascii="仿宋" w:hAnsi="仿宋" w:eastAsia="仿宋" w:cs="仿宋"/>
          <w:color w:val="auto"/>
          <w:szCs w:val="21"/>
          <w:highlight w:val="none"/>
        </w:rPr>
      </w:pPr>
      <w:r>
        <w:rPr>
          <w:rFonts w:hint="eastAsia" w:ascii="仿宋" w:hAnsi="仿宋" w:eastAsia="仿宋" w:cs="仿宋"/>
          <w:color w:val="auto"/>
          <w:szCs w:val="21"/>
          <w:highlight w:val="none"/>
        </w:rPr>
        <w:t>网    址：</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p>
    <w:p>
      <w:pPr>
        <w:shd w:val="clear"/>
        <w:spacing w:line="440" w:lineRule="exact"/>
        <w:ind w:firstLine="2520" w:firstLineChars="1200"/>
        <w:jc w:val="left"/>
        <w:rPr>
          <w:rFonts w:ascii="仿宋" w:hAnsi="仿宋" w:eastAsia="仿宋" w:cs="仿宋"/>
          <w:color w:val="auto"/>
          <w:szCs w:val="21"/>
          <w:highlight w:val="none"/>
        </w:rPr>
      </w:pPr>
      <w:r>
        <w:rPr>
          <w:rFonts w:hint="eastAsia" w:ascii="仿宋" w:hAnsi="仿宋" w:eastAsia="仿宋" w:cs="仿宋"/>
          <w:color w:val="auto"/>
          <w:szCs w:val="21"/>
          <w:highlight w:val="none"/>
        </w:rPr>
        <w:t>电    话：</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p>
    <w:p>
      <w:pPr>
        <w:shd w:val="clear"/>
        <w:spacing w:line="440" w:lineRule="exact"/>
        <w:ind w:firstLine="2520" w:firstLineChars="1200"/>
        <w:jc w:val="left"/>
        <w:rPr>
          <w:rFonts w:ascii="仿宋" w:hAnsi="仿宋" w:eastAsia="仿宋" w:cs="仿宋"/>
          <w:color w:val="auto"/>
          <w:szCs w:val="21"/>
          <w:highlight w:val="none"/>
        </w:rPr>
      </w:pPr>
      <w:r>
        <w:rPr>
          <w:rFonts w:hint="eastAsia" w:ascii="仿宋" w:hAnsi="仿宋" w:eastAsia="仿宋" w:cs="仿宋"/>
          <w:color w:val="auto"/>
          <w:szCs w:val="21"/>
          <w:highlight w:val="none"/>
        </w:rPr>
        <w:t>传    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p>
    <w:p>
      <w:pPr>
        <w:shd w:val="clear"/>
        <w:spacing w:line="440" w:lineRule="exact"/>
        <w:ind w:firstLine="2520" w:firstLineChars="1200"/>
        <w:jc w:val="left"/>
        <w:rPr>
          <w:rFonts w:ascii="仿宋" w:hAnsi="仿宋" w:eastAsia="仿宋" w:cs="仿宋"/>
          <w:color w:val="auto"/>
          <w:szCs w:val="21"/>
          <w:highlight w:val="none"/>
        </w:rPr>
      </w:pPr>
      <w:r>
        <w:rPr>
          <w:rFonts w:hint="eastAsia" w:ascii="仿宋" w:hAnsi="仿宋" w:eastAsia="仿宋" w:cs="仿宋"/>
          <w:color w:val="auto"/>
          <w:szCs w:val="21"/>
          <w:highlight w:val="none"/>
        </w:rPr>
        <w:t>邮政编码：</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p>
    <w:p>
      <w:pPr>
        <w:shd w:val="clear"/>
        <w:spacing w:line="440" w:lineRule="exact"/>
        <w:ind w:firstLine="4725" w:firstLineChars="2250"/>
        <w:jc w:val="right"/>
        <w:rPr>
          <w:rFonts w:ascii="仿宋" w:hAnsi="仿宋" w:eastAsia="仿宋" w:cs="仿宋"/>
          <w:color w:val="auto"/>
          <w:sz w:val="20"/>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szCs w:val="21"/>
          <w:highlight w:val="none"/>
        </w:rPr>
        <w:t>日</w:t>
      </w:r>
      <w:bookmarkStart w:id="532" w:name="_Toc144974856"/>
      <w:bookmarkStart w:id="533" w:name="_Toc247514246"/>
      <w:bookmarkStart w:id="534" w:name="_Toc152042576"/>
      <w:bookmarkStart w:id="535" w:name="_Toc247527827"/>
      <w:bookmarkStart w:id="536" w:name="_Toc384308375"/>
      <w:bookmarkStart w:id="537" w:name="_Toc17960"/>
      <w:bookmarkStart w:id="538" w:name="_Toc361508752"/>
      <w:bookmarkStart w:id="539" w:name="_Toc152045787"/>
      <w:bookmarkStart w:id="540" w:name="_Toc369531697"/>
      <w:bookmarkStart w:id="541" w:name="_Toc352691661"/>
      <w:bookmarkStart w:id="542" w:name="_Toc300835209"/>
    </w:p>
    <w:p>
      <w:pPr>
        <w:shd w:val="clear"/>
        <w:spacing w:line="440" w:lineRule="exact"/>
        <w:rPr>
          <w:rFonts w:ascii="仿宋" w:hAnsi="仿宋" w:eastAsia="仿宋" w:cs="仿宋"/>
          <w:color w:val="auto"/>
          <w:sz w:val="20"/>
          <w:highlight w:val="none"/>
        </w:rPr>
      </w:pPr>
      <w:r>
        <w:rPr>
          <w:rFonts w:hint="eastAsia" w:ascii="仿宋" w:hAnsi="仿宋" w:eastAsia="仿宋" w:cs="仿宋"/>
          <w:color w:val="auto"/>
          <w:szCs w:val="21"/>
          <w:highlight w:val="none"/>
        </w:rPr>
        <w:br w:type="page"/>
      </w:r>
    </w:p>
    <w:p>
      <w:pPr>
        <w:pStyle w:val="5"/>
        <w:shd w:val="clear"/>
        <w:ind w:firstLine="137"/>
        <w:rPr>
          <w:rFonts w:ascii="仿宋" w:hAnsi="仿宋" w:eastAsia="仿宋" w:cs="仿宋"/>
          <w:color w:val="auto"/>
          <w:highlight w:val="none"/>
        </w:rPr>
      </w:pPr>
      <w:bookmarkStart w:id="543" w:name="_Toc391394112"/>
      <w:bookmarkStart w:id="544" w:name="_Toc385943066"/>
      <w:bookmarkStart w:id="545" w:name="_Toc359594236"/>
      <w:bookmarkStart w:id="546" w:name="_Toc56856963"/>
      <w:bookmarkStart w:id="547" w:name="_Toc482188652"/>
      <w:bookmarkStart w:id="548" w:name="_Toc370676427"/>
      <w:r>
        <w:rPr>
          <w:rFonts w:hint="eastAsia" w:ascii="仿宋" w:hAnsi="仿宋" w:eastAsia="仿宋" w:cs="仿宋"/>
          <w:color w:val="auto"/>
          <w:highlight w:val="none"/>
        </w:rPr>
        <w:t>（二）投标函附录</w:t>
      </w:r>
      <w:bookmarkEnd w:id="543"/>
      <w:bookmarkEnd w:id="544"/>
      <w:bookmarkEnd w:id="545"/>
      <w:bookmarkEnd w:id="546"/>
      <w:bookmarkEnd w:id="547"/>
      <w:bookmarkEnd w:id="548"/>
    </w:p>
    <w:p>
      <w:pPr>
        <w:shd w:val="clear"/>
        <w:autoSpaceDE w:val="0"/>
        <w:autoSpaceDN w:val="0"/>
        <w:adjustRightInd w:val="0"/>
        <w:snapToGrid w:val="0"/>
        <w:spacing w:before="120" w:beforeLines="50" w:after="120" w:afterLines="50" w:line="360" w:lineRule="auto"/>
        <w:jc w:val="center"/>
        <w:rPr>
          <w:rFonts w:hint="eastAsia" w:ascii="仿宋" w:hAnsi="仿宋" w:eastAsia="仿宋" w:cs="仿宋"/>
          <w:b/>
          <w:bCs/>
          <w:color w:val="auto"/>
          <w:sz w:val="28"/>
          <w:highlight w:val="none"/>
          <w:lang w:eastAsia="zh-CN"/>
        </w:rPr>
      </w:pPr>
      <w:r>
        <w:rPr>
          <w:rFonts w:hint="eastAsia" w:ascii="仿宋" w:hAnsi="仿宋" w:eastAsia="仿宋" w:cs="仿宋"/>
          <w:b/>
          <w:bCs/>
          <w:color w:val="auto"/>
          <w:sz w:val="28"/>
          <w:highlight w:val="none"/>
        </w:rPr>
        <w:t>报价</w:t>
      </w:r>
      <w:r>
        <w:rPr>
          <w:rFonts w:hint="eastAsia" w:ascii="仿宋" w:hAnsi="仿宋" w:eastAsia="仿宋" w:cs="仿宋"/>
          <w:b/>
          <w:bCs/>
          <w:color w:val="auto"/>
          <w:sz w:val="28"/>
          <w:highlight w:val="none"/>
          <w:lang w:val="en-US" w:eastAsia="zh-CN"/>
        </w:rPr>
        <w:t>响应</w:t>
      </w:r>
    </w:p>
    <w:p>
      <w:pPr>
        <w:shd w:val="clear"/>
        <w:spacing w:line="30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pPr>
        <w:rPr>
          <w:rFonts w:hint="eastAsia"/>
        </w:rPr>
      </w:pPr>
    </w:p>
    <w:tbl>
      <w:tblPr>
        <w:tblStyle w:val="40"/>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5672"/>
        <w:gridCol w:w="1590"/>
        <w:gridCol w:w="125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3328"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投标内容</w:t>
            </w:r>
          </w:p>
        </w:tc>
        <w:tc>
          <w:tcPr>
            <w:tcW w:w="933" w:type="pct"/>
            <w:vAlign w:val="center"/>
          </w:tcPr>
          <w:p>
            <w:pPr>
              <w:jc w:val="center"/>
              <w:rPr>
                <w:rFonts w:hint="default"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是否完全响应</w:t>
            </w:r>
          </w:p>
        </w:tc>
        <w:tc>
          <w:tcPr>
            <w:tcW w:w="738" w:type="pct"/>
            <w:vAlign w:val="center"/>
          </w:tcPr>
          <w:p>
            <w:pPr>
              <w:jc w:val="center"/>
              <w:rPr>
                <w:rFonts w:ascii="仿宋" w:hAnsi="仿宋" w:eastAsia="仿宋" w:cs="仿宋"/>
                <w:b/>
                <w:color w:val="auto"/>
                <w:spacing w:val="4"/>
                <w:szCs w:val="21"/>
                <w:highlight w:val="none"/>
              </w:rPr>
            </w:pPr>
            <w:r>
              <w:rPr>
                <w:rFonts w:hint="eastAsia" w:ascii="仿宋" w:hAnsi="仿宋" w:eastAsia="仿宋" w:cs="仿宋"/>
                <w:b/>
                <w:color w:val="auto"/>
                <w:spacing w:val="4"/>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3" w:hRule="atLeast"/>
        </w:trPr>
        <w:tc>
          <w:tcPr>
            <w:tcW w:w="3328" w:type="pct"/>
            <w:vAlign w:val="center"/>
          </w:tcPr>
          <w:p>
            <w:pPr>
              <w:widowControl/>
              <w:jc w:val="left"/>
              <w:rPr>
                <w:rFonts w:hint="eastAsia" w:ascii="仿宋" w:hAnsi="仿宋" w:eastAsia="仿宋" w:cs="仿宋"/>
                <w:bCs/>
                <w:color w:val="auto"/>
                <w:kern w:val="0"/>
                <w:szCs w:val="21"/>
                <w:highlight w:val="none"/>
                <w:lang w:eastAsia="zh-CN"/>
              </w:rPr>
            </w:pPr>
            <w:r>
              <w:rPr>
                <w:rFonts w:hint="eastAsia" w:ascii="仿宋" w:hAnsi="仿宋" w:eastAsia="仿宋" w:cs="仿宋"/>
                <w:bCs/>
                <w:color w:val="auto"/>
                <w:kern w:val="0"/>
                <w:szCs w:val="21"/>
                <w:highlight w:val="none"/>
                <w:lang w:eastAsia="zh-CN"/>
              </w:rPr>
              <w:t>服务商使用规则：</w:t>
            </w:r>
          </w:p>
          <w:p>
            <w:pPr>
              <w:widowControl/>
              <w:jc w:val="left"/>
              <w:rPr>
                <w:rFonts w:hint="eastAsia" w:ascii="仿宋" w:hAnsi="仿宋" w:eastAsia="仿宋" w:cs="仿宋"/>
                <w:bCs/>
                <w:color w:val="auto"/>
                <w:kern w:val="0"/>
                <w:szCs w:val="21"/>
                <w:highlight w:val="none"/>
                <w:lang w:eastAsia="zh-CN"/>
              </w:rPr>
            </w:pPr>
            <w:r>
              <w:rPr>
                <w:rFonts w:hint="eastAsia" w:ascii="仿宋" w:hAnsi="仿宋" w:eastAsia="仿宋" w:cs="仿宋"/>
                <w:bCs/>
                <w:color w:val="auto"/>
                <w:kern w:val="0"/>
                <w:szCs w:val="21"/>
                <w:highlight w:val="none"/>
                <w:lang w:eastAsia="zh-CN"/>
              </w:rPr>
              <w:t>1.招标人通过人保系统物损管理模块发起物损询价流程；</w:t>
            </w:r>
          </w:p>
          <w:p>
            <w:pPr>
              <w:widowControl/>
              <w:jc w:val="left"/>
              <w:rPr>
                <w:rFonts w:hint="eastAsia" w:ascii="仿宋" w:hAnsi="仿宋" w:eastAsia="仿宋" w:cs="仿宋"/>
                <w:bCs/>
                <w:color w:val="auto"/>
                <w:kern w:val="0"/>
                <w:szCs w:val="21"/>
                <w:highlight w:val="none"/>
                <w:lang w:eastAsia="zh-CN"/>
              </w:rPr>
            </w:pPr>
            <w:r>
              <w:rPr>
                <w:rFonts w:hint="eastAsia" w:ascii="仿宋" w:hAnsi="仿宋" w:eastAsia="仿宋" w:cs="仿宋"/>
                <w:bCs/>
                <w:color w:val="auto"/>
                <w:kern w:val="0"/>
                <w:szCs w:val="21"/>
                <w:highlight w:val="none"/>
                <w:lang w:eastAsia="zh-CN"/>
              </w:rPr>
              <w:t>2.服务商结合物损管理模块发起的物损信息及影像资料，根据自身对物损维修或置换等市场行情熟知能力及优势，在物损管理模块约定的时间内完成报价并提交报价信息。如有必要或招标人有要求的，需到现场进行勘查、清点损失，与事故各方就物损恢复方案及价格进行协商沟通，并及时反馈沟通情况。现场勘查、清点损失、提供谈判技术支持、协助协商均为免费服务。</w:t>
            </w:r>
          </w:p>
          <w:p>
            <w:pPr>
              <w:widowControl/>
              <w:jc w:val="left"/>
              <w:rPr>
                <w:rFonts w:hint="eastAsia" w:ascii="仿宋" w:hAnsi="仿宋" w:eastAsia="仿宋" w:cs="仿宋"/>
                <w:bCs/>
                <w:color w:val="auto"/>
                <w:kern w:val="0"/>
                <w:szCs w:val="21"/>
                <w:highlight w:val="none"/>
                <w:lang w:eastAsia="zh-CN"/>
              </w:rPr>
            </w:pPr>
            <w:r>
              <w:rPr>
                <w:rFonts w:hint="eastAsia" w:ascii="仿宋" w:hAnsi="仿宋" w:eastAsia="仿宋" w:cs="仿宋"/>
                <w:bCs/>
                <w:color w:val="auto"/>
                <w:kern w:val="0"/>
                <w:szCs w:val="21"/>
                <w:highlight w:val="none"/>
                <w:lang w:eastAsia="zh-CN"/>
              </w:rPr>
              <w:t>3.根据物损第三方的维修报价及预估金额与物损方沟通，选择最优方案处理，如物损方同意采取兜底修复方式，由报价最低的第三方进行修复，且报价不能高于物损方报价。</w:t>
            </w:r>
          </w:p>
          <w:p>
            <w:pPr>
              <w:widowControl/>
              <w:jc w:val="left"/>
              <w:rPr>
                <w:rFonts w:hint="eastAsia" w:ascii="仿宋" w:hAnsi="仿宋" w:eastAsia="仿宋" w:cs="仿宋"/>
                <w:bCs/>
                <w:color w:val="auto"/>
                <w:kern w:val="0"/>
                <w:szCs w:val="21"/>
                <w:highlight w:val="none"/>
                <w:lang w:eastAsia="zh-CN"/>
              </w:rPr>
            </w:pPr>
            <w:r>
              <w:rPr>
                <w:rFonts w:hint="eastAsia" w:ascii="仿宋" w:hAnsi="仿宋" w:eastAsia="仿宋" w:cs="仿宋"/>
                <w:bCs/>
                <w:color w:val="auto"/>
                <w:kern w:val="0"/>
                <w:szCs w:val="21"/>
                <w:highlight w:val="none"/>
                <w:lang w:eastAsia="zh-CN"/>
              </w:rPr>
              <w:t>4.服务商在现场勘查、清点损失过程均需拍摄照片，照片能与报价单项目对应。兜底维修的，需提供材料进场、维修过程、维修完毕的照片，以上照片均需上传到人保系统物损管理模块。</w:t>
            </w:r>
          </w:p>
          <w:p>
            <w:pPr>
              <w:widowControl/>
              <w:jc w:val="left"/>
              <w:rPr>
                <w:rFonts w:hint="eastAsia" w:ascii="仿宋" w:hAnsi="仿宋" w:eastAsia="仿宋" w:cs="仿宋"/>
                <w:bCs/>
                <w:color w:val="auto"/>
                <w:kern w:val="0"/>
                <w:szCs w:val="21"/>
                <w:highlight w:val="none"/>
                <w:lang w:eastAsia="zh-CN"/>
              </w:rPr>
            </w:pPr>
            <w:r>
              <w:rPr>
                <w:rFonts w:hint="eastAsia" w:ascii="仿宋" w:hAnsi="仿宋" w:eastAsia="仿宋" w:cs="仿宋"/>
                <w:bCs/>
                <w:color w:val="auto"/>
                <w:kern w:val="0"/>
                <w:szCs w:val="21"/>
                <w:highlight w:val="none"/>
                <w:lang w:eastAsia="zh-CN"/>
              </w:rPr>
              <w:t>5.物损修复竞价原则上至少须3家以上服务商参与竞价作为比价结果。</w:t>
            </w:r>
          </w:p>
        </w:tc>
        <w:tc>
          <w:tcPr>
            <w:tcW w:w="933" w:type="pct"/>
            <w:vAlign w:val="center"/>
          </w:tcPr>
          <w:p>
            <w:pPr>
              <w:spacing w:line="30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是/否</w:t>
            </w:r>
          </w:p>
        </w:tc>
        <w:tc>
          <w:tcPr>
            <w:tcW w:w="738" w:type="pct"/>
            <w:vAlign w:val="center"/>
          </w:tcPr>
          <w:p>
            <w:pPr>
              <w:spacing w:line="300" w:lineRule="auto"/>
              <w:jc w:val="left"/>
              <w:rPr>
                <w:rFonts w:ascii="仿宋" w:hAnsi="仿宋" w:eastAsia="仿宋" w:cs="仿宋"/>
                <w:color w:val="auto"/>
                <w:szCs w:val="21"/>
                <w:highlight w:val="none"/>
              </w:rPr>
            </w:pPr>
          </w:p>
        </w:tc>
      </w:tr>
    </w:tbl>
    <w:p>
      <w:pPr>
        <w:shd w:val="clear"/>
        <w:autoSpaceDE w:val="0"/>
        <w:autoSpaceDN w:val="0"/>
        <w:adjustRightInd w:val="0"/>
        <w:spacing w:line="300" w:lineRule="atLeast"/>
        <w:ind w:firstLine="735" w:firstLineChars="350"/>
        <w:jc w:val="left"/>
        <w:rPr>
          <w:rFonts w:ascii="仿宋" w:hAnsi="仿宋" w:eastAsia="仿宋" w:cs="仿宋"/>
          <w:color w:val="auto"/>
          <w:kern w:val="0"/>
          <w:szCs w:val="21"/>
          <w:highlight w:val="none"/>
          <w:lang w:val="zh-CN"/>
        </w:rPr>
      </w:pPr>
    </w:p>
    <w:p>
      <w:pPr>
        <w:shd w:val="clear"/>
        <w:autoSpaceDE w:val="0"/>
        <w:autoSpaceDN w:val="0"/>
        <w:adjustRightInd w:val="0"/>
        <w:spacing w:line="300" w:lineRule="atLeast"/>
        <w:jc w:val="left"/>
        <w:rPr>
          <w:rFonts w:ascii="仿宋" w:hAnsi="仿宋" w:eastAsia="仿宋" w:cs="仿宋"/>
          <w:color w:val="auto"/>
          <w:kern w:val="0"/>
          <w:szCs w:val="21"/>
          <w:highlight w:val="none"/>
          <w:u w:val="single"/>
          <w:lang w:val="zh-CN"/>
        </w:rPr>
      </w:pPr>
      <w:r>
        <w:rPr>
          <w:rFonts w:hint="eastAsia" w:ascii="仿宋" w:hAnsi="仿宋" w:eastAsia="仿宋" w:cs="仿宋"/>
          <w:color w:val="auto"/>
          <w:kern w:val="0"/>
          <w:szCs w:val="21"/>
          <w:highlight w:val="none"/>
          <w:lang w:val="zh-CN"/>
        </w:rPr>
        <w:t>投标人名称（</w:t>
      </w:r>
      <w:r>
        <w:rPr>
          <w:rFonts w:hint="eastAsia" w:ascii="仿宋" w:hAnsi="仿宋" w:eastAsia="仿宋" w:cs="仿宋"/>
          <w:b/>
          <w:color w:val="auto"/>
          <w:kern w:val="0"/>
          <w:szCs w:val="21"/>
          <w:highlight w:val="none"/>
          <w:lang w:val="zh-CN"/>
        </w:rPr>
        <w:t>盖章</w:t>
      </w:r>
      <w:r>
        <w:rPr>
          <w:rFonts w:hint="eastAsia" w:ascii="仿宋" w:hAnsi="仿宋" w:eastAsia="仿宋" w:cs="仿宋"/>
          <w:color w:val="auto"/>
          <w:kern w:val="0"/>
          <w:szCs w:val="21"/>
          <w:highlight w:val="none"/>
          <w:lang w:val="zh-CN"/>
        </w:rPr>
        <w:t>）：</w:t>
      </w:r>
      <w:r>
        <w:rPr>
          <w:rFonts w:hint="eastAsia" w:ascii="仿宋" w:hAnsi="仿宋" w:eastAsia="仿宋" w:cs="仿宋"/>
          <w:color w:val="auto"/>
          <w:kern w:val="0"/>
          <w:szCs w:val="21"/>
          <w:highlight w:val="none"/>
          <w:u w:val="single"/>
          <w:lang w:val="zh-CN"/>
        </w:rPr>
        <w:t xml:space="preserve">                        </w:t>
      </w:r>
    </w:p>
    <w:p>
      <w:pPr>
        <w:shd w:val="clear"/>
        <w:spacing w:line="300" w:lineRule="auto"/>
        <w:rPr>
          <w:rFonts w:ascii="仿宋" w:hAnsi="仿宋" w:eastAsia="仿宋" w:cs="仿宋"/>
          <w:color w:val="auto"/>
          <w:szCs w:val="21"/>
          <w:highlight w:val="none"/>
        </w:rPr>
      </w:pPr>
      <w:r>
        <w:rPr>
          <w:rFonts w:hint="eastAsia" w:ascii="仿宋" w:hAnsi="仿宋" w:eastAsia="仿宋" w:cs="仿宋"/>
          <w:color w:val="auto"/>
          <w:kern w:val="0"/>
          <w:szCs w:val="21"/>
          <w:highlight w:val="none"/>
          <w:lang w:val="zh-CN"/>
        </w:rPr>
        <w:t>日期：</w:t>
      </w:r>
      <w:r>
        <w:rPr>
          <w:rFonts w:hint="eastAsia" w:ascii="仿宋" w:hAnsi="仿宋" w:eastAsia="仿宋" w:cs="仿宋"/>
          <w:color w:val="auto"/>
          <w:kern w:val="0"/>
          <w:szCs w:val="21"/>
          <w:highlight w:val="none"/>
          <w:u w:val="single"/>
          <w:lang w:val="zh-CN"/>
        </w:rPr>
        <w:t xml:space="preserve">          </w:t>
      </w:r>
      <w:r>
        <w:rPr>
          <w:rFonts w:hint="eastAsia" w:ascii="仿宋" w:hAnsi="仿宋" w:eastAsia="仿宋" w:cs="仿宋"/>
          <w:color w:val="auto"/>
          <w:kern w:val="0"/>
          <w:szCs w:val="21"/>
          <w:highlight w:val="none"/>
          <w:lang w:val="zh-CN"/>
        </w:rPr>
        <w:t>年</w:t>
      </w:r>
      <w:r>
        <w:rPr>
          <w:rFonts w:hint="eastAsia" w:ascii="仿宋" w:hAnsi="仿宋" w:eastAsia="仿宋" w:cs="仿宋"/>
          <w:color w:val="auto"/>
          <w:kern w:val="0"/>
          <w:szCs w:val="21"/>
          <w:highlight w:val="none"/>
          <w:u w:val="single"/>
          <w:lang w:val="zh-CN"/>
        </w:rPr>
        <w:t xml:space="preserve">     </w:t>
      </w:r>
      <w:r>
        <w:rPr>
          <w:rFonts w:hint="eastAsia" w:ascii="仿宋" w:hAnsi="仿宋" w:eastAsia="仿宋" w:cs="仿宋"/>
          <w:color w:val="auto"/>
          <w:kern w:val="0"/>
          <w:szCs w:val="21"/>
          <w:highlight w:val="none"/>
          <w:lang w:val="zh-CN"/>
        </w:rPr>
        <w:t xml:space="preserve"> 月</w:t>
      </w:r>
      <w:r>
        <w:rPr>
          <w:rFonts w:hint="eastAsia" w:ascii="仿宋" w:hAnsi="仿宋" w:eastAsia="仿宋" w:cs="仿宋"/>
          <w:color w:val="auto"/>
          <w:kern w:val="0"/>
          <w:szCs w:val="21"/>
          <w:highlight w:val="none"/>
          <w:u w:val="single"/>
          <w:lang w:val="zh-CN"/>
        </w:rPr>
        <w:t xml:space="preserve">    </w:t>
      </w:r>
      <w:r>
        <w:rPr>
          <w:rFonts w:hint="eastAsia" w:ascii="仿宋" w:hAnsi="仿宋" w:eastAsia="仿宋" w:cs="仿宋"/>
          <w:color w:val="auto"/>
          <w:kern w:val="0"/>
          <w:szCs w:val="21"/>
          <w:highlight w:val="none"/>
          <w:lang w:val="zh-CN"/>
        </w:rPr>
        <w:t xml:space="preserve"> 日</w:t>
      </w:r>
    </w:p>
    <w:p>
      <w:pPr>
        <w:shd w:val="clear"/>
        <w:rPr>
          <w:rFonts w:hint="eastAsia" w:ascii="仿宋" w:hAnsi="仿宋" w:eastAsia="仿宋" w:cs="仿宋"/>
          <w:color w:val="auto"/>
          <w:highlight w:val="none"/>
          <w:lang w:eastAsia="zh-CN"/>
        </w:rPr>
      </w:pPr>
    </w:p>
    <w:p>
      <w:pPr>
        <w:pStyle w:val="2"/>
        <w:rPr>
          <w:rFonts w:hint="eastAsia" w:ascii="仿宋" w:hAnsi="仿宋" w:eastAsia="仿宋" w:cs="仿宋"/>
          <w:color w:val="auto"/>
          <w:highlight w:val="none"/>
          <w:lang w:eastAsia="zh-CN"/>
        </w:rPr>
      </w:pPr>
    </w:p>
    <w:p>
      <w:pPr>
        <w:shd w:val="clear"/>
        <w:rPr>
          <w:rFonts w:ascii="仿宋" w:hAnsi="仿宋" w:eastAsia="仿宋" w:cs="仿宋"/>
          <w:color w:val="auto"/>
          <w:highlight w:val="none"/>
        </w:rPr>
      </w:pPr>
      <w:bookmarkStart w:id="549" w:name="_Toc56856964"/>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4"/>
        <w:shd w:val="clear"/>
        <w:jc w:val="center"/>
        <w:rPr>
          <w:rFonts w:ascii="仿宋" w:hAnsi="仿宋" w:eastAsia="仿宋" w:cs="仿宋"/>
          <w:color w:val="auto"/>
          <w:highlight w:val="none"/>
        </w:rPr>
      </w:pPr>
      <w:r>
        <w:rPr>
          <w:rFonts w:hint="eastAsia" w:ascii="仿宋" w:hAnsi="仿宋" w:eastAsia="仿宋" w:cs="仿宋"/>
          <w:color w:val="auto"/>
          <w:highlight w:val="none"/>
        </w:rPr>
        <w:t>二</w:t>
      </w:r>
      <w:bookmarkEnd w:id="532"/>
      <w:bookmarkEnd w:id="533"/>
      <w:bookmarkEnd w:id="534"/>
      <w:bookmarkEnd w:id="535"/>
      <w:bookmarkEnd w:id="536"/>
      <w:bookmarkEnd w:id="537"/>
      <w:bookmarkEnd w:id="538"/>
      <w:bookmarkEnd w:id="539"/>
      <w:bookmarkEnd w:id="540"/>
      <w:bookmarkEnd w:id="541"/>
      <w:bookmarkEnd w:id="542"/>
      <w:r>
        <w:rPr>
          <w:rFonts w:hint="eastAsia" w:ascii="仿宋" w:hAnsi="仿宋" w:eastAsia="仿宋" w:cs="仿宋"/>
          <w:color w:val="auto"/>
          <w:highlight w:val="none"/>
        </w:rPr>
        <w:t>、法定代表人身份证明</w:t>
      </w:r>
      <w:bookmarkEnd w:id="549"/>
    </w:p>
    <w:p>
      <w:pPr>
        <w:shd w:val="clear"/>
        <w:spacing w:line="440" w:lineRule="exact"/>
        <w:rPr>
          <w:rFonts w:ascii="仿宋" w:hAnsi="仿宋" w:eastAsia="仿宋" w:cs="仿宋"/>
          <w:color w:val="auto"/>
          <w:sz w:val="20"/>
          <w:highlight w:val="none"/>
        </w:rPr>
      </w:pPr>
    </w:p>
    <w:p>
      <w:pPr>
        <w:shd w:val="clear"/>
        <w:spacing w:line="440" w:lineRule="exact"/>
        <w:rPr>
          <w:rFonts w:ascii="仿宋" w:hAnsi="仿宋" w:eastAsia="仿宋" w:cs="仿宋"/>
          <w:color w:val="auto"/>
          <w:highlight w:val="none"/>
        </w:rPr>
      </w:pP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投标人名称：</w:t>
      </w:r>
      <w:r>
        <w:rPr>
          <w:rFonts w:hint="eastAsia" w:ascii="仿宋" w:hAnsi="仿宋" w:eastAsia="仿宋" w:cs="仿宋"/>
          <w:color w:val="auto"/>
          <w:highlight w:val="none"/>
          <w:u w:val="single"/>
        </w:rPr>
        <w:t xml:space="preserve">                        </w:t>
      </w: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姓名：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性别：</w:t>
      </w:r>
      <w:bookmarkStart w:id="550" w:name="_Toc352691662"/>
      <w:bookmarkStart w:id="551" w:name="_Toc27897"/>
      <w:bookmarkStart w:id="552" w:name="_Toc369531698"/>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bookmarkEnd w:id="550"/>
      <w:bookmarkEnd w:id="551"/>
      <w:bookmarkEnd w:id="552"/>
      <w:r>
        <w:rPr>
          <w:rFonts w:hint="eastAsia" w:ascii="仿宋" w:hAnsi="仿宋" w:eastAsia="仿宋" w:cs="仿宋"/>
          <w:color w:val="auto"/>
          <w:highlight w:val="none"/>
        </w:rPr>
        <w:t>龄</w:t>
      </w:r>
      <w:bookmarkStart w:id="553" w:name="_Toc15573"/>
      <w:bookmarkStart w:id="554" w:name="_Toc384308377"/>
      <w:bookmarkStart w:id="555" w:name="_Toc361508754"/>
      <w:bookmarkStart w:id="556" w:name="_Toc152045789"/>
      <w:bookmarkStart w:id="557" w:name="_Toc300835211"/>
      <w:bookmarkStart w:id="558" w:name="_Toc247527829"/>
      <w:bookmarkStart w:id="559" w:name="_Toc369531699"/>
      <w:bookmarkStart w:id="560" w:name="_Toc144974858"/>
      <w:bookmarkStart w:id="561" w:name="_Toc247514248"/>
      <w:bookmarkStart w:id="562" w:name="_Toc152042578"/>
      <w:bookmarkStart w:id="563" w:name="_Toc352691663"/>
      <w:r>
        <w:rPr>
          <w:rFonts w:hint="eastAsia" w:ascii="仿宋" w:hAnsi="仿宋" w:eastAsia="仿宋" w:cs="仿宋"/>
          <w:color w:val="auto"/>
          <w:highlight w:val="none"/>
        </w:rPr>
        <w:t>：</w:t>
      </w:r>
      <w:bookmarkEnd w:id="553"/>
      <w:bookmarkEnd w:id="554"/>
      <w:bookmarkEnd w:id="555"/>
      <w:bookmarkEnd w:id="556"/>
      <w:bookmarkEnd w:id="557"/>
      <w:bookmarkEnd w:id="558"/>
      <w:bookmarkEnd w:id="559"/>
      <w:bookmarkEnd w:id="560"/>
      <w:bookmarkEnd w:id="561"/>
      <w:bookmarkEnd w:id="562"/>
      <w:bookmarkEnd w:id="563"/>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职务：</w:t>
      </w:r>
      <w:r>
        <w:rPr>
          <w:rFonts w:hint="eastAsia" w:ascii="仿宋" w:hAnsi="仿宋" w:eastAsia="仿宋" w:cs="仿宋"/>
          <w:color w:val="auto"/>
          <w:highlight w:val="none"/>
          <w:u w:val="single"/>
        </w:rPr>
        <w:t xml:space="preserve">        </w:t>
      </w: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系</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（投标人名称）的法定代表人。</w:t>
      </w:r>
    </w:p>
    <w:p>
      <w:pPr>
        <w:shd w:val="clear"/>
        <w:spacing w:line="44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特此证明。</w:t>
      </w:r>
    </w:p>
    <w:p>
      <w:pPr>
        <w:shd w:val="clear"/>
        <w:spacing w:line="440" w:lineRule="exact"/>
        <w:rPr>
          <w:rFonts w:ascii="仿宋" w:hAnsi="仿宋" w:eastAsia="仿宋" w:cs="仿宋"/>
          <w:color w:val="auto"/>
          <w:highlight w:val="none"/>
        </w:rPr>
      </w:pP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附：法定代表人身份证复印件。</w:t>
      </w:r>
    </w:p>
    <w:p>
      <w:pPr>
        <w:shd w:val="clear"/>
        <w:spacing w:line="440" w:lineRule="exact"/>
        <w:rPr>
          <w:rFonts w:ascii="仿宋" w:hAnsi="仿宋" w:eastAsia="仿宋" w:cs="仿宋"/>
          <w:color w:val="auto"/>
          <w:highlight w:val="none"/>
        </w:rPr>
      </w:pP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注：本身份证明需由投标人加盖单位公章。</w:t>
      </w:r>
    </w:p>
    <w:p>
      <w:pPr>
        <w:shd w:val="clear"/>
        <w:spacing w:line="440" w:lineRule="exact"/>
        <w:rPr>
          <w:rFonts w:ascii="仿宋" w:hAnsi="仿宋" w:eastAsia="仿宋" w:cs="仿宋"/>
          <w:color w:val="auto"/>
          <w:highlight w:val="none"/>
        </w:rPr>
      </w:pPr>
    </w:p>
    <w:p>
      <w:pPr>
        <w:shd w:val="clear"/>
        <w:spacing w:line="440" w:lineRule="exact"/>
        <w:rPr>
          <w:rFonts w:ascii="仿宋" w:hAnsi="仿宋" w:eastAsia="仿宋" w:cs="仿宋"/>
          <w:color w:val="auto"/>
          <w:highlight w:val="none"/>
        </w:rPr>
      </w:pPr>
    </w:p>
    <w:p>
      <w:pPr>
        <w:shd w:val="clear"/>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 xml:space="preserve">                              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highlight w:val="none"/>
        </w:rPr>
        <w:t>（盖章）</w:t>
      </w:r>
    </w:p>
    <w:p>
      <w:pPr>
        <w:shd w:val="clear"/>
        <w:spacing w:line="440" w:lineRule="exact"/>
        <w:rPr>
          <w:rFonts w:ascii="仿宋" w:hAnsi="仿宋" w:eastAsia="仿宋" w:cs="仿宋"/>
          <w:color w:val="auto"/>
          <w:highlight w:val="none"/>
        </w:rPr>
      </w:pPr>
    </w:p>
    <w:p>
      <w:pPr>
        <w:shd w:val="clear"/>
        <w:spacing w:line="440" w:lineRule="exact"/>
        <w:ind w:firstLine="4620" w:firstLineChars="2200"/>
        <w:rPr>
          <w:rFonts w:ascii="仿宋" w:hAnsi="仿宋" w:eastAsia="仿宋" w:cs="仿宋"/>
          <w:color w:val="auto"/>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hd w:val="clear"/>
        <w:spacing w:line="440" w:lineRule="exact"/>
        <w:rPr>
          <w:rFonts w:ascii="仿宋" w:hAnsi="仿宋" w:eastAsia="仿宋" w:cs="仿宋"/>
          <w:color w:val="auto"/>
          <w:sz w:val="20"/>
          <w:highlight w:val="none"/>
        </w:rPr>
      </w:pPr>
    </w:p>
    <w:p>
      <w:pPr>
        <w:shd w:val="clear"/>
        <w:spacing w:line="440" w:lineRule="exact"/>
        <w:jc w:val="center"/>
        <w:rPr>
          <w:rFonts w:ascii="仿宋" w:hAnsi="仿宋" w:eastAsia="仿宋" w:cs="仿宋"/>
          <w:color w:val="auto"/>
          <w:sz w:val="20"/>
          <w:highlight w:val="none"/>
        </w:rPr>
      </w:pPr>
      <w:r>
        <w:rPr>
          <w:rFonts w:hint="eastAsia" w:ascii="仿宋" w:hAnsi="仿宋" w:eastAsia="仿宋" w:cs="仿宋"/>
          <w:color w:val="auto"/>
          <w:sz w:val="20"/>
          <w:highlight w:val="none"/>
        </w:rPr>
        <w:br w:type="page"/>
      </w:r>
    </w:p>
    <w:p>
      <w:pPr>
        <w:pStyle w:val="4"/>
        <w:shd w:val="clear"/>
        <w:jc w:val="center"/>
        <w:rPr>
          <w:rFonts w:ascii="仿宋" w:hAnsi="仿宋" w:eastAsia="仿宋" w:cs="仿宋"/>
          <w:color w:val="auto"/>
          <w:highlight w:val="none"/>
        </w:rPr>
      </w:pPr>
      <w:bookmarkStart w:id="564" w:name="_Toc56856965"/>
      <w:r>
        <w:rPr>
          <w:rFonts w:hint="eastAsia" w:ascii="仿宋" w:hAnsi="仿宋" w:eastAsia="仿宋" w:cs="仿宋"/>
          <w:color w:val="auto"/>
          <w:highlight w:val="none"/>
        </w:rPr>
        <w:t>三、授权委托书</w:t>
      </w:r>
      <w:bookmarkEnd w:id="564"/>
    </w:p>
    <w:p>
      <w:pPr>
        <w:shd w:val="clear"/>
        <w:spacing w:line="440" w:lineRule="exact"/>
        <w:rPr>
          <w:rFonts w:ascii="仿宋" w:hAnsi="仿宋" w:eastAsia="仿宋" w:cs="仿宋"/>
          <w:color w:val="auto"/>
          <w:highlight w:val="none"/>
        </w:rPr>
      </w:pPr>
    </w:p>
    <w:p>
      <w:pPr>
        <w:shd w:val="clear"/>
        <w:topLinePunct/>
        <w:spacing w:line="44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本人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（姓名）系</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（投标人名称）的法定代表人，现委托</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（姓名）为我方代理人。代理人根据授权，以我方名义签署、澄清确认、递交、撤回、修改本项目投标文件、签订合同和处理有关事宜，其法律后果由我方承担。</w:t>
      </w: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委托期限：</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w:t>
      </w:r>
    </w:p>
    <w:p>
      <w:pPr>
        <w:shd w:val="clear"/>
        <w:spacing w:line="440" w:lineRule="exact"/>
        <w:ind w:firstLine="420" w:firstLineChars="200"/>
        <w:rPr>
          <w:rFonts w:ascii="仿宋" w:hAnsi="仿宋" w:eastAsia="仿宋" w:cs="仿宋"/>
          <w:color w:val="auto"/>
          <w:highlight w:val="none"/>
        </w:rPr>
      </w:pPr>
      <w:r>
        <w:rPr>
          <w:rFonts w:hint="eastAsia" w:ascii="仿宋" w:hAnsi="仿宋" w:eastAsia="仿宋" w:cs="仿宋"/>
          <w:color w:val="auto"/>
          <w:highlight w:val="none"/>
        </w:rPr>
        <w:t>代理人无转委托权。</w:t>
      </w:r>
    </w:p>
    <w:p>
      <w:pPr>
        <w:shd w:val="clear"/>
        <w:spacing w:line="440" w:lineRule="exact"/>
        <w:ind w:firstLine="420" w:firstLineChars="200"/>
        <w:rPr>
          <w:rFonts w:ascii="仿宋" w:hAnsi="仿宋" w:eastAsia="仿宋" w:cs="仿宋"/>
          <w:color w:val="auto"/>
          <w:highlight w:val="none"/>
        </w:rPr>
      </w:pP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附：法定代表人身份证复印件及委托代理人身份证复印件</w:t>
      </w:r>
    </w:p>
    <w:p>
      <w:pPr>
        <w:shd w:val="clear"/>
        <w:spacing w:line="440" w:lineRule="exact"/>
        <w:rPr>
          <w:rFonts w:ascii="仿宋" w:hAnsi="仿宋" w:eastAsia="仿宋" w:cs="仿宋"/>
          <w:color w:val="auto"/>
          <w:highlight w:val="none"/>
        </w:rPr>
      </w:pP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t>注：本授权委托书需由投标人加盖单位公章并由其法定代表人和委托代理人签字或盖章。</w:t>
      </w:r>
    </w:p>
    <w:p>
      <w:pPr>
        <w:shd w:val="clear"/>
        <w:spacing w:line="440" w:lineRule="exact"/>
        <w:rPr>
          <w:rFonts w:ascii="仿宋" w:hAnsi="仿宋" w:eastAsia="仿宋" w:cs="仿宋"/>
          <w:color w:val="auto"/>
          <w:highlight w:val="none"/>
        </w:rPr>
      </w:pPr>
    </w:p>
    <w:p>
      <w:pPr>
        <w:shd w:val="clear"/>
        <w:spacing w:line="440" w:lineRule="exact"/>
        <w:ind w:firstLine="2692" w:firstLineChars="1282"/>
        <w:rPr>
          <w:rFonts w:ascii="仿宋" w:hAnsi="仿宋" w:eastAsia="仿宋" w:cs="仿宋"/>
          <w:color w:val="auto"/>
          <w:highlight w:val="none"/>
        </w:rPr>
      </w:pPr>
      <w:r>
        <w:rPr>
          <w:rFonts w:hint="eastAsia" w:ascii="仿宋" w:hAnsi="仿宋" w:eastAsia="仿宋" w:cs="仿宋"/>
          <w:color w:val="auto"/>
          <w:highlight w:val="none"/>
        </w:rPr>
        <w:t>投  标  人：</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highlight w:val="none"/>
        </w:rPr>
        <w:t>（盖章）</w:t>
      </w:r>
    </w:p>
    <w:p>
      <w:pPr>
        <w:shd w:val="clear"/>
        <w:spacing w:line="440" w:lineRule="exact"/>
        <w:ind w:firstLine="2692" w:firstLineChars="1282"/>
        <w:rPr>
          <w:rFonts w:ascii="仿宋" w:hAnsi="仿宋" w:eastAsia="仿宋" w:cs="仿宋"/>
          <w:color w:val="auto"/>
          <w:highlight w:val="none"/>
        </w:rPr>
      </w:pPr>
    </w:p>
    <w:p>
      <w:pPr>
        <w:shd w:val="clear"/>
        <w:spacing w:line="440" w:lineRule="exact"/>
        <w:ind w:firstLine="2690" w:firstLineChars="1281"/>
        <w:jc w:val="left"/>
        <w:rPr>
          <w:rFonts w:ascii="仿宋" w:hAnsi="仿宋" w:eastAsia="仿宋" w:cs="仿宋"/>
          <w:color w:val="auto"/>
          <w:highlight w:val="none"/>
        </w:rPr>
      </w:pPr>
      <w:r>
        <w:rPr>
          <w:rFonts w:hint="eastAsia" w:ascii="仿宋" w:hAnsi="仿宋" w:eastAsia="仿宋" w:cs="仿宋"/>
          <w:color w:val="auto"/>
          <w:highlight w:val="none"/>
        </w:rPr>
        <w:t>法定代表人：</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highlight w:val="none"/>
        </w:rPr>
        <w:t>（签字或盖章）</w:t>
      </w:r>
    </w:p>
    <w:p>
      <w:pPr>
        <w:shd w:val="clear"/>
        <w:spacing w:line="440" w:lineRule="exact"/>
        <w:ind w:firstLine="2692" w:firstLineChars="1282"/>
        <w:rPr>
          <w:rFonts w:ascii="仿宋" w:hAnsi="仿宋" w:eastAsia="仿宋" w:cs="仿宋"/>
          <w:color w:val="auto"/>
          <w:highlight w:val="none"/>
        </w:rPr>
      </w:pPr>
    </w:p>
    <w:p>
      <w:pPr>
        <w:shd w:val="clear"/>
        <w:spacing w:line="440" w:lineRule="exact"/>
        <w:ind w:firstLine="2692" w:firstLineChars="1282"/>
        <w:rPr>
          <w:rFonts w:ascii="仿宋" w:hAnsi="仿宋" w:eastAsia="仿宋" w:cs="仿宋"/>
          <w:color w:val="auto"/>
          <w:highlight w:val="none"/>
        </w:rPr>
      </w:pPr>
      <w:r>
        <w:rPr>
          <w:rFonts w:hint="eastAsia" w:ascii="仿宋" w:hAnsi="仿宋" w:eastAsia="仿宋" w:cs="仿宋"/>
          <w:color w:val="auto"/>
          <w:highlight w:val="none"/>
        </w:rPr>
        <w:t>身份证号码：</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p>
    <w:p>
      <w:pPr>
        <w:shd w:val="clear"/>
        <w:spacing w:line="440" w:lineRule="exact"/>
        <w:ind w:firstLine="2692" w:firstLineChars="1282"/>
        <w:rPr>
          <w:rFonts w:ascii="仿宋" w:hAnsi="仿宋" w:eastAsia="仿宋" w:cs="仿宋"/>
          <w:color w:val="auto"/>
          <w:highlight w:val="none"/>
        </w:rPr>
      </w:pPr>
    </w:p>
    <w:p>
      <w:pPr>
        <w:shd w:val="clear"/>
        <w:spacing w:line="440" w:lineRule="exact"/>
        <w:ind w:firstLine="2692" w:firstLineChars="1282"/>
        <w:rPr>
          <w:rFonts w:ascii="仿宋" w:hAnsi="仿宋" w:eastAsia="仿宋" w:cs="仿宋"/>
          <w:color w:val="auto"/>
          <w:highlight w:val="none"/>
        </w:rPr>
      </w:pPr>
      <w:r>
        <w:rPr>
          <w:rFonts w:hint="eastAsia" w:ascii="仿宋" w:hAnsi="仿宋" w:eastAsia="仿宋" w:cs="仿宋"/>
          <w:color w:val="auto"/>
          <w:highlight w:val="none"/>
        </w:rPr>
        <w:t>委托代理人：</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highlight w:val="none"/>
        </w:rPr>
        <w:t>（签字或盖章）</w:t>
      </w:r>
    </w:p>
    <w:p>
      <w:pPr>
        <w:shd w:val="clear"/>
        <w:spacing w:line="440" w:lineRule="exact"/>
        <w:ind w:firstLine="2692" w:firstLineChars="1282"/>
        <w:rPr>
          <w:rFonts w:ascii="仿宋" w:hAnsi="仿宋" w:eastAsia="仿宋" w:cs="仿宋"/>
          <w:color w:val="auto"/>
          <w:highlight w:val="none"/>
        </w:rPr>
      </w:pPr>
    </w:p>
    <w:p>
      <w:pPr>
        <w:shd w:val="clear"/>
        <w:spacing w:line="440" w:lineRule="exact"/>
        <w:ind w:firstLine="2692" w:firstLineChars="1282"/>
        <w:rPr>
          <w:rFonts w:ascii="仿宋" w:hAnsi="仿宋" w:eastAsia="仿宋" w:cs="仿宋"/>
          <w:color w:val="auto"/>
          <w:highlight w:val="none"/>
        </w:rPr>
      </w:pPr>
      <w:r>
        <w:rPr>
          <w:rFonts w:hint="eastAsia" w:ascii="仿宋" w:hAnsi="仿宋" w:eastAsia="仿宋" w:cs="仿宋"/>
          <w:color w:val="auto"/>
          <w:highlight w:val="none"/>
        </w:rPr>
        <w:t>身份证号码：</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p>
    <w:p>
      <w:pPr>
        <w:shd w:val="clear"/>
        <w:spacing w:line="440" w:lineRule="exact"/>
        <w:ind w:firstLine="2692" w:firstLineChars="1282"/>
        <w:rPr>
          <w:rFonts w:ascii="仿宋" w:hAnsi="仿宋" w:eastAsia="仿宋" w:cs="仿宋"/>
          <w:color w:val="auto"/>
          <w:highlight w:val="none"/>
        </w:rPr>
      </w:pPr>
    </w:p>
    <w:p>
      <w:pPr>
        <w:shd w:val="clear"/>
        <w:spacing w:line="440" w:lineRule="exact"/>
        <w:ind w:firstLine="2692" w:firstLineChars="1282"/>
        <w:rPr>
          <w:rFonts w:ascii="仿宋" w:hAnsi="仿宋" w:eastAsia="仿宋" w:cs="仿宋"/>
          <w:color w:val="auto"/>
          <w:highlight w:val="none"/>
        </w:rPr>
      </w:pPr>
    </w:p>
    <w:p>
      <w:pPr>
        <w:shd w:val="clear"/>
        <w:spacing w:line="440" w:lineRule="exact"/>
        <w:ind w:firstLine="4057" w:firstLineChars="1932"/>
        <w:jc w:val="right"/>
        <w:rPr>
          <w:rFonts w:ascii="仿宋" w:hAnsi="仿宋" w:eastAsia="仿宋" w:cs="仿宋"/>
          <w:color w:val="auto"/>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hd w:val="clear"/>
        <w:spacing w:line="440" w:lineRule="exact"/>
        <w:ind w:firstLine="4057" w:firstLineChars="1932"/>
        <w:jc w:val="right"/>
        <w:rPr>
          <w:rFonts w:ascii="仿宋" w:hAnsi="仿宋" w:eastAsia="仿宋" w:cs="仿宋"/>
          <w:color w:val="auto"/>
          <w:highlight w:val="none"/>
        </w:rPr>
      </w:pPr>
      <w:r>
        <w:rPr>
          <w:rFonts w:hint="eastAsia" w:ascii="仿宋" w:hAnsi="仿宋" w:eastAsia="仿宋" w:cs="仿宋"/>
          <w:color w:val="auto"/>
          <w:highlight w:val="none"/>
        </w:rPr>
        <w:br w:type="page"/>
      </w:r>
    </w:p>
    <w:p>
      <w:pPr>
        <w:pStyle w:val="4"/>
        <w:shd w:val="clear"/>
        <w:spacing w:after="0"/>
        <w:rPr>
          <w:rFonts w:ascii="仿宋" w:hAnsi="仿宋" w:eastAsia="仿宋" w:cs="仿宋"/>
          <w:color w:val="auto"/>
          <w:highlight w:val="none"/>
        </w:rPr>
      </w:pPr>
      <w:bookmarkStart w:id="565" w:name="_Toc56856975"/>
      <w:bookmarkStart w:id="566" w:name="_Toc361508760"/>
      <w:r>
        <w:rPr>
          <w:rFonts w:hint="eastAsia" w:ascii="仿宋" w:hAnsi="仿宋" w:eastAsia="仿宋" w:cs="仿宋"/>
          <w:color w:val="auto"/>
          <w:highlight w:val="none"/>
        </w:rPr>
        <w:t>四、资格审查资料</w:t>
      </w:r>
      <w:bookmarkEnd w:id="565"/>
    </w:p>
    <w:p>
      <w:pPr>
        <w:pStyle w:val="5"/>
        <w:shd w:val="clear"/>
        <w:spacing w:before="20" w:after="0"/>
        <w:ind w:firstLine="137"/>
        <w:rPr>
          <w:rFonts w:ascii="仿宋" w:hAnsi="仿宋" w:eastAsia="仿宋" w:cs="仿宋"/>
          <w:color w:val="auto"/>
          <w:highlight w:val="none"/>
        </w:rPr>
      </w:pPr>
      <w:bookmarkStart w:id="567" w:name="_Toc56856976"/>
      <w:r>
        <w:rPr>
          <w:rFonts w:hint="eastAsia" w:ascii="仿宋" w:hAnsi="仿宋" w:eastAsia="仿宋" w:cs="仿宋"/>
          <w:color w:val="auto"/>
          <w:highlight w:val="none"/>
        </w:rPr>
        <w:t>（一）基本情况表</w:t>
      </w:r>
      <w:bookmarkEnd w:id="567"/>
    </w:p>
    <w:tbl>
      <w:tblPr>
        <w:tblStyle w:val="40"/>
        <w:tblW w:w="88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46"/>
        <w:gridCol w:w="898"/>
        <w:gridCol w:w="1026"/>
        <w:gridCol w:w="1287"/>
        <w:gridCol w:w="414"/>
        <w:gridCol w:w="873"/>
        <w:gridCol w:w="828"/>
        <w:gridCol w:w="284"/>
        <w:gridCol w:w="123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投标人名称</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注册地址</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vMerge w:val="restart"/>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r>
              <w:rPr>
                <w:rFonts w:hint="eastAsia" w:ascii="仿宋" w:hAnsi="仿宋" w:eastAsia="仿宋" w:cs="仿宋"/>
                <w:color w:val="auto"/>
                <w:highlight w:val="none"/>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联系人</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电 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vMerge w:val="continue"/>
            <w:tcBorders>
              <w:top w:val="single" w:color="auto" w:sz="4" w:space="0"/>
              <w:left w:val="single" w:color="auto" w:sz="4" w:space="0"/>
              <w:bottom w:val="single" w:color="auto" w:sz="4" w:space="0"/>
              <w:right w:val="single" w:color="auto" w:sz="4" w:space="0"/>
            </w:tcBorders>
            <w:vAlign w:val="center"/>
          </w:tcPr>
          <w:p>
            <w:pPr>
              <w:shd w:val="clear"/>
              <w:jc w:val="center"/>
              <w:rPr>
                <w:rFonts w:ascii="仿宋" w:hAnsi="仿宋" w:eastAsia="仿宋" w:cs="仿宋"/>
                <w:color w:val="auto"/>
                <w:highlight w:val="none"/>
              </w:rPr>
            </w:pPr>
          </w:p>
        </w:tc>
        <w:tc>
          <w:tcPr>
            <w:tcW w:w="898"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传  真</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网 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026" w:type="dxa"/>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技术职称</w:t>
            </w:r>
          </w:p>
        </w:tc>
        <w:tc>
          <w:tcPr>
            <w:tcW w:w="1287"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c>
          <w:tcPr>
            <w:tcW w:w="1112"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230" w:type="dxa"/>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r>
              <w:rPr>
                <w:rFonts w:hint="eastAsia" w:ascii="仿宋" w:hAnsi="仿宋" w:eastAsia="仿宋" w:cs="仿宋"/>
                <w:color w:val="auto"/>
                <w:szCs w:val="21"/>
                <w:highlight w:val="none"/>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026" w:type="dxa"/>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技术职称</w:t>
            </w:r>
          </w:p>
        </w:tc>
        <w:tc>
          <w:tcPr>
            <w:tcW w:w="1287"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c>
          <w:tcPr>
            <w:tcW w:w="1112"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230" w:type="dxa"/>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企业资质证书</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ind w:firstLine="105" w:firstLineChars="50"/>
              <w:jc w:val="center"/>
              <w:rPr>
                <w:rFonts w:ascii="仿宋" w:hAnsi="仿宋" w:eastAsia="仿宋" w:cs="仿宋"/>
                <w:color w:val="auto"/>
                <w:highlight w:val="none"/>
              </w:rPr>
            </w:pPr>
            <w:r>
              <w:rPr>
                <w:rFonts w:hint="eastAsia" w:ascii="仿宋" w:hAnsi="仿宋" w:eastAsia="仿宋" w:cs="仿宋"/>
                <w:color w:val="auto"/>
                <w:highlight w:val="none"/>
              </w:rPr>
              <w:t>类型：                    等级：      证书号：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质量管理体系证书（如有）</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ind w:firstLine="105" w:firstLineChars="50"/>
              <w:jc w:val="center"/>
              <w:rPr>
                <w:rFonts w:ascii="仿宋" w:hAnsi="仿宋" w:eastAsia="仿宋" w:cs="仿宋"/>
                <w:color w:val="auto"/>
                <w:highlight w:val="none"/>
              </w:rPr>
            </w:pPr>
            <w:r>
              <w:rPr>
                <w:rFonts w:hint="eastAsia" w:ascii="仿宋" w:hAnsi="仿宋" w:eastAsia="仿宋" w:cs="仿宋"/>
                <w:color w:val="auto"/>
                <w:highlight w:val="none"/>
              </w:rPr>
              <w:t>类型：                    等级：      证书号：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营业执照号</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c>
          <w:tcPr>
            <w:tcW w:w="3629" w:type="dxa"/>
            <w:gridSpan w:val="5"/>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注册资本</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c>
          <w:tcPr>
            <w:tcW w:w="414" w:type="dxa"/>
            <w:vMerge w:val="restart"/>
            <w:tcBorders>
              <w:top w:val="single" w:color="auto" w:sz="4" w:space="0"/>
              <w:left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其中</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高级职称人员</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成立日期</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c>
          <w:tcPr>
            <w:tcW w:w="414" w:type="dxa"/>
            <w:vMerge w:val="continue"/>
            <w:tcBorders>
              <w:left w:val="single" w:color="auto" w:sz="4" w:space="0"/>
              <w:right w:val="single" w:color="auto" w:sz="4" w:space="0"/>
            </w:tcBorders>
            <w:vAlign w:val="center"/>
          </w:tcPr>
          <w:p>
            <w:pPr>
              <w:shd w:val="clear"/>
              <w:jc w:val="center"/>
              <w:rPr>
                <w:rFonts w:ascii="仿宋" w:hAnsi="仿宋" w:eastAsia="仿宋" w:cs="仿宋"/>
                <w:color w:val="auto"/>
                <w:highlight w:val="none"/>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中级职称人员</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基本账户开户银行</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c>
          <w:tcPr>
            <w:tcW w:w="414" w:type="dxa"/>
            <w:vMerge w:val="continue"/>
            <w:tcBorders>
              <w:left w:val="single" w:color="auto" w:sz="4" w:space="0"/>
              <w:right w:val="single" w:color="auto" w:sz="4" w:space="0"/>
            </w:tcBorders>
            <w:vAlign w:val="center"/>
          </w:tcPr>
          <w:p>
            <w:pPr>
              <w:shd w:val="clear"/>
              <w:jc w:val="center"/>
              <w:rPr>
                <w:rFonts w:ascii="仿宋" w:hAnsi="仿宋" w:eastAsia="仿宋" w:cs="仿宋"/>
                <w:color w:val="auto"/>
                <w:highlight w:val="none"/>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技术人员数量</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基本账户银行账号</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c>
          <w:tcPr>
            <w:tcW w:w="414" w:type="dxa"/>
            <w:vMerge w:val="continue"/>
            <w:tcBorders>
              <w:left w:val="single" w:color="auto" w:sz="4" w:space="0"/>
              <w:right w:val="single" w:color="auto" w:sz="4" w:space="0"/>
            </w:tcBorders>
            <w:vAlign w:val="center"/>
          </w:tcPr>
          <w:p>
            <w:pPr>
              <w:shd w:val="clear"/>
              <w:jc w:val="center"/>
              <w:rPr>
                <w:rFonts w:ascii="仿宋" w:hAnsi="仿宋" w:eastAsia="仿宋" w:cs="仿宋"/>
                <w:color w:val="auto"/>
                <w:highlight w:val="none"/>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szCs w:val="21"/>
                <w:highlight w:val="none"/>
              </w:rPr>
              <w:t>各类注册人员</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right w:val="single" w:color="auto" w:sz="4" w:space="0"/>
            </w:tcBorders>
            <w:vAlign w:val="center"/>
          </w:tcPr>
          <w:p>
            <w:pPr>
              <w:shd w:val="clear"/>
              <w:topLinePunct/>
              <w:spacing w:before="100" w:beforeAutospacing="1" w:after="100" w:afterAutospacing="1" w:line="440" w:lineRule="exact"/>
              <w:ind w:firstLine="210" w:firstLineChars="100"/>
              <w:jc w:val="center"/>
              <w:rPr>
                <w:rFonts w:ascii="仿宋" w:hAnsi="仿宋" w:eastAsia="仿宋" w:cs="仿宋"/>
                <w:color w:val="auto"/>
                <w:highlight w:val="none"/>
              </w:rPr>
            </w:pPr>
            <w:r>
              <w:rPr>
                <w:rFonts w:hint="eastAsia" w:ascii="仿宋" w:hAnsi="仿宋" w:eastAsia="仿宋" w:cs="仿宋"/>
                <w:color w:val="auto"/>
                <w:highlight w:val="none"/>
              </w:rPr>
              <w:t>经营范围</w:t>
            </w:r>
          </w:p>
        </w:tc>
        <w:tc>
          <w:tcPr>
            <w:tcW w:w="6840" w:type="dxa"/>
            <w:gridSpan w:val="8"/>
            <w:tcBorders>
              <w:top w:val="single" w:color="auto" w:sz="4" w:space="0"/>
              <w:left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szCs w:val="21"/>
                <w:highlight w:val="none"/>
              </w:rPr>
              <w:t>投标人关联企业情况（包括但不限于与投标人法定代表人为同一人或者存在控股、管理关系的不同单位）</w:t>
            </w:r>
          </w:p>
        </w:tc>
        <w:tc>
          <w:tcPr>
            <w:tcW w:w="6840" w:type="dxa"/>
            <w:gridSpan w:val="8"/>
            <w:tcBorders>
              <w:top w:val="single" w:color="auto" w:sz="4" w:space="0"/>
              <w:left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shd w:val="clear"/>
              <w:topLinePunct/>
              <w:spacing w:before="100" w:beforeAutospacing="1" w:after="100" w:afterAutospacing="1" w:line="440" w:lineRule="exact"/>
              <w:jc w:val="center"/>
              <w:rPr>
                <w:rFonts w:ascii="仿宋" w:hAnsi="仿宋" w:eastAsia="仿宋" w:cs="仿宋"/>
                <w:color w:val="auto"/>
                <w:highlight w:val="none"/>
              </w:rPr>
            </w:pPr>
            <w:r>
              <w:rPr>
                <w:rFonts w:hint="eastAsia" w:ascii="仿宋" w:hAnsi="仿宋" w:eastAsia="仿宋" w:cs="仿宋"/>
                <w:color w:val="auto"/>
                <w:highlight w:val="none"/>
              </w:rPr>
              <w:t>备注</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shd w:val="clear"/>
              <w:topLinePunct/>
              <w:spacing w:line="440" w:lineRule="exact"/>
              <w:jc w:val="center"/>
              <w:rPr>
                <w:rFonts w:ascii="仿宋" w:hAnsi="仿宋" w:eastAsia="仿宋" w:cs="仿宋"/>
                <w:color w:val="auto"/>
                <w:highlight w:val="none"/>
              </w:rPr>
            </w:pPr>
          </w:p>
        </w:tc>
      </w:tr>
    </w:tbl>
    <w:p>
      <w:pPr>
        <w:shd w:val="clear"/>
        <w:spacing w:line="440" w:lineRule="exact"/>
        <w:rPr>
          <w:rFonts w:ascii="仿宋" w:hAnsi="仿宋" w:eastAsia="仿宋" w:cs="仿宋"/>
          <w:color w:val="auto"/>
          <w:highlight w:val="none"/>
          <w:u w:val="single"/>
        </w:rPr>
      </w:pPr>
    </w:p>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br w:type="page"/>
      </w:r>
    </w:p>
    <w:bookmarkEnd w:id="566"/>
    <w:p>
      <w:pPr>
        <w:pStyle w:val="5"/>
        <w:shd w:val="clear"/>
        <w:ind w:firstLine="0" w:firstLineChars="0"/>
        <w:rPr>
          <w:rFonts w:ascii="仿宋" w:hAnsi="仿宋" w:eastAsia="仿宋" w:cs="仿宋"/>
          <w:color w:val="auto"/>
          <w:highlight w:val="none"/>
        </w:rPr>
      </w:pPr>
      <w:bookmarkStart w:id="568" w:name="_Toc56856977"/>
      <w:r>
        <w:rPr>
          <w:rFonts w:hint="eastAsia" w:ascii="仿宋" w:hAnsi="仿宋" w:eastAsia="仿宋" w:cs="仿宋"/>
          <w:color w:val="auto"/>
          <w:highlight w:val="none"/>
        </w:rPr>
        <w:t>（二）营业执照复印件</w:t>
      </w:r>
      <w:bookmarkEnd w:id="568"/>
    </w:p>
    <w:p>
      <w:pPr>
        <w:shd w:val="clear"/>
        <w:rPr>
          <w:rFonts w:ascii="仿宋" w:hAnsi="仿宋" w:eastAsia="仿宋" w:cs="仿宋"/>
          <w:color w:val="auto"/>
          <w:sz w:val="28"/>
          <w:szCs w:val="28"/>
          <w:highlight w:val="none"/>
        </w:rPr>
      </w:pPr>
    </w:p>
    <w:p>
      <w:pPr>
        <w:pStyle w:val="5"/>
        <w:shd w:val="clear"/>
        <w:ind w:firstLine="0" w:firstLineChars="0"/>
        <w:rPr>
          <w:rFonts w:ascii="仿宋" w:hAnsi="仿宋" w:eastAsia="仿宋" w:cs="仿宋"/>
          <w:color w:val="auto"/>
          <w:highlight w:val="none"/>
        </w:rPr>
      </w:pPr>
      <w:bookmarkStart w:id="569" w:name="_Toc56856978"/>
      <w:bookmarkStart w:id="570" w:name="_Toc482188667"/>
      <w:r>
        <w:rPr>
          <w:rFonts w:hint="eastAsia" w:ascii="仿宋" w:hAnsi="仿宋" w:eastAsia="仿宋" w:cs="仿宋"/>
          <w:color w:val="auto"/>
          <w:highlight w:val="none"/>
        </w:rPr>
        <w:t>（三）</w:t>
      </w:r>
      <w:bookmarkEnd w:id="569"/>
      <w:r>
        <w:rPr>
          <w:rFonts w:hint="eastAsia" w:ascii="仿宋" w:hAnsi="仿宋" w:eastAsia="仿宋" w:cs="仿宋"/>
          <w:color w:val="auto"/>
          <w:highlight w:val="none"/>
        </w:rPr>
        <w:t>投标申请人声明</w:t>
      </w:r>
    </w:p>
    <w:p>
      <w:pPr>
        <w:shd w:val="clear"/>
        <w:rPr>
          <w:rFonts w:ascii="仿宋" w:hAnsi="仿宋" w:eastAsia="仿宋" w:cs="仿宋"/>
          <w:color w:val="auto"/>
          <w:highlight w:val="none"/>
        </w:rPr>
      </w:pPr>
      <w:r>
        <w:rPr>
          <w:rFonts w:hint="eastAsia" w:ascii="仿宋" w:hAnsi="仿宋" w:eastAsia="仿宋" w:cs="仿宋"/>
          <w:color w:val="auto"/>
          <w:highlight w:val="none"/>
        </w:rPr>
        <w:t>（格式见</w:t>
      </w:r>
      <w:r>
        <w:rPr>
          <w:rFonts w:hint="eastAsia" w:ascii="仿宋" w:hAnsi="仿宋" w:eastAsia="仿宋" w:cs="仿宋"/>
          <w:color w:val="auto"/>
          <w:highlight w:val="none"/>
          <w:lang w:val="en-US" w:eastAsia="zh-CN"/>
        </w:rPr>
        <w:t>本项目</w:t>
      </w:r>
      <w:r>
        <w:rPr>
          <w:rFonts w:hint="eastAsia" w:ascii="仿宋" w:hAnsi="仿宋" w:eastAsia="仿宋" w:cs="仿宋"/>
          <w:color w:val="auto"/>
          <w:highlight w:val="none"/>
        </w:rPr>
        <w:t>招标公告附件1）</w:t>
      </w:r>
    </w:p>
    <w:p>
      <w:pPr>
        <w:shd w:val="clear"/>
        <w:rPr>
          <w:rFonts w:ascii="仿宋" w:hAnsi="仿宋" w:eastAsia="仿宋" w:cs="仿宋"/>
          <w:color w:val="auto"/>
          <w:highlight w:val="none"/>
        </w:rPr>
      </w:pPr>
    </w:p>
    <w:p>
      <w:pPr>
        <w:shd w:val="clear"/>
        <w:rPr>
          <w:rFonts w:ascii="仿宋" w:hAnsi="仿宋" w:eastAsia="仿宋" w:cs="仿宋"/>
          <w:color w:val="auto"/>
          <w:highlight w:val="none"/>
        </w:rPr>
      </w:pPr>
    </w:p>
    <w:p>
      <w:pPr>
        <w:shd w:val="clear"/>
        <w:rPr>
          <w:rFonts w:ascii="仿宋" w:hAnsi="仿宋" w:eastAsia="仿宋" w:cs="仿宋"/>
          <w:color w:val="auto"/>
          <w:highlight w:val="none"/>
        </w:rPr>
      </w:pPr>
      <w:r>
        <w:rPr>
          <w:rFonts w:hint="eastAsia" w:ascii="仿宋" w:hAnsi="仿宋" w:eastAsia="仿宋" w:cs="仿宋"/>
          <w:color w:val="auto"/>
          <w:highlight w:val="none"/>
        </w:rPr>
        <w:br w:type="page"/>
      </w:r>
    </w:p>
    <w:p>
      <w:pPr>
        <w:pStyle w:val="4"/>
        <w:shd w:val="clear"/>
        <w:spacing w:after="0"/>
        <w:jc w:val="center"/>
        <w:rPr>
          <w:rFonts w:ascii="仿宋" w:hAnsi="仿宋" w:eastAsia="仿宋" w:cs="仿宋"/>
          <w:color w:val="auto"/>
          <w:highlight w:val="none"/>
        </w:rPr>
      </w:pPr>
      <w:bookmarkStart w:id="571" w:name="_Toc56856980"/>
      <w:r>
        <w:rPr>
          <w:rFonts w:hint="eastAsia" w:ascii="仿宋" w:hAnsi="仿宋" w:eastAsia="仿宋" w:cs="仿宋"/>
          <w:color w:val="auto"/>
          <w:highlight w:val="none"/>
        </w:rPr>
        <w:t>五、团队成员</w:t>
      </w:r>
      <w:bookmarkEnd w:id="571"/>
    </w:p>
    <w:p>
      <w:pPr>
        <w:pStyle w:val="5"/>
        <w:shd w:val="clear"/>
        <w:ind w:firstLine="0" w:firstLineChars="0"/>
        <w:rPr>
          <w:rFonts w:ascii="仿宋" w:hAnsi="仿宋" w:eastAsia="仿宋" w:cs="仿宋"/>
          <w:color w:val="auto"/>
          <w:highlight w:val="none"/>
        </w:rPr>
      </w:pPr>
      <w:bookmarkStart w:id="572" w:name="_Toc56856981"/>
      <w:r>
        <w:rPr>
          <w:rFonts w:hint="eastAsia" w:ascii="仿宋" w:hAnsi="仿宋" w:eastAsia="仿宋" w:cs="仿宋"/>
          <w:color w:val="auto"/>
          <w:highlight w:val="none"/>
        </w:rPr>
        <w:t>（一）拟委任的主要人员汇总表</w:t>
      </w:r>
      <w:bookmarkEnd w:id="570"/>
      <w:bookmarkEnd w:id="572"/>
    </w:p>
    <w:p>
      <w:pPr>
        <w:shd w:val="clear"/>
        <w:spacing w:line="440" w:lineRule="exact"/>
        <w:rPr>
          <w:rFonts w:ascii="仿宋" w:hAnsi="仿宋" w:eastAsia="仿宋" w:cs="仿宋"/>
          <w:color w:val="auto"/>
          <w:highlight w:val="none"/>
        </w:rPr>
      </w:pPr>
    </w:p>
    <w:tbl>
      <w:tblPr>
        <w:tblStyle w:val="40"/>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1"/>
        <w:gridCol w:w="1251"/>
        <w:gridCol w:w="781"/>
        <w:gridCol w:w="869"/>
        <w:gridCol w:w="3471"/>
        <w:gridCol w:w="568"/>
        <w:gridCol w:w="700"/>
        <w:gridCol w:w="1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1" w:type="dxa"/>
            <w:tcBorders>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1251" w:type="dxa"/>
            <w:tcBorders>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职责分工</w:t>
            </w:r>
          </w:p>
        </w:tc>
        <w:tc>
          <w:tcPr>
            <w:tcW w:w="781" w:type="dxa"/>
            <w:tcBorders>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姓名</w:t>
            </w:r>
          </w:p>
        </w:tc>
        <w:tc>
          <w:tcPr>
            <w:tcW w:w="869" w:type="dxa"/>
            <w:tcBorders>
              <w:left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现职务</w:t>
            </w:r>
          </w:p>
        </w:tc>
        <w:tc>
          <w:tcPr>
            <w:tcW w:w="3471" w:type="dxa"/>
            <w:tcBorders>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曾主持/参与的同类项目经历</w:t>
            </w:r>
          </w:p>
        </w:tc>
        <w:tc>
          <w:tcPr>
            <w:tcW w:w="568" w:type="dxa"/>
            <w:tcBorders>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职称</w:t>
            </w:r>
          </w:p>
        </w:tc>
        <w:tc>
          <w:tcPr>
            <w:tcW w:w="700" w:type="dxa"/>
            <w:tcBorders>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专业工龄</w:t>
            </w:r>
          </w:p>
        </w:tc>
        <w:tc>
          <w:tcPr>
            <w:tcW w:w="1324" w:type="dxa"/>
            <w:tcBorders>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联系电话/手机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1" w:type="dxa"/>
            <w:tcBorders>
              <w:top w:val="single" w:color="auto" w:sz="4" w:space="0"/>
              <w:bottom w:val="single" w:color="auto" w:sz="4" w:space="0"/>
              <w:right w:val="single" w:color="auto" w:sz="4" w:space="0"/>
            </w:tcBorders>
            <w:shd w:val="clear" w:color="auto" w:fill="auto"/>
          </w:tcPr>
          <w:p>
            <w:pPr>
              <w:shd w:val="clear"/>
              <w:jc w:val="center"/>
              <w:rPr>
                <w:rFonts w:ascii="仿宋" w:hAnsi="仿宋" w:eastAsia="仿宋" w:cs="仿宋"/>
                <w:b/>
                <w:bCs/>
                <w:color w:val="auto"/>
                <w:szCs w:val="21"/>
                <w:highlight w:val="none"/>
              </w:rPr>
            </w:pPr>
          </w:p>
        </w:tc>
        <w:tc>
          <w:tcPr>
            <w:tcW w:w="1251"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869" w:type="dxa"/>
            <w:tcBorders>
              <w:top w:val="single" w:color="auto" w:sz="4" w:space="0"/>
              <w:left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3471"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568"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00" w:type="dxa"/>
            <w:tcBorders>
              <w:top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1324"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1" w:type="dxa"/>
            <w:tcBorders>
              <w:top w:val="single" w:color="auto" w:sz="4" w:space="0"/>
              <w:bottom w:val="single" w:color="auto" w:sz="4" w:space="0"/>
              <w:right w:val="single" w:color="auto" w:sz="4" w:space="0"/>
            </w:tcBorders>
            <w:shd w:val="clear" w:color="auto" w:fill="auto"/>
          </w:tcPr>
          <w:p>
            <w:pPr>
              <w:shd w:val="clear"/>
              <w:jc w:val="center"/>
              <w:rPr>
                <w:rFonts w:ascii="仿宋" w:hAnsi="仿宋" w:eastAsia="仿宋" w:cs="仿宋"/>
                <w:b/>
                <w:bCs/>
                <w:color w:val="auto"/>
                <w:szCs w:val="21"/>
                <w:highlight w:val="none"/>
              </w:rPr>
            </w:pPr>
          </w:p>
        </w:tc>
        <w:tc>
          <w:tcPr>
            <w:tcW w:w="1251"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869" w:type="dxa"/>
            <w:tcBorders>
              <w:top w:val="single" w:color="auto" w:sz="4" w:space="0"/>
              <w:left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3471"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568"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00" w:type="dxa"/>
            <w:tcBorders>
              <w:top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1324"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1" w:type="dxa"/>
            <w:tcBorders>
              <w:top w:val="single" w:color="auto" w:sz="4" w:space="0"/>
              <w:bottom w:val="single" w:color="auto" w:sz="4" w:space="0"/>
              <w:right w:val="single" w:color="auto" w:sz="4" w:space="0"/>
            </w:tcBorders>
            <w:shd w:val="clear" w:color="auto" w:fill="auto"/>
          </w:tcPr>
          <w:p>
            <w:pPr>
              <w:shd w:val="clear"/>
              <w:jc w:val="center"/>
              <w:rPr>
                <w:rFonts w:ascii="仿宋" w:hAnsi="仿宋" w:eastAsia="仿宋" w:cs="仿宋"/>
                <w:b/>
                <w:bCs/>
                <w:color w:val="auto"/>
                <w:szCs w:val="21"/>
                <w:highlight w:val="none"/>
              </w:rPr>
            </w:pPr>
          </w:p>
        </w:tc>
        <w:tc>
          <w:tcPr>
            <w:tcW w:w="1251"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869" w:type="dxa"/>
            <w:tcBorders>
              <w:top w:val="single" w:color="auto" w:sz="4" w:space="0"/>
              <w:left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3471"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568"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00" w:type="dxa"/>
            <w:tcBorders>
              <w:top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1324"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1" w:type="dxa"/>
            <w:tcBorders>
              <w:top w:val="single" w:color="auto" w:sz="4" w:space="0"/>
              <w:bottom w:val="single" w:color="auto" w:sz="4" w:space="0"/>
              <w:right w:val="single" w:color="auto" w:sz="4" w:space="0"/>
            </w:tcBorders>
            <w:shd w:val="clear" w:color="auto" w:fill="auto"/>
          </w:tcPr>
          <w:p>
            <w:pPr>
              <w:shd w:val="clear"/>
              <w:jc w:val="center"/>
              <w:rPr>
                <w:rFonts w:ascii="仿宋" w:hAnsi="仿宋" w:eastAsia="仿宋" w:cs="仿宋"/>
                <w:b/>
                <w:bCs/>
                <w:color w:val="auto"/>
                <w:szCs w:val="21"/>
                <w:highlight w:val="none"/>
              </w:rPr>
            </w:pPr>
          </w:p>
        </w:tc>
        <w:tc>
          <w:tcPr>
            <w:tcW w:w="1251"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869" w:type="dxa"/>
            <w:tcBorders>
              <w:top w:val="single" w:color="auto" w:sz="4" w:space="0"/>
              <w:left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3471"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568"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00" w:type="dxa"/>
            <w:tcBorders>
              <w:top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1324"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1" w:type="dxa"/>
            <w:tcBorders>
              <w:top w:val="single" w:color="auto" w:sz="4" w:space="0"/>
              <w:bottom w:val="single" w:color="auto" w:sz="4" w:space="0"/>
              <w:right w:val="single" w:color="auto" w:sz="4" w:space="0"/>
            </w:tcBorders>
            <w:shd w:val="clear" w:color="auto" w:fill="auto"/>
          </w:tcPr>
          <w:p>
            <w:pPr>
              <w:shd w:val="clear"/>
              <w:jc w:val="center"/>
              <w:rPr>
                <w:rFonts w:ascii="仿宋" w:hAnsi="仿宋" w:eastAsia="仿宋" w:cs="仿宋"/>
                <w:b/>
                <w:bCs/>
                <w:color w:val="auto"/>
                <w:szCs w:val="21"/>
                <w:highlight w:val="none"/>
              </w:rPr>
            </w:pPr>
          </w:p>
        </w:tc>
        <w:tc>
          <w:tcPr>
            <w:tcW w:w="1251"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869" w:type="dxa"/>
            <w:tcBorders>
              <w:top w:val="single" w:color="auto" w:sz="4" w:space="0"/>
              <w:left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3471"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568"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00" w:type="dxa"/>
            <w:tcBorders>
              <w:top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1324"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1" w:type="dxa"/>
            <w:tcBorders>
              <w:top w:val="single" w:color="auto" w:sz="4" w:space="0"/>
              <w:bottom w:val="single" w:color="auto" w:sz="4" w:space="0"/>
              <w:right w:val="single" w:color="auto" w:sz="4" w:space="0"/>
            </w:tcBorders>
            <w:shd w:val="clear" w:color="auto" w:fill="auto"/>
          </w:tcPr>
          <w:p>
            <w:pPr>
              <w:shd w:val="clear"/>
              <w:jc w:val="center"/>
              <w:rPr>
                <w:rFonts w:ascii="仿宋" w:hAnsi="仿宋" w:eastAsia="仿宋" w:cs="仿宋"/>
                <w:b/>
                <w:bCs/>
                <w:color w:val="auto"/>
                <w:szCs w:val="21"/>
                <w:highlight w:val="none"/>
              </w:rPr>
            </w:pPr>
          </w:p>
        </w:tc>
        <w:tc>
          <w:tcPr>
            <w:tcW w:w="1251"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869" w:type="dxa"/>
            <w:tcBorders>
              <w:top w:val="single" w:color="auto" w:sz="4" w:space="0"/>
              <w:left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3471"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568"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00" w:type="dxa"/>
            <w:tcBorders>
              <w:top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1324"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1" w:type="dxa"/>
            <w:tcBorders>
              <w:top w:val="single" w:color="auto" w:sz="4" w:space="0"/>
              <w:bottom w:val="single" w:color="auto" w:sz="4" w:space="0"/>
              <w:right w:val="single" w:color="auto" w:sz="4" w:space="0"/>
            </w:tcBorders>
            <w:shd w:val="clear" w:color="auto" w:fill="auto"/>
          </w:tcPr>
          <w:p>
            <w:pPr>
              <w:shd w:val="clear"/>
              <w:jc w:val="center"/>
              <w:rPr>
                <w:rFonts w:ascii="仿宋" w:hAnsi="仿宋" w:eastAsia="仿宋" w:cs="仿宋"/>
                <w:b/>
                <w:bCs/>
                <w:color w:val="auto"/>
                <w:szCs w:val="21"/>
                <w:highlight w:val="none"/>
              </w:rPr>
            </w:pPr>
          </w:p>
        </w:tc>
        <w:tc>
          <w:tcPr>
            <w:tcW w:w="1251"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p>
            <w:pPr>
              <w:shd w:val="clear"/>
              <w:jc w:val="center"/>
              <w:rPr>
                <w:rFonts w:ascii="仿宋" w:hAnsi="仿宋" w:eastAsia="仿宋" w:cs="仿宋"/>
                <w:b/>
                <w:bCs/>
                <w:color w:val="auto"/>
                <w:szCs w:val="21"/>
                <w:highlight w:val="none"/>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869" w:type="dxa"/>
            <w:tcBorders>
              <w:top w:val="single" w:color="auto" w:sz="4" w:space="0"/>
              <w:left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3471"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568"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00" w:type="dxa"/>
            <w:tcBorders>
              <w:top w:val="single" w:color="auto" w:sz="4" w:space="0"/>
              <w:bottom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1324" w:type="dxa"/>
            <w:tcBorders>
              <w:top w:val="single" w:color="auto" w:sz="4" w:space="0"/>
              <w:bottom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1" w:type="dxa"/>
            <w:tcBorders>
              <w:top w:val="single" w:color="auto" w:sz="4" w:space="0"/>
              <w:right w:val="single" w:color="auto" w:sz="4" w:space="0"/>
            </w:tcBorders>
            <w:shd w:val="clear" w:color="auto" w:fill="auto"/>
          </w:tcPr>
          <w:p>
            <w:pPr>
              <w:shd w:val="clear"/>
              <w:jc w:val="center"/>
              <w:rPr>
                <w:rFonts w:ascii="仿宋" w:hAnsi="仿宋" w:eastAsia="仿宋" w:cs="仿宋"/>
                <w:b/>
                <w:bCs/>
                <w:color w:val="auto"/>
                <w:szCs w:val="21"/>
                <w:highlight w:val="none"/>
              </w:rPr>
            </w:pPr>
          </w:p>
        </w:tc>
        <w:tc>
          <w:tcPr>
            <w:tcW w:w="1251" w:type="dxa"/>
            <w:tcBorders>
              <w:top w:val="single" w:color="auto" w:sz="4" w:space="0"/>
              <w:left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81" w:type="dxa"/>
            <w:tcBorders>
              <w:top w:val="single" w:color="auto" w:sz="4" w:space="0"/>
              <w:left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869" w:type="dxa"/>
            <w:tcBorders>
              <w:top w:val="single" w:color="auto" w:sz="4" w:space="0"/>
              <w:lef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3471" w:type="dxa"/>
            <w:tcBorders>
              <w:top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568" w:type="dxa"/>
            <w:tcBorders>
              <w:top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700" w:type="dxa"/>
            <w:tcBorders>
              <w:top w:val="single" w:color="auto" w:sz="4" w:space="0"/>
              <w:right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c>
          <w:tcPr>
            <w:tcW w:w="1324" w:type="dxa"/>
            <w:tcBorders>
              <w:top w:val="single" w:color="auto" w:sz="4" w:space="0"/>
            </w:tcBorders>
            <w:shd w:val="clear" w:color="auto" w:fill="auto"/>
            <w:vAlign w:val="center"/>
          </w:tcPr>
          <w:p>
            <w:pPr>
              <w:shd w:val="clear"/>
              <w:jc w:val="center"/>
              <w:rPr>
                <w:rFonts w:ascii="仿宋" w:hAnsi="仿宋" w:eastAsia="仿宋" w:cs="仿宋"/>
                <w:b/>
                <w:bCs/>
                <w:color w:val="auto"/>
                <w:szCs w:val="21"/>
                <w:highlight w:val="none"/>
              </w:rPr>
            </w:pPr>
          </w:p>
        </w:tc>
      </w:tr>
    </w:tbl>
    <w:p>
      <w:pPr>
        <w:shd w:val="clear"/>
        <w:spacing w:line="440" w:lineRule="exact"/>
        <w:rPr>
          <w:rFonts w:ascii="仿宋" w:hAnsi="仿宋" w:eastAsia="仿宋" w:cs="仿宋"/>
          <w:color w:val="auto"/>
          <w:highlight w:val="none"/>
        </w:rPr>
      </w:pPr>
      <w:bookmarkStart w:id="573" w:name="_Toc152045805"/>
      <w:bookmarkStart w:id="574" w:name="_Toc179632825"/>
      <w:bookmarkStart w:id="575" w:name="_Toc152042594"/>
      <w:bookmarkStart w:id="576" w:name="_Toc144974873"/>
    </w:p>
    <w:p>
      <w:pPr>
        <w:pStyle w:val="5"/>
        <w:shd w:val="clear"/>
        <w:ind w:firstLine="137"/>
        <w:rPr>
          <w:rFonts w:ascii="仿宋" w:hAnsi="仿宋" w:eastAsia="仿宋" w:cs="仿宋"/>
          <w:color w:val="auto"/>
          <w:highlight w:val="none"/>
        </w:rPr>
      </w:pPr>
      <w:bookmarkStart w:id="577" w:name="_Toc300835232"/>
      <w:bookmarkStart w:id="578" w:name="_Toc359594249"/>
      <w:bookmarkStart w:id="579" w:name="_Toc370676440"/>
      <w:bookmarkStart w:id="580" w:name="_Toc56856982"/>
      <w:bookmarkStart w:id="581" w:name="_Toc385943079"/>
      <w:bookmarkStart w:id="582" w:name="_Toc482188668"/>
      <w:bookmarkStart w:id="583" w:name="_Toc384308390"/>
      <w:bookmarkStart w:id="584" w:name="_Toc391394125"/>
      <w:r>
        <w:rPr>
          <w:rFonts w:hint="eastAsia" w:ascii="仿宋" w:hAnsi="仿宋" w:eastAsia="仿宋" w:cs="仿宋"/>
          <w:color w:val="auto"/>
          <w:highlight w:val="none"/>
        </w:rPr>
        <w:t>（二）主要人员简历表</w:t>
      </w:r>
      <w:bookmarkEnd w:id="573"/>
      <w:bookmarkEnd w:id="574"/>
      <w:bookmarkEnd w:id="575"/>
      <w:bookmarkEnd w:id="576"/>
      <w:bookmarkEnd w:id="577"/>
      <w:bookmarkEnd w:id="578"/>
      <w:bookmarkEnd w:id="579"/>
      <w:bookmarkEnd w:id="580"/>
      <w:bookmarkEnd w:id="581"/>
      <w:bookmarkEnd w:id="582"/>
      <w:bookmarkEnd w:id="583"/>
      <w:bookmarkEnd w:id="584"/>
    </w:p>
    <w:tbl>
      <w:tblPr>
        <w:tblStyle w:val="40"/>
        <w:tblW w:w="89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134"/>
        <w:gridCol w:w="1178"/>
        <w:gridCol w:w="1153"/>
        <w:gridCol w:w="1888"/>
        <w:gridCol w:w="1435"/>
        <w:gridCol w:w="350"/>
        <w:gridCol w:w="177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00" w:hRule="atLeast"/>
          <w:jc w:val="center"/>
        </w:trPr>
        <w:tc>
          <w:tcPr>
            <w:tcW w:w="1134" w:type="dxa"/>
            <w:vAlign w:val="center"/>
          </w:tcPr>
          <w:p>
            <w:pPr>
              <w:shd w:val="clea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1178" w:type="dxa"/>
            <w:vAlign w:val="center"/>
          </w:tcPr>
          <w:p>
            <w:pPr>
              <w:shd w:val="clear"/>
              <w:spacing w:line="360" w:lineRule="auto"/>
              <w:jc w:val="center"/>
              <w:rPr>
                <w:rFonts w:ascii="仿宋" w:hAnsi="仿宋" w:eastAsia="仿宋" w:cs="仿宋"/>
                <w:color w:val="auto"/>
                <w:szCs w:val="21"/>
                <w:highlight w:val="none"/>
              </w:rPr>
            </w:pPr>
          </w:p>
        </w:tc>
        <w:tc>
          <w:tcPr>
            <w:tcW w:w="1153" w:type="dxa"/>
            <w:vAlign w:val="center"/>
          </w:tcPr>
          <w:p>
            <w:pPr>
              <w:shd w:val="clea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职务</w:t>
            </w:r>
          </w:p>
        </w:tc>
        <w:tc>
          <w:tcPr>
            <w:tcW w:w="1888" w:type="dxa"/>
            <w:vAlign w:val="center"/>
          </w:tcPr>
          <w:p>
            <w:pPr>
              <w:shd w:val="clear"/>
              <w:spacing w:line="360" w:lineRule="auto"/>
              <w:jc w:val="center"/>
              <w:rPr>
                <w:rFonts w:ascii="仿宋" w:hAnsi="仿宋" w:eastAsia="仿宋" w:cs="仿宋"/>
                <w:color w:val="auto"/>
                <w:szCs w:val="21"/>
                <w:highlight w:val="none"/>
              </w:rPr>
            </w:pPr>
          </w:p>
        </w:tc>
        <w:tc>
          <w:tcPr>
            <w:tcW w:w="1785" w:type="dxa"/>
            <w:gridSpan w:val="2"/>
            <w:vAlign w:val="center"/>
          </w:tcPr>
          <w:p>
            <w:pPr>
              <w:shd w:val="clear"/>
              <w:spacing w:line="360" w:lineRule="auto"/>
              <w:ind w:left="57"/>
              <w:jc w:val="center"/>
              <w:rPr>
                <w:rFonts w:ascii="仿宋" w:hAnsi="仿宋" w:eastAsia="仿宋" w:cs="仿宋"/>
                <w:color w:val="auto"/>
                <w:szCs w:val="21"/>
                <w:highlight w:val="none"/>
              </w:rPr>
            </w:pPr>
            <w:r>
              <w:rPr>
                <w:rFonts w:hint="eastAsia" w:ascii="仿宋" w:hAnsi="仿宋" w:eastAsia="仿宋" w:cs="仿宋"/>
                <w:color w:val="auto"/>
                <w:szCs w:val="21"/>
                <w:highlight w:val="none"/>
              </w:rPr>
              <w:t>职称</w:t>
            </w:r>
          </w:p>
        </w:tc>
        <w:tc>
          <w:tcPr>
            <w:tcW w:w="1778" w:type="dxa"/>
            <w:vAlign w:val="center"/>
          </w:tcPr>
          <w:p>
            <w:pPr>
              <w:shd w:val="clear"/>
              <w:spacing w:line="360" w:lineRule="auto"/>
              <w:jc w:val="center"/>
              <w:rPr>
                <w:rFonts w:ascii="仿宋" w:hAnsi="仿宋" w:eastAsia="仿宋" w:cs="仿宋"/>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55" w:hRule="atLeast"/>
          <w:jc w:val="center"/>
        </w:trPr>
        <w:tc>
          <w:tcPr>
            <w:tcW w:w="1134" w:type="dxa"/>
            <w:vAlign w:val="center"/>
          </w:tcPr>
          <w:p>
            <w:pPr>
              <w:shd w:val="clea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年龄</w:t>
            </w:r>
          </w:p>
        </w:tc>
        <w:tc>
          <w:tcPr>
            <w:tcW w:w="1178" w:type="dxa"/>
            <w:vAlign w:val="center"/>
          </w:tcPr>
          <w:p>
            <w:pPr>
              <w:shd w:val="clear"/>
              <w:spacing w:line="360" w:lineRule="auto"/>
              <w:jc w:val="center"/>
              <w:rPr>
                <w:rFonts w:ascii="仿宋" w:hAnsi="仿宋" w:eastAsia="仿宋" w:cs="仿宋"/>
                <w:color w:val="auto"/>
                <w:szCs w:val="21"/>
                <w:highlight w:val="none"/>
              </w:rPr>
            </w:pPr>
          </w:p>
        </w:tc>
        <w:tc>
          <w:tcPr>
            <w:tcW w:w="1153" w:type="dxa"/>
            <w:vAlign w:val="center"/>
          </w:tcPr>
          <w:p>
            <w:pPr>
              <w:shd w:val="clea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拟任职</w:t>
            </w:r>
          </w:p>
        </w:tc>
        <w:tc>
          <w:tcPr>
            <w:tcW w:w="1888" w:type="dxa"/>
            <w:vAlign w:val="center"/>
          </w:tcPr>
          <w:p>
            <w:pPr>
              <w:shd w:val="clear"/>
              <w:spacing w:line="360" w:lineRule="auto"/>
              <w:jc w:val="center"/>
              <w:rPr>
                <w:rFonts w:ascii="仿宋" w:hAnsi="仿宋" w:eastAsia="仿宋" w:cs="仿宋"/>
                <w:color w:val="auto"/>
                <w:szCs w:val="21"/>
                <w:highlight w:val="none"/>
              </w:rPr>
            </w:pPr>
          </w:p>
        </w:tc>
        <w:tc>
          <w:tcPr>
            <w:tcW w:w="1785" w:type="dxa"/>
            <w:gridSpan w:val="2"/>
            <w:vAlign w:val="center"/>
          </w:tcPr>
          <w:p>
            <w:pPr>
              <w:shd w:val="clear"/>
              <w:spacing w:line="360" w:lineRule="auto"/>
              <w:ind w:left="192"/>
              <w:jc w:val="center"/>
              <w:rPr>
                <w:rFonts w:ascii="仿宋" w:hAnsi="仿宋" w:eastAsia="仿宋" w:cs="仿宋"/>
                <w:color w:val="auto"/>
                <w:szCs w:val="21"/>
                <w:highlight w:val="none"/>
              </w:rPr>
            </w:pPr>
            <w:r>
              <w:rPr>
                <w:rFonts w:hint="eastAsia" w:ascii="仿宋" w:hAnsi="仿宋" w:eastAsia="仿宋" w:cs="仿宋"/>
                <w:color w:val="auto"/>
                <w:szCs w:val="21"/>
                <w:highlight w:val="none"/>
              </w:rPr>
              <w:t>单位任职时间</w:t>
            </w:r>
          </w:p>
        </w:tc>
        <w:tc>
          <w:tcPr>
            <w:tcW w:w="1778" w:type="dxa"/>
            <w:vAlign w:val="center"/>
          </w:tcPr>
          <w:p>
            <w:pPr>
              <w:shd w:val="clear"/>
              <w:spacing w:line="360" w:lineRule="auto"/>
              <w:jc w:val="center"/>
              <w:rPr>
                <w:rFonts w:ascii="仿宋" w:hAnsi="仿宋" w:eastAsia="仿宋" w:cs="仿宋"/>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60" w:hRule="atLeast"/>
          <w:jc w:val="center"/>
        </w:trPr>
        <w:tc>
          <w:tcPr>
            <w:tcW w:w="8916" w:type="dxa"/>
            <w:gridSpan w:val="7"/>
          </w:tcPr>
          <w:p>
            <w:pPr>
              <w:shd w:val="clea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人员学历（毕业学校、时间、专业）、相关经验、及取得的专业认证情况：</w:t>
            </w:r>
          </w:p>
          <w:p>
            <w:pPr>
              <w:shd w:val="clear"/>
              <w:spacing w:line="360" w:lineRule="auto"/>
              <w:rPr>
                <w:rFonts w:ascii="仿宋" w:hAnsi="仿宋" w:eastAsia="仿宋" w:cs="仿宋"/>
                <w:color w:val="auto"/>
                <w:szCs w:val="21"/>
                <w:highlight w:val="none"/>
              </w:rPr>
            </w:pPr>
          </w:p>
          <w:p>
            <w:pPr>
              <w:shd w:val="clear"/>
              <w:spacing w:line="360" w:lineRule="auto"/>
              <w:rPr>
                <w:rFonts w:ascii="仿宋" w:hAnsi="仿宋" w:eastAsia="仿宋" w:cs="仿宋"/>
                <w:color w:val="auto"/>
                <w:szCs w:val="21"/>
                <w:highlight w:val="none"/>
              </w:rPr>
            </w:pPr>
          </w:p>
          <w:p>
            <w:pPr>
              <w:shd w:val="clear"/>
              <w:spacing w:line="360" w:lineRule="auto"/>
              <w:rPr>
                <w:rFonts w:ascii="仿宋" w:hAnsi="仿宋" w:eastAsia="仿宋" w:cs="仿宋"/>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90" w:hRule="atLeast"/>
          <w:jc w:val="center"/>
        </w:trPr>
        <w:tc>
          <w:tcPr>
            <w:tcW w:w="6788" w:type="dxa"/>
            <w:gridSpan w:val="5"/>
            <w:vAlign w:val="center"/>
          </w:tcPr>
          <w:p>
            <w:pPr>
              <w:shd w:val="clea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参加过的主要项目名称</w:t>
            </w:r>
          </w:p>
        </w:tc>
        <w:tc>
          <w:tcPr>
            <w:tcW w:w="2128" w:type="dxa"/>
            <w:gridSpan w:val="2"/>
            <w:vAlign w:val="center"/>
          </w:tcPr>
          <w:p>
            <w:pPr>
              <w:shd w:val="clea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担任职务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94" w:hRule="atLeast"/>
          <w:jc w:val="center"/>
        </w:trPr>
        <w:tc>
          <w:tcPr>
            <w:tcW w:w="6788" w:type="dxa"/>
            <w:gridSpan w:val="5"/>
          </w:tcPr>
          <w:p>
            <w:pPr>
              <w:shd w:val="clear"/>
              <w:spacing w:line="360" w:lineRule="auto"/>
              <w:rPr>
                <w:rFonts w:ascii="仿宋" w:hAnsi="仿宋" w:eastAsia="仿宋" w:cs="仿宋"/>
                <w:color w:val="auto"/>
                <w:szCs w:val="21"/>
                <w:highlight w:val="none"/>
              </w:rPr>
            </w:pPr>
          </w:p>
        </w:tc>
        <w:tc>
          <w:tcPr>
            <w:tcW w:w="2128" w:type="dxa"/>
            <w:gridSpan w:val="2"/>
          </w:tcPr>
          <w:p>
            <w:pPr>
              <w:shd w:val="clear"/>
              <w:spacing w:line="360" w:lineRule="auto"/>
              <w:rPr>
                <w:rFonts w:ascii="仿宋" w:hAnsi="仿宋" w:eastAsia="仿宋" w:cs="仿宋"/>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94" w:hRule="atLeast"/>
          <w:jc w:val="center"/>
        </w:trPr>
        <w:tc>
          <w:tcPr>
            <w:tcW w:w="6788" w:type="dxa"/>
            <w:gridSpan w:val="5"/>
          </w:tcPr>
          <w:p>
            <w:pPr>
              <w:shd w:val="clear"/>
              <w:spacing w:line="360" w:lineRule="auto"/>
              <w:rPr>
                <w:rFonts w:ascii="仿宋" w:hAnsi="仿宋" w:eastAsia="仿宋" w:cs="仿宋"/>
                <w:color w:val="auto"/>
                <w:szCs w:val="21"/>
                <w:highlight w:val="none"/>
              </w:rPr>
            </w:pPr>
          </w:p>
        </w:tc>
        <w:tc>
          <w:tcPr>
            <w:tcW w:w="2128" w:type="dxa"/>
            <w:gridSpan w:val="2"/>
          </w:tcPr>
          <w:p>
            <w:pPr>
              <w:shd w:val="clear"/>
              <w:spacing w:line="360" w:lineRule="auto"/>
              <w:rPr>
                <w:rFonts w:ascii="仿宋" w:hAnsi="仿宋" w:eastAsia="仿宋" w:cs="仿宋"/>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94" w:hRule="atLeast"/>
          <w:jc w:val="center"/>
        </w:trPr>
        <w:tc>
          <w:tcPr>
            <w:tcW w:w="6788" w:type="dxa"/>
            <w:gridSpan w:val="5"/>
          </w:tcPr>
          <w:p>
            <w:pPr>
              <w:shd w:val="clear"/>
              <w:spacing w:line="360" w:lineRule="auto"/>
              <w:rPr>
                <w:rFonts w:ascii="仿宋" w:hAnsi="仿宋" w:eastAsia="仿宋" w:cs="仿宋"/>
                <w:color w:val="auto"/>
                <w:szCs w:val="21"/>
                <w:highlight w:val="none"/>
              </w:rPr>
            </w:pPr>
          </w:p>
        </w:tc>
        <w:tc>
          <w:tcPr>
            <w:tcW w:w="2128" w:type="dxa"/>
            <w:gridSpan w:val="2"/>
          </w:tcPr>
          <w:p>
            <w:pPr>
              <w:shd w:val="clear"/>
              <w:spacing w:line="360" w:lineRule="auto"/>
              <w:rPr>
                <w:rFonts w:ascii="仿宋" w:hAnsi="仿宋" w:eastAsia="仿宋" w:cs="仿宋"/>
                <w:color w:val="auto"/>
                <w:szCs w:val="21"/>
                <w:highlight w:val="none"/>
              </w:rPr>
            </w:pPr>
          </w:p>
        </w:tc>
      </w:tr>
    </w:tbl>
    <w:p>
      <w:pPr>
        <w:shd w:val="clear"/>
        <w:spacing w:line="440" w:lineRule="exact"/>
        <w:rPr>
          <w:rFonts w:ascii="仿宋" w:hAnsi="仿宋" w:eastAsia="仿宋" w:cs="仿宋"/>
          <w:color w:val="auto"/>
          <w:highlight w:val="none"/>
        </w:rPr>
      </w:pPr>
      <w:r>
        <w:rPr>
          <w:rFonts w:hint="eastAsia" w:ascii="仿宋" w:hAnsi="仿宋" w:eastAsia="仿宋" w:cs="仿宋"/>
          <w:color w:val="auto"/>
          <w:highlight w:val="none"/>
        </w:rPr>
        <w:br w:type="page"/>
      </w:r>
      <w:bookmarkStart w:id="585" w:name="_Toc352703741"/>
      <w:bookmarkStart w:id="586" w:name="_Toc300835229"/>
    </w:p>
    <w:p>
      <w:pPr>
        <w:pStyle w:val="4"/>
        <w:shd w:val="clear"/>
        <w:spacing w:after="0"/>
        <w:jc w:val="center"/>
        <w:rPr>
          <w:rFonts w:ascii="仿宋" w:hAnsi="仿宋" w:eastAsia="仿宋" w:cs="仿宋"/>
          <w:color w:val="auto"/>
          <w:highlight w:val="none"/>
        </w:rPr>
      </w:pPr>
      <w:bookmarkStart w:id="587" w:name="_Toc56856984"/>
      <w:r>
        <w:rPr>
          <w:rFonts w:hint="eastAsia" w:ascii="仿宋" w:hAnsi="仿宋" w:eastAsia="仿宋" w:cs="仿宋"/>
          <w:color w:val="auto"/>
          <w:highlight w:val="none"/>
        </w:rPr>
        <w:t>六、类似项目业绩情况表</w:t>
      </w:r>
      <w:bookmarkEnd w:id="587"/>
    </w:p>
    <w:tbl>
      <w:tblPr>
        <w:tblStyle w:val="40"/>
        <w:tblW w:w="88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7"/>
        <w:gridCol w:w="958"/>
        <w:gridCol w:w="1261"/>
        <w:gridCol w:w="899"/>
        <w:gridCol w:w="1187"/>
        <w:gridCol w:w="1693"/>
        <w:gridCol w:w="1028"/>
        <w:gridCol w:w="1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2"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958"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项目名称</w:t>
            </w:r>
          </w:p>
        </w:tc>
        <w:tc>
          <w:tcPr>
            <w:tcW w:w="1261"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项目所在地</w:t>
            </w:r>
          </w:p>
        </w:tc>
        <w:tc>
          <w:tcPr>
            <w:tcW w:w="899" w:type="dxa"/>
            <w:tcBorders>
              <w:top w:val="single" w:color="auto" w:sz="4" w:space="0"/>
              <w:left w:val="single" w:color="auto" w:sz="4" w:space="0"/>
              <w:bottom w:val="single" w:color="auto" w:sz="4" w:space="0"/>
              <w:right w:val="single" w:color="auto" w:sz="4" w:space="0"/>
            </w:tcBorders>
            <w:vAlign w:val="center"/>
          </w:tcPr>
          <w:p>
            <w:pPr>
              <w:shd w:val="clear"/>
              <w:spacing w:line="360" w:lineRule="auto"/>
              <w:rPr>
                <w:rFonts w:ascii="仿宋" w:hAnsi="仿宋" w:eastAsia="仿宋" w:cs="仿宋"/>
                <w:color w:val="auto"/>
                <w:highlight w:val="none"/>
              </w:rPr>
            </w:pPr>
            <w:r>
              <w:rPr>
                <w:rFonts w:hint="eastAsia" w:ascii="仿宋" w:hAnsi="仿宋" w:eastAsia="仿宋" w:cs="仿宋"/>
                <w:color w:val="auto"/>
                <w:highlight w:val="none"/>
              </w:rPr>
              <w:t>合同期限</w:t>
            </w:r>
          </w:p>
        </w:tc>
        <w:tc>
          <w:tcPr>
            <w:tcW w:w="1187"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合同金额</w:t>
            </w:r>
          </w:p>
          <w:p>
            <w:pPr>
              <w:shd w:val="clea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（万元）</w:t>
            </w:r>
          </w:p>
        </w:tc>
        <w:tc>
          <w:tcPr>
            <w:tcW w:w="1693"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业主名称</w:t>
            </w:r>
          </w:p>
        </w:tc>
        <w:tc>
          <w:tcPr>
            <w:tcW w:w="1028"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业主联系方式</w:t>
            </w:r>
          </w:p>
        </w:tc>
        <w:tc>
          <w:tcPr>
            <w:tcW w:w="1131"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证明材料页码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77"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958"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ascii="仿宋" w:hAnsi="仿宋" w:eastAsia="仿宋" w:cs="仿宋"/>
                <w:color w:val="auto"/>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pPr>
              <w:shd w:val="clear"/>
              <w:spacing w:line="360" w:lineRule="auto"/>
              <w:ind w:firstLine="420" w:firstLineChars="200"/>
              <w:rPr>
                <w:rFonts w:ascii="仿宋" w:hAnsi="仿宋" w:eastAsia="仿宋" w:cs="仿宋"/>
                <w:color w:val="auto"/>
                <w:highlight w:val="none"/>
              </w:rPr>
            </w:pPr>
          </w:p>
          <w:p>
            <w:pPr>
              <w:shd w:val="clear"/>
              <w:spacing w:line="360" w:lineRule="auto"/>
              <w:ind w:firstLine="420" w:firstLineChars="200"/>
              <w:rPr>
                <w:rFonts w:ascii="仿宋" w:hAnsi="仿宋" w:eastAsia="仿宋" w:cs="仿宋"/>
                <w:color w:val="auto"/>
                <w:highlight w:val="none"/>
              </w:rPr>
            </w:pPr>
          </w:p>
        </w:tc>
        <w:tc>
          <w:tcPr>
            <w:tcW w:w="899" w:type="dxa"/>
            <w:tcBorders>
              <w:top w:val="single" w:color="auto" w:sz="4" w:space="0"/>
              <w:left w:val="single" w:color="auto" w:sz="4" w:space="0"/>
              <w:bottom w:val="single" w:color="auto" w:sz="4" w:space="0"/>
              <w:right w:val="single" w:color="auto" w:sz="4" w:space="0"/>
            </w:tcBorders>
            <w:vAlign w:val="center"/>
          </w:tcPr>
          <w:p>
            <w:pPr>
              <w:widowControl/>
              <w:shd w:val="clear"/>
              <w:jc w:val="left"/>
              <w:rPr>
                <w:rFonts w:ascii="仿宋" w:hAnsi="仿宋" w:eastAsia="仿宋" w:cs="仿宋"/>
                <w:color w:val="auto"/>
                <w:highlight w:val="none"/>
              </w:rPr>
            </w:pPr>
          </w:p>
          <w:p>
            <w:pPr>
              <w:shd w:val="clear"/>
              <w:spacing w:line="360" w:lineRule="auto"/>
              <w:rPr>
                <w:rFonts w:ascii="仿宋" w:hAnsi="仿宋" w:eastAsia="仿宋" w:cs="仿宋"/>
                <w:color w:val="auto"/>
                <w:highlight w:val="none"/>
              </w:rPr>
            </w:pPr>
          </w:p>
        </w:tc>
        <w:tc>
          <w:tcPr>
            <w:tcW w:w="1187" w:type="dxa"/>
            <w:tcBorders>
              <w:top w:val="single" w:color="auto" w:sz="4" w:space="0"/>
              <w:left w:val="single" w:color="auto" w:sz="4" w:space="0"/>
              <w:bottom w:val="single" w:color="auto" w:sz="4" w:space="0"/>
              <w:right w:val="single" w:color="auto" w:sz="4" w:space="0"/>
            </w:tcBorders>
            <w:vAlign w:val="center"/>
          </w:tcPr>
          <w:p>
            <w:pPr>
              <w:shd w:val="clear"/>
              <w:spacing w:line="360" w:lineRule="auto"/>
              <w:ind w:firstLine="420" w:firstLineChars="200"/>
              <w:rPr>
                <w:rFonts w:ascii="仿宋" w:hAnsi="仿宋" w:eastAsia="仿宋" w:cs="仿宋"/>
                <w:color w:val="auto"/>
                <w:highlight w:val="none"/>
              </w:rPr>
            </w:pPr>
          </w:p>
        </w:tc>
        <w:tc>
          <w:tcPr>
            <w:tcW w:w="1693" w:type="dxa"/>
            <w:tcBorders>
              <w:top w:val="single" w:color="auto" w:sz="4" w:space="0"/>
              <w:left w:val="single" w:color="auto" w:sz="4" w:space="0"/>
              <w:bottom w:val="single" w:color="auto" w:sz="4" w:space="0"/>
              <w:right w:val="single" w:color="auto" w:sz="4" w:space="0"/>
            </w:tcBorders>
            <w:vAlign w:val="center"/>
          </w:tcPr>
          <w:p>
            <w:pPr>
              <w:shd w:val="clear"/>
              <w:spacing w:line="360" w:lineRule="auto"/>
              <w:ind w:firstLine="420" w:firstLineChars="200"/>
              <w:rPr>
                <w:rFonts w:ascii="仿宋" w:hAnsi="仿宋" w:eastAsia="仿宋" w:cs="仿宋"/>
                <w:color w:val="auto"/>
                <w:highlight w:val="none"/>
              </w:rPr>
            </w:pPr>
          </w:p>
        </w:tc>
        <w:tc>
          <w:tcPr>
            <w:tcW w:w="1028" w:type="dxa"/>
            <w:tcBorders>
              <w:top w:val="single" w:color="auto" w:sz="4" w:space="0"/>
              <w:left w:val="single" w:color="auto" w:sz="4" w:space="0"/>
              <w:bottom w:val="single" w:color="auto" w:sz="4" w:space="0"/>
              <w:right w:val="single" w:color="auto" w:sz="4" w:space="0"/>
            </w:tcBorders>
            <w:vAlign w:val="center"/>
          </w:tcPr>
          <w:p>
            <w:pPr>
              <w:shd w:val="clear"/>
              <w:spacing w:line="360" w:lineRule="auto"/>
              <w:ind w:firstLine="420" w:firstLineChars="200"/>
              <w:rPr>
                <w:rFonts w:ascii="仿宋" w:hAnsi="仿宋" w:eastAsia="仿宋" w:cs="仿宋"/>
                <w:color w:val="auto"/>
                <w:highlight w:val="none"/>
              </w:rPr>
            </w:pPr>
          </w:p>
        </w:tc>
        <w:tc>
          <w:tcPr>
            <w:tcW w:w="1131" w:type="dxa"/>
            <w:tcBorders>
              <w:top w:val="single" w:color="auto" w:sz="4" w:space="0"/>
              <w:left w:val="single" w:color="auto" w:sz="4" w:space="0"/>
              <w:bottom w:val="single" w:color="auto" w:sz="4" w:space="0"/>
              <w:right w:val="single" w:color="auto" w:sz="4" w:space="0"/>
            </w:tcBorders>
          </w:tcPr>
          <w:p>
            <w:pPr>
              <w:shd w:val="clear"/>
              <w:spacing w:line="360" w:lineRule="auto"/>
              <w:ind w:firstLine="420" w:firstLineChars="200"/>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77"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958"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ascii="仿宋" w:hAnsi="仿宋" w:eastAsia="仿宋" w:cs="仿宋"/>
                <w:color w:val="auto"/>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pPr>
              <w:shd w:val="clear"/>
              <w:spacing w:line="360" w:lineRule="auto"/>
              <w:ind w:firstLine="420" w:firstLineChars="200"/>
              <w:rPr>
                <w:rFonts w:ascii="仿宋" w:hAnsi="仿宋" w:eastAsia="仿宋" w:cs="仿宋"/>
                <w:color w:val="auto"/>
                <w:highlight w:val="none"/>
              </w:rPr>
            </w:pPr>
          </w:p>
          <w:p>
            <w:pPr>
              <w:shd w:val="clear"/>
              <w:spacing w:line="360" w:lineRule="auto"/>
              <w:ind w:firstLine="420" w:firstLineChars="200"/>
              <w:rPr>
                <w:rFonts w:ascii="仿宋" w:hAnsi="仿宋" w:eastAsia="仿宋" w:cs="仿宋"/>
                <w:color w:val="auto"/>
                <w:highlight w:val="none"/>
              </w:rPr>
            </w:pPr>
          </w:p>
        </w:tc>
        <w:tc>
          <w:tcPr>
            <w:tcW w:w="899" w:type="dxa"/>
            <w:tcBorders>
              <w:top w:val="single" w:color="auto" w:sz="4" w:space="0"/>
              <w:left w:val="single" w:color="auto" w:sz="4" w:space="0"/>
              <w:bottom w:val="single" w:color="auto" w:sz="4" w:space="0"/>
              <w:right w:val="single" w:color="auto" w:sz="4" w:space="0"/>
            </w:tcBorders>
            <w:vAlign w:val="center"/>
          </w:tcPr>
          <w:p>
            <w:pPr>
              <w:widowControl/>
              <w:shd w:val="clear"/>
              <w:jc w:val="left"/>
              <w:rPr>
                <w:rFonts w:ascii="仿宋" w:hAnsi="仿宋" w:eastAsia="仿宋" w:cs="仿宋"/>
                <w:color w:val="auto"/>
                <w:highlight w:val="none"/>
              </w:rPr>
            </w:pPr>
          </w:p>
          <w:p>
            <w:pPr>
              <w:shd w:val="clear"/>
              <w:spacing w:line="360" w:lineRule="auto"/>
              <w:rPr>
                <w:rFonts w:ascii="仿宋" w:hAnsi="仿宋" w:eastAsia="仿宋" w:cs="仿宋"/>
                <w:color w:val="auto"/>
                <w:highlight w:val="none"/>
              </w:rPr>
            </w:pPr>
          </w:p>
        </w:tc>
        <w:tc>
          <w:tcPr>
            <w:tcW w:w="1187" w:type="dxa"/>
            <w:tcBorders>
              <w:top w:val="single" w:color="auto" w:sz="4" w:space="0"/>
              <w:left w:val="single" w:color="auto" w:sz="4" w:space="0"/>
              <w:bottom w:val="single" w:color="auto" w:sz="4" w:space="0"/>
              <w:right w:val="single" w:color="auto" w:sz="4" w:space="0"/>
            </w:tcBorders>
            <w:vAlign w:val="center"/>
          </w:tcPr>
          <w:p>
            <w:pPr>
              <w:shd w:val="clear"/>
              <w:spacing w:line="360" w:lineRule="auto"/>
              <w:ind w:firstLine="420" w:firstLineChars="200"/>
              <w:rPr>
                <w:rFonts w:ascii="仿宋" w:hAnsi="仿宋" w:eastAsia="仿宋" w:cs="仿宋"/>
                <w:color w:val="auto"/>
                <w:highlight w:val="none"/>
              </w:rPr>
            </w:pPr>
          </w:p>
        </w:tc>
        <w:tc>
          <w:tcPr>
            <w:tcW w:w="1693" w:type="dxa"/>
            <w:tcBorders>
              <w:top w:val="single" w:color="auto" w:sz="4" w:space="0"/>
              <w:left w:val="single" w:color="auto" w:sz="4" w:space="0"/>
              <w:bottom w:val="single" w:color="auto" w:sz="4" w:space="0"/>
              <w:right w:val="single" w:color="auto" w:sz="4" w:space="0"/>
            </w:tcBorders>
            <w:vAlign w:val="center"/>
          </w:tcPr>
          <w:p>
            <w:pPr>
              <w:shd w:val="clear"/>
              <w:spacing w:line="360" w:lineRule="auto"/>
              <w:ind w:firstLine="420" w:firstLineChars="200"/>
              <w:rPr>
                <w:rFonts w:ascii="仿宋" w:hAnsi="仿宋" w:eastAsia="仿宋" w:cs="仿宋"/>
                <w:color w:val="auto"/>
                <w:highlight w:val="none"/>
              </w:rPr>
            </w:pPr>
          </w:p>
        </w:tc>
        <w:tc>
          <w:tcPr>
            <w:tcW w:w="1028" w:type="dxa"/>
            <w:tcBorders>
              <w:top w:val="single" w:color="auto" w:sz="4" w:space="0"/>
              <w:left w:val="single" w:color="auto" w:sz="4" w:space="0"/>
              <w:bottom w:val="single" w:color="auto" w:sz="4" w:space="0"/>
              <w:right w:val="single" w:color="auto" w:sz="4" w:space="0"/>
            </w:tcBorders>
            <w:vAlign w:val="center"/>
          </w:tcPr>
          <w:p>
            <w:pPr>
              <w:shd w:val="clear"/>
              <w:spacing w:line="360" w:lineRule="auto"/>
              <w:ind w:firstLine="420" w:firstLineChars="200"/>
              <w:rPr>
                <w:rFonts w:ascii="仿宋" w:hAnsi="仿宋" w:eastAsia="仿宋" w:cs="仿宋"/>
                <w:color w:val="auto"/>
                <w:highlight w:val="none"/>
              </w:rPr>
            </w:pPr>
          </w:p>
        </w:tc>
        <w:tc>
          <w:tcPr>
            <w:tcW w:w="1131" w:type="dxa"/>
            <w:tcBorders>
              <w:top w:val="single" w:color="auto" w:sz="4" w:space="0"/>
              <w:left w:val="single" w:color="auto" w:sz="4" w:space="0"/>
              <w:bottom w:val="single" w:color="auto" w:sz="4" w:space="0"/>
              <w:right w:val="single" w:color="auto" w:sz="4" w:space="0"/>
            </w:tcBorders>
          </w:tcPr>
          <w:p>
            <w:pPr>
              <w:shd w:val="clear"/>
              <w:spacing w:line="360" w:lineRule="auto"/>
              <w:ind w:firstLine="420" w:firstLineChars="200"/>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77"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w:t>
            </w:r>
          </w:p>
        </w:tc>
        <w:tc>
          <w:tcPr>
            <w:tcW w:w="958" w:type="dxa"/>
            <w:tcBorders>
              <w:top w:val="single" w:color="auto" w:sz="4" w:space="0"/>
              <w:left w:val="single" w:color="auto" w:sz="4" w:space="0"/>
              <w:bottom w:val="single" w:color="auto" w:sz="4" w:space="0"/>
              <w:right w:val="single" w:color="auto" w:sz="4" w:space="0"/>
            </w:tcBorders>
            <w:vAlign w:val="center"/>
          </w:tcPr>
          <w:p>
            <w:pPr>
              <w:shd w:val="clear"/>
              <w:spacing w:line="360" w:lineRule="auto"/>
              <w:jc w:val="center"/>
              <w:rPr>
                <w:rFonts w:ascii="仿宋" w:hAnsi="仿宋" w:eastAsia="仿宋" w:cs="仿宋"/>
                <w:color w:val="auto"/>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pPr>
              <w:shd w:val="clear"/>
              <w:spacing w:line="360" w:lineRule="auto"/>
              <w:ind w:firstLine="420" w:firstLineChars="200"/>
              <w:rPr>
                <w:rFonts w:ascii="仿宋" w:hAnsi="仿宋" w:eastAsia="仿宋" w:cs="仿宋"/>
                <w:color w:val="auto"/>
                <w:highlight w:val="none"/>
              </w:rPr>
            </w:pPr>
          </w:p>
          <w:p>
            <w:pPr>
              <w:shd w:val="clear"/>
              <w:spacing w:line="360" w:lineRule="auto"/>
              <w:ind w:firstLine="420" w:firstLineChars="200"/>
              <w:rPr>
                <w:rFonts w:ascii="仿宋" w:hAnsi="仿宋" w:eastAsia="仿宋" w:cs="仿宋"/>
                <w:color w:val="auto"/>
                <w:highlight w:val="none"/>
              </w:rPr>
            </w:pPr>
          </w:p>
        </w:tc>
        <w:tc>
          <w:tcPr>
            <w:tcW w:w="899" w:type="dxa"/>
            <w:tcBorders>
              <w:top w:val="single" w:color="auto" w:sz="4" w:space="0"/>
              <w:left w:val="single" w:color="auto" w:sz="4" w:space="0"/>
              <w:bottom w:val="single" w:color="auto" w:sz="4" w:space="0"/>
              <w:right w:val="single" w:color="auto" w:sz="4" w:space="0"/>
            </w:tcBorders>
            <w:vAlign w:val="center"/>
          </w:tcPr>
          <w:p>
            <w:pPr>
              <w:widowControl/>
              <w:shd w:val="clear"/>
              <w:jc w:val="left"/>
              <w:rPr>
                <w:rFonts w:ascii="仿宋" w:hAnsi="仿宋" w:eastAsia="仿宋" w:cs="仿宋"/>
                <w:color w:val="auto"/>
                <w:highlight w:val="none"/>
              </w:rPr>
            </w:pPr>
          </w:p>
          <w:p>
            <w:pPr>
              <w:shd w:val="clear"/>
              <w:spacing w:line="360" w:lineRule="auto"/>
              <w:rPr>
                <w:rFonts w:ascii="仿宋" w:hAnsi="仿宋" w:eastAsia="仿宋" w:cs="仿宋"/>
                <w:color w:val="auto"/>
                <w:highlight w:val="none"/>
              </w:rPr>
            </w:pPr>
          </w:p>
        </w:tc>
        <w:tc>
          <w:tcPr>
            <w:tcW w:w="1187" w:type="dxa"/>
            <w:tcBorders>
              <w:top w:val="single" w:color="auto" w:sz="4" w:space="0"/>
              <w:left w:val="single" w:color="auto" w:sz="4" w:space="0"/>
              <w:bottom w:val="single" w:color="auto" w:sz="4" w:space="0"/>
              <w:right w:val="single" w:color="auto" w:sz="4" w:space="0"/>
            </w:tcBorders>
            <w:vAlign w:val="center"/>
          </w:tcPr>
          <w:p>
            <w:pPr>
              <w:shd w:val="clear"/>
              <w:spacing w:line="360" w:lineRule="auto"/>
              <w:ind w:firstLine="420" w:firstLineChars="200"/>
              <w:rPr>
                <w:rFonts w:ascii="仿宋" w:hAnsi="仿宋" w:eastAsia="仿宋" w:cs="仿宋"/>
                <w:color w:val="auto"/>
                <w:highlight w:val="none"/>
              </w:rPr>
            </w:pPr>
          </w:p>
        </w:tc>
        <w:tc>
          <w:tcPr>
            <w:tcW w:w="1693" w:type="dxa"/>
            <w:tcBorders>
              <w:top w:val="single" w:color="auto" w:sz="4" w:space="0"/>
              <w:left w:val="single" w:color="auto" w:sz="4" w:space="0"/>
              <w:bottom w:val="single" w:color="auto" w:sz="4" w:space="0"/>
              <w:right w:val="single" w:color="auto" w:sz="4" w:space="0"/>
            </w:tcBorders>
            <w:vAlign w:val="center"/>
          </w:tcPr>
          <w:p>
            <w:pPr>
              <w:shd w:val="clear"/>
              <w:spacing w:line="360" w:lineRule="auto"/>
              <w:ind w:firstLine="420" w:firstLineChars="200"/>
              <w:rPr>
                <w:rFonts w:ascii="仿宋" w:hAnsi="仿宋" w:eastAsia="仿宋" w:cs="仿宋"/>
                <w:color w:val="auto"/>
                <w:highlight w:val="none"/>
              </w:rPr>
            </w:pPr>
          </w:p>
        </w:tc>
        <w:tc>
          <w:tcPr>
            <w:tcW w:w="1028" w:type="dxa"/>
            <w:tcBorders>
              <w:top w:val="single" w:color="auto" w:sz="4" w:space="0"/>
              <w:left w:val="single" w:color="auto" w:sz="4" w:space="0"/>
              <w:bottom w:val="single" w:color="auto" w:sz="4" w:space="0"/>
              <w:right w:val="single" w:color="auto" w:sz="4" w:space="0"/>
            </w:tcBorders>
            <w:vAlign w:val="center"/>
          </w:tcPr>
          <w:p>
            <w:pPr>
              <w:shd w:val="clear"/>
              <w:spacing w:line="360" w:lineRule="auto"/>
              <w:ind w:firstLine="420" w:firstLineChars="200"/>
              <w:rPr>
                <w:rFonts w:ascii="仿宋" w:hAnsi="仿宋" w:eastAsia="仿宋" w:cs="仿宋"/>
                <w:color w:val="auto"/>
                <w:highlight w:val="none"/>
              </w:rPr>
            </w:pPr>
          </w:p>
        </w:tc>
        <w:tc>
          <w:tcPr>
            <w:tcW w:w="1131" w:type="dxa"/>
            <w:tcBorders>
              <w:top w:val="single" w:color="auto" w:sz="4" w:space="0"/>
              <w:left w:val="single" w:color="auto" w:sz="4" w:space="0"/>
              <w:bottom w:val="single" w:color="auto" w:sz="4" w:space="0"/>
              <w:right w:val="single" w:color="auto" w:sz="4" w:space="0"/>
            </w:tcBorders>
          </w:tcPr>
          <w:p>
            <w:pPr>
              <w:shd w:val="clear"/>
              <w:spacing w:line="360" w:lineRule="auto"/>
              <w:ind w:firstLine="420" w:firstLineChars="200"/>
              <w:rPr>
                <w:rFonts w:ascii="仿宋" w:hAnsi="仿宋" w:eastAsia="仿宋" w:cs="仿宋"/>
                <w:color w:val="auto"/>
                <w:highlight w:val="none"/>
              </w:rPr>
            </w:pPr>
          </w:p>
        </w:tc>
      </w:tr>
    </w:tbl>
    <w:p>
      <w:pPr>
        <w:shd w:val="clear"/>
        <w:jc w:val="center"/>
        <w:rPr>
          <w:rFonts w:ascii="仿宋" w:hAnsi="仿宋" w:eastAsia="仿宋" w:cs="仿宋"/>
          <w:color w:val="auto"/>
          <w:highlight w:val="none"/>
        </w:rPr>
      </w:pPr>
      <w:bookmarkStart w:id="588" w:name="_Toc5920"/>
      <w:bookmarkStart w:id="589" w:name="_Toc6486"/>
      <w:bookmarkStart w:id="590" w:name="_Toc17649"/>
    </w:p>
    <w:bookmarkEnd w:id="588"/>
    <w:bookmarkEnd w:id="589"/>
    <w:bookmarkEnd w:id="590"/>
    <w:p>
      <w:pPr>
        <w:widowControl/>
        <w:shd w:val="clear"/>
        <w:jc w:val="left"/>
        <w:rPr>
          <w:rFonts w:ascii="仿宋" w:hAnsi="仿宋" w:eastAsia="仿宋" w:cs="仿宋"/>
          <w:color w:val="auto"/>
          <w:highlight w:val="none"/>
        </w:rPr>
      </w:pPr>
      <w:r>
        <w:rPr>
          <w:rFonts w:hint="eastAsia" w:ascii="仿宋" w:hAnsi="仿宋" w:eastAsia="仿宋" w:cs="仿宋"/>
          <w:color w:val="auto"/>
          <w:highlight w:val="none"/>
        </w:rPr>
        <w:t>注：按《评审表》分类提供。</w:t>
      </w:r>
      <w:r>
        <w:rPr>
          <w:rFonts w:hint="eastAsia" w:ascii="仿宋" w:hAnsi="仿宋" w:eastAsia="仿宋" w:cs="仿宋"/>
          <w:color w:val="auto"/>
          <w:highlight w:val="none"/>
        </w:rPr>
        <w:br w:type="page"/>
      </w:r>
    </w:p>
    <w:p>
      <w:pPr>
        <w:pStyle w:val="4"/>
        <w:shd w:val="clear"/>
        <w:spacing w:after="0"/>
        <w:jc w:val="center"/>
        <w:rPr>
          <w:rFonts w:ascii="仿宋" w:hAnsi="仿宋" w:eastAsia="仿宋" w:cs="仿宋"/>
          <w:color w:val="auto"/>
          <w:highlight w:val="none"/>
        </w:rPr>
      </w:pPr>
      <w:bookmarkStart w:id="591" w:name="_Toc56856985"/>
      <w:r>
        <w:rPr>
          <w:rFonts w:hint="eastAsia" w:ascii="仿宋" w:hAnsi="仿宋" w:eastAsia="仿宋" w:cs="仿宋"/>
          <w:color w:val="auto"/>
          <w:highlight w:val="none"/>
        </w:rPr>
        <w:t>七、项目需求响应表</w:t>
      </w:r>
      <w:bookmarkEnd w:id="591"/>
    </w:p>
    <w:p>
      <w:pPr>
        <w:shd w:val="clear"/>
        <w:rPr>
          <w:rFonts w:ascii="仿宋" w:hAnsi="仿宋" w:eastAsia="仿宋" w:cs="仿宋"/>
          <w:color w:val="auto"/>
          <w:kern w:val="0"/>
          <w:sz w:val="24"/>
          <w:szCs w:val="18"/>
          <w:highlight w:val="none"/>
        </w:rPr>
      </w:pPr>
      <w:r>
        <w:rPr>
          <w:rFonts w:hint="eastAsia" w:ascii="仿宋" w:hAnsi="仿宋" w:eastAsia="仿宋" w:cs="仿宋"/>
          <w:color w:val="auto"/>
          <w:kern w:val="0"/>
          <w:sz w:val="24"/>
          <w:szCs w:val="18"/>
          <w:highlight w:val="none"/>
        </w:rPr>
        <w:t>（1）“</w:t>
      </w:r>
      <w:r>
        <w:rPr>
          <w:rFonts w:hint="eastAsia" w:ascii="仿宋" w:hAnsi="仿宋" w:eastAsia="仿宋" w:cs="仿宋"/>
          <w:color w:val="auto"/>
          <w:highlight w:val="none"/>
        </w:rPr>
        <w:t>★</w:t>
      </w:r>
      <w:r>
        <w:rPr>
          <w:rFonts w:hint="eastAsia" w:ascii="仿宋" w:hAnsi="仿宋" w:eastAsia="仿宋" w:cs="仿宋"/>
          <w:color w:val="auto"/>
          <w:kern w:val="0"/>
          <w:sz w:val="24"/>
          <w:szCs w:val="18"/>
          <w:highlight w:val="none"/>
        </w:rPr>
        <w:t>”条款响应表</w:t>
      </w:r>
    </w:p>
    <w:tbl>
      <w:tblPr>
        <w:tblStyle w:val="40"/>
        <w:tblW w:w="9618" w:type="dxa"/>
        <w:jc w:val="center"/>
        <w:tblLayout w:type="fixed"/>
        <w:tblCellMar>
          <w:top w:w="0" w:type="dxa"/>
          <w:left w:w="10" w:type="dxa"/>
          <w:bottom w:w="0" w:type="dxa"/>
          <w:right w:w="10" w:type="dxa"/>
        </w:tblCellMar>
      </w:tblPr>
      <w:tblGrid>
        <w:gridCol w:w="688"/>
        <w:gridCol w:w="4536"/>
        <w:gridCol w:w="1701"/>
        <w:gridCol w:w="1843"/>
        <w:gridCol w:w="850"/>
      </w:tblGrid>
      <w:tr>
        <w:tblPrEx>
          <w:tblCellMar>
            <w:top w:w="0" w:type="dxa"/>
            <w:left w:w="10" w:type="dxa"/>
            <w:bottom w:w="0" w:type="dxa"/>
            <w:right w:w="10" w:type="dxa"/>
          </w:tblCellMar>
        </w:tblPrEx>
        <w:trPr>
          <w:trHeight w:val="197" w:hRule="atLeast"/>
          <w:jc w:val="center"/>
        </w:trPr>
        <w:tc>
          <w:tcPr>
            <w:tcW w:w="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45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spacing w:line="360" w:lineRule="auto"/>
              <w:jc w:val="center"/>
              <w:rPr>
                <w:rFonts w:ascii="仿宋" w:hAnsi="仿宋" w:eastAsia="仿宋" w:cs="仿宋"/>
                <w:b/>
                <w:color w:val="auto"/>
                <w:szCs w:val="21"/>
                <w:highlight w:val="none"/>
              </w:rPr>
            </w:pPr>
            <w:r>
              <w:rPr>
                <w:rFonts w:hint="eastAsia" w:ascii="仿宋" w:hAnsi="仿宋" w:eastAsia="仿宋" w:cs="仿宋"/>
                <w:color w:val="auto"/>
                <w:szCs w:val="21"/>
                <w:highlight w:val="none"/>
              </w:rPr>
              <w:t>用户需求书</w:t>
            </w: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投标实际响应</w:t>
            </w:r>
          </w:p>
        </w:tc>
        <w:tc>
          <w:tcPr>
            <w:tcW w:w="1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是否偏离（无偏离/正偏离/负偏离）</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偏离简述</w:t>
            </w:r>
          </w:p>
        </w:tc>
      </w:tr>
      <w:tr>
        <w:tblPrEx>
          <w:tblCellMar>
            <w:top w:w="0" w:type="dxa"/>
            <w:left w:w="10" w:type="dxa"/>
            <w:bottom w:w="0" w:type="dxa"/>
            <w:right w:w="10" w:type="dxa"/>
          </w:tblCellMar>
        </w:tblPrEx>
        <w:trPr>
          <w:trHeight w:val="418" w:hRule="atLeast"/>
          <w:jc w:val="center"/>
        </w:trPr>
        <w:tc>
          <w:tcPr>
            <w:tcW w:w="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45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spacing w:line="360" w:lineRule="auto"/>
              <w:rPr>
                <w:rFonts w:ascii="仿宋" w:hAnsi="仿宋" w:eastAsia="仿宋" w:cs="仿宋"/>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spacing w:line="360" w:lineRule="auto"/>
              <w:rPr>
                <w:rFonts w:ascii="仿宋" w:hAnsi="仿宋" w:eastAsia="仿宋" w:cs="仿宋"/>
                <w:color w:val="auto"/>
                <w:szCs w:val="21"/>
                <w:highlight w:val="none"/>
              </w:rPr>
            </w:pPr>
          </w:p>
        </w:tc>
        <w:tc>
          <w:tcPr>
            <w:tcW w:w="1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spacing w:line="360" w:lineRule="auto"/>
              <w:rPr>
                <w:rFonts w:ascii="仿宋" w:hAnsi="仿宋" w:eastAsia="仿宋" w:cs="仿宋"/>
                <w:color w:val="auto"/>
                <w:szCs w:val="21"/>
                <w:highlight w:val="none"/>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spacing w:line="360" w:lineRule="auto"/>
              <w:rPr>
                <w:rFonts w:ascii="仿宋" w:hAnsi="仿宋" w:eastAsia="仿宋" w:cs="仿宋"/>
                <w:color w:val="auto"/>
                <w:szCs w:val="21"/>
                <w:highlight w:val="none"/>
              </w:rPr>
            </w:pPr>
          </w:p>
        </w:tc>
      </w:tr>
      <w:tr>
        <w:tblPrEx>
          <w:tblCellMar>
            <w:top w:w="0" w:type="dxa"/>
            <w:left w:w="10" w:type="dxa"/>
            <w:bottom w:w="0" w:type="dxa"/>
            <w:right w:w="10" w:type="dxa"/>
          </w:tblCellMar>
        </w:tblPrEx>
        <w:trPr>
          <w:trHeight w:val="410" w:hRule="atLeast"/>
          <w:jc w:val="center"/>
        </w:trPr>
        <w:tc>
          <w:tcPr>
            <w:tcW w:w="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45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spacing w:line="360" w:lineRule="auto"/>
              <w:rPr>
                <w:rFonts w:ascii="仿宋" w:hAnsi="仿宋" w:eastAsia="仿宋" w:cs="仿宋"/>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spacing w:line="360" w:lineRule="auto"/>
              <w:rPr>
                <w:rFonts w:ascii="仿宋" w:hAnsi="仿宋" w:eastAsia="仿宋" w:cs="仿宋"/>
                <w:color w:val="auto"/>
                <w:szCs w:val="21"/>
                <w:highlight w:val="none"/>
              </w:rPr>
            </w:pPr>
          </w:p>
        </w:tc>
        <w:tc>
          <w:tcPr>
            <w:tcW w:w="1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spacing w:line="360" w:lineRule="auto"/>
              <w:rPr>
                <w:rFonts w:ascii="仿宋" w:hAnsi="仿宋" w:eastAsia="仿宋" w:cs="仿宋"/>
                <w:color w:val="auto"/>
                <w:szCs w:val="21"/>
                <w:highlight w:val="none"/>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spacing w:line="360" w:lineRule="auto"/>
              <w:rPr>
                <w:rFonts w:ascii="仿宋" w:hAnsi="仿宋" w:eastAsia="仿宋" w:cs="仿宋"/>
                <w:color w:val="auto"/>
                <w:szCs w:val="21"/>
                <w:highlight w:val="none"/>
              </w:rPr>
            </w:pPr>
          </w:p>
        </w:tc>
      </w:tr>
      <w:tr>
        <w:tblPrEx>
          <w:tblCellMar>
            <w:top w:w="0" w:type="dxa"/>
            <w:left w:w="10" w:type="dxa"/>
            <w:bottom w:w="0" w:type="dxa"/>
            <w:right w:w="10" w:type="dxa"/>
          </w:tblCellMar>
        </w:tblPrEx>
        <w:trPr>
          <w:trHeight w:val="417" w:hRule="atLeast"/>
          <w:jc w:val="center"/>
        </w:trPr>
        <w:tc>
          <w:tcPr>
            <w:tcW w:w="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45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spacing w:line="360" w:lineRule="auto"/>
              <w:jc w:val="left"/>
              <w:rPr>
                <w:rFonts w:ascii="仿宋" w:hAnsi="仿宋" w:eastAsia="仿宋" w:cs="仿宋"/>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spacing w:line="360" w:lineRule="auto"/>
              <w:rPr>
                <w:rFonts w:ascii="仿宋" w:hAnsi="仿宋" w:eastAsia="仿宋" w:cs="仿宋"/>
                <w:color w:val="auto"/>
                <w:szCs w:val="21"/>
                <w:highlight w:val="none"/>
              </w:rPr>
            </w:pPr>
          </w:p>
        </w:tc>
        <w:tc>
          <w:tcPr>
            <w:tcW w:w="1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spacing w:line="360" w:lineRule="auto"/>
              <w:rPr>
                <w:rFonts w:ascii="仿宋" w:hAnsi="仿宋" w:eastAsia="仿宋" w:cs="仿宋"/>
                <w:color w:val="auto"/>
                <w:szCs w:val="21"/>
                <w:highlight w:val="none"/>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spacing w:line="360" w:lineRule="auto"/>
              <w:rPr>
                <w:rFonts w:ascii="仿宋" w:hAnsi="仿宋" w:eastAsia="仿宋" w:cs="仿宋"/>
                <w:color w:val="auto"/>
                <w:szCs w:val="21"/>
                <w:highlight w:val="none"/>
              </w:rPr>
            </w:pPr>
          </w:p>
        </w:tc>
      </w:tr>
    </w:tbl>
    <w:p>
      <w:pPr>
        <w:shd w:val="clear"/>
        <w:rPr>
          <w:rFonts w:ascii="仿宋" w:hAnsi="仿宋" w:eastAsia="仿宋" w:cs="仿宋"/>
          <w:color w:val="auto"/>
          <w:kern w:val="0"/>
          <w:sz w:val="24"/>
          <w:szCs w:val="18"/>
          <w:highlight w:val="none"/>
        </w:rPr>
      </w:pPr>
    </w:p>
    <w:p>
      <w:pPr>
        <w:shd w:val="clear"/>
        <w:rPr>
          <w:rFonts w:ascii="仿宋" w:hAnsi="仿宋" w:eastAsia="仿宋" w:cs="仿宋"/>
          <w:color w:val="auto"/>
          <w:kern w:val="0"/>
          <w:sz w:val="24"/>
          <w:szCs w:val="18"/>
          <w:highlight w:val="none"/>
        </w:rPr>
      </w:pPr>
    </w:p>
    <w:p>
      <w:pPr>
        <w:shd w:val="clear"/>
        <w:rPr>
          <w:rFonts w:ascii="仿宋" w:hAnsi="仿宋" w:eastAsia="仿宋" w:cs="仿宋"/>
          <w:color w:val="auto"/>
          <w:kern w:val="0"/>
          <w:sz w:val="24"/>
          <w:szCs w:val="18"/>
          <w:highlight w:val="none"/>
        </w:rPr>
      </w:pPr>
      <w:r>
        <w:rPr>
          <w:rFonts w:hint="eastAsia" w:ascii="仿宋" w:hAnsi="仿宋" w:eastAsia="仿宋" w:cs="仿宋"/>
          <w:color w:val="auto"/>
          <w:kern w:val="0"/>
          <w:sz w:val="24"/>
          <w:szCs w:val="18"/>
          <w:highlight w:val="none"/>
        </w:rPr>
        <w:t>（2）一般性条款响应表</w:t>
      </w:r>
    </w:p>
    <w:tbl>
      <w:tblPr>
        <w:tblStyle w:val="40"/>
        <w:tblW w:w="9618" w:type="dxa"/>
        <w:jc w:val="center"/>
        <w:tblLayout w:type="fixed"/>
        <w:tblCellMar>
          <w:top w:w="0" w:type="dxa"/>
          <w:left w:w="10" w:type="dxa"/>
          <w:bottom w:w="0" w:type="dxa"/>
          <w:right w:w="10" w:type="dxa"/>
        </w:tblCellMar>
      </w:tblPr>
      <w:tblGrid>
        <w:gridCol w:w="688"/>
        <w:gridCol w:w="4536"/>
        <w:gridCol w:w="1701"/>
        <w:gridCol w:w="1843"/>
        <w:gridCol w:w="850"/>
      </w:tblGrid>
      <w:tr>
        <w:tblPrEx>
          <w:tblCellMar>
            <w:top w:w="0" w:type="dxa"/>
            <w:left w:w="10" w:type="dxa"/>
            <w:bottom w:w="0" w:type="dxa"/>
            <w:right w:w="10" w:type="dxa"/>
          </w:tblCellMar>
        </w:tblPrEx>
        <w:trPr>
          <w:trHeight w:val="197" w:hRule="atLeast"/>
          <w:jc w:val="center"/>
        </w:trPr>
        <w:tc>
          <w:tcPr>
            <w:tcW w:w="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45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color w:val="auto"/>
                <w:szCs w:val="21"/>
                <w:highlight w:val="none"/>
              </w:rPr>
              <w:t>用户需求书</w:t>
            </w: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投标实际响应</w:t>
            </w:r>
          </w:p>
        </w:tc>
        <w:tc>
          <w:tcPr>
            <w:tcW w:w="1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是否偏离（无偏离/正偏离/负偏离）</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偏离简述</w:t>
            </w:r>
          </w:p>
        </w:tc>
      </w:tr>
      <w:tr>
        <w:tblPrEx>
          <w:tblCellMar>
            <w:top w:w="0" w:type="dxa"/>
            <w:left w:w="10" w:type="dxa"/>
            <w:bottom w:w="0" w:type="dxa"/>
            <w:right w:w="10" w:type="dxa"/>
          </w:tblCellMar>
        </w:tblPrEx>
        <w:trPr>
          <w:trHeight w:val="418" w:hRule="atLeast"/>
          <w:jc w:val="center"/>
        </w:trPr>
        <w:tc>
          <w:tcPr>
            <w:tcW w:w="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45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left"/>
              <w:rPr>
                <w:rFonts w:ascii="仿宋" w:hAnsi="仿宋" w:eastAsia="仿宋" w:cs="仿宋"/>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rPr>
                <w:rFonts w:ascii="仿宋" w:hAnsi="仿宋" w:eastAsia="仿宋" w:cs="仿宋"/>
                <w:color w:val="auto"/>
                <w:szCs w:val="21"/>
                <w:highlight w:val="none"/>
              </w:rPr>
            </w:pPr>
          </w:p>
        </w:tc>
        <w:tc>
          <w:tcPr>
            <w:tcW w:w="1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rPr>
                <w:rFonts w:ascii="仿宋" w:hAnsi="仿宋" w:eastAsia="仿宋" w:cs="仿宋"/>
                <w:color w:val="auto"/>
                <w:szCs w:val="21"/>
                <w:highlight w:val="none"/>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rPr>
                <w:rFonts w:ascii="仿宋" w:hAnsi="仿宋" w:eastAsia="仿宋" w:cs="仿宋"/>
                <w:color w:val="auto"/>
                <w:szCs w:val="21"/>
                <w:highlight w:val="none"/>
              </w:rPr>
            </w:pPr>
          </w:p>
        </w:tc>
      </w:tr>
      <w:tr>
        <w:tblPrEx>
          <w:tblCellMar>
            <w:top w:w="0" w:type="dxa"/>
            <w:left w:w="10" w:type="dxa"/>
            <w:bottom w:w="0" w:type="dxa"/>
            <w:right w:w="10" w:type="dxa"/>
          </w:tblCellMar>
        </w:tblPrEx>
        <w:trPr>
          <w:trHeight w:val="410" w:hRule="atLeast"/>
          <w:jc w:val="center"/>
        </w:trPr>
        <w:tc>
          <w:tcPr>
            <w:tcW w:w="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45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left"/>
              <w:rPr>
                <w:rFonts w:ascii="仿宋" w:hAnsi="仿宋" w:eastAsia="仿宋" w:cs="仿宋"/>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rPr>
                <w:rFonts w:ascii="仿宋" w:hAnsi="仿宋" w:eastAsia="仿宋" w:cs="仿宋"/>
                <w:color w:val="auto"/>
                <w:szCs w:val="21"/>
                <w:highlight w:val="none"/>
              </w:rPr>
            </w:pPr>
          </w:p>
        </w:tc>
        <w:tc>
          <w:tcPr>
            <w:tcW w:w="1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rPr>
                <w:rFonts w:ascii="仿宋" w:hAnsi="仿宋" w:eastAsia="仿宋" w:cs="仿宋"/>
                <w:color w:val="auto"/>
                <w:szCs w:val="21"/>
                <w:highlight w:val="none"/>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rPr>
                <w:rFonts w:ascii="仿宋" w:hAnsi="仿宋" w:eastAsia="仿宋" w:cs="仿宋"/>
                <w:color w:val="auto"/>
                <w:szCs w:val="21"/>
                <w:highlight w:val="none"/>
              </w:rPr>
            </w:pPr>
          </w:p>
        </w:tc>
      </w:tr>
      <w:tr>
        <w:tblPrEx>
          <w:tblCellMar>
            <w:top w:w="0" w:type="dxa"/>
            <w:left w:w="10" w:type="dxa"/>
            <w:bottom w:w="0" w:type="dxa"/>
            <w:right w:w="10" w:type="dxa"/>
          </w:tblCellMar>
        </w:tblPrEx>
        <w:trPr>
          <w:trHeight w:val="417" w:hRule="atLeast"/>
          <w:jc w:val="center"/>
        </w:trPr>
        <w:tc>
          <w:tcPr>
            <w:tcW w:w="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45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left"/>
              <w:rPr>
                <w:rFonts w:ascii="仿宋" w:hAnsi="仿宋" w:eastAsia="仿宋" w:cs="仿宋"/>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rPr>
                <w:rFonts w:ascii="仿宋" w:hAnsi="仿宋" w:eastAsia="仿宋" w:cs="仿宋"/>
                <w:color w:val="auto"/>
                <w:szCs w:val="21"/>
                <w:highlight w:val="none"/>
              </w:rPr>
            </w:pPr>
          </w:p>
        </w:tc>
        <w:tc>
          <w:tcPr>
            <w:tcW w:w="1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rPr>
                <w:rFonts w:ascii="仿宋" w:hAnsi="仿宋" w:eastAsia="仿宋" w:cs="仿宋"/>
                <w:color w:val="auto"/>
                <w:szCs w:val="21"/>
                <w:highlight w:val="none"/>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rPr>
                <w:rFonts w:ascii="仿宋" w:hAnsi="仿宋" w:eastAsia="仿宋" w:cs="仿宋"/>
                <w:color w:val="auto"/>
                <w:szCs w:val="21"/>
                <w:highlight w:val="none"/>
              </w:rPr>
            </w:pPr>
          </w:p>
        </w:tc>
      </w:tr>
      <w:tr>
        <w:tblPrEx>
          <w:tblCellMar>
            <w:top w:w="0" w:type="dxa"/>
            <w:left w:w="10" w:type="dxa"/>
            <w:bottom w:w="0" w:type="dxa"/>
            <w:right w:w="10" w:type="dxa"/>
          </w:tblCellMar>
        </w:tblPrEx>
        <w:trPr>
          <w:trHeight w:val="423" w:hRule="atLeast"/>
          <w:jc w:val="center"/>
        </w:trPr>
        <w:tc>
          <w:tcPr>
            <w:tcW w:w="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45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left"/>
              <w:rPr>
                <w:rFonts w:ascii="仿宋" w:hAnsi="仿宋" w:eastAsia="仿宋" w:cs="仿宋"/>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rPr>
                <w:rFonts w:ascii="仿宋" w:hAnsi="仿宋" w:eastAsia="仿宋" w:cs="仿宋"/>
                <w:color w:val="auto"/>
                <w:szCs w:val="21"/>
                <w:highlight w:val="none"/>
              </w:rPr>
            </w:pPr>
          </w:p>
        </w:tc>
        <w:tc>
          <w:tcPr>
            <w:tcW w:w="1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rPr>
                <w:rFonts w:ascii="仿宋" w:hAnsi="仿宋" w:eastAsia="仿宋" w:cs="仿宋"/>
                <w:color w:val="auto"/>
                <w:szCs w:val="21"/>
                <w:highlight w:val="none"/>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hd w:val="clear"/>
              <w:rPr>
                <w:rFonts w:ascii="仿宋" w:hAnsi="仿宋" w:eastAsia="仿宋" w:cs="仿宋"/>
                <w:color w:val="auto"/>
                <w:szCs w:val="21"/>
                <w:highlight w:val="none"/>
              </w:rPr>
            </w:pPr>
          </w:p>
        </w:tc>
      </w:tr>
    </w:tbl>
    <w:p>
      <w:pPr>
        <w:shd w:val="clear"/>
        <w:spacing w:after="120" w:line="400" w:lineRule="exact"/>
        <w:ind w:firstLine="142"/>
        <w:rPr>
          <w:rFonts w:ascii="仿宋" w:hAnsi="仿宋" w:eastAsia="仿宋" w:cs="仿宋"/>
          <w:color w:val="auto"/>
          <w:szCs w:val="21"/>
          <w:highlight w:val="none"/>
        </w:rPr>
      </w:pPr>
      <w:r>
        <w:rPr>
          <w:rFonts w:hint="eastAsia" w:ascii="仿宋" w:hAnsi="仿宋" w:eastAsia="仿宋" w:cs="仿宋"/>
          <w:color w:val="auto"/>
          <w:szCs w:val="21"/>
          <w:highlight w:val="none"/>
        </w:rPr>
        <w:t>注：</w:t>
      </w:r>
    </w:p>
    <w:p>
      <w:pPr>
        <w:shd w:val="clear"/>
        <w:spacing w:line="312" w:lineRule="auto"/>
        <w:ind w:firstLine="480"/>
        <w:rPr>
          <w:rFonts w:ascii="仿宋" w:hAnsi="仿宋" w:eastAsia="仿宋" w:cs="仿宋"/>
          <w:color w:val="auto"/>
          <w:szCs w:val="21"/>
          <w:highlight w:val="none"/>
        </w:rPr>
      </w:pPr>
      <w:r>
        <w:rPr>
          <w:rFonts w:hint="eastAsia" w:ascii="仿宋" w:hAnsi="仿宋" w:eastAsia="仿宋" w:cs="仿宋"/>
          <w:color w:val="auto"/>
          <w:szCs w:val="21"/>
          <w:highlight w:val="none"/>
        </w:rPr>
        <w:t>1、投标人应逐条对照招标文件第五章《用户需求书》的内容要求填写，有差异的，均须在此表中列明两者的差异内容，以便查对和评审。投标人没有列出的内容或提交空表的，对于非标</w:t>
      </w:r>
      <w:r>
        <w:rPr>
          <w:rFonts w:hint="eastAsia" w:ascii="仿宋" w:hAnsi="仿宋" w:eastAsia="仿宋" w:cs="仿宋"/>
          <w:color w:val="auto"/>
          <w:highlight w:val="none"/>
        </w:rPr>
        <w:t>★</w:t>
      </w:r>
      <w:r>
        <w:rPr>
          <w:rFonts w:hint="eastAsia" w:ascii="仿宋" w:hAnsi="仿宋" w:eastAsia="仿宋" w:cs="仿宋"/>
          <w:color w:val="auto"/>
          <w:szCs w:val="21"/>
          <w:highlight w:val="none"/>
        </w:rPr>
        <w:t>指标，评标委员会可视为完全响应招标文件要求；对于标</w:t>
      </w:r>
      <w:r>
        <w:rPr>
          <w:rFonts w:hint="eastAsia" w:ascii="仿宋" w:hAnsi="仿宋" w:eastAsia="仿宋" w:cs="仿宋"/>
          <w:color w:val="auto"/>
          <w:highlight w:val="none"/>
        </w:rPr>
        <w:t>★</w:t>
      </w:r>
      <w:r>
        <w:rPr>
          <w:rFonts w:hint="eastAsia" w:ascii="仿宋" w:hAnsi="仿宋" w:eastAsia="仿宋" w:cs="仿宋"/>
          <w:color w:val="auto"/>
          <w:szCs w:val="21"/>
          <w:highlight w:val="none"/>
        </w:rPr>
        <w:t>指标，评标委员会可视为不响应招标文件要求。</w:t>
      </w:r>
    </w:p>
    <w:p>
      <w:pPr>
        <w:shd w:val="clear"/>
        <w:spacing w:line="312" w:lineRule="auto"/>
        <w:ind w:firstLine="480"/>
        <w:rPr>
          <w:rFonts w:ascii="仿宋" w:hAnsi="仿宋" w:eastAsia="仿宋" w:cs="仿宋"/>
          <w:color w:val="auto"/>
          <w:szCs w:val="21"/>
          <w:highlight w:val="none"/>
        </w:rPr>
      </w:pPr>
      <w:r>
        <w:rPr>
          <w:rFonts w:hint="eastAsia" w:ascii="仿宋" w:hAnsi="仿宋" w:eastAsia="仿宋" w:cs="仿宋"/>
          <w:color w:val="auto"/>
          <w:szCs w:val="21"/>
          <w:highlight w:val="none"/>
        </w:rPr>
        <w:t>2、若《用户需求书》中要求提供证明文件的，应根据要求提供证明材料复印件。</w:t>
      </w:r>
    </w:p>
    <w:p>
      <w:pPr>
        <w:shd w:val="clear"/>
        <w:spacing w:line="312" w:lineRule="auto"/>
        <w:ind w:firstLine="480"/>
        <w:rPr>
          <w:rFonts w:ascii="仿宋" w:hAnsi="仿宋" w:eastAsia="仿宋" w:cs="仿宋"/>
          <w:color w:val="auto"/>
          <w:szCs w:val="21"/>
          <w:highlight w:val="none"/>
        </w:rPr>
      </w:pPr>
      <w:r>
        <w:rPr>
          <w:rFonts w:hint="eastAsia" w:ascii="仿宋" w:hAnsi="仿宋" w:eastAsia="仿宋" w:cs="仿宋"/>
          <w:color w:val="auto"/>
          <w:szCs w:val="21"/>
          <w:highlight w:val="none"/>
        </w:rPr>
        <w:t>3、本表内容不得擅自修改。</w:t>
      </w:r>
    </w:p>
    <w:p>
      <w:pPr>
        <w:shd w:val="clear"/>
        <w:spacing w:line="312" w:lineRule="auto"/>
        <w:ind w:firstLine="480"/>
        <w:rPr>
          <w:rFonts w:ascii="仿宋" w:hAnsi="仿宋" w:eastAsia="仿宋" w:cs="仿宋"/>
          <w:color w:val="auto"/>
          <w:szCs w:val="21"/>
          <w:highlight w:val="none"/>
        </w:rPr>
      </w:pPr>
    </w:p>
    <w:p>
      <w:pPr>
        <w:shd w:val="clear"/>
        <w:spacing w:line="480" w:lineRule="auto"/>
        <w:ind w:firstLine="142"/>
        <w:rPr>
          <w:rFonts w:ascii="仿宋" w:hAnsi="仿宋" w:eastAsia="仿宋" w:cs="仿宋"/>
          <w:color w:val="auto"/>
          <w:szCs w:val="21"/>
          <w:highlight w:val="none"/>
        </w:rPr>
      </w:pPr>
      <w:r>
        <w:rPr>
          <w:rFonts w:hint="eastAsia" w:ascii="仿宋" w:hAnsi="仿宋" w:eastAsia="仿宋" w:cs="仿宋"/>
          <w:color w:val="auto"/>
          <w:szCs w:val="21"/>
          <w:highlight w:val="none"/>
        </w:rPr>
        <w:t>投标人名称（盖章）：</w:t>
      </w:r>
    </w:p>
    <w:p>
      <w:pPr>
        <w:shd w:val="clear"/>
        <w:ind w:firstLine="210" w:firstLineChars="100"/>
        <w:rPr>
          <w:rFonts w:ascii="仿宋" w:hAnsi="仿宋" w:eastAsia="仿宋" w:cs="仿宋"/>
          <w:color w:val="auto"/>
          <w:highlight w:val="none"/>
        </w:rPr>
      </w:pPr>
      <w:r>
        <w:rPr>
          <w:rFonts w:hint="eastAsia" w:ascii="仿宋" w:hAnsi="仿宋" w:eastAsia="仿宋" w:cs="仿宋"/>
          <w:color w:val="auto"/>
          <w:szCs w:val="21"/>
          <w:highlight w:val="none"/>
        </w:rPr>
        <w:t>日期：   年   月   日</w:t>
      </w:r>
      <w:r>
        <w:rPr>
          <w:rFonts w:hint="eastAsia" w:ascii="仿宋" w:hAnsi="仿宋" w:eastAsia="仿宋" w:cs="仿宋"/>
          <w:color w:val="auto"/>
          <w:highlight w:val="none"/>
        </w:rPr>
        <w:t xml:space="preserve"> </w:t>
      </w:r>
    </w:p>
    <w:p>
      <w:pPr>
        <w:widowControl/>
        <w:shd w:val="clear"/>
        <w:jc w:val="left"/>
        <w:rPr>
          <w:rFonts w:ascii="仿宋" w:hAnsi="仿宋" w:eastAsia="仿宋" w:cs="仿宋"/>
          <w:color w:val="auto"/>
          <w:highlight w:val="none"/>
        </w:rPr>
      </w:pPr>
      <w:r>
        <w:rPr>
          <w:rFonts w:hint="eastAsia" w:ascii="仿宋" w:hAnsi="仿宋" w:eastAsia="仿宋" w:cs="仿宋"/>
          <w:b/>
          <w:color w:val="auto"/>
          <w:highlight w:val="none"/>
        </w:rPr>
        <w:br w:type="page"/>
      </w:r>
    </w:p>
    <w:p>
      <w:pPr>
        <w:pStyle w:val="4"/>
        <w:shd w:val="clear"/>
        <w:spacing w:after="0"/>
        <w:jc w:val="center"/>
        <w:rPr>
          <w:rFonts w:ascii="仿宋" w:hAnsi="仿宋" w:eastAsia="仿宋" w:cs="仿宋"/>
          <w:color w:val="auto"/>
          <w:highlight w:val="none"/>
        </w:rPr>
      </w:pPr>
      <w:bookmarkStart w:id="592" w:name="_Toc56856986"/>
      <w:r>
        <w:rPr>
          <w:rFonts w:hint="eastAsia" w:ascii="仿宋" w:hAnsi="仿宋" w:eastAsia="仿宋" w:cs="仿宋"/>
          <w:color w:val="auto"/>
          <w:highlight w:val="none"/>
        </w:rPr>
        <w:t>八、合同条款响应表</w:t>
      </w:r>
      <w:bookmarkEnd w:id="592"/>
    </w:p>
    <w:p>
      <w:pPr>
        <w:pStyle w:val="114"/>
        <w:shd w:val="clear"/>
        <w:ind w:left="0" w:leftChars="0" w:firstLine="0"/>
        <w:rPr>
          <w:rFonts w:ascii="仿宋" w:hAnsi="仿宋" w:eastAsia="仿宋" w:cs="仿宋"/>
          <w:color w:val="auto"/>
          <w:highlight w:val="none"/>
        </w:rPr>
      </w:pPr>
      <w:r>
        <w:rPr>
          <w:rFonts w:hint="eastAsia" w:ascii="仿宋" w:hAnsi="仿宋" w:eastAsia="仿宋" w:cs="仿宋"/>
          <w:color w:val="auto"/>
          <w:highlight w:val="none"/>
        </w:rPr>
        <w:t>合同条款响应表</w:t>
      </w:r>
    </w:p>
    <w:tbl>
      <w:tblPr>
        <w:tblStyle w:val="40"/>
        <w:tblW w:w="9098" w:type="dxa"/>
        <w:jc w:val="center"/>
        <w:tblLayout w:type="fixed"/>
        <w:tblCellMar>
          <w:top w:w="0" w:type="dxa"/>
          <w:left w:w="10" w:type="dxa"/>
          <w:bottom w:w="0" w:type="dxa"/>
          <w:right w:w="10" w:type="dxa"/>
        </w:tblCellMar>
      </w:tblPr>
      <w:tblGrid>
        <w:gridCol w:w="809"/>
        <w:gridCol w:w="4691"/>
        <w:gridCol w:w="1212"/>
        <w:gridCol w:w="2386"/>
      </w:tblGrid>
      <w:tr>
        <w:tblPrEx>
          <w:tblCellMar>
            <w:top w:w="0" w:type="dxa"/>
            <w:left w:w="10" w:type="dxa"/>
            <w:bottom w:w="0" w:type="dxa"/>
            <w:right w:w="10" w:type="dxa"/>
          </w:tblCellMar>
        </w:tblPrEx>
        <w:trPr>
          <w:trHeight w:val="743" w:hRule="atLeast"/>
          <w:jc w:val="center"/>
        </w:trPr>
        <w:tc>
          <w:tcPr>
            <w:tcW w:w="8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4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合同条款要求</w:t>
            </w:r>
          </w:p>
        </w:tc>
        <w:tc>
          <w:tcPr>
            <w:tcW w:w="12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是否响应</w:t>
            </w:r>
          </w:p>
        </w:tc>
        <w:tc>
          <w:tcPr>
            <w:tcW w:w="23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偏离说明</w:t>
            </w:r>
          </w:p>
        </w:tc>
      </w:tr>
      <w:tr>
        <w:tblPrEx>
          <w:tblCellMar>
            <w:top w:w="0" w:type="dxa"/>
            <w:left w:w="10" w:type="dxa"/>
            <w:bottom w:w="0" w:type="dxa"/>
            <w:right w:w="10" w:type="dxa"/>
          </w:tblCellMar>
        </w:tblPrEx>
        <w:trPr>
          <w:trHeight w:val="575" w:hRule="atLeast"/>
          <w:jc w:val="center"/>
        </w:trPr>
        <w:tc>
          <w:tcPr>
            <w:tcW w:w="8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4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rPr>
                <w:rFonts w:ascii="仿宋" w:hAnsi="仿宋" w:eastAsia="仿宋" w:cs="仿宋"/>
                <w:color w:val="auto"/>
                <w:szCs w:val="21"/>
                <w:highlight w:val="none"/>
              </w:rPr>
            </w:pPr>
          </w:p>
        </w:tc>
        <w:tc>
          <w:tcPr>
            <w:tcW w:w="12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c>
          <w:tcPr>
            <w:tcW w:w="23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r>
      <w:tr>
        <w:tblPrEx>
          <w:tblCellMar>
            <w:top w:w="0" w:type="dxa"/>
            <w:left w:w="10" w:type="dxa"/>
            <w:bottom w:w="0" w:type="dxa"/>
            <w:right w:w="10" w:type="dxa"/>
          </w:tblCellMar>
        </w:tblPrEx>
        <w:trPr>
          <w:trHeight w:val="575" w:hRule="atLeast"/>
          <w:jc w:val="center"/>
        </w:trPr>
        <w:tc>
          <w:tcPr>
            <w:tcW w:w="8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4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rPr>
                <w:rFonts w:ascii="仿宋" w:hAnsi="仿宋" w:eastAsia="仿宋" w:cs="仿宋"/>
                <w:color w:val="auto"/>
                <w:szCs w:val="21"/>
                <w:highlight w:val="none"/>
              </w:rPr>
            </w:pPr>
          </w:p>
        </w:tc>
        <w:tc>
          <w:tcPr>
            <w:tcW w:w="12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c>
          <w:tcPr>
            <w:tcW w:w="23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r>
      <w:tr>
        <w:tblPrEx>
          <w:tblCellMar>
            <w:top w:w="0" w:type="dxa"/>
            <w:left w:w="10" w:type="dxa"/>
            <w:bottom w:w="0" w:type="dxa"/>
            <w:right w:w="10" w:type="dxa"/>
          </w:tblCellMar>
        </w:tblPrEx>
        <w:trPr>
          <w:trHeight w:val="575" w:hRule="atLeast"/>
          <w:jc w:val="center"/>
        </w:trPr>
        <w:tc>
          <w:tcPr>
            <w:tcW w:w="8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4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rPr>
                <w:rFonts w:ascii="仿宋" w:hAnsi="仿宋" w:eastAsia="仿宋" w:cs="仿宋"/>
                <w:color w:val="auto"/>
                <w:szCs w:val="21"/>
                <w:highlight w:val="none"/>
              </w:rPr>
            </w:pPr>
          </w:p>
        </w:tc>
        <w:tc>
          <w:tcPr>
            <w:tcW w:w="12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c>
          <w:tcPr>
            <w:tcW w:w="23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ind w:right="-35"/>
              <w:jc w:val="center"/>
              <w:rPr>
                <w:rFonts w:ascii="仿宋" w:hAnsi="仿宋" w:eastAsia="仿宋" w:cs="仿宋"/>
                <w:color w:val="auto"/>
                <w:szCs w:val="21"/>
                <w:highlight w:val="none"/>
              </w:rPr>
            </w:pPr>
          </w:p>
        </w:tc>
      </w:tr>
      <w:tr>
        <w:tblPrEx>
          <w:tblCellMar>
            <w:top w:w="0" w:type="dxa"/>
            <w:left w:w="10" w:type="dxa"/>
            <w:bottom w:w="0" w:type="dxa"/>
            <w:right w:w="10" w:type="dxa"/>
          </w:tblCellMar>
        </w:tblPrEx>
        <w:trPr>
          <w:trHeight w:val="575" w:hRule="atLeast"/>
          <w:jc w:val="center"/>
        </w:trPr>
        <w:tc>
          <w:tcPr>
            <w:tcW w:w="8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4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rPr>
                <w:rFonts w:ascii="仿宋" w:hAnsi="仿宋" w:eastAsia="仿宋" w:cs="仿宋"/>
                <w:color w:val="auto"/>
                <w:szCs w:val="21"/>
                <w:highlight w:val="none"/>
              </w:rPr>
            </w:pPr>
          </w:p>
        </w:tc>
        <w:tc>
          <w:tcPr>
            <w:tcW w:w="12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c>
          <w:tcPr>
            <w:tcW w:w="23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ind w:right="-35"/>
              <w:jc w:val="center"/>
              <w:rPr>
                <w:rFonts w:ascii="仿宋" w:hAnsi="仿宋" w:eastAsia="仿宋" w:cs="仿宋"/>
                <w:color w:val="auto"/>
                <w:szCs w:val="21"/>
                <w:highlight w:val="none"/>
              </w:rPr>
            </w:pPr>
          </w:p>
        </w:tc>
      </w:tr>
      <w:tr>
        <w:tblPrEx>
          <w:tblCellMar>
            <w:top w:w="0" w:type="dxa"/>
            <w:left w:w="10" w:type="dxa"/>
            <w:bottom w:w="0" w:type="dxa"/>
            <w:right w:w="10" w:type="dxa"/>
          </w:tblCellMar>
        </w:tblPrEx>
        <w:trPr>
          <w:trHeight w:val="575" w:hRule="atLeast"/>
          <w:jc w:val="center"/>
        </w:trPr>
        <w:tc>
          <w:tcPr>
            <w:tcW w:w="8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4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rPr>
                <w:rFonts w:ascii="仿宋" w:hAnsi="仿宋" w:eastAsia="仿宋" w:cs="仿宋"/>
                <w:color w:val="auto"/>
                <w:szCs w:val="21"/>
                <w:highlight w:val="none"/>
              </w:rPr>
            </w:pPr>
          </w:p>
        </w:tc>
        <w:tc>
          <w:tcPr>
            <w:tcW w:w="12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c>
          <w:tcPr>
            <w:tcW w:w="23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r>
      <w:tr>
        <w:tblPrEx>
          <w:tblCellMar>
            <w:top w:w="0" w:type="dxa"/>
            <w:left w:w="10" w:type="dxa"/>
            <w:bottom w:w="0" w:type="dxa"/>
            <w:right w:w="10" w:type="dxa"/>
          </w:tblCellMar>
        </w:tblPrEx>
        <w:trPr>
          <w:trHeight w:val="711" w:hRule="atLeast"/>
          <w:jc w:val="center"/>
        </w:trPr>
        <w:tc>
          <w:tcPr>
            <w:tcW w:w="8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6</w:t>
            </w:r>
          </w:p>
        </w:tc>
        <w:tc>
          <w:tcPr>
            <w:tcW w:w="4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rPr>
                <w:rFonts w:ascii="仿宋" w:hAnsi="仿宋" w:eastAsia="仿宋" w:cs="仿宋"/>
                <w:color w:val="auto"/>
                <w:szCs w:val="21"/>
                <w:highlight w:val="none"/>
              </w:rPr>
            </w:pPr>
          </w:p>
        </w:tc>
        <w:tc>
          <w:tcPr>
            <w:tcW w:w="12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c>
          <w:tcPr>
            <w:tcW w:w="23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r>
      <w:tr>
        <w:tblPrEx>
          <w:tblCellMar>
            <w:top w:w="0" w:type="dxa"/>
            <w:left w:w="10" w:type="dxa"/>
            <w:bottom w:w="0" w:type="dxa"/>
            <w:right w:w="10" w:type="dxa"/>
          </w:tblCellMar>
        </w:tblPrEx>
        <w:trPr>
          <w:trHeight w:val="575" w:hRule="atLeast"/>
          <w:jc w:val="center"/>
        </w:trPr>
        <w:tc>
          <w:tcPr>
            <w:tcW w:w="8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7</w:t>
            </w:r>
          </w:p>
        </w:tc>
        <w:tc>
          <w:tcPr>
            <w:tcW w:w="4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rPr>
                <w:rFonts w:ascii="仿宋" w:hAnsi="仿宋" w:eastAsia="仿宋" w:cs="仿宋"/>
                <w:color w:val="auto"/>
                <w:szCs w:val="21"/>
                <w:highlight w:val="none"/>
              </w:rPr>
            </w:pPr>
          </w:p>
        </w:tc>
        <w:tc>
          <w:tcPr>
            <w:tcW w:w="12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c>
          <w:tcPr>
            <w:tcW w:w="23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r>
      <w:tr>
        <w:tblPrEx>
          <w:tblCellMar>
            <w:top w:w="0" w:type="dxa"/>
            <w:left w:w="10" w:type="dxa"/>
            <w:bottom w:w="0" w:type="dxa"/>
            <w:right w:w="10" w:type="dxa"/>
          </w:tblCellMar>
        </w:tblPrEx>
        <w:trPr>
          <w:trHeight w:val="575" w:hRule="atLeast"/>
          <w:jc w:val="center"/>
        </w:trPr>
        <w:tc>
          <w:tcPr>
            <w:tcW w:w="8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8</w:t>
            </w:r>
          </w:p>
        </w:tc>
        <w:tc>
          <w:tcPr>
            <w:tcW w:w="4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rPr>
                <w:rFonts w:ascii="仿宋" w:hAnsi="仿宋" w:eastAsia="仿宋" w:cs="仿宋"/>
                <w:color w:val="auto"/>
                <w:szCs w:val="21"/>
                <w:highlight w:val="none"/>
              </w:rPr>
            </w:pPr>
          </w:p>
        </w:tc>
        <w:tc>
          <w:tcPr>
            <w:tcW w:w="12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c>
          <w:tcPr>
            <w:tcW w:w="23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r>
      <w:tr>
        <w:tblPrEx>
          <w:tblCellMar>
            <w:top w:w="0" w:type="dxa"/>
            <w:left w:w="10" w:type="dxa"/>
            <w:bottom w:w="0" w:type="dxa"/>
            <w:right w:w="10" w:type="dxa"/>
          </w:tblCellMar>
        </w:tblPrEx>
        <w:trPr>
          <w:trHeight w:val="585" w:hRule="atLeast"/>
          <w:jc w:val="center"/>
        </w:trPr>
        <w:tc>
          <w:tcPr>
            <w:tcW w:w="8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r>
              <w:rPr>
                <w:rFonts w:hint="eastAsia" w:ascii="仿宋" w:hAnsi="仿宋" w:eastAsia="仿宋" w:cs="仿宋"/>
                <w:color w:val="auto"/>
                <w:szCs w:val="21"/>
                <w:highlight w:val="none"/>
              </w:rPr>
              <w:t>9</w:t>
            </w:r>
          </w:p>
        </w:tc>
        <w:tc>
          <w:tcPr>
            <w:tcW w:w="4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rPr>
                <w:rFonts w:ascii="仿宋" w:hAnsi="仿宋" w:eastAsia="仿宋" w:cs="仿宋"/>
                <w:color w:val="auto"/>
                <w:szCs w:val="21"/>
                <w:highlight w:val="none"/>
              </w:rPr>
            </w:pPr>
          </w:p>
        </w:tc>
        <w:tc>
          <w:tcPr>
            <w:tcW w:w="12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Style w:val="113"/>
              <w:shd w:val="clear"/>
              <w:rPr>
                <w:rFonts w:ascii="仿宋" w:hAnsi="仿宋" w:eastAsia="仿宋" w:cs="仿宋"/>
                <w:color w:val="auto"/>
                <w:sz w:val="21"/>
                <w:highlight w:val="none"/>
              </w:rPr>
            </w:pPr>
          </w:p>
        </w:tc>
        <w:tc>
          <w:tcPr>
            <w:tcW w:w="23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hd w:val="clear"/>
              <w:jc w:val="center"/>
              <w:rPr>
                <w:rFonts w:ascii="仿宋" w:hAnsi="仿宋" w:eastAsia="仿宋" w:cs="仿宋"/>
                <w:color w:val="auto"/>
                <w:szCs w:val="21"/>
                <w:highlight w:val="none"/>
              </w:rPr>
            </w:pPr>
          </w:p>
        </w:tc>
      </w:tr>
    </w:tbl>
    <w:p>
      <w:pPr>
        <w:shd w:val="clear"/>
        <w:rPr>
          <w:rFonts w:ascii="仿宋" w:hAnsi="仿宋" w:eastAsia="仿宋" w:cs="仿宋"/>
          <w:color w:val="auto"/>
          <w:szCs w:val="21"/>
          <w:highlight w:val="none"/>
          <w:lang w:val="en-GB"/>
        </w:rPr>
      </w:pPr>
    </w:p>
    <w:p>
      <w:pPr>
        <w:shd w:val="clear"/>
        <w:rPr>
          <w:rFonts w:ascii="仿宋" w:hAnsi="仿宋" w:eastAsia="仿宋" w:cs="仿宋"/>
          <w:color w:val="auto"/>
          <w:szCs w:val="21"/>
          <w:highlight w:val="none"/>
          <w:lang w:val="en-GB"/>
        </w:rPr>
      </w:pPr>
      <w:r>
        <w:rPr>
          <w:rFonts w:hint="eastAsia" w:ascii="仿宋" w:hAnsi="仿宋" w:eastAsia="仿宋" w:cs="仿宋"/>
          <w:color w:val="auto"/>
          <w:szCs w:val="21"/>
          <w:highlight w:val="none"/>
          <w:lang w:val="en-GB"/>
        </w:rPr>
        <w:t>注：</w:t>
      </w:r>
    </w:p>
    <w:p>
      <w:pPr>
        <w:shd w:val="clear"/>
        <w:rPr>
          <w:rFonts w:ascii="仿宋" w:hAnsi="仿宋" w:eastAsia="仿宋" w:cs="仿宋"/>
          <w:color w:val="auto"/>
          <w:szCs w:val="21"/>
          <w:highlight w:val="none"/>
          <w:lang w:val="en-GB"/>
        </w:rPr>
      </w:pPr>
      <w:r>
        <w:rPr>
          <w:rFonts w:hint="eastAsia" w:ascii="仿宋" w:hAnsi="仿宋" w:eastAsia="仿宋" w:cs="仿宋"/>
          <w:color w:val="auto"/>
          <w:szCs w:val="21"/>
          <w:highlight w:val="none"/>
          <w:lang w:val="en-GB"/>
        </w:rPr>
        <w:t>1、</w:t>
      </w:r>
      <w:r>
        <w:rPr>
          <w:rFonts w:hint="eastAsia" w:ascii="仿宋" w:hAnsi="仿宋" w:eastAsia="仿宋" w:cs="仿宋"/>
          <w:color w:val="auto"/>
          <w:szCs w:val="21"/>
          <w:highlight w:val="none"/>
        </w:rPr>
        <w:t>对</w:t>
      </w:r>
      <w:r>
        <w:rPr>
          <w:rFonts w:hint="eastAsia" w:ascii="仿宋" w:hAnsi="仿宋" w:eastAsia="仿宋" w:cs="仿宋"/>
          <w:color w:val="auto"/>
          <w:szCs w:val="21"/>
          <w:highlight w:val="none"/>
          <w:lang w:val="en-GB"/>
        </w:rPr>
        <w:t>于上述要求，如投标人完全响应，则请在“是否响应”栏内打“√”，对空白或打“×”视为偏离，请在“偏离说明”栏内扼要说明偏离情况。</w:t>
      </w:r>
    </w:p>
    <w:p>
      <w:pPr>
        <w:shd w:val="clear"/>
        <w:rPr>
          <w:rFonts w:ascii="仿宋" w:hAnsi="仿宋" w:eastAsia="仿宋" w:cs="仿宋"/>
          <w:color w:val="auto"/>
          <w:szCs w:val="21"/>
          <w:highlight w:val="none"/>
          <w:lang w:val="en-GB"/>
        </w:rPr>
      </w:pPr>
      <w:r>
        <w:rPr>
          <w:rFonts w:hint="eastAsia" w:ascii="仿宋" w:hAnsi="仿宋" w:eastAsia="仿宋" w:cs="仿宋"/>
          <w:color w:val="auto"/>
          <w:szCs w:val="21"/>
          <w:highlight w:val="none"/>
          <w:lang w:val="en-GB"/>
        </w:rPr>
        <w:t>2、本表内容不得擅自修改。</w:t>
      </w:r>
    </w:p>
    <w:p>
      <w:pPr>
        <w:shd w:val="clear"/>
        <w:rPr>
          <w:rFonts w:ascii="仿宋" w:hAnsi="仿宋" w:eastAsia="仿宋" w:cs="仿宋"/>
          <w:color w:val="auto"/>
          <w:szCs w:val="21"/>
          <w:highlight w:val="none"/>
          <w:lang w:val="en-GB"/>
        </w:rPr>
      </w:pPr>
    </w:p>
    <w:p>
      <w:pPr>
        <w:shd w:val="clear"/>
        <w:rPr>
          <w:rFonts w:ascii="仿宋" w:hAnsi="仿宋" w:eastAsia="仿宋" w:cs="仿宋"/>
          <w:color w:val="auto"/>
          <w:szCs w:val="21"/>
          <w:highlight w:val="none"/>
          <w:lang w:val="en-GB"/>
        </w:rPr>
      </w:pPr>
    </w:p>
    <w:p>
      <w:pPr>
        <w:shd w:val="clear"/>
        <w:spacing w:line="480" w:lineRule="auto"/>
        <w:rPr>
          <w:rFonts w:ascii="仿宋" w:hAnsi="仿宋" w:eastAsia="仿宋" w:cs="仿宋"/>
          <w:color w:val="auto"/>
          <w:szCs w:val="21"/>
          <w:highlight w:val="none"/>
          <w:u w:val="single"/>
        </w:rPr>
      </w:pPr>
      <w:r>
        <w:rPr>
          <w:rFonts w:hint="eastAsia" w:ascii="仿宋" w:hAnsi="仿宋" w:eastAsia="仿宋" w:cs="仿宋"/>
          <w:color w:val="auto"/>
          <w:szCs w:val="21"/>
          <w:highlight w:val="none"/>
        </w:rPr>
        <w:t>投标人名称（盖章）：</w:t>
      </w:r>
    </w:p>
    <w:p>
      <w:pPr>
        <w:shd w:val="clear"/>
        <w:spacing w:line="480" w:lineRule="auto"/>
        <w:rPr>
          <w:rFonts w:ascii="仿宋" w:hAnsi="仿宋" w:eastAsia="仿宋" w:cs="仿宋"/>
          <w:color w:val="auto"/>
          <w:szCs w:val="21"/>
          <w:highlight w:val="none"/>
        </w:rPr>
      </w:pPr>
      <w:r>
        <w:rPr>
          <w:rFonts w:hint="eastAsia" w:ascii="仿宋" w:hAnsi="仿宋" w:eastAsia="仿宋" w:cs="仿宋"/>
          <w:color w:val="auto"/>
          <w:szCs w:val="21"/>
          <w:highlight w:val="none"/>
        </w:rPr>
        <w:t>日期：   年   月   日</w:t>
      </w:r>
    </w:p>
    <w:p>
      <w:pPr>
        <w:shd w:val="clear"/>
        <w:jc w:val="center"/>
        <w:rPr>
          <w:rFonts w:ascii="仿宋" w:hAnsi="仿宋" w:eastAsia="仿宋" w:cs="仿宋"/>
          <w:color w:val="auto"/>
          <w:highlight w:val="none"/>
        </w:rPr>
      </w:pPr>
    </w:p>
    <w:p>
      <w:pPr>
        <w:shd w:val="clear"/>
        <w:jc w:val="center"/>
        <w:rPr>
          <w:rFonts w:ascii="仿宋" w:hAnsi="仿宋" w:eastAsia="仿宋" w:cs="仿宋"/>
          <w:color w:val="auto"/>
          <w:highlight w:val="none"/>
        </w:rPr>
      </w:pPr>
    </w:p>
    <w:p>
      <w:pPr>
        <w:shd w:val="clear"/>
        <w:jc w:val="center"/>
        <w:rPr>
          <w:rFonts w:ascii="仿宋" w:hAnsi="仿宋" w:eastAsia="仿宋" w:cs="仿宋"/>
          <w:color w:val="auto"/>
          <w:highlight w:val="none"/>
        </w:rPr>
      </w:pPr>
    </w:p>
    <w:p>
      <w:pPr>
        <w:shd w:val="clear"/>
        <w:jc w:val="center"/>
        <w:rPr>
          <w:rFonts w:ascii="仿宋" w:hAnsi="仿宋" w:eastAsia="仿宋" w:cs="仿宋"/>
          <w:color w:val="auto"/>
          <w:highlight w:val="none"/>
        </w:rPr>
      </w:pPr>
    </w:p>
    <w:p>
      <w:pPr>
        <w:shd w:val="clear"/>
        <w:jc w:val="center"/>
        <w:rPr>
          <w:rFonts w:ascii="仿宋" w:hAnsi="仿宋" w:eastAsia="仿宋" w:cs="仿宋"/>
          <w:color w:val="auto"/>
          <w:highlight w:val="none"/>
        </w:rPr>
      </w:pPr>
    </w:p>
    <w:p>
      <w:pPr>
        <w:shd w:val="clear"/>
        <w:jc w:val="center"/>
        <w:rPr>
          <w:rFonts w:ascii="仿宋" w:hAnsi="仿宋" w:eastAsia="仿宋" w:cs="仿宋"/>
          <w:color w:val="auto"/>
          <w:highlight w:val="none"/>
        </w:rPr>
      </w:pPr>
    </w:p>
    <w:p>
      <w:pPr>
        <w:shd w:val="clear"/>
        <w:jc w:val="center"/>
        <w:rPr>
          <w:rFonts w:ascii="仿宋" w:hAnsi="仿宋" w:eastAsia="仿宋" w:cs="仿宋"/>
          <w:color w:val="auto"/>
          <w:highlight w:val="none"/>
        </w:rPr>
      </w:pPr>
    </w:p>
    <w:p>
      <w:pPr>
        <w:shd w:val="clear"/>
        <w:jc w:val="center"/>
        <w:rPr>
          <w:rFonts w:ascii="仿宋" w:hAnsi="仿宋" w:eastAsia="仿宋" w:cs="仿宋"/>
          <w:color w:val="auto"/>
          <w:highlight w:val="none"/>
        </w:rPr>
      </w:pPr>
    </w:p>
    <w:p>
      <w:pPr>
        <w:shd w:val="clear"/>
        <w:jc w:val="center"/>
        <w:rPr>
          <w:rFonts w:ascii="仿宋" w:hAnsi="仿宋" w:eastAsia="仿宋" w:cs="仿宋"/>
          <w:color w:val="auto"/>
          <w:highlight w:val="none"/>
        </w:rPr>
      </w:pPr>
    </w:p>
    <w:p>
      <w:pPr>
        <w:shd w:val="clear"/>
        <w:rPr>
          <w:rFonts w:ascii="仿宋" w:hAnsi="仿宋" w:eastAsia="仿宋" w:cs="仿宋"/>
          <w:color w:val="auto"/>
          <w:highlight w:val="none"/>
        </w:rPr>
      </w:pPr>
      <w:bookmarkStart w:id="593" w:name="_Toc56856987"/>
      <w:r>
        <w:rPr>
          <w:rFonts w:hint="eastAsia" w:ascii="仿宋" w:hAnsi="仿宋" w:eastAsia="仿宋" w:cs="仿宋"/>
          <w:color w:val="auto"/>
          <w:highlight w:val="none"/>
        </w:rPr>
        <w:br w:type="page"/>
      </w:r>
    </w:p>
    <w:p>
      <w:pPr>
        <w:pStyle w:val="4"/>
        <w:shd w:val="clear"/>
        <w:spacing w:after="0"/>
        <w:jc w:val="center"/>
        <w:rPr>
          <w:rFonts w:ascii="仿宋" w:hAnsi="仿宋" w:eastAsia="仿宋" w:cs="仿宋"/>
          <w:color w:val="auto"/>
          <w:highlight w:val="none"/>
        </w:rPr>
      </w:pPr>
      <w:r>
        <w:rPr>
          <w:rFonts w:hint="eastAsia" w:ascii="仿宋" w:hAnsi="仿宋" w:eastAsia="仿宋" w:cs="仿宋"/>
          <w:color w:val="auto"/>
          <w:highlight w:val="none"/>
        </w:rPr>
        <w:t>九、企业荣誉</w:t>
      </w:r>
    </w:p>
    <w:p>
      <w:pPr>
        <w:shd w:val="clear"/>
        <w:spacing w:line="360" w:lineRule="auto"/>
        <w:ind w:firstLine="357" w:firstLineChars="170"/>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w:t>
      </w:r>
      <w:r>
        <w:rPr>
          <w:rFonts w:hint="eastAsia" w:ascii="仿宋" w:hAnsi="仿宋" w:eastAsia="仿宋" w:cs="仿宋"/>
          <w:color w:val="auto"/>
          <w:sz w:val="21"/>
          <w:szCs w:val="21"/>
          <w:highlight w:val="none"/>
        </w:rPr>
        <w:t>根据评标办法的要求，提供企业荣誉</w:t>
      </w:r>
      <w:r>
        <w:rPr>
          <w:rFonts w:hint="eastAsia" w:ascii="仿宋" w:hAnsi="仿宋" w:eastAsia="仿宋" w:cs="仿宋"/>
          <w:bCs/>
          <w:color w:val="auto"/>
          <w:sz w:val="21"/>
          <w:szCs w:val="21"/>
          <w:highlight w:val="none"/>
        </w:rPr>
        <w:t xml:space="preserve">。 </w:t>
      </w:r>
    </w:p>
    <w:p>
      <w:pPr>
        <w:shd w:val="clear"/>
        <w:jc w:val="center"/>
        <w:rPr>
          <w:rFonts w:ascii="仿宋" w:hAnsi="仿宋" w:eastAsia="仿宋" w:cs="仿宋"/>
          <w:color w:val="auto"/>
          <w:highlight w:val="none"/>
        </w:rPr>
      </w:pPr>
    </w:p>
    <w:p>
      <w:pPr>
        <w:shd w:val="clear"/>
        <w:jc w:val="center"/>
        <w:rPr>
          <w:rFonts w:ascii="仿宋" w:hAnsi="仿宋" w:eastAsia="仿宋" w:cs="仿宋"/>
          <w:color w:val="auto"/>
          <w:highlight w:val="none"/>
        </w:rPr>
      </w:pPr>
    </w:p>
    <w:p>
      <w:pPr>
        <w:pStyle w:val="4"/>
        <w:shd w:val="clear"/>
        <w:spacing w:after="0"/>
        <w:jc w:val="center"/>
        <w:rPr>
          <w:rFonts w:ascii="仿宋" w:hAnsi="仿宋" w:eastAsia="仿宋" w:cs="仿宋"/>
          <w:color w:val="auto"/>
          <w:highlight w:val="none"/>
        </w:rPr>
      </w:pPr>
      <w:r>
        <w:rPr>
          <w:rFonts w:hint="eastAsia" w:ascii="仿宋" w:hAnsi="仿宋" w:eastAsia="仿宋" w:cs="仿宋"/>
          <w:color w:val="auto"/>
          <w:highlight w:val="none"/>
        </w:rPr>
        <w:t>十、</w:t>
      </w:r>
      <w:bookmarkEnd w:id="593"/>
      <w:r>
        <w:rPr>
          <w:rFonts w:hint="eastAsia" w:ascii="仿宋" w:hAnsi="仿宋" w:eastAsia="仿宋" w:cs="仿宋"/>
          <w:color w:val="auto"/>
          <w:highlight w:val="none"/>
          <w:lang w:val="en-US" w:eastAsia="zh-CN"/>
        </w:rPr>
        <w:t>服务</w:t>
      </w:r>
      <w:r>
        <w:rPr>
          <w:rFonts w:hint="eastAsia" w:ascii="仿宋" w:hAnsi="仿宋" w:eastAsia="仿宋" w:cs="仿宋"/>
          <w:color w:val="auto"/>
          <w:highlight w:val="none"/>
        </w:rPr>
        <w:t>方案</w:t>
      </w:r>
    </w:p>
    <w:p>
      <w:pPr>
        <w:shd w:val="clear"/>
        <w:spacing w:line="360" w:lineRule="auto"/>
        <w:ind w:firstLine="357" w:firstLineChars="17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投标人应根据评标办法的要求，详细描述</w:t>
      </w:r>
      <w:r>
        <w:rPr>
          <w:rFonts w:hint="eastAsia" w:ascii="仿宋" w:hAnsi="仿宋" w:eastAsia="仿宋" w:cs="仿宋"/>
          <w:bCs/>
          <w:color w:val="auto"/>
          <w:sz w:val="21"/>
          <w:szCs w:val="21"/>
          <w:highlight w:val="none"/>
          <w:lang w:val="en-US" w:eastAsia="zh-CN"/>
        </w:rPr>
        <w:t>本项目服务方案</w:t>
      </w:r>
      <w:r>
        <w:rPr>
          <w:rFonts w:hint="eastAsia" w:ascii="仿宋" w:hAnsi="仿宋" w:eastAsia="仿宋" w:cs="仿宋"/>
          <w:bCs/>
          <w:color w:val="auto"/>
          <w:sz w:val="21"/>
          <w:szCs w:val="21"/>
          <w:highlight w:val="none"/>
        </w:rPr>
        <w:t>。包含但不限于以下内容，格式自拟：</w:t>
      </w:r>
    </w:p>
    <w:p>
      <w:pPr>
        <w:shd w:val="clear"/>
        <w:spacing w:line="360" w:lineRule="auto"/>
        <w:ind w:firstLine="357" w:firstLineChars="17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1、对项目理解、重点与难点分析及应对措施</w:t>
      </w:r>
    </w:p>
    <w:p>
      <w:pPr>
        <w:shd w:val="clear"/>
        <w:spacing w:line="360" w:lineRule="auto"/>
        <w:ind w:firstLine="357" w:firstLineChars="17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2、响应时效</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响应时效承诺书</w:t>
            </w:r>
          </w:p>
          <w:p>
            <w:pPr>
              <w:widowControl w:val="0"/>
              <w:autoSpaceDE w:val="0"/>
              <w:autoSpaceDN w:val="0"/>
              <w:adjustRightInd w:val="0"/>
              <w:spacing w:line="360" w:lineRule="auto"/>
              <w:ind w:firstLine="0"/>
              <w:jc w:val="left"/>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致中国人民财产保险股份有限公司东莞市分公司：</w:t>
            </w:r>
          </w:p>
          <w:p>
            <w:pPr>
              <w:keepNext w:val="0"/>
              <w:keepLines w:val="0"/>
              <w:pageBreakBefore w:val="0"/>
              <w:widowControl w:val="0"/>
              <w:shd w:val="clear"/>
              <w:kinsoku/>
              <w:wordWrap/>
              <w:overflowPunct/>
              <w:topLinePunct w:val="0"/>
              <w:autoSpaceDE/>
              <w:autoSpaceDN/>
              <w:bidi w:val="0"/>
              <w:adjustRightInd/>
              <w:snapToGrid/>
              <w:spacing w:line="360" w:lineRule="auto"/>
              <w:ind w:leftChars="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rPr>
              <w:t>我方已仔细研究</w:t>
            </w:r>
            <w:r>
              <w:rPr>
                <w:rFonts w:hint="eastAsia" w:ascii="仿宋" w:hAnsi="仿宋" w:eastAsia="仿宋" w:cs="仿宋"/>
                <w:color w:val="000000"/>
                <w:kern w:val="0"/>
                <w:sz w:val="21"/>
                <w:szCs w:val="21"/>
              </w:rPr>
              <w:t>了</w:t>
            </w:r>
            <w:r>
              <w:rPr>
                <w:rFonts w:hint="eastAsia" w:ascii="仿宋" w:hAnsi="仿宋" w:eastAsia="仿宋" w:cs="仿宋"/>
                <w:color w:val="000000"/>
                <w:kern w:val="0"/>
                <w:sz w:val="21"/>
                <w:szCs w:val="21"/>
                <w:lang w:eastAsia="zh-CN"/>
              </w:rPr>
              <w:t>2025-2027年车险物损修复第三方服务资格入库项目</w:t>
            </w:r>
            <w:r>
              <w:rPr>
                <w:rFonts w:hint="eastAsia" w:ascii="仿宋" w:hAnsi="仿宋" w:eastAsia="仿宋" w:cs="仿宋"/>
                <w:color w:val="000000"/>
                <w:sz w:val="21"/>
                <w:szCs w:val="21"/>
              </w:rPr>
              <w:t>（招标编号：</w:t>
            </w:r>
            <w:r>
              <w:rPr>
                <w:rFonts w:hint="eastAsia" w:ascii="仿宋" w:hAnsi="仿宋" w:eastAsia="仿宋" w:cs="仿宋"/>
                <w:color w:val="000000"/>
                <w:sz w:val="21"/>
                <w:szCs w:val="21"/>
                <w:lang w:eastAsia="zh-CN"/>
              </w:rPr>
              <w:t xml:space="preserve">              </w:t>
            </w:r>
            <w:r>
              <w:rPr>
                <w:rFonts w:hint="eastAsia" w:ascii="仿宋" w:hAnsi="仿宋" w:eastAsia="仿宋" w:cs="仿宋"/>
                <w:color w:val="000000"/>
                <w:sz w:val="21"/>
                <w:szCs w:val="21"/>
              </w:rPr>
              <w:t>）招标文件的全部内容，包括澄清、修改文件以及有关附件，</w:t>
            </w:r>
            <w:r>
              <w:rPr>
                <w:rFonts w:hint="eastAsia" w:ascii="仿宋" w:hAnsi="仿宋" w:eastAsia="仿宋" w:cs="仿宋"/>
                <w:bCs/>
                <w:color w:val="auto"/>
                <w:sz w:val="21"/>
                <w:szCs w:val="21"/>
                <w:highlight w:val="none"/>
              </w:rPr>
              <w:t>我司承诺：</w:t>
            </w:r>
          </w:p>
          <w:p>
            <w:pPr>
              <w:keepNext w:val="0"/>
              <w:keepLines w:val="0"/>
              <w:pageBreakBefore w:val="0"/>
              <w:widowControl w:val="0"/>
              <w:shd w:val="clear"/>
              <w:kinsoku/>
              <w:wordWrap/>
              <w:overflowPunct/>
              <w:topLinePunct w:val="0"/>
              <w:autoSpaceDE/>
              <w:autoSpaceDN/>
              <w:bidi w:val="0"/>
              <w:adjustRightInd/>
              <w:snapToGrid/>
              <w:spacing w:line="360" w:lineRule="auto"/>
              <w:ind w:leftChars="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1、查勘时效：我司到现场勘查的时间（从派工时间起）不超_______个小时。</w:t>
            </w:r>
          </w:p>
          <w:p>
            <w:pPr>
              <w:keepNext w:val="0"/>
              <w:keepLines w:val="0"/>
              <w:pageBreakBefore w:val="0"/>
              <w:widowControl w:val="0"/>
              <w:shd w:val="clear"/>
              <w:kinsoku/>
              <w:wordWrap/>
              <w:overflowPunct/>
              <w:topLinePunct w:val="0"/>
              <w:autoSpaceDE/>
              <w:autoSpaceDN/>
              <w:bidi w:val="0"/>
              <w:adjustRightInd/>
              <w:snapToGrid/>
              <w:spacing w:line="360" w:lineRule="auto"/>
              <w:ind w:leftChars="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2、报价时效：无需我司勘查现场的案件，我司出具报价单（从派工时间起）不超____个工作小时。</w:t>
            </w:r>
          </w:p>
          <w:p>
            <w:pPr>
              <w:keepNext w:val="0"/>
              <w:keepLines w:val="0"/>
              <w:pageBreakBefore w:val="0"/>
              <w:widowControl w:val="0"/>
              <w:shd w:val="clear"/>
              <w:kinsoku/>
              <w:wordWrap/>
              <w:overflowPunct/>
              <w:topLinePunct w:val="0"/>
              <w:autoSpaceDE/>
              <w:autoSpaceDN/>
              <w:bidi w:val="0"/>
              <w:adjustRightInd/>
              <w:snapToGrid/>
              <w:spacing w:line="360" w:lineRule="auto"/>
              <w:ind w:leftChars="0" w:firstLine="420" w:firstLineChars="200"/>
              <w:jc w:val="left"/>
              <w:textAlignment w:val="auto"/>
              <w:rPr>
                <w:rFonts w:hint="eastAsia" w:ascii="仿宋" w:hAnsi="仿宋" w:eastAsia="仿宋" w:cs="仿宋"/>
                <w:bCs/>
                <w:color w:val="auto"/>
                <w:sz w:val="21"/>
                <w:szCs w:val="21"/>
                <w:highlight w:val="none"/>
              </w:rPr>
            </w:pPr>
          </w:p>
          <w:p>
            <w:pPr>
              <w:widowControl w:val="0"/>
              <w:autoSpaceDE w:val="0"/>
              <w:autoSpaceDN w:val="0"/>
              <w:adjustRightInd w:val="0"/>
              <w:spacing w:line="360" w:lineRule="auto"/>
              <w:ind w:firstLine="480"/>
              <w:jc w:val="left"/>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投标人名称（盖章）：</w:t>
            </w:r>
            <w:r>
              <w:rPr>
                <w:rFonts w:hint="eastAsia" w:ascii="仿宋" w:hAnsi="仿宋" w:eastAsia="仿宋" w:cs="仿宋"/>
                <w:color w:val="000000"/>
                <w:kern w:val="0"/>
                <w:sz w:val="21"/>
                <w:szCs w:val="21"/>
                <w:u w:val="single"/>
                <w:lang w:val="en-US" w:eastAsia="zh-CN" w:bidi="ar-SA"/>
              </w:rPr>
              <w:t xml:space="preserve">                                      </w:t>
            </w:r>
            <w:r>
              <w:rPr>
                <w:rFonts w:hint="eastAsia" w:ascii="仿宋" w:hAnsi="仿宋" w:eastAsia="仿宋" w:cs="仿宋"/>
                <w:color w:val="000000"/>
                <w:kern w:val="0"/>
                <w:sz w:val="21"/>
                <w:szCs w:val="21"/>
                <w:lang w:val="en-US" w:eastAsia="zh-CN" w:bidi="ar-SA"/>
              </w:rPr>
              <w:t xml:space="preserve">   </w:t>
            </w:r>
          </w:p>
          <w:p>
            <w:pPr>
              <w:keepNext w:val="0"/>
              <w:keepLines w:val="0"/>
              <w:pageBreakBefore w:val="0"/>
              <w:widowControl w:val="0"/>
              <w:shd w:val="clear"/>
              <w:kinsoku/>
              <w:wordWrap/>
              <w:overflowPunct/>
              <w:topLinePunct w:val="0"/>
              <w:autoSpaceDE/>
              <w:autoSpaceDN/>
              <w:bidi w:val="0"/>
              <w:adjustRightInd/>
              <w:snapToGrid/>
              <w:spacing w:line="360" w:lineRule="auto"/>
              <w:ind w:leftChars="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color w:val="000000"/>
                <w:kern w:val="0"/>
                <w:sz w:val="21"/>
                <w:szCs w:val="21"/>
                <w:lang w:val="en-US" w:eastAsia="zh-CN" w:bidi="ar-SA"/>
              </w:rPr>
              <w:t>日期：</w:t>
            </w:r>
            <w:r>
              <w:rPr>
                <w:rFonts w:hint="eastAsia" w:ascii="仿宋" w:hAnsi="仿宋" w:eastAsia="仿宋" w:cs="仿宋"/>
                <w:color w:val="000000"/>
                <w:kern w:val="0"/>
                <w:sz w:val="21"/>
                <w:szCs w:val="21"/>
                <w:u w:val="single"/>
                <w:lang w:val="en-US" w:eastAsia="zh-CN" w:bidi="ar-SA"/>
              </w:rPr>
              <w:t xml:space="preserve">          </w:t>
            </w:r>
            <w:r>
              <w:rPr>
                <w:rFonts w:hint="eastAsia" w:ascii="仿宋" w:hAnsi="仿宋" w:eastAsia="仿宋" w:cs="仿宋"/>
                <w:color w:val="000000"/>
                <w:kern w:val="0"/>
                <w:sz w:val="21"/>
                <w:szCs w:val="21"/>
                <w:lang w:val="en-US" w:eastAsia="zh-CN" w:bidi="ar-SA"/>
              </w:rPr>
              <w:t>年</w:t>
            </w:r>
            <w:r>
              <w:rPr>
                <w:rFonts w:hint="eastAsia" w:ascii="仿宋" w:hAnsi="仿宋" w:eastAsia="仿宋" w:cs="仿宋"/>
                <w:color w:val="000000"/>
                <w:kern w:val="0"/>
                <w:sz w:val="21"/>
                <w:szCs w:val="21"/>
                <w:u w:val="single"/>
                <w:lang w:val="en-US" w:eastAsia="zh-CN" w:bidi="ar-SA"/>
              </w:rPr>
              <w:t xml:space="preserve">      </w:t>
            </w:r>
            <w:r>
              <w:rPr>
                <w:rFonts w:hint="eastAsia" w:ascii="仿宋" w:hAnsi="仿宋" w:eastAsia="仿宋" w:cs="仿宋"/>
                <w:color w:val="000000"/>
                <w:kern w:val="0"/>
                <w:sz w:val="21"/>
                <w:szCs w:val="21"/>
                <w:lang w:val="en-US" w:eastAsia="zh-CN" w:bidi="ar-SA"/>
              </w:rPr>
              <w:t>月</w:t>
            </w:r>
            <w:r>
              <w:rPr>
                <w:rFonts w:hint="eastAsia" w:ascii="仿宋" w:hAnsi="仿宋" w:eastAsia="仿宋" w:cs="仿宋"/>
                <w:color w:val="000000"/>
                <w:kern w:val="0"/>
                <w:sz w:val="21"/>
                <w:szCs w:val="21"/>
                <w:u w:val="single"/>
                <w:lang w:val="en-US" w:eastAsia="zh-CN" w:bidi="ar-SA"/>
              </w:rPr>
              <w:t xml:space="preserve">     </w:t>
            </w:r>
            <w:r>
              <w:rPr>
                <w:rFonts w:hint="eastAsia" w:ascii="仿宋" w:hAnsi="仿宋" w:eastAsia="仿宋" w:cs="仿宋"/>
                <w:color w:val="000000"/>
                <w:kern w:val="0"/>
                <w:sz w:val="21"/>
                <w:szCs w:val="21"/>
                <w:lang w:val="en-US" w:eastAsia="zh-CN" w:bidi="ar-SA"/>
              </w:rPr>
              <w:t>日</w:t>
            </w:r>
          </w:p>
        </w:tc>
      </w:tr>
    </w:tbl>
    <w:p>
      <w:pPr>
        <w:shd w:val="clear"/>
        <w:spacing w:line="360" w:lineRule="auto"/>
        <w:ind w:firstLine="357" w:firstLineChars="17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3、投诉及应急情况处理机制</w:t>
      </w:r>
    </w:p>
    <w:p>
      <w:pPr>
        <w:shd w:val="clear"/>
        <w:spacing w:line="360" w:lineRule="auto"/>
        <w:ind w:firstLine="357" w:firstLineChars="17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4、售后服务</w:t>
      </w:r>
    </w:p>
    <w:p>
      <w:pPr>
        <w:shd w:val="clear"/>
        <w:spacing w:line="360" w:lineRule="auto"/>
        <w:ind w:firstLine="357" w:firstLineChars="17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5、其他增值服务</w:t>
      </w:r>
    </w:p>
    <w:p>
      <w:pPr>
        <w:shd w:val="clear"/>
        <w:ind w:leftChars="400"/>
        <w:jc w:val="left"/>
        <w:rPr>
          <w:rFonts w:hint="eastAsia" w:ascii="仿宋" w:hAnsi="仿宋" w:eastAsia="仿宋" w:cs="仿宋"/>
          <w:color w:val="auto"/>
          <w:highlight w:val="none"/>
          <w:lang w:val="en-US" w:eastAsia="zh-CN"/>
        </w:rPr>
      </w:pPr>
    </w:p>
    <w:p>
      <w:pPr>
        <w:pStyle w:val="2"/>
      </w:pPr>
    </w:p>
    <w:p>
      <w:pPr>
        <w:shd w:val="clear"/>
        <w:jc w:val="center"/>
        <w:rPr>
          <w:rFonts w:ascii="仿宋" w:hAnsi="仿宋" w:eastAsia="仿宋" w:cs="仿宋"/>
          <w:color w:val="auto"/>
          <w:highlight w:val="none"/>
        </w:rPr>
      </w:pPr>
    </w:p>
    <w:p>
      <w:pPr>
        <w:rPr>
          <w:rFonts w:hint="eastAsia" w:ascii="仿宋" w:hAnsi="仿宋" w:eastAsia="仿宋" w:cs="仿宋"/>
          <w:color w:val="auto"/>
          <w:highlight w:val="none"/>
        </w:rPr>
      </w:pPr>
      <w:bookmarkStart w:id="594" w:name="_Toc56856988"/>
      <w:r>
        <w:rPr>
          <w:rFonts w:hint="eastAsia" w:ascii="仿宋" w:hAnsi="仿宋" w:eastAsia="仿宋" w:cs="仿宋"/>
          <w:color w:val="auto"/>
          <w:highlight w:val="none"/>
        </w:rPr>
        <w:br w:type="page"/>
      </w:r>
    </w:p>
    <w:p>
      <w:pPr>
        <w:pStyle w:val="4"/>
        <w:shd w:val="clear"/>
        <w:spacing w:after="0"/>
        <w:jc w:val="center"/>
        <w:rPr>
          <w:rFonts w:ascii="仿宋" w:hAnsi="仿宋" w:eastAsia="仿宋" w:cs="仿宋"/>
          <w:color w:val="auto"/>
          <w:highlight w:val="none"/>
        </w:rPr>
      </w:pPr>
      <w:r>
        <w:rPr>
          <w:rFonts w:hint="eastAsia" w:ascii="仿宋" w:hAnsi="仿宋" w:eastAsia="仿宋" w:cs="仿宋"/>
          <w:color w:val="auto"/>
          <w:highlight w:val="none"/>
        </w:rPr>
        <w:t>十一、其他资料</w:t>
      </w:r>
      <w:bookmarkEnd w:id="594"/>
    </w:p>
    <w:p>
      <w:pPr>
        <w:shd w:val="clear"/>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（投标人根据实际情况自行提供）</w:t>
      </w:r>
    </w:p>
    <w:bookmarkEnd w:id="585"/>
    <w:bookmarkEnd w:id="586"/>
    <w:p>
      <w:pPr>
        <w:keepNext/>
        <w:keepLines/>
        <w:widowControl w:val="0"/>
        <w:spacing w:before="240" w:after="64" w:line="319" w:lineRule="auto"/>
        <w:ind w:firstLine="0" w:firstLineChars="0"/>
        <w:jc w:val="both"/>
        <w:outlineLvl w:val="2"/>
        <w:rPr>
          <w:rFonts w:hint="eastAsia" w:ascii="仿宋" w:hAnsi="仿宋" w:eastAsia="仿宋" w:cs="仿宋"/>
          <w:b/>
          <w:bCs/>
          <w:color w:val="000000"/>
          <w:kern w:val="2"/>
          <w:sz w:val="21"/>
          <w:szCs w:val="21"/>
          <w:lang w:val="en-US" w:eastAsia="zh-CN" w:bidi="ar-SA"/>
        </w:rPr>
      </w:pPr>
      <w:r>
        <w:rPr>
          <w:rFonts w:hint="eastAsia" w:ascii="仿宋" w:hAnsi="仿宋" w:eastAsia="仿宋" w:cs="仿宋"/>
          <w:b/>
          <w:bCs/>
          <w:color w:val="000000"/>
          <w:kern w:val="2"/>
          <w:sz w:val="21"/>
          <w:szCs w:val="21"/>
          <w:lang w:val="en-US" w:eastAsia="zh-CN" w:bidi="ar-SA"/>
        </w:rPr>
        <w:t>11.1可提供的服务覆盖区域</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pPr>
              <w:widowControl w:val="0"/>
              <w:autoSpaceDE w:val="0"/>
              <w:autoSpaceDN w:val="0"/>
              <w:adjustRightInd w:val="0"/>
              <w:spacing w:line="360" w:lineRule="auto"/>
              <w:ind w:firstLine="0"/>
              <w:jc w:val="center"/>
              <w:rPr>
                <w:rFonts w:hint="eastAsia" w:ascii="仿宋" w:hAnsi="仿宋" w:eastAsia="仿宋" w:cs="仿宋"/>
                <w:b/>
                <w:bCs/>
                <w:color w:val="000000"/>
                <w:kern w:val="0"/>
                <w:sz w:val="21"/>
                <w:szCs w:val="21"/>
                <w:lang w:val="en-US" w:eastAsia="zh-CN" w:bidi="ar-SA"/>
              </w:rPr>
            </w:pPr>
            <w:r>
              <w:rPr>
                <w:rFonts w:hint="eastAsia" w:ascii="仿宋" w:hAnsi="仿宋" w:eastAsia="仿宋" w:cs="仿宋"/>
                <w:b/>
                <w:bCs/>
                <w:color w:val="000000"/>
                <w:kern w:val="0"/>
                <w:sz w:val="21"/>
                <w:szCs w:val="21"/>
                <w:lang w:val="en-US" w:eastAsia="zh-CN" w:bidi="ar-SA"/>
              </w:rPr>
              <w:t>可提供服务覆盖区域承诺书</w:t>
            </w:r>
          </w:p>
          <w:p>
            <w:pPr>
              <w:widowControl w:val="0"/>
              <w:autoSpaceDE w:val="0"/>
              <w:autoSpaceDN w:val="0"/>
              <w:adjustRightInd w:val="0"/>
              <w:spacing w:line="360" w:lineRule="auto"/>
              <w:ind w:firstLine="0"/>
              <w:jc w:val="left"/>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致中国人民财产保险股份有限公司东莞市分公司：</w:t>
            </w:r>
          </w:p>
          <w:p>
            <w:pPr>
              <w:tabs>
                <w:tab w:val="left" w:pos="720"/>
              </w:tabs>
              <w:spacing w:line="360" w:lineRule="auto"/>
              <w:ind w:firstLine="480"/>
              <w:jc w:val="left"/>
              <w:rPr>
                <w:rFonts w:hint="eastAsia" w:ascii="仿宋" w:hAnsi="仿宋" w:eastAsia="仿宋" w:cs="仿宋"/>
                <w:color w:val="000000"/>
                <w:sz w:val="21"/>
                <w:szCs w:val="21"/>
              </w:rPr>
            </w:pPr>
            <w:r>
              <w:rPr>
                <w:rFonts w:hint="eastAsia" w:ascii="仿宋" w:hAnsi="仿宋" w:eastAsia="仿宋" w:cs="仿宋"/>
                <w:color w:val="000000"/>
                <w:sz w:val="21"/>
                <w:szCs w:val="21"/>
              </w:rPr>
              <w:t>我方已仔细研究</w:t>
            </w:r>
            <w:r>
              <w:rPr>
                <w:rFonts w:hint="eastAsia" w:ascii="仿宋" w:hAnsi="仿宋" w:eastAsia="仿宋" w:cs="仿宋"/>
                <w:color w:val="000000"/>
                <w:kern w:val="0"/>
                <w:sz w:val="21"/>
                <w:szCs w:val="21"/>
              </w:rPr>
              <w:t>了</w:t>
            </w:r>
            <w:r>
              <w:rPr>
                <w:rFonts w:hint="eastAsia" w:ascii="仿宋" w:hAnsi="仿宋" w:eastAsia="仿宋" w:cs="仿宋"/>
                <w:color w:val="000000"/>
                <w:kern w:val="0"/>
                <w:sz w:val="21"/>
                <w:szCs w:val="21"/>
                <w:lang w:eastAsia="zh-CN"/>
              </w:rPr>
              <w:t>2025-2027年车险物损修复第三方服务资格入库项目</w:t>
            </w:r>
            <w:r>
              <w:rPr>
                <w:rFonts w:hint="eastAsia" w:ascii="仿宋" w:hAnsi="仿宋" w:eastAsia="仿宋" w:cs="仿宋"/>
                <w:color w:val="000000"/>
                <w:sz w:val="21"/>
                <w:szCs w:val="21"/>
              </w:rPr>
              <w:t>（招标编号：</w:t>
            </w:r>
            <w:r>
              <w:rPr>
                <w:rFonts w:hint="eastAsia" w:ascii="仿宋" w:hAnsi="仿宋" w:eastAsia="仿宋" w:cs="仿宋"/>
                <w:color w:val="000000"/>
                <w:sz w:val="21"/>
                <w:szCs w:val="21"/>
                <w:lang w:eastAsia="zh-CN"/>
              </w:rPr>
              <w:t xml:space="preserve">              </w:t>
            </w:r>
            <w:r>
              <w:rPr>
                <w:rFonts w:hint="eastAsia" w:ascii="仿宋" w:hAnsi="仿宋" w:eastAsia="仿宋" w:cs="仿宋"/>
                <w:color w:val="000000"/>
                <w:sz w:val="21"/>
                <w:szCs w:val="21"/>
              </w:rPr>
              <w:t>）招标文件的全部内容，包括澄清、修改文件以及有关附件，我司承诺：我司提供的服务覆盖</w:t>
            </w:r>
            <w:r>
              <w:rPr>
                <w:rFonts w:hint="eastAsia" w:ascii="仿宋" w:hAnsi="仿宋" w:eastAsia="仿宋" w:cs="仿宋"/>
                <w:color w:val="000000"/>
                <w:sz w:val="21"/>
                <w:szCs w:val="21"/>
                <w:lang w:val="en-US" w:eastAsia="zh-CN"/>
              </w:rPr>
              <w:t>东莞</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(区域)</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rPr>
              <w:t>。</w:t>
            </w:r>
          </w:p>
          <w:p>
            <w:pPr>
              <w:widowControl w:val="0"/>
              <w:autoSpaceDE w:val="0"/>
              <w:autoSpaceDN w:val="0"/>
              <w:adjustRightInd w:val="0"/>
              <w:spacing w:line="360" w:lineRule="auto"/>
              <w:ind w:firstLine="480"/>
              <w:jc w:val="right"/>
              <w:rPr>
                <w:rFonts w:hint="eastAsia" w:ascii="仿宋" w:hAnsi="仿宋" w:eastAsia="仿宋" w:cs="仿宋"/>
                <w:color w:val="000000"/>
                <w:kern w:val="0"/>
                <w:sz w:val="21"/>
                <w:szCs w:val="21"/>
                <w:lang w:val="en-US" w:eastAsia="zh-CN" w:bidi="ar-SA"/>
              </w:rPr>
            </w:pPr>
          </w:p>
          <w:p>
            <w:pPr>
              <w:widowControl w:val="0"/>
              <w:autoSpaceDE w:val="0"/>
              <w:autoSpaceDN w:val="0"/>
              <w:adjustRightInd w:val="0"/>
              <w:spacing w:line="360" w:lineRule="auto"/>
              <w:ind w:firstLine="480"/>
              <w:jc w:val="left"/>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投标人名称（盖章）：</w:t>
            </w:r>
            <w:r>
              <w:rPr>
                <w:rFonts w:hint="eastAsia" w:ascii="仿宋" w:hAnsi="仿宋" w:eastAsia="仿宋" w:cs="仿宋"/>
                <w:color w:val="000000"/>
                <w:kern w:val="0"/>
                <w:sz w:val="21"/>
                <w:szCs w:val="21"/>
                <w:u w:val="single"/>
                <w:lang w:val="en-US" w:eastAsia="zh-CN" w:bidi="ar-SA"/>
              </w:rPr>
              <w:t xml:space="preserve">                                      </w:t>
            </w:r>
            <w:r>
              <w:rPr>
                <w:rFonts w:hint="eastAsia" w:ascii="仿宋" w:hAnsi="仿宋" w:eastAsia="仿宋" w:cs="仿宋"/>
                <w:color w:val="000000"/>
                <w:kern w:val="0"/>
                <w:sz w:val="21"/>
                <w:szCs w:val="21"/>
                <w:lang w:val="en-US" w:eastAsia="zh-CN" w:bidi="ar-SA"/>
              </w:rPr>
              <w:t xml:space="preserve">   </w:t>
            </w:r>
          </w:p>
          <w:p>
            <w:pPr>
              <w:widowControl w:val="0"/>
              <w:autoSpaceDE w:val="0"/>
              <w:autoSpaceDN w:val="0"/>
              <w:adjustRightInd w:val="0"/>
              <w:spacing w:line="360" w:lineRule="auto"/>
              <w:ind w:firstLine="480"/>
              <w:jc w:val="left"/>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日期：</w:t>
            </w:r>
            <w:r>
              <w:rPr>
                <w:rFonts w:hint="eastAsia" w:ascii="仿宋" w:hAnsi="仿宋" w:eastAsia="仿宋" w:cs="仿宋"/>
                <w:color w:val="000000"/>
                <w:kern w:val="0"/>
                <w:sz w:val="21"/>
                <w:szCs w:val="21"/>
                <w:u w:val="single"/>
                <w:lang w:val="en-US" w:eastAsia="zh-CN" w:bidi="ar-SA"/>
              </w:rPr>
              <w:t xml:space="preserve">          </w:t>
            </w:r>
            <w:r>
              <w:rPr>
                <w:rFonts w:hint="eastAsia" w:ascii="仿宋" w:hAnsi="仿宋" w:eastAsia="仿宋" w:cs="仿宋"/>
                <w:color w:val="000000"/>
                <w:kern w:val="0"/>
                <w:sz w:val="21"/>
                <w:szCs w:val="21"/>
                <w:lang w:val="en-US" w:eastAsia="zh-CN" w:bidi="ar-SA"/>
              </w:rPr>
              <w:t>年</w:t>
            </w:r>
            <w:r>
              <w:rPr>
                <w:rFonts w:hint="eastAsia" w:ascii="仿宋" w:hAnsi="仿宋" w:eastAsia="仿宋" w:cs="仿宋"/>
                <w:color w:val="000000"/>
                <w:kern w:val="0"/>
                <w:sz w:val="21"/>
                <w:szCs w:val="21"/>
                <w:u w:val="single"/>
                <w:lang w:val="en-US" w:eastAsia="zh-CN" w:bidi="ar-SA"/>
              </w:rPr>
              <w:t xml:space="preserve">      </w:t>
            </w:r>
            <w:r>
              <w:rPr>
                <w:rFonts w:hint="eastAsia" w:ascii="仿宋" w:hAnsi="仿宋" w:eastAsia="仿宋" w:cs="仿宋"/>
                <w:color w:val="000000"/>
                <w:kern w:val="0"/>
                <w:sz w:val="21"/>
                <w:szCs w:val="21"/>
                <w:lang w:val="en-US" w:eastAsia="zh-CN" w:bidi="ar-SA"/>
              </w:rPr>
              <w:t>月</w:t>
            </w:r>
            <w:r>
              <w:rPr>
                <w:rFonts w:hint="eastAsia" w:ascii="仿宋" w:hAnsi="仿宋" w:eastAsia="仿宋" w:cs="仿宋"/>
                <w:color w:val="000000"/>
                <w:kern w:val="0"/>
                <w:sz w:val="21"/>
                <w:szCs w:val="21"/>
                <w:u w:val="single"/>
                <w:lang w:val="en-US" w:eastAsia="zh-CN" w:bidi="ar-SA"/>
              </w:rPr>
              <w:t xml:space="preserve">     </w:t>
            </w:r>
            <w:r>
              <w:rPr>
                <w:rFonts w:hint="eastAsia" w:ascii="仿宋" w:hAnsi="仿宋" w:eastAsia="仿宋" w:cs="仿宋"/>
                <w:color w:val="000000"/>
                <w:kern w:val="0"/>
                <w:sz w:val="21"/>
                <w:szCs w:val="21"/>
                <w:lang w:val="en-US" w:eastAsia="zh-CN" w:bidi="ar-SA"/>
              </w:rPr>
              <w:t>日</w:t>
            </w:r>
          </w:p>
        </w:tc>
      </w:tr>
    </w:tbl>
    <w:p>
      <w:pPr>
        <w:shd w:val="clear"/>
        <w:rPr>
          <w:rFonts w:hint="eastAsia" w:ascii="仿宋" w:hAnsi="仿宋" w:eastAsia="仿宋" w:cs="仿宋"/>
          <w:color w:val="auto"/>
          <w:sz w:val="21"/>
          <w:szCs w:val="21"/>
          <w:highlight w:val="none"/>
        </w:rPr>
      </w:pPr>
    </w:p>
    <w:p>
      <w:pPr>
        <w:keepNext/>
        <w:keepLines/>
        <w:widowControl w:val="0"/>
        <w:spacing w:before="240" w:after="64" w:line="319" w:lineRule="auto"/>
        <w:ind w:firstLine="0" w:firstLineChars="0"/>
        <w:jc w:val="both"/>
        <w:outlineLvl w:val="2"/>
        <w:rPr>
          <w:rFonts w:hint="eastAsia" w:ascii="仿宋" w:hAnsi="仿宋" w:eastAsia="仿宋" w:cs="仿宋"/>
          <w:b/>
          <w:bCs/>
          <w:color w:val="000000"/>
          <w:kern w:val="2"/>
          <w:sz w:val="21"/>
          <w:szCs w:val="21"/>
          <w:lang w:val="en-US" w:eastAsia="zh-CN" w:bidi="ar-SA"/>
        </w:rPr>
      </w:pPr>
      <w:r>
        <w:rPr>
          <w:rFonts w:hint="eastAsia" w:ascii="仿宋" w:hAnsi="仿宋" w:eastAsia="仿宋" w:cs="仿宋"/>
          <w:b/>
          <w:bCs/>
          <w:color w:val="000000"/>
          <w:kern w:val="2"/>
          <w:sz w:val="21"/>
          <w:szCs w:val="21"/>
          <w:lang w:val="en-US" w:eastAsia="zh-CN" w:bidi="ar-SA"/>
        </w:rPr>
        <w:t>11.2企业实力</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4"/>
        <w:gridCol w:w="3650"/>
        <w:gridCol w:w="3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000" w:type="pct"/>
            <w:gridSpan w:val="3"/>
            <w:vAlign w:val="center"/>
          </w:tcPr>
          <w:p>
            <w:pPr>
              <w:widowControl w:val="0"/>
              <w:autoSpaceDE w:val="0"/>
              <w:autoSpaceDN w:val="0"/>
              <w:adjustRightInd w:val="0"/>
              <w:spacing w:line="315" w:lineRule="atLeast"/>
              <w:ind w:firstLine="0"/>
              <w:jc w:val="center"/>
              <w:rPr>
                <w:rFonts w:hint="eastAsia" w:ascii="仿宋" w:hAnsi="仿宋" w:eastAsia="仿宋" w:cs="仿宋"/>
                <w:b/>
                <w:color w:val="000000"/>
                <w:kern w:val="0"/>
                <w:sz w:val="21"/>
                <w:szCs w:val="21"/>
                <w:lang w:val="en-US" w:eastAsia="zh-CN" w:bidi="ar-SA"/>
              </w:rPr>
            </w:pPr>
            <w:r>
              <w:rPr>
                <w:rFonts w:hint="eastAsia" w:ascii="仿宋" w:hAnsi="仿宋" w:eastAsia="仿宋" w:cs="仿宋"/>
                <w:b/>
                <w:color w:val="000000"/>
                <w:kern w:val="0"/>
                <w:sz w:val="21"/>
                <w:szCs w:val="21"/>
                <w:lang w:val="en-US" w:eastAsia="zh-CN" w:bidi="ar-SA"/>
              </w:rPr>
              <w:t>合作的建设工程质量检测机构、鉴定评估机构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89" w:type="pct"/>
            <w:vAlign w:val="center"/>
          </w:tcPr>
          <w:p>
            <w:pPr>
              <w:widowControl w:val="0"/>
              <w:autoSpaceDE w:val="0"/>
              <w:autoSpaceDN w:val="0"/>
              <w:adjustRightInd w:val="0"/>
              <w:spacing w:line="315" w:lineRule="atLeast"/>
              <w:ind w:firstLine="0"/>
              <w:jc w:val="center"/>
              <w:rPr>
                <w:rFonts w:hint="eastAsia" w:ascii="仿宋" w:hAnsi="仿宋" w:eastAsia="仿宋" w:cs="仿宋"/>
                <w:b/>
                <w:color w:val="000000"/>
                <w:kern w:val="0"/>
                <w:sz w:val="21"/>
                <w:szCs w:val="21"/>
                <w:lang w:val="en-US" w:eastAsia="zh-CN" w:bidi="ar-SA"/>
              </w:rPr>
            </w:pPr>
            <w:r>
              <w:rPr>
                <w:rFonts w:hint="eastAsia" w:ascii="仿宋" w:hAnsi="仿宋" w:eastAsia="仿宋" w:cs="仿宋"/>
                <w:b/>
                <w:color w:val="000000"/>
                <w:kern w:val="0"/>
                <w:sz w:val="21"/>
                <w:szCs w:val="21"/>
                <w:lang w:val="en-US" w:eastAsia="zh-CN" w:bidi="ar-SA"/>
              </w:rPr>
              <w:t>序号</w:t>
            </w:r>
          </w:p>
        </w:tc>
        <w:tc>
          <w:tcPr>
            <w:tcW w:w="2141"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r>
              <w:rPr>
                <w:rFonts w:hint="eastAsia" w:ascii="仿宋" w:hAnsi="仿宋" w:eastAsia="仿宋" w:cs="仿宋"/>
                <w:b/>
                <w:color w:val="000000"/>
                <w:kern w:val="0"/>
                <w:sz w:val="21"/>
                <w:szCs w:val="21"/>
                <w:lang w:val="en-US" w:eastAsia="zh-CN" w:bidi="ar-SA"/>
              </w:rPr>
              <w:t>质量检测机构名称</w:t>
            </w:r>
          </w:p>
        </w:tc>
        <w:tc>
          <w:tcPr>
            <w:tcW w:w="2068"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r>
              <w:rPr>
                <w:rFonts w:hint="eastAsia" w:ascii="仿宋" w:hAnsi="仿宋" w:eastAsia="仿宋" w:cs="仿宋"/>
                <w:b/>
                <w:color w:val="000000"/>
                <w:kern w:val="0"/>
                <w:sz w:val="21"/>
                <w:szCs w:val="21"/>
                <w:lang w:val="en-US" w:eastAsia="zh-CN" w:bidi="ar-SA"/>
              </w:rPr>
              <w:t>鉴定评估机构名称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89"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1</w:t>
            </w:r>
          </w:p>
        </w:tc>
        <w:tc>
          <w:tcPr>
            <w:tcW w:w="2141"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c>
          <w:tcPr>
            <w:tcW w:w="2068"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89"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2</w:t>
            </w:r>
          </w:p>
        </w:tc>
        <w:tc>
          <w:tcPr>
            <w:tcW w:w="2141"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c>
          <w:tcPr>
            <w:tcW w:w="2068"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89"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w:t>
            </w:r>
          </w:p>
        </w:tc>
        <w:tc>
          <w:tcPr>
            <w:tcW w:w="2141"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c>
          <w:tcPr>
            <w:tcW w:w="2068"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000" w:type="pct"/>
            <w:gridSpan w:val="3"/>
            <w:vAlign w:val="center"/>
          </w:tcPr>
          <w:p>
            <w:pPr>
              <w:widowControl w:val="0"/>
              <w:autoSpaceDE w:val="0"/>
              <w:autoSpaceDN w:val="0"/>
              <w:adjustRightInd w:val="0"/>
              <w:spacing w:line="315" w:lineRule="atLeast"/>
              <w:ind w:firstLine="0"/>
              <w:jc w:val="center"/>
              <w:rPr>
                <w:rFonts w:hint="eastAsia" w:ascii="仿宋" w:hAnsi="仿宋" w:eastAsia="仿宋" w:cs="仿宋"/>
                <w:b/>
                <w:color w:val="000000"/>
                <w:kern w:val="0"/>
                <w:sz w:val="21"/>
                <w:szCs w:val="21"/>
                <w:lang w:val="en-US" w:eastAsia="zh-CN" w:bidi="ar-SA"/>
              </w:rPr>
            </w:pPr>
            <w:r>
              <w:rPr>
                <w:rFonts w:hint="eastAsia" w:ascii="仿宋" w:hAnsi="仿宋" w:eastAsia="仿宋" w:cs="仿宋"/>
                <w:b/>
                <w:color w:val="000000"/>
                <w:kern w:val="0"/>
                <w:sz w:val="21"/>
                <w:szCs w:val="21"/>
                <w:lang w:val="en-US" w:eastAsia="zh-CN" w:bidi="ar-SA"/>
              </w:rPr>
              <w:t>合作的电动自行车品牌维修机构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89" w:type="pct"/>
            <w:vAlign w:val="center"/>
          </w:tcPr>
          <w:p>
            <w:pPr>
              <w:widowControl w:val="0"/>
              <w:autoSpaceDE w:val="0"/>
              <w:autoSpaceDN w:val="0"/>
              <w:adjustRightInd w:val="0"/>
              <w:spacing w:line="315" w:lineRule="atLeast"/>
              <w:ind w:firstLine="0"/>
              <w:jc w:val="center"/>
              <w:rPr>
                <w:rFonts w:hint="eastAsia" w:ascii="仿宋" w:hAnsi="仿宋" w:eastAsia="仿宋" w:cs="仿宋"/>
                <w:b/>
                <w:color w:val="000000"/>
                <w:kern w:val="0"/>
                <w:sz w:val="21"/>
                <w:szCs w:val="21"/>
                <w:lang w:val="en-US" w:eastAsia="zh-CN" w:bidi="ar-SA"/>
              </w:rPr>
            </w:pPr>
            <w:r>
              <w:rPr>
                <w:rFonts w:hint="eastAsia" w:ascii="仿宋" w:hAnsi="仿宋" w:eastAsia="仿宋" w:cs="仿宋"/>
                <w:b/>
                <w:color w:val="000000"/>
                <w:kern w:val="0"/>
                <w:sz w:val="21"/>
                <w:szCs w:val="21"/>
                <w:lang w:val="en-US" w:eastAsia="zh-CN" w:bidi="ar-SA"/>
              </w:rPr>
              <w:t>序号</w:t>
            </w:r>
          </w:p>
        </w:tc>
        <w:tc>
          <w:tcPr>
            <w:tcW w:w="2141" w:type="pct"/>
            <w:vAlign w:val="center"/>
          </w:tcPr>
          <w:p>
            <w:pPr>
              <w:widowControl w:val="0"/>
              <w:autoSpaceDE w:val="0"/>
              <w:autoSpaceDN w:val="0"/>
              <w:adjustRightInd w:val="0"/>
              <w:spacing w:line="315" w:lineRule="atLeast"/>
              <w:ind w:firstLine="0"/>
              <w:jc w:val="center"/>
              <w:rPr>
                <w:rFonts w:hint="eastAsia" w:ascii="仿宋" w:hAnsi="仿宋" w:eastAsia="仿宋" w:cs="仿宋"/>
                <w:b/>
                <w:color w:val="000000"/>
                <w:kern w:val="0"/>
                <w:sz w:val="21"/>
                <w:szCs w:val="21"/>
                <w:lang w:val="en-US" w:eastAsia="zh-CN" w:bidi="ar-SA"/>
              </w:rPr>
            </w:pPr>
            <w:r>
              <w:rPr>
                <w:rFonts w:hint="eastAsia" w:ascii="仿宋" w:hAnsi="仿宋" w:eastAsia="仿宋" w:cs="仿宋"/>
                <w:b/>
                <w:color w:val="000000"/>
                <w:kern w:val="0"/>
                <w:sz w:val="21"/>
                <w:szCs w:val="21"/>
                <w:lang w:val="en-US" w:eastAsia="zh-CN" w:bidi="ar-SA"/>
              </w:rPr>
              <w:t>品牌</w:t>
            </w:r>
          </w:p>
        </w:tc>
        <w:tc>
          <w:tcPr>
            <w:tcW w:w="2068" w:type="pct"/>
            <w:vAlign w:val="center"/>
          </w:tcPr>
          <w:p>
            <w:pPr>
              <w:widowControl w:val="0"/>
              <w:autoSpaceDE w:val="0"/>
              <w:autoSpaceDN w:val="0"/>
              <w:adjustRightInd w:val="0"/>
              <w:spacing w:line="315" w:lineRule="atLeast"/>
              <w:ind w:firstLine="0"/>
              <w:jc w:val="center"/>
              <w:rPr>
                <w:rFonts w:hint="eastAsia" w:ascii="仿宋" w:hAnsi="仿宋" w:eastAsia="仿宋" w:cs="仿宋"/>
                <w:b/>
                <w:color w:val="000000"/>
                <w:kern w:val="0"/>
                <w:sz w:val="21"/>
                <w:szCs w:val="21"/>
                <w:lang w:val="en-US" w:eastAsia="zh-CN" w:bidi="ar-SA"/>
              </w:rPr>
            </w:pPr>
            <w:r>
              <w:rPr>
                <w:rFonts w:hint="eastAsia" w:ascii="仿宋" w:hAnsi="仿宋" w:eastAsia="仿宋" w:cs="仿宋"/>
                <w:b/>
                <w:color w:val="000000"/>
                <w:kern w:val="0"/>
                <w:sz w:val="21"/>
                <w:szCs w:val="21"/>
                <w:lang w:val="en-US" w:eastAsia="zh-CN" w:bidi="ar-SA"/>
              </w:rPr>
              <w:t>维修机构名称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89"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1</w:t>
            </w:r>
          </w:p>
        </w:tc>
        <w:tc>
          <w:tcPr>
            <w:tcW w:w="2141"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c>
          <w:tcPr>
            <w:tcW w:w="2068"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89"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2</w:t>
            </w:r>
          </w:p>
        </w:tc>
        <w:tc>
          <w:tcPr>
            <w:tcW w:w="2141"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c>
          <w:tcPr>
            <w:tcW w:w="2068"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89"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w:t>
            </w:r>
          </w:p>
        </w:tc>
        <w:tc>
          <w:tcPr>
            <w:tcW w:w="2141"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c>
          <w:tcPr>
            <w:tcW w:w="2068"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000" w:type="pct"/>
            <w:gridSpan w:val="3"/>
            <w:vAlign w:val="center"/>
          </w:tcPr>
          <w:p>
            <w:pPr>
              <w:widowControl w:val="0"/>
              <w:autoSpaceDE w:val="0"/>
              <w:autoSpaceDN w:val="0"/>
              <w:adjustRightInd w:val="0"/>
              <w:spacing w:line="315" w:lineRule="atLeast"/>
              <w:ind w:firstLine="0"/>
              <w:jc w:val="center"/>
              <w:rPr>
                <w:rFonts w:hint="eastAsia" w:ascii="仿宋" w:hAnsi="仿宋" w:eastAsia="仿宋" w:cs="仿宋"/>
                <w:b/>
                <w:color w:val="000000"/>
                <w:kern w:val="0"/>
                <w:sz w:val="21"/>
                <w:szCs w:val="21"/>
                <w:lang w:val="en-US" w:eastAsia="zh-CN" w:bidi="ar-SA"/>
              </w:rPr>
            </w:pPr>
            <w:r>
              <w:rPr>
                <w:rFonts w:hint="eastAsia" w:ascii="仿宋" w:hAnsi="仿宋" w:eastAsia="仿宋" w:cs="仿宋"/>
                <w:b/>
                <w:color w:val="000000"/>
                <w:kern w:val="0"/>
                <w:sz w:val="21"/>
                <w:szCs w:val="21"/>
                <w:lang w:val="en-US" w:eastAsia="zh-CN" w:bidi="ar-SA"/>
              </w:rPr>
              <w:t>现场查勘车辆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89" w:type="pct"/>
            <w:vAlign w:val="center"/>
          </w:tcPr>
          <w:p>
            <w:pPr>
              <w:widowControl w:val="0"/>
              <w:autoSpaceDE w:val="0"/>
              <w:autoSpaceDN w:val="0"/>
              <w:adjustRightInd w:val="0"/>
              <w:spacing w:line="315" w:lineRule="atLeast"/>
              <w:ind w:firstLine="0"/>
              <w:jc w:val="center"/>
              <w:rPr>
                <w:rFonts w:hint="eastAsia" w:ascii="仿宋" w:hAnsi="仿宋" w:eastAsia="仿宋" w:cs="仿宋"/>
                <w:b/>
                <w:color w:val="000000"/>
                <w:kern w:val="0"/>
                <w:sz w:val="21"/>
                <w:szCs w:val="21"/>
                <w:lang w:val="en-US" w:eastAsia="zh-CN" w:bidi="ar-SA"/>
              </w:rPr>
            </w:pPr>
            <w:r>
              <w:rPr>
                <w:rFonts w:hint="eastAsia" w:ascii="仿宋" w:hAnsi="仿宋" w:eastAsia="仿宋" w:cs="仿宋"/>
                <w:b/>
                <w:color w:val="000000"/>
                <w:kern w:val="0"/>
                <w:sz w:val="21"/>
                <w:szCs w:val="21"/>
                <w:lang w:val="en-US" w:eastAsia="zh-CN" w:bidi="ar-SA"/>
              </w:rPr>
              <w:t>序号</w:t>
            </w:r>
          </w:p>
        </w:tc>
        <w:tc>
          <w:tcPr>
            <w:tcW w:w="2141" w:type="pct"/>
            <w:vAlign w:val="center"/>
          </w:tcPr>
          <w:p>
            <w:pPr>
              <w:widowControl w:val="0"/>
              <w:autoSpaceDE w:val="0"/>
              <w:autoSpaceDN w:val="0"/>
              <w:adjustRightInd w:val="0"/>
              <w:spacing w:line="315" w:lineRule="atLeast"/>
              <w:ind w:firstLine="0"/>
              <w:jc w:val="center"/>
              <w:rPr>
                <w:rFonts w:hint="eastAsia" w:ascii="仿宋" w:hAnsi="仿宋" w:eastAsia="仿宋" w:cs="仿宋"/>
                <w:b/>
                <w:color w:val="000000"/>
                <w:kern w:val="0"/>
                <w:sz w:val="21"/>
                <w:szCs w:val="21"/>
                <w:lang w:val="en-US" w:eastAsia="zh-CN" w:bidi="ar-SA"/>
              </w:rPr>
            </w:pPr>
            <w:r>
              <w:rPr>
                <w:rFonts w:hint="eastAsia" w:ascii="仿宋" w:hAnsi="仿宋" w:eastAsia="仿宋" w:cs="仿宋"/>
                <w:b/>
                <w:color w:val="000000"/>
                <w:kern w:val="0"/>
                <w:sz w:val="21"/>
                <w:szCs w:val="21"/>
                <w:lang w:val="en-US" w:eastAsia="zh-CN" w:bidi="ar-SA"/>
              </w:rPr>
              <w:t>车辆类型</w:t>
            </w:r>
          </w:p>
        </w:tc>
        <w:tc>
          <w:tcPr>
            <w:tcW w:w="2068" w:type="pct"/>
            <w:vAlign w:val="center"/>
          </w:tcPr>
          <w:p>
            <w:pPr>
              <w:widowControl w:val="0"/>
              <w:autoSpaceDE w:val="0"/>
              <w:autoSpaceDN w:val="0"/>
              <w:adjustRightInd w:val="0"/>
              <w:spacing w:line="315" w:lineRule="atLeast"/>
              <w:ind w:firstLine="0"/>
              <w:jc w:val="center"/>
              <w:rPr>
                <w:rFonts w:hint="eastAsia" w:ascii="仿宋" w:hAnsi="仿宋" w:eastAsia="仿宋" w:cs="仿宋"/>
                <w:b/>
                <w:color w:val="000000"/>
                <w:kern w:val="0"/>
                <w:sz w:val="21"/>
                <w:szCs w:val="21"/>
                <w:lang w:val="en-US" w:eastAsia="zh-CN" w:bidi="ar-SA"/>
              </w:rPr>
            </w:pPr>
            <w:r>
              <w:rPr>
                <w:rFonts w:hint="eastAsia" w:ascii="仿宋" w:hAnsi="仿宋" w:eastAsia="仿宋" w:cs="仿宋"/>
                <w:b/>
                <w:color w:val="000000"/>
                <w:kern w:val="0"/>
                <w:sz w:val="21"/>
                <w:szCs w:val="21"/>
                <w:lang w:val="en-US" w:eastAsia="zh-CN" w:bidi="ar-SA"/>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89"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1</w:t>
            </w:r>
          </w:p>
        </w:tc>
        <w:tc>
          <w:tcPr>
            <w:tcW w:w="2141"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c>
          <w:tcPr>
            <w:tcW w:w="2068"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89"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2</w:t>
            </w:r>
          </w:p>
        </w:tc>
        <w:tc>
          <w:tcPr>
            <w:tcW w:w="2141"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c>
          <w:tcPr>
            <w:tcW w:w="2068"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89"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w:t>
            </w:r>
          </w:p>
        </w:tc>
        <w:tc>
          <w:tcPr>
            <w:tcW w:w="2141"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c>
          <w:tcPr>
            <w:tcW w:w="2068" w:type="pct"/>
            <w:vAlign w:val="center"/>
          </w:tcPr>
          <w:p>
            <w:pPr>
              <w:widowControl w:val="0"/>
              <w:autoSpaceDE w:val="0"/>
              <w:autoSpaceDN w:val="0"/>
              <w:adjustRightInd w:val="0"/>
              <w:spacing w:line="315" w:lineRule="atLeast"/>
              <w:ind w:firstLine="0"/>
              <w:jc w:val="center"/>
              <w:rPr>
                <w:rFonts w:hint="eastAsia" w:ascii="仿宋" w:hAnsi="仿宋" w:eastAsia="仿宋" w:cs="仿宋"/>
                <w:color w:val="000000"/>
                <w:kern w:val="0"/>
                <w:sz w:val="21"/>
                <w:szCs w:val="21"/>
                <w:lang w:val="en-US" w:eastAsia="zh-CN" w:bidi="ar-SA"/>
              </w:rPr>
            </w:pPr>
          </w:p>
        </w:tc>
      </w:tr>
    </w:tbl>
    <w:p>
      <w:pPr>
        <w:widowControl w:val="0"/>
        <w:autoSpaceDE w:val="0"/>
        <w:autoSpaceDN w:val="0"/>
        <w:adjustRightInd w:val="0"/>
        <w:spacing w:line="360" w:lineRule="auto"/>
        <w:ind w:firstLine="420"/>
        <w:jc w:val="left"/>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注：</w:t>
      </w:r>
    </w:p>
    <w:p>
      <w:pPr>
        <w:widowControl w:val="0"/>
        <w:autoSpaceDE w:val="0"/>
        <w:autoSpaceDN w:val="0"/>
        <w:adjustRightInd w:val="0"/>
        <w:spacing w:line="360" w:lineRule="auto"/>
        <w:ind w:firstLine="420"/>
        <w:jc w:val="left"/>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1、需提供合作的建设工程质量检测机构、鉴定评估机构的合作协议及合作方的检测资质证书复印件。</w:t>
      </w:r>
    </w:p>
    <w:p>
      <w:pPr>
        <w:widowControl w:val="0"/>
        <w:autoSpaceDE w:val="0"/>
        <w:autoSpaceDN w:val="0"/>
        <w:adjustRightInd w:val="0"/>
        <w:spacing w:line="360" w:lineRule="auto"/>
        <w:ind w:firstLine="420"/>
        <w:jc w:val="left"/>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2、合作的电动自行车品牌维修机构合作协议复印件及电动车厂家授权文件。</w:t>
      </w:r>
    </w:p>
    <w:p>
      <w:pPr>
        <w:widowControl w:val="0"/>
        <w:autoSpaceDE w:val="0"/>
        <w:autoSpaceDN w:val="0"/>
        <w:adjustRightInd w:val="0"/>
        <w:spacing w:line="360" w:lineRule="auto"/>
        <w:ind w:firstLine="420"/>
        <w:jc w:val="left"/>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3、查勘车辆购置证明（如购买发票等）或租赁协议等复印件。</w:t>
      </w:r>
    </w:p>
    <w:p>
      <w:pPr>
        <w:pStyle w:val="2"/>
      </w:pPr>
    </w:p>
    <w:sectPr>
      <w:headerReference r:id="rId6" w:type="default"/>
      <w:footerReference r:id="rId7" w:type="default"/>
      <w:pgSz w:w="11907" w:h="16840"/>
      <w:pgMar w:top="1440" w:right="1800" w:bottom="1440" w:left="1800"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EFFC509-7A7F-4BE2-A474-D2B163DC09C2}"/>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74994C23-969C-4C7D-A054-670A0D736138}"/>
  </w:font>
  <w:font w:name="Cambria">
    <w:panose1 w:val="02040503050406030204"/>
    <w:charset w:val="00"/>
    <w:family w:val="roman"/>
    <w:pitch w:val="default"/>
    <w:sig w:usb0="E00006FF" w:usb1="420024FF" w:usb2="02000000" w:usb3="00000000" w:csb0="2000019F" w:csb1="00000000"/>
  </w:font>
  <w:font w:name="方正仿宋_GB2312">
    <w:altName w:val="仿宋"/>
    <w:panose1 w:val="00000000000000000000"/>
    <w:charset w:val="86"/>
    <w:family w:val="auto"/>
    <w:pitch w:val="default"/>
    <w:sig w:usb0="00000000" w:usb1="00000000" w:usb2="00000012" w:usb3="00000000" w:csb0="00040001" w:csb1="00000000"/>
  </w:font>
  <w:font w:name="Verdana">
    <w:panose1 w:val="020B0604030504040204"/>
    <w:charset w:val="00"/>
    <w:family w:val="swiss"/>
    <w:pitch w:val="default"/>
    <w:sig w:usb0="A0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embedRegular r:id="rId3" w:fontKey="{EEA9DA8A-DCEB-41C6-9FCA-5DE2C6782C0E}"/>
  </w:font>
  <w:font w:name="仿宋_GB2312">
    <w:panose1 w:val="02010609030101010101"/>
    <w:charset w:val="86"/>
    <w:family w:val="modern"/>
    <w:pitch w:val="default"/>
    <w:sig w:usb0="00000001" w:usb1="080E0000" w:usb2="00000000" w:usb3="00000000" w:csb0="00040000" w:csb1="00000000"/>
    <w:embedRegular r:id="rId4" w:fontKey="{66FEE6A1-7342-487D-837B-90FACC9D284E}"/>
  </w:font>
  <w:font w:name="微软雅黑">
    <w:panose1 w:val="020B0503020204020204"/>
    <w:charset w:val="86"/>
    <w:family w:val="swiss"/>
    <w:pitch w:val="default"/>
    <w:sig w:usb0="80000287" w:usb1="2ACF3C50" w:usb2="00000016" w:usb3="00000000" w:csb0="0004001F" w:csb1="00000000"/>
    <w:embedRegular r:id="rId5" w:fontKey="{D62FDCA8-9F14-4C6D-9A1B-941F4634CAD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70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VmMDFjZDU4NzMwOTk3ZGMwNjY0NTZmYWI2ZWUwOWMifQ=="/>
  </w:docVars>
  <w:rsids>
    <w:rsidRoot w:val="00172A27"/>
    <w:rsid w:val="00002A60"/>
    <w:rsid w:val="00004603"/>
    <w:rsid w:val="00007319"/>
    <w:rsid w:val="000106AE"/>
    <w:rsid w:val="00012703"/>
    <w:rsid w:val="0001485E"/>
    <w:rsid w:val="00014DE4"/>
    <w:rsid w:val="00020140"/>
    <w:rsid w:val="00021BFE"/>
    <w:rsid w:val="000250D6"/>
    <w:rsid w:val="00025980"/>
    <w:rsid w:val="00025ACC"/>
    <w:rsid w:val="00026171"/>
    <w:rsid w:val="000316F2"/>
    <w:rsid w:val="00032762"/>
    <w:rsid w:val="000334CF"/>
    <w:rsid w:val="000351AE"/>
    <w:rsid w:val="00035C1B"/>
    <w:rsid w:val="00036642"/>
    <w:rsid w:val="00043778"/>
    <w:rsid w:val="00044049"/>
    <w:rsid w:val="0005229A"/>
    <w:rsid w:val="000530D1"/>
    <w:rsid w:val="00055BAD"/>
    <w:rsid w:val="0006067C"/>
    <w:rsid w:val="00062AC6"/>
    <w:rsid w:val="00065A9E"/>
    <w:rsid w:val="000668F1"/>
    <w:rsid w:val="00067035"/>
    <w:rsid w:val="00071069"/>
    <w:rsid w:val="000752F3"/>
    <w:rsid w:val="00075B0D"/>
    <w:rsid w:val="0008132B"/>
    <w:rsid w:val="00081360"/>
    <w:rsid w:val="0008253E"/>
    <w:rsid w:val="00084830"/>
    <w:rsid w:val="000848F1"/>
    <w:rsid w:val="00087558"/>
    <w:rsid w:val="0008773E"/>
    <w:rsid w:val="0009240C"/>
    <w:rsid w:val="00093E20"/>
    <w:rsid w:val="000943B0"/>
    <w:rsid w:val="00094C66"/>
    <w:rsid w:val="000A1AB2"/>
    <w:rsid w:val="000A287B"/>
    <w:rsid w:val="000A3DE4"/>
    <w:rsid w:val="000A5C81"/>
    <w:rsid w:val="000A6577"/>
    <w:rsid w:val="000A76B3"/>
    <w:rsid w:val="000B65E2"/>
    <w:rsid w:val="000B676B"/>
    <w:rsid w:val="000B7961"/>
    <w:rsid w:val="000C0018"/>
    <w:rsid w:val="000C1A4A"/>
    <w:rsid w:val="000C1A9B"/>
    <w:rsid w:val="000C2AB5"/>
    <w:rsid w:val="000C3B84"/>
    <w:rsid w:val="000C4323"/>
    <w:rsid w:val="000C45BF"/>
    <w:rsid w:val="000C4710"/>
    <w:rsid w:val="000C6D35"/>
    <w:rsid w:val="000D28BF"/>
    <w:rsid w:val="000D4336"/>
    <w:rsid w:val="000D49B4"/>
    <w:rsid w:val="000E08CB"/>
    <w:rsid w:val="000E4370"/>
    <w:rsid w:val="000E5673"/>
    <w:rsid w:val="000E6211"/>
    <w:rsid w:val="000E7256"/>
    <w:rsid w:val="000F2186"/>
    <w:rsid w:val="000F220D"/>
    <w:rsid w:val="000F2A12"/>
    <w:rsid w:val="000F2ECC"/>
    <w:rsid w:val="000F3757"/>
    <w:rsid w:val="000F7A0C"/>
    <w:rsid w:val="001011FC"/>
    <w:rsid w:val="00102618"/>
    <w:rsid w:val="00102F0B"/>
    <w:rsid w:val="00105423"/>
    <w:rsid w:val="001119B6"/>
    <w:rsid w:val="00111BC8"/>
    <w:rsid w:val="00115124"/>
    <w:rsid w:val="001154FA"/>
    <w:rsid w:val="00117A4F"/>
    <w:rsid w:val="00117F0F"/>
    <w:rsid w:val="00120A52"/>
    <w:rsid w:val="001214A1"/>
    <w:rsid w:val="0012159B"/>
    <w:rsid w:val="00124337"/>
    <w:rsid w:val="0012552C"/>
    <w:rsid w:val="001271B9"/>
    <w:rsid w:val="00135CD0"/>
    <w:rsid w:val="0013651D"/>
    <w:rsid w:val="00136F63"/>
    <w:rsid w:val="001373A8"/>
    <w:rsid w:val="0014098E"/>
    <w:rsid w:val="00141621"/>
    <w:rsid w:val="00145F56"/>
    <w:rsid w:val="00151EAD"/>
    <w:rsid w:val="001521AE"/>
    <w:rsid w:val="001530C6"/>
    <w:rsid w:val="00153997"/>
    <w:rsid w:val="0015590E"/>
    <w:rsid w:val="00156875"/>
    <w:rsid w:val="00163567"/>
    <w:rsid w:val="001656BD"/>
    <w:rsid w:val="00170389"/>
    <w:rsid w:val="00172638"/>
    <w:rsid w:val="00172A27"/>
    <w:rsid w:val="001735B4"/>
    <w:rsid w:val="00173888"/>
    <w:rsid w:val="001748A3"/>
    <w:rsid w:val="00182B11"/>
    <w:rsid w:val="00183AEA"/>
    <w:rsid w:val="00183B4A"/>
    <w:rsid w:val="00186361"/>
    <w:rsid w:val="00187146"/>
    <w:rsid w:val="00187990"/>
    <w:rsid w:val="00193C1D"/>
    <w:rsid w:val="00195F90"/>
    <w:rsid w:val="00196762"/>
    <w:rsid w:val="001A093D"/>
    <w:rsid w:val="001A0C52"/>
    <w:rsid w:val="001A0CCF"/>
    <w:rsid w:val="001A25A5"/>
    <w:rsid w:val="001A2E05"/>
    <w:rsid w:val="001A4491"/>
    <w:rsid w:val="001A4684"/>
    <w:rsid w:val="001A729C"/>
    <w:rsid w:val="001B1289"/>
    <w:rsid w:val="001B5478"/>
    <w:rsid w:val="001B6E57"/>
    <w:rsid w:val="001B7FEF"/>
    <w:rsid w:val="001C133B"/>
    <w:rsid w:val="001C30C7"/>
    <w:rsid w:val="001C4A39"/>
    <w:rsid w:val="001C67DC"/>
    <w:rsid w:val="001D01F5"/>
    <w:rsid w:val="001D02D7"/>
    <w:rsid w:val="001D033C"/>
    <w:rsid w:val="001D2616"/>
    <w:rsid w:val="001D30B6"/>
    <w:rsid w:val="001D3BE0"/>
    <w:rsid w:val="001E06F1"/>
    <w:rsid w:val="001E1433"/>
    <w:rsid w:val="001E64B7"/>
    <w:rsid w:val="001E7ACE"/>
    <w:rsid w:val="001F1B9C"/>
    <w:rsid w:val="001F2208"/>
    <w:rsid w:val="001F285E"/>
    <w:rsid w:val="001F2D26"/>
    <w:rsid w:val="001F4134"/>
    <w:rsid w:val="001F45EE"/>
    <w:rsid w:val="001F4850"/>
    <w:rsid w:val="002000CD"/>
    <w:rsid w:val="00204444"/>
    <w:rsid w:val="00204939"/>
    <w:rsid w:val="00204A5C"/>
    <w:rsid w:val="002063D8"/>
    <w:rsid w:val="00206FFA"/>
    <w:rsid w:val="00207A0B"/>
    <w:rsid w:val="00212A53"/>
    <w:rsid w:val="0021322F"/>
    <w:rsid w:val="00213B90"/>
    <w:rsid w:val="00214661"/>
    <w:rsid w:val="00215412"/>
    <w:rsid w:val="00215AF0"/>
    <w:rsid w:val="002229E2"/>
    <w:rsid w:val="0022434B"/>
    <w:rsid w:val="00224E72"/>
    <w:rsid w:val="00230077"/>
    <w:rsid w:val="00233ADF"/>
    <w:rsid w:val="002340AB"/>
    <w:rsid w:val="0023423F"/>
    <w:rsid w:val="00237B0E"/>
    <w:rsid w:val="002430C2"/>
    <w:rsid w:val="00244449"/>
    <w:rsid w:val="002447E4"/>
    <w:rsid w:val="00244E70"/>
    <w:rsid w:val="00250CB7"/>
    <w:rsid w:val="0025135E"/>
    <w:rsid w:val="00251A49"/>
    <w:rsid w:val="002521B3"/>
    <w:rsid w:val="00253B41"/>
    <w:rsid w:val="0025460A"/>
    <w:rsid w:val="00254739"/>
    <w:rsid w:val="00255D0D"/>
    <w:rsid w:val="00260C77"/>
    <w:rsid w:val="00261352"/>
    <w:rsid w:val="00263F0B"/>
    <w:rsid w:val="00264036"/>
    <w:rsid w:val="0026441A"/>
    <w:rsid w:val="00264EB1"/>
    <w:rsid w:val="00276C71"/>
    <w:rsid w:val="00277DA1"/>
    <w:rsid w:val="002810C5"/>
    <w:rsid w:val="00281526"/>
    <w:rsid w:val="002821B2"/>
    <w:rsid w:val="00285406"/>
    <w:rsid w:val="002875E7"/>
    <w:rsid w:val="0029325F"/>
    <w:rsid w:val="00293DA3"/>
    <w:rsid w:val="002A0C76"/>
    <w:rsid w:val="002A552C"/>
    <w:rsid w:val="002A6569"/>
    <w:rsid w:val="002A65ED"/>
    <w:rsid w:val="002A74F3"/>
    <w:rsid w:val="002B2B5B"/>
    <w:rsid w:val="002C0C29"/>
    <w:rsid w:val="002C31DD"/>
    <w:rsid w:val="002C38EB"/>
    <w:rsid w:val="002C3CD8"/>
    <w:rsid w:val="002C7B9B"/>
    <w:rsid w:val="002D2B90"/>
    <w:rsid w:val="002D6F32"/>
    <w:rsid w:val="002D7996"/>
    <w:rsid w:val="002D7B78"/>
    <w:rsid w:val="002E1913"/>
    <w:rsid w:val="002E1C97"/>
    <w:rsid w:val="002E1DAC"/>
    <w:rsid w:val="002E57BA"/>
    <w:rsid w:val="002E6D05"/>
    <w:rsid w:val="002F077E"/>
    <w:rsid w:val="002F0E6D"/>
    <w:rsid w:val="002F5210"/>
    <w:rsid w:val="002F72A0"/>
    <w:rsid w:val="00310F24"/>
    <w:rsid w:val="00311324"/>
    <w:rsid w:val="003122C4"/>
    <w:rsid w:val="0032031D"/>
    <w:rsid w:val="003214BA"/>
    <w:rsid w:val="00321647"/>
    <w:rsid w:val="00321989"/>
    <w:rsid w:val="00321A31"/>
    <w:rsid w:val="003243EC"/>
    <w:rsid w:val="003247CD"/>
    <w:rsid w:val="003279BD"/>
    <w:rsid w:val="00332D01"/>
    <w:rsid w:val="003362AD"/>
    <w:rsid w:val="00336D29"/>
    <w:rsid w:val="00337DE4"/>
    <w:rsid w:val="00342688"/>
    <w:rsid w:val="0034440E"/>
    <w:rsid w:val="00344FE2"/>
    <w:rsid w:val="00347899"/>
    <w:rsid w:val="003518D6"/>
    <w:rsid w:val="00354B7A"/>
    <w:rsid w:val="00363966"/>
    <w:rsid w:val="00364943"/>
    <w:rsid w:val="00364C99"/>
    <w:rsid w:val="003701CE"/>
    <w:rsid w:val="003741B0"/>
    <w:rsid w:val="00375481"/>
    <w:rsid w:val="003766FB"/>
    <w:rsid w:val="0038240C"/>
    <w:rsid w:val="0038359A"/>
    <w:rsid w:val="0038499D"/>
    <w:rsid w:val="0038565B"/>
    <w:rsid w:val="003857F5"/>
    <w:rsid w:val="00386AA0"/>
    <w:rsid w:val="00387996"/>
    <w:rsid w:val="00391F03"/>
    <w:rsid w:val="003928A2"/>
    <w:rsid w:val="0039407B"/>
    <w:rsid w:val="003A1390"/>
    <w:rsid w:val="003A2368"/>
    <w:rsid w:val="003A444D"/>
    <w:rsid w:val="003A5859"/>
    <w:rsid w:val="003A593E"/>
    <w:rsid w:val="003A6775"/>
    <w:rsid w:val="003B02F9"/>
    <w:rsid w:val="003B1B15"/>
    <w:rsid w:val="003B2287"/>
    <w:rsid w:val="003B5002"/>
    <w:rsid w:val="003B7565"/>
    <w:rsid w:val="003B784A"/>
    <w:rsid w:val="003C083C"/>
    <w:rsid w:val="003C0D7D"/>
    <w:rsid w:val="003C3B81"/>
    <w:rsid w:val="003C44DB"/>
    <w:rsid w:val="003C47EA"/>
    <w:rsid w:val="003C4858"/>
    <w:rsid w:val="003C4945"/>
    <w:rsid w:val="003C5BB3"/>
    <w:rsid w:val="003C750E"/>
    <w:rsid w:val="003D1170"/>
    <w:rsid w:val="003D1B8E"/>
    <w:rsid w:val="003D2D72"/>
    <w:rsid w:val="003D36EE"/>
    <w:rsid w:val="003D402C"/>
    <w:rsid w:val="003D5E92"/>
    <w:rsid w:val="003D6E0A"/>
    <w:rsid w:val="003E2C4E"/>
    <w:rsid w:val="003E3D18"/>
    <w:rsid w:val="003E4643"/>
    <w:rsid w:val="003E56F5"/>
    <w:rsid w:val="003F1D72"/>
    <w:rsid w:val="003F3518"/>
    <w:rsid w:val="003F4674"/>
    <w:rsid w:val="003F504F"/>
    <w:rsid w:val="003F5B69"/>
    <w:rsid w:val="00401EDF"/>
    <w:rsid w:val="00405168"/>
    <w:rsid w:val="00407ED9"/>
    <w:rsid w:val="004105EF"/>
    <w:rsid w:val="004147DA"/>
    <w:rsid w:val="00414E1D"/>
    <w:rsid w:val="00415A1A"/>
    <w:rsid w:val="004204E7"/>
    <w:rsid w:val="0042326A"/>
    <w:rsid w:val="00423F96"/>
    <w:rsid w:val="00427408"/>
    <w:rsid w:val="00427C4D"/>
    <w:rsid w:val="00431F4F"/>
    <w:rsid w:val="00432518"/>
    <w:rsid w:val="00432E08"/>
    <w:rsid w:val="0043351E"/>
    <w:rsid w:val="00433676"/>
    <w:rsid w:val="00435884"/>
    <w:rsid w:val="00436504"/>
    <w:rsid w:val="004405C7"/>
    <w:rsid w:val="00441D39"/>
    <w:rsid w:val="00442AF8"/>
    <w:rsid w:val="00442B41"/>
    <w:rsid w:val="0044514A"/>
    <w:rsid w:val="00447E59"/>
    <w:rsid w:val="0045071F"/>
    <w:rsid w:val="00454F84"/>
    <w:rsid w:val="00457DC2"/>
    <w:rsid w:val="00463001"/>
    <w:rsid w:val="00466339"/>
    <w:rsid w:val="004711E8"/>
    <w:rsid w:val="0047224E"/>
    <w:rsid w:val="004733D3"/>
    <w:rsid w:val="00476673"/>
    <w:rsid w:val="00476828"/>
    <w:rsid w:val="0048418B"/>
    <w:rsid w:val="00487315"/>
    <w:rsid w:val="00490322"/>
    <w:rsid w:val="00490E43"/>
    <w:rsid w:val="00490F92"/>
    <w:rsid w:val="00491B85"/>
    <w:rsid w:val="00494530"/>
    <w:rsid w:val="00494624"/>
    <w:rsid w:val="00495001"/>
    <w:rsid w:val="004A0B92"/>
    <w:rsid w:val="004A112E"/>
    <w:rsid w:val="004A6D00"/>
    <w:rsid w:val="004A7159"/>
    <w:rsid w:val="004A76F2"/>
    <w:rsid w:val="004B08BB"/>
    <w:rsid w:val="004B51E3"/>
    <w:rsid w:val="004B6ED7"/>
    <w:rsid w:val="004C1779"/>
    <w:rsid w:val="004D10EF"/>
    <w:rsid w:val="004D1209"/>
    <w:rsid w:val="004D1ADB"/>
    <w:rsid w:val="004D3800"/>
    <w:rsid w:val="004D3DEA"/>
    <w:rsid w:val="004D422A"/>
    <w:rsid w:val="004D4247"/>
    <w:rsid w:val="004D7237"/>
    <w:rsid w:val="004D794D"/>
    <w:rsid w:val="004D7FCB"/>
    <w:rsid w:val="004E0C05"/>
    <w:rsid w:val="004E3473"/>
    <w:rsid w:val="004E5FCD"/>
    <w:rsid w:val="004E64C0"/>
    <w:rsid w:val="004F0052"/>
    <w:rsid w:val="004F1425"/>
    <w:rsid w:val="004F2BD3"/>
    <w:rsid w:val="004F3309"/>
    <w:rsid w:val="005034E3"/>
    <w:rsid w:val="00503D63"/>
    <w:rsid w:val="00506A2D"/>
    <w:rsid w:val="0050706D"/>
    <w:rsid w:val="0050739A"/>
    <w:rsid w:val="005100DC"/>
    <w:rsid w:val="005109E4"/>
    <w:rsid w:val="00511660"/>
    <w:rsid w:val="0051272A"/>
    <w:rsid w:val="00512A0D"/>
    <w:rsid w:val="00515BF3"/>
    <w:rsid w:val="00517CCE"/>
    <w:rsid w:val="005207E7"/>
    <w:rsid w:val="0052293B"/>
    <w:rsid w:val="005229A0"/>
    <w:rsid w:val="00522D50"/>
    <w:rsid w:val="0052448D"/>
    <w:rsid w:val="00527D92"/>
    <w:rsid w:val="00531BAF"/>
    <w:rsid w:val="00533F95"/>
    <w:rsid w:val="00534E3B"/>
    <w:rsid w:val="00537781"/>
    <w:rsid w:val="00540380"/>
    <w:rsid w:val="005409DB"/>
    <w:rsid w:val="005410AB"/>
    <w:rsid w:val="00542C62"/>
    <w:rsid w:val="0054326D"/>
    <w:rsid w:val="00543F5F"/>
    <w:rsid w:val="00545698"/>
    <w:rsid w:val="00546149"/>
    <w:rsid w:val="00550364"/>
    <w:rsid w:val="005510C3"/>
    <w:rsid w:val="00553C2F"/>
    <w:rsid w:val="00555089"/>
    <w:rsid w:val="005560A2"/>
    <w:rsid w:val="005565F1"/>
    <w:rsid w:val="00557F61"/>
    <w:rsid w:val="005606B9"/>
    <w:rsid w:val="00562259"/>
    <w:rsid w:val="005655BD"/>
    <w:rsid w:val="00572ADB"/>
    <w:rsid w:val="00572B38"/>
    <w:rsid w:val="00573B46"/>
    <w:rsid w:val="00573C8F"/>
    <w:rsid w:val="00576C5E"/>
    <w:rsid w:val="00577C17"/>
    <w:rsid w:val="00580957"/>
    <w:rsid w:val="005810CA"/>
    <w:rsid w:val="005824FB"/>
    <w:rsid w:val="005827A7"/>
    <w:rsid w:val="0058519C"/>
    <w:rsid w:val="0058527F"/>
    <w:rsid w:val="00585B39"/>
    <w:rsid w:val="00586041"/>
    <w:rsid w:val="005865C5"/>
    <w:rsid w:val="00586955"/>
    <w:rsid w:val="0059030C"/>
    <w:rsid w:val="00592372"/>
    <w:rsid w:val="005955BA"/>
    <w:rsid w:val="005A07EB"/>
    <w:rsid w:val="005A0B59"/>
    <w:rsid w:val="005A245A"/>
    <w:rsid w:val="005A2C7B"/>
    <w:rsid w:val="005A328C"/>
    <w:rsid w:val="005A337D"/>
    <w:rsid w:val="005A4B80"/>
    <w:rsid w:val="005A4FDC"/>
    <w:rsid w:val="005A5F20"/>
    <w:rsid w:val="005A65F6"/>
    <w:rsid w:val="005A697C"/>
    <w:rsid w:val="005B0F9A"/>
    <w:rsid w:val="005B1A42"/>
    <w:rsid w:val="005B23AC"/>
    <w:rsid w:val="005B46BD"/>
    <w:rsid w:val="005B4DB1"/>
    <w:rsid w:val="005B6D33"/>
    <w:rsid w:val="005B7936"/>
    <w:rsid w:val="005C1023"/>
    <w:rsid w:val="005C162E"/>
    <w:rsid w:val="005C1B19"/>
    <w:rsid w:val="005C417A"/>
    <w:rsid w:val="005C6B8B"/>
    <w:rsid w:val="005C73AE"/>
    <w:rsid w:val="005C7507"/>
    <w:rsid w:val="005D22FC"/>
    <w:rsid w:val="005D3D41"/>
    <w:rsid w:val="005D736F"/>
    <w:rsid w:val="005D78DF"/>
    <w:rsid w:val="005E1FAD"/>
    <w:rsid w:val="005E4E13"/>
    <w:rsid w:val="005E4F70"/>
    <w:rsid w:val="005E7CC4"/>
    <w:rsid w:val="005E7CE8"/>
    <w:rsid w:val="005F162E"/>
    <w:rsid w:val="005F16C3"/>
    <w:rsid w:val="005F328B"/>
    <w:rsid w:val="005F74F3"/>
    <w:rsid w:val="0060161F"/>
    <w:rsid w:val="00602D34"/>
    <w:rsid w:val="006038CA"/>
    <w:rsid w:val="00605A28"/>
    <w:rsid w:val="0060680E"/>
    <w:rsid w:val="00614E98"/>
    <w:rsid w:val="00621D6C"/>
    <w:rsid w:val="0062261D"/>
    <w:rsid w:val="0062295C"/>
    <w:rsid w:val="00623AD2"/>
    <w:rsid w:val="0062437A"/>
    <w:rsid w:val="00630C45"/>
    <w:rsid w:val="00632467"/>
    <w:rsid w:val="00632B51"/>
    <w:rsid w:val="00633021"/>
    <w:rsid w:val="006345F8"/>
    <w:rsid w:val="00635BE7"/>
    <w:rsid w:val="00636962"/>
    <w:rsid w:val="00636B86"/>
    <w:rsid w:val="00644C71"/>
    <w:rsid w:val="006462FA"/>
    <w:rsid w:val="006514EB"/>
    <w:rsid w:val="006525B1"/>
    <w:rsid w:val="00653BCA"/>
    <w:rsid w:val="00656C84"/>
    <w:rsid w:val="00660EBB"/>
    <w:rsid w:val="00663BF4"/>
    <w:rsid w:val="00663CC5"/>
    <w:rsid w:val="00670660"/>
    <w:rsid w:val="00680AC7"/>
    <w:rsid w:val="00684D69"/>
    <w:rsid w:val="006867B4"/>
    <w:rsid w:val="00686AF3"/>
    <w:rsid w:val="006924B3"/>
    <w:rsid w:val="006928F3"/>
    <w:rsid w:val="006952F5"/>
    <w:rsid w:val="006968EC"/>
    <w:rsid w:val="00696FBE"/>
    <w:rsid w:val="006A0258"/>
    <w:rsid w:val="006A1B2F"/>
    <w:rsid w:val="006A350C"/>
    <w:rsid w:val="006A38C8"/>
    <w:rsid w:val="006A39FE"/>
    <w:rsid w:val="006A3BC9"/>
    <w:rsid w:val="006A5596"/>
    <w:rsid w:val="006B0749"/>
    <w:rsid w:val="006B38E4"/>
    <w:rsid w:val="006B4620"/>
    <w:rsid w:val="006B6E3B"/>
    <w:rsid w:val="006C1B42"/>
    <w:rsid w:val="006C3C1A"/>
    <w:rsid w:val="006C56C9"/>
    <w:rsid w:val="006C597B"/>
    <w:rsid w:val="006C68DD"/>
    <w:rsid w:val="006D144F"/>
    <w:rsid w:val="006D2431"/>
    <w:rsid w:val="006D567B"/>
    <w:rsid w:val="006D72C7"/>
    <w:rsid w:val="006D72CF"/>
    <w:rsid w:val="006D7C98"/>
    <w:rsid w:val="006E01B4"/>
    <w:rsid w:val="006E04C8"/>
    <w:rsid w:val="006E0B76"/>
    <w:rsid w:val="006E0D78"/>
    <w:rsid w:val="006E1CF0"/>
    <w:rsid w:val="006E2EB3"/>
    <w:rsid w:val="006E3EAB"/>
    <w:rsid w:val="006E521B"/>
    <w:rsid w:val="006E798E"/>
    <w:rsid w:val="006E7C9F"/>
    <w:rsid w:val="006F30B4"/>
    <w:rsid w:val="006F3A43"/>
    <w:rsid w:val="006F3F8C"/>
    <w:rsid w:val="006F4337"/>
    <w:rsid w:val="006F46C3"/>
    <w:rsid w:val="006F5383"/>
    <w:rsid w:val="006F6E12"/>
    <w:rsid w:val="006F713A"/>
    <w:rsid w:val="007009AA"/>
    <w:rsid w:val="00701A84"/>
    <w:rsid w:val="007026E3"/>
    <w:rsid w:val="007036C3"/>
    <w:rsid w:val="00705859"/>
    <w:rsid w:val="00706041"/>
    <w:rsid w:val="00710CAF"/>
    <w:rsid w:val="007123AF"/>
    <w:rsid w:val="00712A96"/>
    <w:rsid w:val="007169EC"/>
    <w:rsid w:val="00721056"/>
    <w:rsid w:val="00721A28"/>
    <w:rsid w:val="00722501"/>
    <w:rsid w:val="00725C94"/>
    <w:rsid w:val="00726A6C"/>
    <w:rsid w:val="00726B23"/>
    <w:rsid w:val="00726DB7"/>
    <w:rsid w:val="0072786C"/>
    <w:rsid w:val="00727E29"/>
    <w:rsid w:val="00727F6F"/>
    <w:rsid w:val="00733083"/>
    <w:rsid w:val="007330A3"/>
    <w:rsid w:val="00733E56"/>
    <w:rsid w:val="00741C17"/>
    <w:rsid w:val="00741FC2"/>
    <w:rsid w:val="00742B21"/>
    <w:rsid w:val="00744517"/>
    <w:rsid w:val="00747254"/>
    <w:rsid w:val="0075010E"/>
    <w:rsid w:val="00750137"/>
    <w:rsid w:val="0075115C"/>
    <w:rsid w:val="007525B7"/>
    <w:rsid w:val="00752BB4"/>
    <w:rsid w:val="0075483D"/>
    <w:rsid w:val="00755157"/>
    <w:rsid w:val="007570BD"/>
    <w:rsid w:val="00757EBE"/>
    <w:rsid w:val="00764F21"/>
    <w:rsid w:val="00766147"/>
    <w:rsid w:val="00766DD4"/>
    <w:rsid w:val="007701F1"/>
    <w:rsid w:val="00770518"/>
    <w:rsid w:val="00772451"/>
    <w:rsid w:val="007724D2"/>
    <w:rsid w:val="00772E30"/>
    <w:rsid w:val="00773BBE"/>
    <w:rsid w:val="00774D90"/>
    <w:rsid w:val="007769FC"/>
    <w:rsid w:val="00777FCF"/>
    <w:rsid w:val="00780470"/>
    <w:rsid w:val="007815CA"/>
    <w:rsid w:val="00784B6D"/>
    <w:rsid w:val="00790A94"/>
    <w:rsid w:val="007911B2"/>
    <w:rsid w:val="00797ACE"/>
    <w:rsid w:val="007A08F7"/>
    <w:rsid w:val="007A1E5B"/>
    <w:rsid w:val="007A36C9"/>
    <w:rsid w:val="007A5188"/>
    <w:rsid w:val="007A6512"/>
    <w:rsid w:val="007A6750"/>
    <w:rsid w:val="007A67FD"/>
    <w:rsid w:val="007B3D71"/>
    <w:rsid w:val="007B5213"/>
    <w:rsid w:val="007B5482"/>
    <w:rsid w:val="007B5AE0"/>
    <w:rsid w:val="007B7DDF"/>
    <w:rsid w:val="007C047C"/>
    <w:rsid w:val="007C292F"/>
    <w:rsid w:val="007C3698"/>
    <w:rsid w:val="007C749A"/>
    <w:rsid w:val="007D07A2"/>
    <w:rsid w:val="007D16DC"/>
    <w:rsid w:val="007D447B"/>
    <w:rsid w:val="007D4C26"/>
    <w:rsid w:val="007D5CBB"/>
    <w:rsid w:val="007D6572"/>
    <w:rsid w:val="007D68EB"/>
    <w:rsid w:val="007E0563"/>
    <w:rsid w:val="007E46AF"/>
    <w:rsid w:val="007E6590"/>
    <w:rsid w:val="007E78FD"/>
    <w:rsid w:val="007F33A5"/>
    <w:rsid w:val="007F5833"/>
    <w:rsid w:val="007F6A96"/>
    <w:rsid w:val="008016DA"/>
    <w:rsid w:val="00803D1B"/>
    <w:rsid w:val="00804854"/>
    <w:rsid w:val="00805D01"/>
    <w:rsid w:val="0081170A"/>
    <w:rsid w:val="008119E7"/>
    <w:rsid w:val="00813117"/>
    <w:rsid w:val="0081337C"/>
    <w:rsid w:val="00814ACE"/>
    <w:rsid w:val="008173B4"/>
    <w:rsid w:val="00817ED4"/>
    <w:rsid w:val="00822B05"/>
    <w:rsid w:val="00823971"/>
    <w:rsid w:val="00826534"/>
    <w:rsid w:val="00826C28"/>
    <w:rsid w:val="008331F8"/>
    <w:rsid w:val="00833E5B"/>
    <w:rsid w:val="0084108B"/>
    <w:rsid w:val="00842D0A"/>
    <w:rsid w:val="008440E8"/>
    <w:rsid w:val="00844238"/>
    <w:rsid w:val="00845B8D"/>
    <w:rsid w:val="0084602F"/>
    <w:rsid w:val="00847755"/>
    <w:rsid w:val="00851BE0"/>
    <w:rsid w:val="00851FB3"/>
    <w:rsid w:val="0085267C"/>
    <w:rsid w:val="00854506"/>
    <w:rsid w:val="008567AE"/>
    <w:rsid w:val="008602E0"/>
    <w:rsid w:val="00860649"/>
    <w:rsid w:val="008625DD"/>
    <w:rsid w:val="008631FE"/>
    <w:rsid w:val="00865A18"/>
    <w:rsid w:val="00867C03"/>
    <w:rsid w:val="008702EF"/>
    <w:rsid w:val="008722BB"/>
    <w:rsid w:val="008736FF"/>
    <w:rsid w:val="00873FEE"/>
    <w:rsid w:val="00874C13"/>
    <w:rsid w:val="00874DAC"/>
    <w:rsid w:val="00875C2E"/>
    <w:rsid w:val="00875D85"/>
    <w:rsid w:val="008767F5"/>
    <w:rsid w:val="00876D34"/>
    <w:rsid w:val="00877B50"/>
    <w:rsid w:val="00880C4E"/>
    <w:rsid w:val="008830BB"/>
    <w:rsid w:val="00884568"/>
    <w:rsid w:val="00886D39"/>
    <w:rsid w:val="0088733D"/>
    <w:rsid w:val="0089035D"/>
    <w:rsid w:val="00892F87"/>
    <w:rsid w:val="008936E5"/>
    <w:rsid w:val="0089400B"/>
    <w:rsid w:val="008946EA"/>
    <w:rsid w:val="00896E79"/>
    <w:rsid w:val="00897128"/>
    <w:rsid w:val="008A0C4A"/>
    <w:rsid w:val="008A1BB3"/>
    <w:rsid w:val="008A3781"/>
    <w:rsid w:val="008A4337"/>
    <w:rsid w:val="008A4F8A"/>
    <w:rsid w:val="008A6265"/>
    <w:rsid w:val="008B3314"/>
    <w:rsid w:val="008B4958"/>
    <w:rsid w:val="008B51D6"/>
    <w:rsid w:val="008B52B2"/>
    <w:rsid w:val="008C3849"/>
    <w:rsid w:val="008C3B4C"/>
    <w:rsid w:val="008C4D93"/>
    <w:rsid w:val="008D0EA5"/>
    <w:rsid w:val="008D1879"/>
    <w:rsid w:val="008D2B4F"/>
    <w:rsid w:val="008D3603"/>
    <w:rsid w:val="008D5E46"/>
    <w:rsid w:val="008D6699"/>
    <w:rsid w:val="008E0053"/>
    <w:rsid w:val="008E0C18"/>
    <w:rsid w:val="008E1993"/>
    <w:rsid w:val="008E3AFC"/>
    <w:rsid w:val="008E4CFA"/>
    <w:rsid w:val="008E51E4"/>
    <w:rsid w:val="008E786A"/>
    <w:rsid w:val="008F1B8C"/>
    <w:rsid w:val="008F2892"/>
    <w:rsid w:val="008F2DB6"/>
    <w:rsid w:val="008F54DE"/>
    <w:rsid w:val="008F6AF6"/>
    <w:rsid w:val="008F78BF"/>
    <w:rsid w:val="0090152F"/>
    <w:rsid w:val="00903CD3"/>
    <w:rsid w:val="00905AE6"/>
    <w:rsid w:val="00906DA8"/>
    <w:rsid w:val="009102B1"/>
    <w:rsid w:val="0091078E"/>
    <w:rsid w:val="009117AF"/>
    <w:rsid w:val="00913DA9"/>
    <w:rsid w:val="00915BD0"/>
    <w:rsid w:val="009165B6"/>
    <w:rsid w:val="0091764F"/>
    <w:rsid w:val="009177A1"/>
    <w:rsid w:val="00920216"/>
    <w:rsid w:val="00922D1D"/>
    <w:rsid w:val="009233CB"/>
    <w:rsid w:val="0092577B"/>
    <w:rsid w:val="00926831"/>
    <w:rsid w:val="00926EEB"/>
    <w:rsid w:val="00930D83"/>
    <w:rsid w:val="00935629"/>
    <w:rsid w:val="00937163"/>
    <w:rsid w:val="00937BEB"/>
    <w:rsid w:val="00942FF5"/>
    <w:rsid w:val="00943B39"/>
    <w:rsid w:val="00943F58"/>
    <w:rsid w:val="0094443B"/>
    <w:rsid w:val="0094469F"/>
    <w:rsid w:val="00945ACD"/>
    <w:rsid w:val="00945D2C"/>
    <w:rsid w:val="0094784E"/>
    <w:rsid w:val="0094793B"/>
    <w:rsid w:val="00950FA6"/>
    <w:rsid w:val="00953D09"/>
    <w:rsid w:val="00956336"/>
    <w:rsid w:val="0096197F"/>
    <w:rsid w:val="00962F74"/>
    <w:rsid w:val="00963644"/>
    <w:rsid w:val="009646AC"/>
    <w:rsid w:val="00964882"/>
    <w:rsid w:val="009678EF"/>
    <w:rsid w:val="00972737"/>
    <w:rsid w:val="00972D10"/>
    <w:rsid w:val="00975DA5"/>
    <w:rsid w:val="00976838"/>
    <w:rsid w:val="00976894"/>
    <w:rsid w:val="00976D87"/>
    <w:rsid w:val="0098095B"/>
    <w:rsid w:val="00980D6B"/>
    <w:rsid w:val="00981293"/>
    <w:rsid w:val="009816BB"/>
    <w:rsid w:val="00984168"/>
    <w:rsid w:val="0098447C"/>
    <w:rsid w:val="0098473F"/>
    <w:rsid w:val="0098548A"/>
    <w:rsid w:val="009857A5"/>
    <w:rsid w:val="00986B3E"/>
    <w:rsid w:val="00987946"/>
    <w:rsid w:val="009914DB"/>
    <w:rsid w:val="009918EA"/>
    <w:rsid w:val="00993DD3"/>
    <w:rsid w:val="0099765D"/>
    <w:rsid w:val="009A0203"/>
    <w:rsid w:val="009A0FA1"/>
    <w:rsid w:val="009A21F7"/>
    <w:rsid w:val="009A6828"/>
    <w:rsid w:val="009A7A59"/>
    <w:rsid w:val="009B115E"/>
    <w:rsid w:val="009B54E6"/>
    <w:rsid w:val="009B70B3"/>
    <w:rsid w:val="009B7209"/>
    <w:rsid w:val="009B7815"/>
    <w:rsid w:val="009C2BE8"/>
    <w:rsid w:val="009C42F0"/>
    <w:rsid w:val="009C5D2B"/>
    <w:rsid w:val="009D0A6C"/>
    <w:rsid w:val="009D11EB"/>
    <w:rsid w:val="009E280D"/>
    <w:rsid w:val="009E42EB"/>
    <w:rsid w:val="009E7319"/>
    <w:rsid w:val="009E77CE"/>
    <w:rsid w:val="009F1AC6"/>
    <w:rsid w:val="009F2027"/>
    <w:rsid w:val="009F3D52"/>
    <w:rsid w:val="009F46DE"/>
    <w:rsid w:val="009F54BB"/>
    <w:rsid w:val="009F7053"/>
    <w:rsid w:val="00A00218"/>
    <w:rsid w:val="00A00736"/>
    <w:rsid w:val="00A01041"/>
    <w:rsid w:val="00A013E6"/>
    <w:rsid w:val="00A02A24"/>
    <w:rsid w:val="00A059CF"/>
    <w:rsid w:val="00A0615C"/>
    <w:rsid w:val="00A06680"/>
    <w:rsid w:val="00A1079F"/>
    <w:rsid w:val="00A10A4A"/>
    <w:rsid w:val="00A11B75"/>
    <w:rsid w:val="00A14161"/>
    <w:rsid w:val="00A1421E"/>
    <w:rsid w:val="00A161A9"/>
    <w:rsid w:val="00A17502"/>
    <w:rsid w:val="00A20C87"/>
    <w:rsid w:val="00A20E84"/>
    <w:rsid w:val="00A214E6"/>
    <w:rsid w:val="00A21E6F"/>
    <w:rsid w:val="00A2348C"/>
    <w:rsid w:val="00A236AA"/>
    <w:rsid w:val="00A239BE"/>
    <w:rsid w:val="00A239C4"/>
    <w:rsid w:val="00A24AE5"/>
    <w:rsid w:val="00A24C38"/>
    <w:rsid w:val="00A26203"/>
    <w:rsid w:val="00A27544"/>
    <w:rsid w:val="00A27AD2"/>
    <w:rsid w:val="00A31FBE"/>
    <w:rsid w:val="00A370D6"/>
    <w:rsid w:val="00A40177"/>
    <w:rsid w:val="00A40975"/>
    <w:rsid w:val="00A40A0B"/>
    <w:rsid w:val="00A443E0"/>
    <w:rsid w:val="00A44F50"/>
    <w:rsid w:val="00A478C4"/>
    <w:rsid w:val="00A51B57"/>
    <w:rsid w:val="00A51D94"/>
    <w:rsid w:val="00A540A3"/>
    <w:rsid w:val="00A549E2"/>
    <w:rsid w:val="00A572A7"/>
    <w:rsid w:val="00A60D27"/>
    <w:rsid w:val="00A61259"/>
    <w:rsid w:val="00A63845"/>
    <w:rsid w:val="00A64CFB"/>
    <w:rsid w:val="00A660F9"/>
    <w:rsid w:val="00A7108D"/>
    <w:rsid w:val="00A71821"/>
    <w:rsid w:val="00A74B5E"/>
    <w:rsid w:val="00A75A0E"/>
    <w:rsid w:val="00A75AAB"/>
    <w:rsid w:val="00A75DE4"/>
    <w:rsid w:val="00A76613"/>
    <w:rsid w:val="00A77C2A"/>
    <w:rsid w:val="00A80C32"/>
    <w:rsid w:val="00A8150A"/>
    <w:rsid w:val="00A8366F"/>
    <w:rsid w:val="00A86BC1"/>
    <w:rsid w:val="00A8738F"/>
    <w:rsid w:val="00A909F4"/>
    <w:rsid w:val="00A90FFC"/>
    <w:rsid w:val="00A93CEE"/>
    <w:rsid w:val="00A93E41"/>
    <w:rsid w:val="00A94DA7"/>
    <w:rsid w:val="00A95DBF"/>
    <w:rsid w:val="00A97ECB"/>
    <w:rsid w:val="00AA77E6"/>
    <w:rsid w:val="00AA78EE"/>
    <w:rsid w:val="00AB22FD"/>
    <w:rsid w:val="00AB249C"/>
    <w:rsid w:val="00AB3141"/>
    <w:rsid w:val="00AB5EF7"/>
    <w:rsid w:val="00AB609D"/>
    <w:rsid w:val="00AB66B8"/>
    <w:rsid w:val="00AB6EDE"/>
    <w:rsid w:val="00AC12CA"/>
    <w:rsid w:val="00AC2268"/>
    <w:rsid w:val="00AC4A5A"/>
    <w:rsid w:val="00AC6253"/>
    <w:rsid w:val="00AC7C6C"/>
    <w:rsid w:val="00AD02D1"/>
    <w:rsid w:val="00AD1ED7"/>
    <w:rsid w:val="00AD2524"/>
    <w:rsid w:val="00AD75D8"/>
    <w:rsid w:val="00AD7CAC"/>
    <w:rsid w:val="00AD7DE4"/>
    <w:rsid w:val="00AE0D1C"/>
    <w:rsid w:val="00AE3D01"/>
    <w:rsid w:val="00AE4FC4"/>
    <w:rsid w:val="00AE5260"/>
    <w:rsid w:val="00AE5CF7"/>
    <w:rsid w:val="00AE67B6"/>
    <w:rsid w:val="00AF08A4"/>
    <w:rsid w:val="00AF0D29"/>
    <w:rsid w:val="00AF3442"/>
    <w:rsid w:val="00AF49A0"/>
    <w:rsid w:val="00AF4C00"/>
    <w:rsid w:val="00AF5D13"/>
    <w:rsid w:val="00AF7CFA"/>
    <w:rsid w:val="00B00F9C"/>
    <w:rsid w:val="00B03795"/>
    <w:rsid w:val="00B0423C"/>
    <w:rsid w:val="00B05EB7"/>
    <w:rsid w:val="00B0641E"/>
    <w:rsid w:val="00B07C93"/>
    <w:rsid w:val="00B11FE4"/>
    <w:rsid w:val="00B13847"/>
    <w:rsid w:val="00B16A14"/>
    <w:rsid w:val="00B17226"/>
    <w:rsid w:val="00B1739F"/>
    <w:rsid w:val="00B20435"/>
    <w:rsid w:val="00B2193F"/>
    <w:rsid w:val="00B22D70"/>
    <w:rsid w:val="00B264EF"/>
    <w:rsid w:val="00B30AE3"/>
    <w:rsid w:val="00B32153"/>
    <w:rsid w:val="00B34169"/>
    <w:rsid w:val="00B36DBD"/>
    <w:rsid w:val="00B40AC5"/>
    <w:rsid w:val="00B40DB4"/>
    <w:rsid w:val="00B4266C"/>
    <w:rsid w:val="00B43529"/>
    <w:rsid w:val="00B45828"/>
    <w:rsid w:val="00B47BF2"/>
    <w:rsid w:val="00B51807"/>
    <w:rsid w:val="00B51D11"/>
    <w:rsid w:val="00B52304"/>
    <w:rsid w:val="00B56846"/>
    <w:rsid w:val="00B568D1"/>
    <w:rsid w:val="00B56F9E"/>
    <w:rsid w:val="00B6040F"/>
    <w:rsid w:val="00B60576"/>
    <w:rsid w:val="00B60D18"/>
    <w:rsid w:val="00B62328"/>
    <w:rsid w:val="00B70AB4"/>
    <w:rsid w:val="00B72567"/>
    <w:rsid w:val="00B77D3B"/>
    <w:rsid w:val="00B82435"/>
    <w:rsid w:val="00B82CF7"/>
    <w:rsid w:val="00B82E6C"/>
    <w:rsid w:val="00B83E5B"/>
    <w:rsid w:val="00B840FF"/>
    <w:rsid w:val="00B84A8B"/>
    <w:rsid w:val="00B850F5"/>
    <w:rsid w:val="00B8792A"/>
    <w:rsid w:val="00B87E1C"/>
    <w:rsid w:val="00B87E24"/>
    <w:rsid w:val="00B923D8"/>
    <w:rsid w:val="00B924CB"/>
    <w:rsid w:val="00B92FAE"/>
    <w:rsid w:val="00BA156E"/>
    <w:rsid w:val="00BA1742"/>
    <w:rsid w:val="00BA3C7D"/>
    <w:rsid w:val="00BA4A15"/>
    <w:rsid w:val="00BA6A1E"/>
    <w:rsid w:val="00BA779B"/>
    <w:rsid w:val="00BB1269"/>
    <w:rsid w:val="00BB14E3"/>
    <w:rsid w:val="00BB3C2E"/>
    <w:rsid w:val="00BB6955"/>
    <w:rsid w:val="00BC31D7"/>
    <w:rsid w:val="00BC32DD"/>
    <w:rsid w:val="00BC7BDB"/>
    <w:rsid w:val="00BC7F93"/>
    <w:rsid w:val="00BD0888"/>
    <w:rsid w:val="00BD16CC"/>
    <w:rsid w:val="00BD19B1"/>
    <w:rsid w:val="00BD2382"/>
    <w:rsid w:val="00BD38A7"/>
    <w:rsid w:val="00BD4CB1"/>
    <w:rsid w:val="00BD5685"/>
    <w:rsid w:val="00BD58EC"/>
    <w:rsid w:val="00BD6AE4"/>
    <w:rsid w:val="00BD6C5E"/>
    <w:rsid w:val="00BD7122"/>
    <w:rsid w:val="00BE1F7A"/>
    <w:rsid w:val="00BE3696"/>
    <w:rsid w:val="00BE52C6"/>
    <w:rsid w:val="00BF1EA6"/>
    <w:rsid w:val="00BF1F32"/>
    <w:rsid w:val="00BF3A17"/>
    <w:rsid w:val="00BF4EBD"/>
    <w:rsid w:val="00BF6FB8"/>
    <w:rsid w:val="00BF7CA8"/>
    <w:rsid w:val="00C000E6"/>
    <w:rsid w:val="00C01E68"/>
    <w:rsid w:val="00C02AC2"/>
    <w:rsid w:val="00C05538"/>
    <w:rsid w:val="00C10A53"/>
    <w:rsid w:val="00C11B1A"/>
    <w:rsid w:val="00C12A5B"/>
    <w:rsid w:val="00C136A3"/>
    <w:rsid w:val="00C13F58"/>
    <w:rsid w:val="00C1558A"/>
    <w:rsid w:val="00C16E65"/>
    <w:rsid w:val="00C2467E"/>
    <w:rsid w:val="00C27656"/>
    <w:rsid w:val="00C31E4A"/>
    <w:rsid w:val="00C32C0D"/>
    <w:rsid w:val="00C3313D"/>
    <w:rsid w:val="00C33549"/>
    <w:rsid w:val="00C3572B"/>
    <w:rsid w:val="00C409F2"/>
    <w:rsid w:val="00C40EFF"/>
    <w:rsid w:val="00C41015"/>
    <w:rsid w:val="00C426BD"/>
    <w:rsid w:val="00C473A5"/>
    <w:rsid w:val="00C504EE"/>
    <w:rsid w:val="00C50F27"/>
    <w:rsid w:val="00C550BE"/>
    <w:rsid w:val="00C561A1"/>
    <w:rsid w:val="00C57185"/>
    <w:rsid w:val="00C60374"/>
    <w:rsid w:val="00C616D1"/>
    <w:rsid w:val="00C65F10"/>
    <w:rsid w:val="00C676F6"/>
    <w:rsid w:val="00C71195"/>
    <w:rsid w:val="00C74CE6"/>
    <w:rsid w:val="00C750F1"/>
    <w:rsid w:val="00C75D0D"/>
    <w:rsid w:val="00C77D07"/>
    <w:rsid w:val="00C8014F"/>
    <w:rsid w:val="00C81B27"/>
    <w:rsid w:val="00C82892"/>
    <w:rsid w:val="00C8459E"/>
    <w:rsid w:val="00C92AC2"/>
    <w:rsid w:val="00C9312C"/>
    <w:rsid w:val="00C97B27"/>
    <w:rsid w:val="00C97BC9"/>
    <w:rsid w:val="00CA039A"/>
    <w:rsid w:val="00CA0BC9"/>
    <w:rsid w:val="00CA54D2"/>
    <w:rsid w:val="00CA686B"/>
    <w:rsid w:val="00CB2000"/>
    <w:rsid w:val="00CB2025"/>
    <w:rsid w:val="00CB48A6"/>
    <w:rsid w:val="00CB515A"/>
    <w:rsid w:val="00CB621C"/>
    <w:rsid w:val="00CB6493"/>
    <w:rsid w:val="00CB684E"/>
    <w:rsid w:val="00CC02F2"/>
    <w:rsid w:val="00CC395E"/>
    <w:rsid w:val="00CC4FDB"/>
    <w:rsid w:val="00CC69FA"/>
    <w:rsid w:val="00CC6B34"/>
    <w:rsid w:val="00CD09B4"/>
    <w:rsid w:val="00CD1A54"/>
    <w:rsid w:val="00CD54AC"/>
    <w:rsid w:val="00CD6EB2"/>
    <w:rsid w:val="00CD6EE8"/>
    <w:rsid w:val="00CD737F"/>
    <w:rsid w:val="00CD7773"/>
    <w:rsid w:val="00CE2881"/>
    <w:rsid w:val="00CE5888"/>
    <w:rsid w:val="00CE691B"/>
    <w:rsid w:val="00CE70E7"/>
    <w:rsid w:val="00CE78B9"/>
    <w:rsid w:val="00CF48A1"/>
    <w:rsid w:val="00CF5CD9"/>
    <w:rsid w:val="00CF67F1"/>
    <w:rsid w:val="00D01B3F"/>
    <w:rsid w:val="00D01E73"/>
    <w:rsid w:val="00D0314D"/>
    <w:rsid w:val="00D05F0E"/>
    <w:rsid w:val="00D13DA8"/>
    <w:rsid w:val="00D15E46"/>
    <w:rsid w:val="00D17A67"/>
    <w:rsid w:val="00D17D84"/>
    <w:rsid w:val="00D20184"/>
    <w:rsid w:val="00D2193C"/>
    <w:rsid w:val="00D24679"/>
    <w:rsid w:val="00D2665C"/>
    <w:rsid w:val="00D31A22"/>
    <w:rsid w:val="00D32CD6"/>
    <w:rsid w:val="00D34458"/>
    <w:rsid w:val="00D355AF"/>
    <w:rsid w:val="00D401C0"/>
    <w:rsid w:val="00D4185E"/>
    <w:rsid w:val="00D424F4"/>
    <w:rsid w:val="00D452EB"/>
    <w:rsid w:val="00D45542"/>
    <w:rsid w:val="00D5039B"/>
    <w:rsid w:val="00D532E6"/>
    <w:rsid w:val="00D57F85"/>
    <w:rsid w:val="00D57F8C"/>
    <w:rsid w:val="00D61E00"/>
    <w:rsid w:val="00D63B31"/>
    <w:rsid w:val="00D67D03"/>
    <w:rsid w:val="00D70B9C"/>
    <w:rsid w:val="00D71AF2"/>
    <w:rsid w:val="00D73671"/>
    <w:rsid w:val="00D74914"/>
    <w:rsid w:val="00D7651E"/>
    <w:rsid w:val="00D765FC"/>
    <w:rsid w:val="00D76693"/>
    <w:rsid w:val="00D769EB"/>
    <w:rsid w:val="00D80CDC"/>
    <w:rsid w:val="00D8264B"/>
    <w:rsid w:val="00D8422D"/>
    <w:rsid w:val="00D879E6"/>
    <w:rsid w:val="00D9028D"/>
    <w:rsid w:val="00D90E2B"/>
    <w:rsid w:val="00D91F21"/>
    <w:rsid w:val="00D930A2"/>
    <w:rsid w:val="00D935CD"/>
    <w:rsid w:val="00D93FEA"/>
    <w:rsid w:val="00D94273"/>
    <w:rsid w:val="00D944A0"/>
    <w:rsid w:val="00D946E9"/>
    <w:rsid w:val="00DA3144"/>
    <w:rsid w:val="00DA47F3"/>
    <w:rsid w:val="00DA6A62"/>
    <w:rsid w:val="00DA7EB6"/>
    <w:rsid w:val="00DB05BA"/>
    <w:rsid w:val="00DB113C"/>
    <w:rsid w:val="00DB2502"/>
    <w:rsid w:val="00DB45CC"/>
    <w:rsid w:val="00DB69BF"/>
    <w:rsid w:val="00DB7E41"/>
    <w:rsid w:val="00DC1BF6"/>
    <w:rsid w:val="00DC32DB"/>
    <w:rsid w:val="00DC3A4D"/>
    <w:rsid w:val="00DC4022"/>
    <w:rsid w:val="00DC4FA6"/>
    <w:rsid w:val="00DC500F"/>
    <w:rsid w:val="00DC76AE"/>
    <w:rsid w:val="00DD06CD"/>
    <w:rsid w:val="00DD0798"/>
    <w:rsid w:val="00DD18DE"/>
    <w:rsid w:val="00DD1C6D"/>
    <w:rsid w:val="00DD230C"/>
    <w:rsid w:val="00DD2358"/>
    <w:rsid w:val="00DD4D0C"/>
    <w:rsid w:val="00DE0C34"/>
    <w:rsid w:val="00DE1004"/>
    <w:rsid w:val="00DE2DF3"/>
    <w:rsid w:val="00DE3AC6"/>
    <w:rsid w:val="00DE3B31"/>
    <w:rsid w:val="00DE7014"/>
    <w:rsid w:val="00DF465B"/>
    <w:rsid w:val="00DF5E3A"/>
    <w:rsid w:val="00E00B48"/>
    <w:rsid w:val="00E021F6"/>
    <w:rsid w:val="00E027C9"/>
    <w:rsid w:val="00E02954"/>
    <w:rsid w:val="00E030EE"/>
    <w:rsid w:val="00E05423"/>
    <w:rsid w:val="00E0723B"/>
    <w:rsid w:val="00E108C3"/>
    <w:rsid w:val="00E11F03"/>
    <w:rsid w:val="00E120B9"/>
    <w:rsid w:val="00E13758"/>
    <w:rsid w:val="00E147A3"/>
    <w:rsid w:val="00E148F3"/>
    <w:rsid w:val="00E151DA"/>
    <w:rsid w:val="00E15382"/>
    <w:rsid w:val="00E20944"/>
    <w:rsid w:val="00E22006"/>
    <w:rsid w:val="00E238A2"/>
    <w:rsid w:val="00E23DCD"/>
    <w:rsid w:val="00E241C8"/>
    <w:rsid w:val="00E241E7"/>
    <w:rsid w:val="00E3243B"/>
    <w:rsid w:val="00E3298C"/>
    <w:rsid w:val="00E335D8"/>
    <w:rsid w:val="00E33707"/>
    <w:rsid w:val="00E33A55"/>
    <w:rsid w:val="00E34005"/>
    <w:rsid w:val="00E345D1"/>
    <w:rsid w:val="00E34DA9"/>
    <w:rsid w:val="00E413AB"/>
    <w:rsid w:val="00E43274"/>
    <w:rsid w:val="00E4665E"/>
    <w:rsid w:val="00E53974"/>
    <w:rsid w:val="00E53F38"/>
    <w:rsid w:val="00E563F7"/>
    <w:rsid w:val="00E57045"/>
    <w:rsid w:val="00E61008"/>
    <w:rsid w:val="00E6470D"/>
    <w:rsid w:val="00E64E71"/>
    <w:rsid w:val="00E70312"/>
    <w:rsid w:val="00E72208"/>
    <w:rsid w:val="00E73E35"/>
    <w:rsid w:val="00E740D3"/>
    <w:rsid w:val="00E77801"/>
    <w:rsid w:val="00E807BA"/>
    <w:rsid w:val="00E80F7E"/>
    <w:rsid w:val="00E8164C"/>
    <w:rsid w:val="00E82B5F"/>
    <w:rsid w:val="00E86539"/>
    <w:rsid w:val="00E879C9"/>
    <w:rsid w:val="00E907FF"/>
    <w:rsid w:val="00E90D94"/>
    <w:rsid w:val="00E93869"/>
    <w:rsid w:val="00E95194"/>
    <w:rsid w:val="00E96F65"/>
    <w:rsid w:val="00EA019B"/>
    <w:rsid w:val="00EA0F01"/>
    <w:rsid w:val="00EA1F0B"/>
    <w:rsid w:val="00EA26FB"/>
    <w:rsid w:val="00EA5BBB"/>
    <w:rsid w:val="00EA6CAB"/>
    <w:rsid w:val="00EB0D9F"/>
    <w:rsid w:val="00EB0DDF"/>
    <w:rsid w:val="00EB10A7"/>
    <w:rsid w:val="00EB2328"/>
    <w:rsid w:val="00EB4642"/>
    <w:rsid w:val="00EB48A2"/>
    <w:rsid w:val="00EB494C"/>
    <w:rsid w:val="00EB6DE7"/>
    <w:rsid w:val="00EB71F5"/>
    <w:rsid w:val="00EC275A"/>
    <w:rsid w:val="00EC2CC4"/>
    <w:rsid w:val="00EC2CE8"/>
    <w:rsid w:val="00EC6890"/>
    <w:rsid w:val="00EC72A4"/>
    <w:rsid w:val="00ED2CF2"/>
    <w:rsid w:val="00ED3410"/>
    <w:rsid w:val="00ED4146"/>
    <w:rsid w:val="00ED45C8"/>
    <w:rsid w:val="00ED67B4"/>
    <w:rsid w:val="00ED694A"/>
    <w:rsid w:val="00ED76D9"/>
    <w:rsid w:val="00EE23AA"/>
    <w:rsid w:val="00EE266B"/>
    <w:rsid w:val="00EE2825"/>
    <w:rsid w:val="00EE4722"/>
    <w:rsid w:val="00EE6EE3"/>
    <w:rsid w:val="00F02449"/>
    <w:rsid w:val="00F02ADC"/>
    <w:rsid w:val="00F038DA"/>
    <w:rsid w:val="00F060A4"/>
    <w:rsid w:val="00F06124"/>
    <w:rsid w:val="00F0623C"/>
    <w:rsid w:val="00F07523"/>
    <w:rsid w:val="00F10055"/>
    <w:rsid w:val="00F1326E"/>
    <w:rsid w:val="00F155B4"/>
    <w:rsid w:val="00F15D39"/>
    <w:rsid w:val="00F16B10"/>
    <w:rsid w:val="00F16E76"/>
    <w:rsid w:val="00F22898"/>
    <w:rsid w:val="00F231AB"/>
    <w:rsid w:val="00F24BB1"/>
    <w:rsid w:val="00F26054"/>
    <w:rsid w:val="00F27C44"/>
    <w:rsid w:val="00F304EE"/>
    <w:rsid w:val="00F3112E"/>
    <w:rsid w:val="00F31887"/>
    <w:rsid w:val="00F32CF5"/>
    <w:rsid w:val="00F35671"/>
    <w:rsid w:val="00F400C4"/>
    <w:rsid w:val="00F41E90"/>
    <w:rsid w:val="00F4710F"/>
    <w:rsid w:val="00F507C9"/>
    <w:rsid w:val="00F507EB"/>
    <w:rsid w:val="00F53A81"/>
    <w:rsid w:val="00F57D8D"/>
    <w:rsid w:val="00F604B5"/>
    <w:rsid w:val="00F60AAC"/>
    <w:rsid w:val="00F60E88"/>
    <w:rsid w:val="00F60F86"/>
    <w:rsid w:val="00F61654"/>
    <w:rsid w:val="00F617A5"/>
    <w:rsid w:val="00F61997"/>
    <w:rsid w:val="00F6423D"/>
    <w:rsid w:val="00F667DA"/>
    <w:rsid w:val="00F67288"/>
    <w:rsid w:val="00F7182B"/>
    <w:rsid w:val="00F7194D"/>
    <w:rsid w:val="00F73B29"/>
    <w:rsid w:val="00F757F6"/>
    <w:rsid w:val="00F7632F"/>
    <w:rsid w:val="00F8168D"/>
    <w:rsid w:val="00F823B7"/>
    <w:rsid w:val="00F82B69"/>
    <w:rsid w:val="00F833A7"/>
    <w:rsid w:val="00F86321"/>
    <w:rsid w:val="00F91143"/>
    <w:rsid w:val="00F91188"/>
    <w:rsid w:val="00F94555"/>
    <w:rsid w:val="00F9546C"/>
    <w:rsid w:val="00F96CF9"/>
    <w:rsid w:val="00F974A1"/>
    <w:rsid w:val="00F97B72"/>
    <w:rsid w:val="00FA10A8"/>
    <w:rsid w:val="00FA1427"/>
    <w:rsid w:val="00FA1505"/>
    <w:rsid w:val="00FA2C21"/>
    <w:rsid w:val="00FA45BA"/>
    <w:rsid w:val="00FA5296"/>
    <w:rsid w:val="00FA7C60"/>
    <w:rsid w:val="00FB0942"/>
    <w:rsid w:val="00FB1F93"/>
    <w:rsid w:val="00FB48DF"/>
    <w:rsid w:val="00FB5972"/>
    <w:rsid w:val="00FB632F"/>
    <w:rsid w:val="00FB792D"/>
    <w:rsid w:val="00FC3BAF"/>
    <w:rsid w:val="00FC3BE5"/>
    <w:rsid w:val="00FC56FC"/>
    <w:rsid w:val="00FC5824"/>
    <w:rsid w:val="00FC5AFE"/>
    <w:rsid w:val="00FC5D22"/>
    <w:rsid w:val="00FD01BA"/>
    <w:rsid w:val="00FD0CA5"/>
    <w:rsid w:val="00FD1E2E"/>
    <w:rsid w:val="00FD4012"/>
    <w:rsid w:val="00FE20F3"/>
    <w:rsid w:val="00FE4D45"/>
    <w:rsid w:val="00FE5412"/>
    <w:rsid w:val="00FE6874"/>
    <w:rsid w:val="00FF0084"/>
    <w:rsid w:val="00FF0E8C"/>
    <w:rsid w:val="00FF4F25"/>
    <w:rsid w:val="00FF5A7C"/>
    <w:rsid w:val="00FF6B57"/>
    <w:rsid w:val="013869D1"/>
    <w:rsid w:val="016E6A75"/>
    <w:rsid w:val="017C5B01"/>
    <w:rsid w:val="01CA6B79"/>
    <w:rsid w:val="02457723"/>
    <w:rsid w:val="02790BB7"/>
    <w:rsid w:val="02854C09"/>
    <w:rsid w:val="02B1161C"/>
    <w:rsid w:val="03572688"/>
    <w:rsid w:val="037F7248"/>
    <w:rsid w:val="038972E3"/>
    <w:rsid w:val="03C920FD"/>
    <w:rsid w:val="03D575A8"/>
    <w:rsid w:val="045A31AF"/>
    <w:rsid w:val="049C7878"/>
    <w:rsid w:val="04AD2F81"/>
    <w:rsid w:val="051D6B11"/>
    <w:rsid w:val="05206202"/>
    <w:rsid w:val="053201CC"/>
    <w:rsid w:val="053836AA"/>
    <w:rsid w:val="055C7A81"/>
    <w:rsid w:val="059D0343"/>
    <w:rsid w:val="05CC7EC7"/>
    <w:rsid w:val="05DF20B2"/>
    <w:rsid w:val="06161020"/>
    <w:rsid w:val="069511EF"/>
    <w:rsid w:val="06965FFB"/>
    <w:rsid w:val="078A20ED"/>
    <w:rsid w:val="078B637C"/>
    <w:rsid w:val="07A52793"/>
    <w:rsid w:val="07BD160C"/>
    <w:rsid w:val="08B73BF2"/>
    <w:rsid w:val="08C43BB9"/>
    <w:rsid w:val="08EF0597"/>
    <w:rsid w:val="090F06A4"/>
    <w:rsid w:val="09654E76"/>
    <w:rsid w:val="09926232"/>
    <w:rsid w:val="09B05875"/>
    <w:rsid w:val="0A195A3E"/>
    <w:rsid w:val="0A69416C"/>
    <w:rsid w:val="0A9F4BB5"/>
    <w:rsid w:val="0AAC5952"/>
    <w:rsid w:val="0AC15B01"/>
    <w:rsid w:val="0ACA6D38"/>
    <w:rsid w:val="0B0724C5"/>
    <w:rsid w:val="0B100658"/>
    <w:rsid w:val="0B1B75E7"/>
    <w:rsid w:val="0B613CAC"/>
    <w:rsid w:val="0B6D59DD"/>
    <w:rsid w:val="0B724962"/>
    <w:rsid w:val="0B996317"/>
    <w:rsid w:val="0B9D13A5"/>
    <w:rsid w:val="0BB124BD"/>
    <w:rsid w:val="0BB50EC3"/>
    <w:rsid w:val="0BC14CD6"/>
    <w:rsid w:val="0BC95965"/>
    <w:rsid w:val="0BE274AD"/>
    <w:rsid w:val="0BFF38BA"/>
    <w:rsid w:val="0C143947"/>
    <w:rsid w:val="0C300937"/>
    <w:rsid w:val="0C3C461F"/>
    <w:rsid w:val="0CA17BC7"/>
    <w:rsid w:val="0CBF630D"/>
    <w:rsid w:val="0CD4246E"/>
    <w:rsid w:val="0CF5184F"/>
    <w:rsid w:val="0D331FC8"/>
    <w:rsid w:val="0D3923C4"/>
    <w:rsid w:val="0D4912D9"/>
    <w:rsid w:val="0D4B4161"/>
    <w:rsid w:val="0D71793F"/>
    <w:rsid w:val="0D7359A1"/>
    <w:rsid w:val="0D740881"/>
    <w:rsid w:val="0D74597F"/>
    <w:rsid w:val="0DB551C0"/>
    <w:rsid w:val="0DE5719A"/>
    <w:rsid w:val="0DEF1422"/>
    <w:rsid w:val="0DF2046D"/>
    <w:rsid w:val="0E060087"/>
    <w:rsid w:val="0E2B5D40"/>
    <w:rsid w:val="0E481FBF"/>
    <w:rsid w:val="0E4B685E"/>
    <w:rsid w:val="0E787B86"/>
    <w:rsid w:val="0ED965AA"/>
    <w:rsid w:val="0EF1789B"/>
    <w:rsid w:val="0EF51DDE"/>
    <w:rsid w:val="0EF8579D"/>
    <w:rsid w:val="0F060336"/>
    <w:rsid w:val="0F0A34B9"/>
    <w:rsid w:val="0F3E1E37"/>
    <w:rsid w:val="0F442399"/>
    <w:rsid w:val="0F5A5340"/>
    <w:rsid w:val="0F7A0D2D"/>
    <w:rsid w:val="0FA368FB"/>
    <w:rsid w:val="0FAB384C"/>
    <w:rsid w:val="0FBC1B38"/>
    <w:rsid w:val="0FBE7AE4"/>
    <w:rsid w:val="103D15BA"/>
    <w:rsid w:val="107B4D5D"/>
    <w:rsid w:val="107C119C"/>
    <w:rsid w:val="108C05CA"/>
    <w:rsid w:val="1097517B"/>
    <w:rsid w:val="10B24EE2"/>
    <w:rsid w:val="10E57683"/>
    <w:rsid w:val="111A7716"/>
    <w:rsid w:val="111D4066"/>
    <w:rsid w:val="112934B3"/>
    <w:rsid w:val="112B151F"/>
    <w:rsid w:val="11317630"/>
    <w:rsid w:val="113954A9"/>
    <w:rsid w:val="1141323C"/>
    <w:rsid w:val="11694EAC"/>
    <w:rsid w:val="11C314C3"/>
    <w:rsid w:val="11CD0757"/>
    <w:rsid w:val="11D129C7"/>
    <w:rsid w:val="12795E40"/>
    <w:rsid w:val="12925C63"/>
    <w:rsid w:val="12B7306E"/>
    <w:rsid w:val="12D77E27"/>
    <w:rsid w:val="131414DF"/>
    <w:rsid w:val="1316525D"/>
    <w:rsid w:val="13730679"/>
    <w:rsid w:val="13824D74"/>
    <w:rsid w:val="144F4060"/>
    <w:rsid w:val="146C3610"/>
    <w:rsid w:val="14DA657F"/>
    <w:rsid w:val="14EE4551"/>
    <w:rsid w:val="156412E2"/>
    <w:rsid w:val="157B4CE2"/>
    <w:rsid w:val="15BB45B7"/>
    <w:rsid w:val="15BE0898"/>
    <w:rsid w:val="15C2238D"/>
    <w:rsid w:val="15D07F54"/>
    <w:rsid w:val="15D64DE0"/>
    <w:rsid w:val="15E1262B"/>
    <w:rsid w:val="15E62E7C"/>
    <w:rsid w:val="15F22B0D"/>
    <w:rsid w:val="15F66C34"/>
    <w:rsid w:val="164B2761"/>
    <w:rsid w:val="1673135F"/>
    <w:rsid w:val="16A059F1"/>
    <w:rsid w:val="16AE1B84"/>
    <w:rsid w:val="16B36C00"/>
    <w:rsid w:val="16BC79D3"/>
    <w:rsid w:val="16BF0D4F"/>
    <w:rsid w:val="16CE7FE4"/>
    <w:rsid w:val="16E45FC7"/>
    <w:rsid w:val="172C1B53"/>
    <w:rsid w:val="17634509"/>
    <w:rsid w:val="17655635"/>
    <w:rsid w:val="17776A8B"/>
    <w:rsid w:val="17780981"/>
    <w:rsid w:val="178E1F33"/>
    <w:rsid w:val="179203BA"/>
    <w:rsid w:val="179D474C"/>
    <w:rsid w:val="17BC177E"/>
    <w:rsid w:val="18025CFA"/>
    <w:rsid w:val="18047377"/>
    <w:rsid w:val="180D0283"/>
    <w:rsid w:val="186A7FFC"/>
    <w:rsid w:val="187A6D6F"/>
    <w:rsid w:val="18A9789D"/>
    <w:rsid w:val="191D69D4"/>
    <w:rsid w:val="19291F1F"/>
    <w:rsid w:val="196A72A7"/>
    <w:rsid w:val="19717B4A"/>
    <w:rsid w:val="19E36C03"/>
    <w:rsid w:val="19E40175"/>
    <w:rsid w:val="1A1324AA"/>
    <w:rsid w:val="1A395967"/>
    <w:rsid w:val="1A6C2DF3"/>
    <w:rsid w:val="1AC62071"/>
    <w:rsid w:val="1B1833F2"/>
    <w:rsid w:val="1B340AB0"/>
    <w:rsid w:val="1BB65A6B"/>
    <w:rsid w:val="1BB84A1C"/>
    <w:rsid w:val="1BF1060E"/>
    <w:rsid w:val="1C224539"/>
    <w:rsid w:val="1C2C0C17"/>
    <w:rsid w:val="1C524D70"/>
    <w:rsid w:val="1C6957B5"/>
    <w:rsid w:val="1CCC0880"/>
    <w:rsid w:val="1D147831"/>
    <w:rsid w:val="1D537052"/>
    <w:rsid w:val="1DAD5CC1"/>
    <w:rsid w:val="1DBE0159"/>
    <w:rsid w:val="1DE8351C"/>
    <w:rsid w:val="1E511659"/>
    <w:rsid w:val="1EAE22B1"/>
    <w:rsid w:val="1EE933CF"/>
    <w:rsid w:val="1F47531F"/>
    <w:rsid w:val="1F906F24"/>
    <w:rsid w:val="201509CB"/>
    <w:rsid w:val="20185446"/>
    <w:rsid w:val="20511D96"/>
    <w:rsid w:val="20630DD2"/>
    <w:rsid w:val="20D9302E"/>
    <w:rsid w:val="21215D18"/>
    <w:rsid w:val="212C3F4D"/>
    <w:rsid w:val="213E776E"/>
    <w:rsid w:val="21616B9A"/>
    <w:rsid w:val="21AF726E"/>
    <w:rsid w:val="21E2498F"/>
    <w:rsid w:val="221F6F66"/>
    <w:rsid w:val="22930D89"/>
    <w:rsid w:val="22E61E10"/>
    <w:rsid w:val="23B770DD"/>
    <w:rsid w:val="23BA16F2"/>
    <w:rsid w:val="23C72844"/>
    <w:rsid w:val="24056CC1"/>
    <w:rsid w:val="244E7A1E"/>
    <w:rsid w:val="24A230B1"/>
    <w:rsid w:val="24F61AAA"/>
    <w:rsid w:val="25002263"/>
    <w:rsid w:val="252B269C"/>
    <w:rsid w:val="25603A58"/>
    <w:rsid w:val="25A8583B"/>
    <w:rsid w:val="25B0360F"/>
    <w:rsid w:val="25B06BCF"/>
    <w:rsid w:val="25B237A1"/>
    <w:rsid w:val="25C81489"/>
    <w:rsid w:val="25F77687"/>
    <w:rsid w:val="26141C75"/>
    <w:rsid w:val="261C7FBB"/>
    <w:rsid w:val="26367ED7"/>
    <w:rsid w:val="263D10E4"/>
    <w:rsid w:val="26415CA9"/>
    <w:rsid w:val="26446854"/>
    <w:rsid w:val="264F48E4"/>
    <w:rsid w:val="2676391C"/>
    <w:rsid w:val="26785DA9"/>
    <w:rsid w:val="26EB47CE"/>
    <w:rsid w:val="26FB5F4E"/>
    <w:rsid w:val="27221D1E"/>
    <w:rsid w:val="272C6B52"/>
    <w:rsid w:val="27335049"/>
    <w:rsid w:val="278A128A"/>
    <w:rsid w:val="27B81FB9"/>
    <w:rsid w:val="27DF65F5"/>
    <w:rsid w:val="28005C30"/>
    <w:rsid w:val="287317D7"/>
    <w:rsid w:val="287845F5"/>
    <w:rsid w:val="28A52766"/>
    <w:rsid w:val="28E15C9F"/>
    <w:rsid w:val="291272B8"/>
    <w:rsid w:val="29546686"/>
    <w:rsid w:val="295B033C"/>
    <w:rsid w:val="295F1A1D"/>
    <w:rsid w:val="29A92769"/>
    <w:rsid w:val="29D13B88"/>
    <w:rsid w:val="29D37D2A"/>
    <w:rsid w:val="2A037C3C"/>
    <w:rsid w:val="2A0F2A85"/>
    <w:rsid w:val="2A122C39"/>
    <w:rsid w:val="2A222BED"/>
    <w:rsid w:val="2A46055A"/>
    <w:rsid w:val="2A48576A"/>
    <w:rsid w:val="2A540C9B"/>
    <w:rsid w:val="2AB34774"/>
    <w:rsid w:val="2AF8208B"/>
    <w:rsid w:val="2B0D0F18"/>
    <w:rsid w:val="2B316D6D"/>
    <w:rsid w:val="2B9272F6"/>
    <w:rsid w:val="2B9574DD"/>
    <w:rsid w:val="2BA51BBE"/>
    <w:rsid w:val="2BAF1AB0"/>
    <w:rsid w:val="2BDF1F0A"/>
    <w:rsid w:val="2BFF06BF"/>
    <w:rsid w:val="2C106A1C"/>
    <w:rsid w:val="2C2D4DEB"/>
    <w:rsid w:val="2C3F5FC3"/>
    <w:rsid w:val="2C420DA8"/>
    <w:rsid w:val="2C5F364E"/>
    <w:rsid w:val="2C755B4F"/>
    <w:rsid w:val="2C8006B2"/>
    <w:rsid w:val="2C862E46"/>
    <w:rsid w:val="2C971DBD"/>
    <w:rsid w:val="2CCB2A2E"/>
    <w:rsid w:val="2CF95D24"/>
    <w:rsid w:val="2D0C3CF4"/>
    <w:rsid w:val="2D347996"/>
    <w:rsid w:val="2D8D1641"/>
    <w:rsid w:val="2D925252"/>
    <w:rsid w:val="2DB92F13"/>
    <w:rsid w:val="2DC77CAA"/>
    <w:rsid w:val="2DD5373D"/>
    <w:rsid w:val="2E8775E1"/>
    <w:rsid w:val="2E9244FB"/>
    <w:rsid w:val="2E9D1EEA"/>
    <w:rsid w:val="2EA94A1A"/>
    <w:rsid w:val="2EBC17DA"/>
    <w:rsid w:val="2F4A6B22"/>
    <w:rsid w:val="2F5C1BEA"/>
    <w:rsid w:val="2F5D7D41"/>
    <w:rsid w:val="2FF700B2"/>
    <w:rsid w:val="2FFE4EB7"/>
    <w:rsid w:val="302F6F36"/>
    <w:rsid w:val="30383D59"/>
    <w:rsid w:val="304C5F1C"/>
    <w:rsid w:val="305A1289"/>
    <w:rsid w:val="309A1E35"/>
    <w:rsid w:val="30A3541E"/>
    <w:rsid w:val="30AE16ED"/>
    <w:rsid w:val="310103F1"/>
    <w:rsid w:val="31472444"/>
    <w:rsid w:val="31481E6B"/>
    <w:rsid w:val="31532D34"/>
    <w:rsid w:val="3169239F"/>
    <w:rsid w:val="316A7E21"/>
    <w:rsid w:val="31B97BA0"/>
    <w:rsid w:val="31CB0F38"/>
    <w:rsid w:val="31F84494"/>
    <w:rsid w:val="31F92D57"/>
    <w:rsid w:val="32006685"/>
    <w:rsid w:val="320D5799"/>
    <w:rsid w:val="32343B2A"/>
    <w:rsid w:val="323D3380"/>
    <w:rsid w:val="323F10FE"/>
    <w:rsid w:val="324A708E"/>
    <w:rsid w:val="32537D9E"/>
    <w:rsid w:val="32CF7827"/>
    <w:rsid w:val="32D40024"/>
    <w:rsid w:val="32DB0F7C"/>
    <w:rsid w:val="32E07A8B"/>
    <w:rsid w:val="32E32BE5"/>
    <w:rsid w:val="33120AB8"/>
    <w:rsid w:val="3324218F"/>
    <w:rsid w:val="333F0CA1"/>
    <w:rsid w:val="335A4F8D"/>
    <w:rsid w:val="33610E31"/>
    <w:rsid w:val="341D7587"/>
    <w:rsid w:val="345D6FC2"/>
    <w:rsid w:val="34C75F13"/>
    <w:rsid w:val="34F95DA1"/>
    <w:rsid w:val="3506717C"/>
    <w:rsid w:val="35640D2B"/>
    <w:rsid w:val="35B900B0"/>
    <w:rsid w:val="36430014"/>
    <w:rsid w:val="36814556"/>
    <w:rsid w:val="36875285"/>
    <w:rsid w:val="369D0AF5"/>
    <w:rsid w:val="37142033"/>
    <w:rsid w:val="37272BCB"/>
    <w:rsid w:val="372D5A13"/>
    <w:rsid w:val="372F0F16"/>
    <w:rsid w:val="375A140A"/>
    <w:rsid w:val="376158B4"/>
    <w:rsid w:val="37784D2D"/>
    <w:rsid w:val="37AA40E3"/>
    <w:rsid w:val="37B46B6E"/>
    <w:rsid w:val="381A7C1A"/>
    <w:rsid w:val="38373947"/>
    <w:rsid w:val="385A30DB"/>
    <w:rsid w:val="38B86155"/>
    <w:rsid w:val="38EF1AC1"/>
    <w:rsid w:val="38F560BD"/>
    <w:rsid w:val="39000017"/>
    <w:rsid w:val="392F5EB9"/>
    <w:rsid w:val="3A347BA7"/>
    <w:rsid w:val="3A35598B"/>
    <w:rsid w:val="3A9E0EE7"/>
    <w:rsid w:val="3AF200FD"/>
    <w:rsid w:val="3AF67FC7"/>
    <w:rsid w:val="3B105CF3"/>
    <w:rsid w:val="3B2C04A1"/>
    <w:rsid w:val="3B560F89"/>
    <w:rsid w:val="3B9C3C56"/>
    <w:rsid w:val="3BA21765"/>
    <w:rsid w:val="3BB15ED6"/>
    <w:rsid w:val="3BBE3294"/>
    <w:rsid w:val="3BDB415C"/>
    <w:rsid w:val="3C335C3C"/>
    <w:rsid w:val="3C386267"/>
    <w:rsid w:val="3C841F3D"/>
    <w:rsid w:val="3D336678"/>
    <w:rsid w:val="3D453B2C"/>
    <w:rsid w:val="3D552A71"/>
    <w:rsid w:val="3D615EC3"/>
    <w:rsid w:val="3D845E86"/>
    <w:rsid w:val="3D883B84"/>
    <w:rsid w:val="3D9A2764"/>
    <w:rsid w:val="3DEE4A4E"/>
    <w:rsid w:val="3E5F1CC9"/>
    <w:rsid w:val="3E675770"/>
    <w:rsid w:val="3E801214"/>
    <w:rsid w:val="3E8E7B3B"/>
    <w:rsid w:val="3E985C5E"/>
    <w:rsid w:val="3EC11302"/>
    <w:rsid w:val="3EE2088F"/>
    <w:rsid w:val="3F0B38D4"/>
    <w:rsid w:val="3F2F4DE1"/>
    <w:rsid w:val="3F32613E"/>
    <w:rsid w:val="3F743A0B"/>
    <w:rsid w:val="40046496"/>
    <w:rsid w:val="400B737C"/>
    <w:rsid w:val="40204742"/>
    <w:rsid w:val="403166B5"/>
    <w:rsid w:val="40374629"/>
    <w:rsid w:val="40A67868"/>
    <w:rsid w:val="410200B3"/>
    <w:rsid w:val="41360634"/>
    <w:rsid w:val="4136428A"/>
    <w:rsid w:val="416E7E42"/>
    <w:rsid w:val="41B23B7F"/>
    <w:rsid w:val="41E570B7"/>
    <w:rsid w:val="423139D8"/>
    <w:rsid w:val="42761F9E"/>
    <w:rsid w:val="42B739D5"/>
    <w:rsid w:val="42E23FC8"/>
    <w:rsid w:val="42E97153"/>
    <w:rsid w:val="42FA73ED"/>
    <w:rsid w:val="432E43C4"/>
    <w:rsid w:val="4333360B"/>
    <w:rsid w:val="4339625B"/>
    <w:rsid w:val="43536B83"/>
    <w:rsid w:val="439508F1"/>
    <w:rsid w:val="43B77D68"/>
    <w:rsid w:val="43BD07B0"/>
    <w:rsid w:val="43E02410"/>
    <w:rsid w:val="43E3389B"/>
    <w:rsid w:val="442F22E4"/>
    <w:rsid w:val="44605A3B"/>
    <w:rsid w:val="44613BE9"/>
    <w:rsid w:val="44745769"/>
    <w:rsid w:val="448B58F1"/>
    <w:rsid w:val="44A818BD"/>
    <w:rsid w:val="44F9112E"/>
    <w:rsid w:val="452F4FBA"/>
    <w:rsid w:val="46267925"/>
    <w:rsid w:val="46342EB2"/>
    <w:rsid w:val="46AD14B1"/>
    <w:rsid w:val="46C90AE2"/>
    <w:rsid w:val="46D21F53"/>
    <w:rsid w:val="47001FF5"/>
    <w:rsid w:val="47057685"/>
    <w:rsid w:val="47337F88"/>
    <w:rsid w:val="473B01A1"/>
    <w:rsid w:val="4757351A"/>
    <w:rsid w:val="47666D22"/>
    <w:rsid w:val="47705EFA"/>
    <w:rsid w:val="478F6EF7"/>
    <w:rsid w:val="47E1338F"/>
    <w:rsid w:val="47E20677"/>
    <w:rsid w:val="48066B36"/>
    <w:rsid w:val="48530B5A"/>
    <w:rsid w:val="485559BC"/>
    <w:rsid w:val="488664C1"/>
    <w:rsid w:val="48F7197C"/>
    <w:rsid w:val="48F80EA8"/>
    <w:rsid w:val="496D572C"/>
    <w:rsid w:val="49885371"/>
    <w:rsid w:val="49B159E3"/>
    <w:rsid w:val="4A030B7A"/>
    <w:rsid w:val="4A0C1386"/>
    <w:rsid w:val="4A262EF4"/>
    <w:rsid w:val="4A3B1793"/>
    <w:rsid w:val="4A636540"/>
    <w:rsid w:val="4AA00E2D"/>
    <w:rsid w:val="4ABC7E99"/>
    <w:rsid w:val="4AC61AC5"/>
    <w:rsid w:val="4B257D58"/>
    <w:rsid w:val="4B392CCE"/>
    <w:rsid w:val="4B595A3B"/>
    <w:rsid w:val="4B657E6F"/>
    <w:rsid w:val="4B920CC8"/>
    <w:rsid w:val="4B9703A4"/>
    <w:rsid w:val="4BD90CB5"/>
    <w:rsid w:val="4C3A1DBE"/>
    <w:rsid w:val="4C4B4628"/>
    <w:rsid w:val="4C4C2AB6"/>
    <w:rsid w:val="4C626716"/>
    <w:rsid w:val="4CF60F3A"/>
    <w:rsid w:val="4D052FA7"/>
    <w:rsid w:val="4D0842BA"/>
    <w:rsid w:val="4D0B25BF"/>
    <w:rsid w:val="4D695962"/>
    <w:rsid w:val="4D6E1F1A"/>
    <w:rsid w:val="4D8D4DB2"/>
    <w:rsid w:val="4DAB3967"/>
    <w:rsid w:val="4DBE73C9"/>
    <w:rsid w:val="4DF94F37"/>
    <w:rsid w:val="4E1857AC"/>
    <w:rsid w:val="4E283B54"/>
    <w:rsid w:val="4E3A6B3F"/>
    <w:rsid w:val="4E813E73"/>
    <w:rsid w:val="4E8D6FCE"/>
    <w:rsid w:val="4ECB6AF4"/>
    <w:rsid w:val="4F107798"/>
    <w:rsid w:val="4F3E0478"/>
    <w:rsid w:val="4F596220"/>
    <w:rsid w:val="4F844AEF"/>
    <w:rsid w:val="4FBA7845"/>
    <w:rsid w:val="50120DEA"/>
    <w:rsid w:val="501E106D"/>
    <w:rsid w:val="50473843"/>
    <w:rsid w:val="508A6E38"/>
    <w:rsid w:val="50B9150E"/>
    <w:rsid w:val="50CF71DC"/>
    <w:rsid w:val="511C5FAE"/>
    <w:rsid w:val="51203334"/>
    <w:rsid w:val="514B7ED1"/>
    <w:rsid w:val="51583680"/>
    <w:rsid w:val="516863D7"/>
    <w:rsid w:val="517F6DC2"/>
    <w:rsid w:val="51A3506F"/>
    <w:rsid w:val="51D7787D"/>
    <w:rsid w:val="52690077"/>
    <w:rsid w:val="52872D6E"/>
    <w:rsid w:val="528936A7"/>
    <w:rsid w:val="52EA4788"/>
    <w:rsid w:val="5332420A"/>
    <w:rsid w:val="53590E6D"/>
    <w:rsid w:val="53972D3F"/>
    <w:rsid w:val="53C738FE"/>
    <w:rsid w:val="53E1162B"/>
    <w:rsid w:val="54547A6F"/>
    <w:rsid w:val="54646E83"/>
    <w:rsid w:val="54686327"/>
    <w:rsid w:val="548C2CB1"/>
    <w:rsid w:val="5493074A"/>
    <w:rsid w:val="54CB1C62"/>
    <w:rsid w:val="54FD0693"/>
    <w:rsid w:val="55473BE5"/>
    <w:rsid w:val="559B37CA"/>
    <w:rsid w:val="55B84EAE"/>
    <w:rsid w:val="55F66018"/>
    <w:rsid w:val="55F70216"/>
    <w:rsid w:val="55F85C97"/>
    <w:rsid w:val="56362A86"/>
    <w:rsid w:val="566C7F58"/>
    <w:rsid w:val="56786207"/>
    <w:rsid w:val="567F61F6"/>
    <w:rsid w:val="574D7F7F"/>
    <w:rsid w:val="574E07C7"/>
    <w:rsid w:val="57BD2100"/>
    <w:rsid w:val="57C70572"/>
    <w:rsid w:val="57DE00B6"/>
    <w:rsid w:val="57EB51CE"/>
    <w:rsid w:val="57F91F65"/>
    <w:rsid w:val="580544D9"/>
    <w:rsid w:val="581C77CA"/>
    <w:rsid w:val="58C30C16"/>
    <w:rsid w:val="58FE5916"/>
    <w:rsid w:val="59023007"/>
    <w:rsid w:val="59133694"/>
    <w:rsid w:val="592E08A8"/>
    <w:rsid w:val="59342BE6"/>
    <w:rsid w:val="598A13F7"/>
    <w:rsid w:val="5A2055DD"/>
    <w:rsid w:val="5A701916"/>
    <w:rsid w:val="5A792ECE"/>
    <w:rsid w:val="5AC97B86"/>
    <w:rsid w:val="5B2B42E5"/>
    <w:rsid w:val="5B86668A"/>
    <w:rsid w:val="5BAE3877"/>
    <w:rsid w:val="5BFA29A1"/>
    <w:rsid w:val="5C0F3FAC"/>
    <w:rsid w:val="5C16639C"/>
    <w:rsid w:val="5C2452BE"/>
    <w:rsid w:val="5C5F6DE8"/>
    <w:rsid w:val="5C7A0840"/>
    <w:rsid w:val="5CCB27CD"/>
    <w:rsid w:val="5CE24D32"/>
    <w:rsid w:val="5CE95E77"/>
    <w:rsid w:val="5D4C7939"/>
    <w:rsid w:val="5D7673E3"/>
    <w:rsid w:val="5D7869BE"/>
    <w:rsid w:val="5D8F1123"/>
    <w:rsid w:val="5D957C98"/>
    <w:rsid w:val="5DAA6B6B"/>
    <w:rsid w:val="5DBE396C"/>
    <w:rsid w:val="5DD87487"/>
    <w:rsid w:val="5DE62133"/>
    <w:rsid w:val="5DF033F6"/>
    <w:rsid w:val="5EF53F17"/>
    <w:rsid w:val="5F3560BF"/>
    <w:rsid w:val="5FF86BF2"/>
    <w:rsid w:val="6009273B"/>
    <w:rsid w:val="60093B85"/>
    <w:rsid w:val="600B75B7"/>
    <w:rsid w:val="602C0F8A"/>
    <w:rsid w:val="608D17B4"/>
    <w:rsid w:val="60AA7888"/>
    <w:rsid w:val="60BD1D85"/>
    <w:rsid w:val="60DF1520"/>
    <w:rsid w:val="60F72DEA"/>
    <w:rsid w:val="61027574"/>
    <w:rsid w:val="610750C1"/>
    <w:rsid w:val="610A62D1"/>
    <w:rsid w:val="614A57AA"/>
    <w:rsid w:val="61500EBB"/>
    <w:rsid w:val="61655970"/>
    <w:rsid w:val="61726E3D"/>
    <w:rsid w:val="61C51717"/>
    <w:rsid w:val="61F77EE8"/>
    <w:rsid w:val="621630C4"/>
    <w:rsid w:val="62265BF1"/>
    <w:rsid w:val="62790BBF"/>
    <w:rsid w:val="62A84D5E"/>
    <w:rsid w:val="62D636E5"/>
    <w:rsid w:val="62E527DF"/>
    <w:rsid w:val="62EC3C62"/>
    <w:rsid w:val="639222CA"/>
    <w:rsid w:val="63AD2F54"/>
    <w:rsid w:val="63B74933"/>
    <w:rsid w:val="63BB70B5"/>
    <w:rsid w:val="63D97241"/>
    <w:rsid w:val="640F3694"/>
    <w:rsid w:val="64385B46"/>
    <w:rsid w:val="645A6478"/>
    <w:rsid w:val="64896117"/>
    <w:rsid w:val="64DB70A3"/>
    <w:rsid w:val="65040DC9"/>
    <w:rsid w:val="65184F95"/>
    <w:rsid w:val="65293587"/>
    <w:rsid w:val="65374245"/>
    <w:rsid w:val="659B49BD"/>
    <w:rsid w:val="65A45331"/>
    <w:rsid w:val="65A84B17"/>
    <w:rsid w:val="65BF660F"/>
    <w:rsid w:val="662F7363"/>
    <w:rsid w:val="665A65AE"/>
    <w:rsid w:val="665B5F11"/>
    <w:rsid w:val="66EE70CB"/>
    <w:rsid w:val="671129BF"/>
    <w:rsid w:val="67244D75"/>
    <w:rsid w:val="6729654F"/>
    <w:rsid w:val="674B4506"/>
    <w:rsid w:val="67503406"/>
    <w:rsid w:val="676F52E0"/>
    <w:rsid w:val="676F59BF"/>
    <w:rsid w:val="67C2242C"/>
    <w:rsid w:val="680C6123"/>
    <w:rsid w:val="68251A37"/>
    <w:rsid w:val="68271E2F"/>
    <w:rsid w:val="68440209"/>
    <w:rsid w:val="68574A78"/>
    <w:rsid w:val="685D6530"/>
    <w:rsid w:val="68A17036"/>
    <w:rsid w:val="68C078EA"/>
    <w:rsid w:val="68CB5C7C"/>
    <w:rsid w:val="690E41EA"/>
    <w:rsid w:val="69264346"/>
    <w:rsid w:val="692B184D"/>
    <w:rsid w:val="69482CC7"/>
    <w:rsid w:val="69550916"/>
    <w:rsid w:val="69B3792C"/>
    <w:rsid w:val="6A035F59"/>
    <w:rsid w:val="6A5E356A"/>
    <w:rsid w:val="6B225DD0"/>
    <w:rsid w:val="6B234B9F"/>
    <w:rsid w:val="6B3E495E"/>
    <w:rsid w:val="6B6433C1"/>
    <w:rsid w:val="6BD20172"/>
    <w:rsid w:val="6C487E78"/>
    <w:rsid w:val="6C562F94"/>
    <w:rsid w:val="6C662BE4"/>
    <w:rsid w:val="6CB974A0"/>
    <w:rsid w:val="6CCA1DDC"/>
    <w:rsid w:val="6CD6308F"/>
    <w:rsid w:val="6D026B7D"/>
    <w:rsid w:val="6D045B43"/>
    <w:rsid w:val="6D111FCF"/>
    <w:rsid w:val="6D434CEA"/>
    <w:rsid w:val="6D79502A"/>
    <w:rsid w:val="6D8220B7"/>
    <w:rsid w:val="6DFF0065"/>
    <w:rsid w:val="6E005DEB"/>
    <w:rsid w:val="6E16047A"/>
    <w:rsid w:val="6E6E0DBB"/>
    <w:rsid w:val="6E71786A"/>
    <w:rsid w:val="6E777589"/>
    <w:rsid w:val="6E881964"/>
    <w:rsid w:val="6EA61572"/>
    <w:rsid w:val="6EB74EAF"/>
    <w:rsid w:val="6EF03434"/>
    <w:rsid w:val="6EFE704F"/>
    <w:rsid w:val="6F1A2C4A"/>
    <w:rsid w:val="6F262767"/>
    <w:rsid w:val="6F343C20"/>
    <w:rsid w:val="6F494999"/>
    <w:rsid w:val="6F5B73A8"/>
    <w:rsid w:val="6F6822D7"/>
    <w:rsid w:val="6F9F49B0"/>
    <w:rsid w:val="6FB874B4"/>
    <w:rsid w:val="6FEB279F"/>
    <w:rsid w:val="6FF61BE1"/>
    <w:rsid w:val="700600DE"/>
    <w:rsid w:val="701A7609"/>
    <w:rsid w:val="701E316D"/>
    <w:rsid w:val="7057415E"/>
    <w:rsid w:val="707C33A5"/>
    <w:rsid w:val="70AC0B26"/>
    <w:rsid w:val="711B191E"/>
    <w:rsid w:val="713737CC"/>
    <w:rsid w:val="71436795"/>
    <w:rsid w:val="71462760"/>
    <w:rsid w:val="71527879"/>
    <w:rsid w:val="719C7804"/>
    <w:rsid w:val="71C72AD3"/>
    <w:rsid w:val="71CC6D85"/>
    <w:rsid w:val="724E6817"/>
    <w:rsid w:val="724E6D50"/>
    <w:rsid w:val="725D7415"/>
    <w:rsid w:val="726A28C4"/>
    <w:rsid w:val="7271444E"/>
    <w:rsid w:val="72E25A7B"/>
    <w:rsid w:val="72EB0A43"/>
    <w:rsid w:val="72FD78B5"/>
    <w:rsid w:val="734D0E75"/>
    <w:rsid w:val="73850A93"/>
    <w:rsid w:val="73873F96"/>
    <w:rsid w:val="73A32B9F"/>
    <w:rsid w:val="73A367C4"/>
    <w:rsid w:val="73F96853"/>
    <w:rsid w:val="73FA365C"/>
    <w:rsid w:val="74135E82"/>
    <w:rsid w:val="74850A24"/>
    <w:rsid w:val="74B00580"/>
    <w:rsid w:val="74E5480E"/>
    <w:rsid w:val="750808E4"/>
    <w:rsid w:val="7512688F"/>
    <w:rsid w:val="75222A7C"/>
    <w:rsid w:val="75312F88"/>
    <w:rsid w:val="754F6D9F"/>
    <w:rsid w:val="75567078"/>
    <w:rsid w:val="75854F03"/>
    <w:rsid w:val="758B04D7"/>
    <w:rsid w:val="75CE13D9"/>
    <w:rsid w:val="76064007"/>
    <w:rsid w:val="760A11E0"/>
    <w:rsid w:val="764461E0"/>
    <w:rsid w:val="76A5060D"/>
    <w:rsid w:val="76E769E1"/>
    <w:rsid w:val="76E9529A"/>
    <w:rsid w:val="77260628"/>
    <w:rsid w:val="772B2306"/>
    <w:rsid w:val="776359BE"/>
    <w:rsid w:val="776B3C7C"/>
    <w:rsid w:val="77B07452"/>
    <w:rsid w:val="77E522C1"/>
    <w:rsid w:val="78016A91"/>
    <w:rsid w:val="78027F1A"/>
    <w:rsid w:val="7814315E"/>
    <w:rsid w:val="78387B4C"/>
    <w:rsid w:val="78444F86"/>
    <w:rsid w:val="784A7A67"/>
    <w:rsid w:val="785D1BFE"/>
    <w:rsid w:val="788238CC"/>
    <w:rsid w:val="789A5D87"/>
    <w:rsid w:val="79017595"/>
    <w:rsid w:val="791C1680"/>
    <w:rsid w:val="794F7B3E"/>
    <w:rsid w:val="7954379C"/>
    <w:rsid w:val="796D68C4"/>
    <w:rsid w:val="7989109B"/>
    <w:rsid w:val="7A3F4A1F"/>
    <w:rsid w:val="7A487CAC"/>
    <w:rsid w:val="7A8B709C"/>
    <w:rsid w:val="7AA86E00"/>
    <w:rsid w:val="7AAA3A4B"/>
    <w:rsid w:val="7AB27AE8"/>
    <w:rsid w:val="7ABC3D93"/>
    <w:rsid w:val="7ACF7C81"/>
    <w:rsid w:val="7B044882"/>
    <w:rsid w:val="7B2A40D3"/>
    <w:rsid w:val="7BB31965"/>
    <w:rsid w:val="7BF672F7"/>
    <w:rsid w:val="7C0D7138"/>
    <w:rsid w:val="7C551B8B"/>
    <w:rsid w:val="7C733915"/>
    <w:rsid w:val="7C887F42"/>
    <w:rsid w:val="7C8B793F"/>
    <w:rsid w:val="7CB6075A"/>
    <w:rsid w:val="7CD25447"/>
    <w:rsid w:val="7CF73913"/>
    <w:rsid w:val="7CF81394"/>
    <w:rsid w:val="7D111EDA"/>
    <w:rsid w:val="7D1A26A9"/>
    <w:rsid w:val="7D381051"/>
    <w:rsid w:val="7D61538E"/>
    <w:rsid w:val="7D764357"/>
    <w:rsid w:val="7D8B32F8"/>
    <w:rsid w:val="7DAB4811"/>
    <w:rsid w:val="7DCE022A"/>
    <w:rsid w:val="7DE87DAC"/>
    <w:rsid w:val="7E590B36"/>
    <w:rsid w:val="7E607A06"/>
    <w:rsid w:val="7E8466DA"/>
    <w:rsid w:val="7E98401A"/>
    <w:rsid w:val="7EA04889"/>
    <w:rsid w:val="7EC31904"/>
    <w:rsid w:val="7F0111EB"/>
    <w:rsid w:val="7F194892"/>
    <w:rsid w:val="7F492E62"/>
    <w:rsid w:val="7F567F7A"/>
    <w:rsid w:val="7FCF0B3D"/>
    <w:rsid w:val="7FD4033E"/>
    <w:rsid w:val="7FF16AF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51"/>
    <w:qFormat/>
    <w:uiPriority w:val="0"/>
    <w:pPr>
      <w:keepNext/>
      <w:keepLines/>
      <w:spacing w:before="340" w:after="330" w:line="576" w:lineRule="auto"/>
      <w:outlineLvl w:val="0"/>
    </w:pPr>
    <w:rPr>
      <w:rFonts w:ascii="Times New Roman" w:hAnsi="Times New Roman"/>
      <w:kern w:val="44"/>
      <w:sz w:val="44"/>
    </w:rPr>
  </w:style>
  <w:style w:type="paragraph" w:styleId="4">
    <w:name w:val="heading 2"/>
    <w:basedOn w:val="1"/>
    <w:next w:val="1"/>
    <w:link w:val="52"/>
    <w:qFormat/>
    <w:uiPriority w:val="0"/>
    <w:pPr>
      <w:keepNext/>
      <w:keepLines/>
      <w:spacing w:before="260" w:after="260" w:line="412" w:lineRule="auto"/>
      <w:outlineLvl w:val="1"/>
    </w:pPr>
    <w:rPr>
      <w:rFonts w:ascii="Arial" w:hAnsi="Arial" w:eastAsia="黑体"/>
      <w:b/>
      <w:sz w:val="32"/>
      <w:szCs w:val="20"/>
    </w:rPr>
  </w:style>
  <w:style w:type="paragraph" w:styleId="5">
    <w:name w:val="heading 3"/>
    <w:basedOn w:val="6"/>
    <w:next w:val="8"/>
    <w:link w:val="53"/>
    <w:qFormat/>
    <w:uiPriority w:val="0"/>
    <w:pPr>
      <w:keepNext/>
      <w:keepLines/>
      <w:tabs>
        <w:tab w:val="left" w:pos="1440"/>
      </w:tabs>
      <w:spacing w:before="260" w:after="260" w:line="412" w:lineRule="auto"/>
      <w:ind w:firstLine="49" w:firstLineChars="49"/>
      <w:outlineLvl w:val="2"/>
    </w:pPr>
    <w:rPr>
      <w:rFonts w:ascii="黑体" w:eastAsia="黑体"/>
      <w:sz w:val="28"/>
      <w:szCs w:val="20"/>
    </w:rPr>
  </w:style>
  <w:style w:type="paragraph" w:styleId="9">
    <w:name w:val="heading 4"/>
    <w:basedOn w:val="1"/>
    <w:next w:val="1"/>
    <w:link w:val="54"/>
    <w:qFormat/>
    <w:uiPriority w:val="0"/>
    <w:pPr>
      <w:keepNext/>
      <w:keepLines/>
      <w:spacing w:before="280" w:after="290" w:line="374" w:lineRule="auto"/>
      <w:outlineLvl w:val="3"/>
    </w:pPr>
    <w:rPr>
      <w:rFonts w:ascii="Arial" w:hAnsi="Arial" w:eastAsia="黑体"/>
      <w:b/>
      <w:bCs/>
      <w:sz w:val="28"/>
      <w:szCs w:val="28"/>
    </w:rPr>
  </w:style>
  <w:style w:type="paragraph" w:styleId="10">
    <w:name w:val="heading 5"/>
    <w:basedOn w:val="1"/>
    <w:next w:val="1"/>
    <w:link w:val="75"/>
    <w:semiHidden/>
    <w:unhideWhenUsed/>
    <w:qFormat/>
    <w:uiPriority w:val="9"/>
    <w:pPr>
      <w:keepNext/>
      <w:keepLines/>
      <w:spacing w:before="280" w:after="290" w:line="376" w:lineRule="auto"/>
      <w:outlineLvl w:val="4"/>
    </w:pPr>
    <w:rPr>
      <w:rFonts w:ascii="Times New Roman" w:hAnsi="Times New Roman"/>
      <w:b/>
      <w:bCs/>
      <w:sz w:val="28"/>
      <w:szCs w:val="28"/>
    </w:rPr>
  </w:style>
  <w:style w:type="paragraph" w:styleId="7">
    <w:name w:val="heading 6"/>
    <w:basedOn w:val="1"/>
    <w:next w:val="1"/>
    <w:link w:val="55"/>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szCs w:val="20"/>
    </w:rPr>
  </w:style>
  <w:style w:type="paragraph" w:styleId="11">
    <w:name w:val="heading 7"/>
    <w:basedOn w:val="1"/>
    <w:next w:val="1"/>
    <w:link w:val="56"/>
    <w:qFormat/>
    <w:uiPriority w:val="0"/>
    <w:pPr>
      <w:keepNext/>
      <w:keepLines/>
      <w:widowControl/>
      <w:tabs>
        <w:tab w:val="left" w:pos="2520"/>
      </w:tabs>
      <w:spacing w:before="240" w:after="64" w:line="319" w:lineRule="auto"/>
      <w:ind w:left="1296" w:hanging="1296"/>
      <w:jc w:val="left"/>
      <w:outlineLvl w:val="6"/>
    </w:pPr>
    <w:rPr>
      <w:rFonts w:ascii="Times New Roman" w:hAnsi="Times New Roman"/>
      <w:b/>
      <w:bCs/>
      <w:kern w:val="0"/>
      <w:sz w:val="24"/>
      <w:szCs w:val="20"/>
    </w:rPr>
  </w:style>
  <w:style w:type="paragraph" w:styleId="12">
    <w:name w:val="heading 8"/>
    <w:basedOn w:val="1"/>
    <w:next w:val="1"/>
    <w:link w:val="57"/>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szCs w:val="20"/>
    </w:rPr>
  </w:style>
  <w:style w:type="paragraph" w:styleId="13">
    <w:name w:val="heading 9"/>
    <w:basedOn w:val="1"/>
    <w:next w:val="1"/>
    <w:link w:val="58"/>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97"/>
    <w:qFormat/>
    <w:uiPriority w:val="0"/>
    <w:rPr>
      <w:rFonts w:ascii="宋体"/>
    </w:rPr>
  </w:style>
  <w:style w:type="paragraph" w:customStyle="1" w:styleId="6">
    <w:name w:val="标题 60"/>
    <w:basedOn w:val="7"/>
    <w:qFormat/>
    <w:uiPriority w:val="0"/>
    <w:pPr>
      <w:spacing w:line="319" w:lineRule="auto"/>
      <w:ind w:firstLine="200" w:firstLineChars="200"/>
    </w:pPr>
    <w:rPr>
      <w:b w:val="0"/>
      <w:bCs w:val="0"/>
    </w:rPr>
  </w:style>
  <w:style w:type="paragraph" w:styleId="8">
    <w:name w:val="Normal Indent"/>
    <w:basedOn w:val="1"/>
    <w:next w:val="1"/>
    <w:qFormat/>
    <w:uiPriority w:val="0"/>
    <w:pPr>
      <w:ind w:firstLine="420"/>
    </w:pPr>
  </w:style>
  <w:style w:type="paragraph" w:styleId="14">
    <w:name w:val="toc 7"/>
    <w:basedOn w:val="1"/>
    <w:next w:val="1"/>
    <w:qFormat/>
    <w:uiPriority w:val="39"/>
    <w:pPr>
      <w:ind w:left="1200" w:leftChars="1200"/>
    </w:pPr>
  </w:style>
  <w:style w:type="paragraph" w:styleId="15">
    <w:name w:val="caption"/>
    <w:basedOn w:val="1"/>
    <w:next w:val="1"/>
    <w:semiHidden/>
    <w:unhideWhenUsed/>
    <w:qFormat/>
    <w:uiPriority w:val="0"/>
    <w:rPr>
      <w:rFonts w:eastAsia="黑体" w:asciiTheme="majorHAnsi" w:hAnsiTheme="majorHAnsi" w:cstheme="majorBidi"/>
      <w:sz w:val="20"/>
      <w:szCs w:val="20"/>
    </w:rPr>
  </w:style>
  <w:style w:type="paragraph" w:styleId="16">
    <w:name w:val="Document Map"/>
    <w:basedOn w:val="1"/>
    <w:link w:val="64"/>
    <w:qFormat/>
    <w:uiPriority w:val="0"/>
    <w:rPr>
      <w:rFonts w:ascii="宋体" w:cs="宋体"/>
      <w:sz w:val="18"/>
      <w:szCs w:val="18"/>
    </w:rPr>
  </w:style>
  <w:style w:type="paragraph" w:styleId="17">
    <w:name w:val="annotation text"/>
    <w:basedOn w:val="1"/>
    <w:link w:val="62"/>
    <w:qFormat/>
    <w:uiPriority w:val="0"/>
    <w:pPr>
      <w:jc w:val="left"/>
    </w:pPr>
    <w:rPr>
      <w:rFonts w:ascii="Times New Roman" w:hAnsi="Times New Roman"/>
      <w:szCs w:val="20"/>
    </w:rPr>
  </w:style>
  <w:style w:type="paragraph" w:styleId="18">
    <w:name w:val="Body Text 3"/>
    <w:basedOn w:val="1"/>
    <w:link w:val="66"/>
    <w:qFormat/>
    <w:uiPriority w:val="0"/>
    <w:rPr>
      <w:rFonts w:ascii="宋体"/>
      <w:sz w:val="24"/>
      <w:szCs w:val="20"/>
    </w:rPr>
  </w:style>
  <w:style w:type="paragraph" w:styleId="19">
    <w:name w:val="Body Text"/>
    <w:basedOn w:val="1"/>
    <w:link w:val="81"/>
    <w:unhideWhenUsed/>
    <w:qFormat/>
    <w:uiPriority w:val="0"/>
    <w:pPr>
      <w:spacing w:after="120"/>
    </w:pPr>
  </w:style>
  <w:style w:type="paragraph" w:styleId="20">
    <w:name w:val="Body Text Indent"/>
    <w:basedOn w:val="1"/>
    <w:link w:val="83"/>
    <w:qFormat/>
    <w:uiPriority w:val="0"/>
    <w:pPr>
      <w:spacing w:after="120"/>
      <w:ind w:left="420" w:leftChars="200"/>
    </w:pPr>
    <w:rPr>
      <w:rFonts w:ascii="Times New Roman" w:hAnsi="Times New Roman"/>
      <w:szCs w:val="20"/>
    </w:rPr>
  </w:style>
  <w:style w:type="paragraph" w:styleId="21">
    <w:name w:val="Block Text"/>
    <w:basedOn w:val="1"/>
    <w:qFormat/>
    <w:uiPriority w:val="0"/>
    <w:pPr>
      <w:tabs>
        <w:tab w:val="left" w:pos="8364"/>
      </w:tabs>
      <w:snapToGrid w:val="0"/>
      <w:spacing w:line="240" w:lineRule="atLeast"/>
      <w:ind w:left="1260" w:right="-57"/>
    </w:pPr>
    <w:rPr>
      <w:rFonts w:ascii="宋体" w:hAnsi="Times New Roman"/>
      <w:color w:val="FF0000"/>
      <w:szCs w:val="24"/>
    </w:rPr>
  </w:style>
  <w:style w:type="paragraph" w:styleId="22">
    <w:name w:val="toc 5"/>
    <w:basedOn w:val="1"/>
    <w:next w:val="1"/>
    <w:qFormat/>
    <w:uiPriority w:val="39"/>
    <w:pPr>
      <w:ind w:left="800" w:leftChars="800"/>
    </w:pPr>
  </w:style>
  <w:style w:type="paragraph" w:styleId="23">
    <w:name w:val="toc 3"/>
    <w:basedOn w:val="1"/>
    <w:next w:val="1"/>
    <w:qFormat/>
    <w:uiPriority w:val="39"/>
    <w:pPr>
      <w:ind w:left="400" w:leftChars="400"/>
    </w:pPr>
  </w:style>
  <w:style w:type="paragraph" w:styleId="24">
    <w:name w:val="toc 8"/>
    <w:basedOn w:val="1"/>
    <w:next w:val="1"/>
    <w:qFormat/>
    <w:uiPriority w:val="39"/>
    <w:pPr>
      <w:ind w:left="1400" w:leftChars="1400"/>
    </w:pPr>
  </w:style>
  <w:style w:type="paragraph" w:styleId="25">
    <w:name w:val="Date"/>
    <w:basedOn w:val="1"/>
    <w:next w:val="1"/>
    <w:link w:val="70"/>
    <w:qFormat/>
    <w:uiPriority w:val="0"/>
    <w:pPr>
      <w:ind w:left="2500" w:leftChars="2500"/>
    </w:pPr>
    <w:rPr>
      <w:rFonts w:ascii="Times New Roman" w:hAnsi="Times New Roman"/>
      <w:szCs w:val="20"/>
    </w:rPr>
  </w:style>
  <w:style w:type="paragraph" w:styleId="26">
    <w:name w:val="Balloon Text"/>
    <w:basedOn w:val="1"/>
    <w:link w:val="69"/>
    <w:qFormat/>
    <w:uiPriority w:val="0"/>
    <w:rPr>
      <w:rFonts w:ascii="Times New Roman" w:hAnsi="Times New Roman"/>
      <w:sz w:val="18"/>
      <w:szCs w:val="20"/>
    </w:rPr>
  </w:style>
  <w:style w:type="paragraph" w:styleId="27">
    <w:name w:val="footer"/>
    <w:basedOn w:val="1"/>
    <w:link w:val="65"/>
    <w:qFormat/>
    <w:uiPriority w:val="99"/>
    <w:pPr>
      <w:tabs>
        <w:tab w:val="center" w:pos="4153"/>
        <w:tab w:val="right" w:pos="8306"/>
      </w:tabs>
      <w:snapToGrid w:val="0"/>
      <w:jc w:val="left"/>
    </w:pPr>
    <w:rPr>
      <w:sz w:val="18"/>
    </w:rPr>
  </w:style>
  <w:style w:type="paragraph" w:styleId="28">
    <w:name w:val="header"/>
    <w:basedOn w:val="1"/>
    <w:link w:val="68"/>
    <w:qFormat/>
    <w:uiPriority w:val="0"/>
    <w:pPr>
      <w:tabs>
        <w:tab w:val="center" w:pos="4153"/>
        <w:tab w:val="right" w:pos="8306"/>
      </w:tabs>
      <w:snapToGrid w:val="0"/>
    </w:pPr>
    <w:rPr>
      <w:rFonts w:ascii="Times New Roman" w:hAnsi="Times New Roman"/>
      <w:sz w:val="18"/>
      <w:szCs w:val="20"/>
    </w:rPr>
  </w:style>
  <w:style w:type="paragraph" w:styleId="29">
    <w:name w:val="toc 1"/>
    <w:basedOn w:val="1"/>
    <w:next w:val="1"/>
    <w:qFormat/>
    <w:uiPriority w:val="39"/>
  </w:style>
  <w:style w:type="paragraph" w:styleId="30">
    <w:name w:val="toc 4"/>
    <w:basedOn w:val="1"/>
    <w:next w:val="1"/>
    <w:qFormat/>
    <w:uiPriority w:val="39"/>
    <w:pPr>
      <w:ind w:left="600" w:leftChars="600"/>
    </w:pPr>
  </w:style>
  <w:style w:type="paragraph" w:styleId="31">
    <w:name w:val="toc 6"/>
    <w:basedOn w:val="1"/>
    <w:next w:val="1"/>
    <w:qFormat/>
    <w:uiPriority w:val="39"/>
    <w:pPr>
      <w:ind w:left="1000" w:leftChars="1000"/>
    </w:pPr>
  </w:style>
  <w:style w:type="paragraph" w:styleId="32">
    <w:name w:val="Body Text Indent 3"/>
    <w:basedOn w:val="1"/>
    <w:link w:val="67"/>
    <w:qFormat/>
    <w:uiPriority w:val="0"/>
    <w:pPr>
      <w:spacing w:after="120"/>
      <w:ind w:left="200" w:leftChars="200"/>
    </w:pPr>
    <w:rPr>
      <w:sz w:val="16"/>
      <w:szCs w:val="16"/>
    </w:rPr>
  </w:style>
  <w:style w:type="paragraph" w:styleId="33">
    <w:name w:val="toc 2"/>
    <w:basedOn w:val="1"/>
    <w:next w:val="1"/>
    <w:qFormat/>
    <w:uiPriority w:val="39"/>
    <w:pPr>
      <w:ind w:left="200" w:leftChars="200"/>
    </w:pPr>
  </w:style>
  <w:style w:type="paragraph" w:styleId="34">
    <w:name w:val="toc 9"/>
    <w:basedOn w:val="1"/>
    <w:next w:val="1"/>
    <w:qFormat/>
    <w:uiPriority w:val="39"/>
    <w:pPr>
      <w:ind w:left="1600" w:leftChars="1600"/>
    </w:pPr>
  </w:style>
  <w:style w:type="paragraph" w:styleId="35">
    <w:name w:val="Normal (Web)"/>
    <w:basedOn w:val="1"/>
    <w:qFormat/>
    <w:uiPriority w:val="99"/>
    <w:pPr>
      <w:widowControl/>
      <w:spacing w:before="100" w:beforeAutospacing="1" w:after="100" w:afterAutospacing="1"/>
      <w:jc w:val="left"/>
    </w:pPr>
    <w:rPr>
      <w:rFonts w:ascii="宋体" w:hAnsi="宋体" w:cs="宋体"/>
      <w:color w:val="000000"/>
      <w:kern w:val="0"/>
      <w:sz w:val="24"/>
      <w:szCs w:val="20"/>
    </w:rPr>
  </w:style>
  <w:style w:type="paragraph" w:styleId="36">
    <w:name w:val="index 1"/>
    <w:basedOn w:val="1"/>
    <w:next w:val="1"/>
    <w:qFormat/>
    <w:uiPriority w:val="0"/>
    <w:pPr>
      <w:spacing w:line="220" w:lineRule="exact"/>
      <w:jc w:val="center"/>
    </w:pPr>
    <w:rPr>
      <w:rFonts w:ascii="方正仿宋_GB2312" w:hAnsi="Times New Roman" w:eastAsia="方正仿宋_GB2312"/>
      <w:szCs w:val="21"/>
    </w:rPr>
  </w:style>
  <w:style w:type="paragraph" w:styleId="37">
    <w:name w:val="Title"/>
    <w:basedOn w:val="1"/>
    <w:link w:val="87"/>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38">
    <w:name w:val="annotation subject"/>
    <w:basedOn w:val="17"/>
    <w:next w:val="17"/>
    <w:link w:val="63"/>
    <w:qFormat/>
    <w:uiPriority w:val="0"/>
  </w:style>
  <w:style w:type="paragraph" w:styleId="39">
    <w:name w:val="Body Text First Indent"/>
    <w:basedOn w:val="19"/>
    <w:link w:val="76"/>
    <w:qFormat/>
    <w:uiPriority w:val="0"/>
    <w:pPr>
      <w:spacing w:line="312" w:lineRule="auto"/>
      <w:ind w:firstLine="420"/>
    </w:pPr>
    <w:rPr>
      <w:szCs w:val="24"/>
    </w:rPr>
  </w:style>
  <w:style w:type="table" w:styleId="41">
    <w:name w:val="Table Grid"/>
    <w:basedOn w:val="4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3">
    <w:name w:val="Strong"/>
    <w:qFormat/>
    <w:uiPriority w:val="0"/>
    <w:rPr>
      <w:b/>
      <w:bCs/>
    </w:rPr>
  </w:style>
  <w:style w:type="character" w:styleId="44">
    <w:name w:val="page number"/>
    <w:basedOn w:val="42"/>
    <w:qFormat/>
    <w:uiPriority w:val="0"/>
  </w:style>
  <w:style w:type="character" w:styleId="45">
    <w:name w:val="FollowedHyperlink"/>
    <w:basedOn w:val="42"/>
    <w:semiHidden/>
    <w:unhideWhenUsed/>
    <w:qFormat/>
    <w:uiPriority w:val="99"/>
    <w:rPr>
      <w:color w:val="000000"/>
      <w:u w:val="none"/>
    </w:rPr>
  </w:style>
  <w:style w:type="character" w:styleId="46">
    <w:name w:val="Hyperlink"/>
    <w:qFormat/>
    <w:uiPriority w:val="99"/>
    <w:rPr>
      <w:color w:val="0000FF"/>
      <w:u w:val="single"/>
    </w:rPr>
  </w:style>
  <w:style w:type="character" w:styleId="47">
    <w:name w:val="annotation reference"/>
    <w:qFormat/>
    <w:uiPriority w:val="0"/>
    <w:rPr>
      <w:sz w:val="21"/>
    </w:rPr>
  </w:style>
  <w:style w:type="character" w:styleId="48">
    <w:name w:val="footnote reference"/>
    <w:qFormat/>
    <w:uiPriority w:val="0"/>
    <w:rPr>
      <w:vertAlign w:val="superscript"/>
    </w:rPr>
  </w:style>
  <w:style w:type="paragraph" w:customStyle="1" w:styleId="49">
    <w:name w:val="_Style 2"/>
    <w:basedOn w:val="1"/>
    <w:next w:val="1"/>
    <w:qFormat/>
    <w:uiPriority w:val="0"/>
    <w:pPr>
      <w:ind w:firstLine="420"/>
    </w:pPr>
    <w:rPr>
      <w:rFonts w:ascii="Cambria" w:hAnsi="Cambria"/>
      <w:szCs w:val="21"/>
    </w:rPr>
  </w:style>
  <w:style w:type="paragraph" w:customStyle="1" w:styleId="50">
    <w:name w:val="正文_0"/>
    <w:next w:val="19"/>
    <w:link w:val="111"/>
    <w:qFormat/>
    <w:uiPriority w:val="0"/>
    <w:rPr>
      <w:rFonts w:ascii="Times New Roman" w:hAnsi="Times New Roman" w:eastAsia="宋体" w:cs="Times New Roman"/>
      <w:sz w:val="21"/>
      <w:lang w:val="en-US" w:eastAsia="zh-CN" w:bidi="ar-SA"/>
    </w:rPr>
  </w:style>
  <w:style w:type="character" w:customStyle="1" w:styleId="51">
    <w:name w:val="标题 1 Char"/>
    <w:basedOn w:val="42"/>
    <w:link w:val="3"/>
    <w:qFormat/>
    <w:uiPriority w:val="0"/>
    <w:rPr>
      <w:rFonts w:eastAsia="宋体"/>
      <w:b/>
      <w:kern w:val="44"/>
      <w:sz w:val="44"/>
    </w:rPr>
  </w:style>
  <w:style w:type="character" w:customStyle="1" w:styleId="52">
    <w:name w:val="标题 2 Char1"/>
    <w:basedOn w:val="42"/>
    <w:link w:val="4"/>
    <w:qFormat/>
    <w:uiPriority w:val="0"/>
    <w:rPr>
      <w:rFonts w:ascii="Arial" w:hAnsi="Arial" w:eastAsia="黑体"/>
      <w:b/>
      <w:kern w:val="2"/>
      <w:sz w:val="32"/>
    </w:rPr>
  </w:style>
  <w:style w:type="character" w:customStyle="1" w:styleId="53">
    <w:name w:val="标题 3 Char1"/>
    <w:basedOn w:val="42"/>
    <w:link w:val="5"/>
    <w:qFormat/>
    <w:uiPriority w:val="0"/>
    <w:rPr>
      <w:rFonts w:ascii="黑体" w:hAnsi="Calibri" w:eastAsia="黑体"/>
      <w:kern w:val="2"/>
      <w:sz w:val="28"/>
    </w:rPr>
  </w:style>
  <w:style w:type="character" w:customStyle="1" w:styleId="54">
    <w:name w:val="标题 4 Char"/>
    <w:basedOn w:val="42"/>
    <w:link w:val="9"/>
    <w:qFormat/>
    <w:uiPriority w:val="0"/>
    <w:rPr>
      <w:rFonts w:ascii="Arial" w:hAnsi="Arial" w:eastAsia="黑体"/>
      <w:b/>
      <w:bCs/>
      <w:kern w:val="2"/>
      <w:sz w:val="28"/>
      <w:szCs w:val="28"/>
    </w:rPr>
  </w:style>
  <w:style w:type="character" w:customStyle="1" w:styleId="55">
    <w:name w:val="标题 6 Char1"/>
    <w:basedOn w:val="42"/>
    <w:link w:val="7"/>
    <w:qFormat/>
    <w:uiPriority w:val="0"/>
    <w:rPr>
      <w:rFonts w:ascii="Arial" w:hAnsi="Arial" w:eastAsia="黑体"/>
      <w:b/>
      <w:bCs/>
      <w:sz w:val="24"/>
    </w:rPr>
  </w:style>
  <w:style w:type="character" w:customStyle="1" w:styleId="56">
    <w:name w:val="标题 7 Char"/>
    <w:basedOn w:val="42"/>
    <w:link w:val="11"/>
    <w:qFormat/>
    <w:uiPriority w:val="0"/>
    <w:rPr>
      <w:rFonts w:eastAsia="宋体"/>
      <w:b/>
      <w:bCs/>
      <w:sz w:val="24"/>
    </w:rPr>
  </w:style>
  <w:style w:type="character" w:customStyle="1" w:styleId="57">
    <w:name w:val="标题 8 Char"/>
    <w:basedOn w:val="42"/>
    <w:link w:val="12"/>
    <w:qFormat/>
    <w:uiPriority w:val="0"/>
    <w:rPr>
      <w:rFonts w:ascii="Arial" w:hAnsi="Arial" w:eastAsia="黑体"/>
      <w:sz w:val="24"/>
    </w:rPr>
  </w:style>
  <w:style w:type="character" w:customStyle="1" w:styleId="58">
    <w:name w:val="标题 9 Char"/>
    <w:basedOn w:val="42"/>
    <w:link w:val="13"/>
    <w:qFormat/>
    <w:uiPriority w:val="0"/>
    <w:rPr>
      <w:rFonts w:ascii="Arial" w:hAnsi="Arial" w:eastAsia="黑体"/>
      <w:sz w:val="21"/>
      <w:szCs w:val="21"/>
    </w:rPr>
  </w:style>
  <w:style w:type="character" w:customStyle="1" w:styleId="59">
    <w:name w:val="style_kwd"/>
    <w:basedOn w:val="42"/>
    <w:qFormat/>
    <w:uiPriority w:val="0"/>
  </w:style>
  <w:style w:type="character" w:customStyle="1" w:styleId="60">
    <w:name w:val="批注文字 Char1"/>
    <w:qFormat/>
    <w:uiPriority w:val="0"/>
    <w:rPr>
      <w:rFonts w:ascii="Times New Roman" w:hAnsi="Times New Roman" w:eastAsia="宋体" w:cs="Times New Roman"/>
      <w:sz w:val="20"/>
      <w:szCs w:val="20"/>
      <w:lang w:bidi="ar-SA"/>
    </w:rPr>
  </w:style>
  <w:style w:type="character" w:customStyle="1" w:styleId="61">
    <w:name w:val="Comment Text Char"/>
    <w:qFormat/>
    <w:uiPriority w:val="0"/>
  </w:style>
  <w:style w:type="character" w:customStyle="1" w:styleId="62">
    <w:name w:val="批注文字 Char2"/>
    <w:basedOn w:val="42"/>
    <w:link w:val="17"/>
    <w:qFormat/>
    <w:uiPriority w:val="0"/>
    <w:rPr>
      <w:rFonts w:eastAsia="宋体"/>
      <w:kern w:val="2"/>
      <w:sz w:val="21"/>
    </w:rPr>
  </w:style>
  <w:style w:type="character" w:customStyle="1" w:styleId="63">
    <w:name w:val="批注主题 Char"/>
    <w:link w:val="38"/>
    <w:qFormat/>
    <w:uiPriority w:val="0"/>
    <w:rPr>
      <w:rFonts w:eastAsia="宋体"/>
      <w:kern w:val="2"/>
      <w:sz w:val="21"/>
    </w:rPr>
  </w:style>
  <w:style w:type="character" w:customStyle="1" w:styleId="64">
    <w:name w:val="文档结构图 Char"/>
    <w:link w:val="16"/>
    <w:qFormat/>
    <w:uiPriority w:val="0"/>
    <w:rPr>
      <w:rFonts w:ascii="宋体" w:hAnsi="Calibri" w:eastAsia="宋体" w:cs="宋体"/>
      <w:kern w:val="2"/>
      <w:sz w:val="18"/>
      <w:szCs w:val="18"/>
    </w:rPr>
  </w:style>
  <w:style w:type="character" w:customStyle="1" w:styleId="65">
    <w:name w:val="页脚 Char"/>
    <w:link w:val="27"/>
    <w:qFormat/>
    <w:uiPriority w:val="99"/>
    <w:rPr>
      <w:rFonts w:ascii="Calibri" w:hAnsi="Calibri" w:eastAsia="宋体"/>
      <w:kern w:val="2"/>
      <w:sz w:val="18"/>
      <w:szCs w:val="22"/>
    </w:rPr>
  </w:style>
  <w:style w:type="character" w:customStyle="1" w:styleId="66">
    <w:name w:val="正文文本 3 Char1"/>
    <w:basedOn w:val="42"/>
    <w:link w:val="18"/>
    <w:qFormat/>
    <w:uiPriority w:val="0"/>
    <w:rPr>
      <w:rFonts w:ascii="宋体" w:hAnsi="Calibri" w:eastAsia="宋体"/>
      <w:kern w:val="2"/>
      <w:sz w:val="24"/>
    </w:rPr>
  </w:style>
  <w:style w:type="character" w:customStyle="1" w:styleId="67">
    <w:name w:val="正文文本缩进 3 Char"/>
    <w:basedOn w:val="42"/>
    <w:link w:val="32"/>
    <w:qFormat/>
    <w:uiPriority w:val="0"/>
    <w:rPr>
      <w:rFonts w:ascii="Calibri" w:hAnsi="Calibri" w:eastAsia="宋体"/>
      <w:kern w:val="2"/>
      <w:sz w:val="16"/>
      <w:szCs w:val="16"/>
    </w:rPr>
  </w:style>
  <w:style w:type="character" w:customStyle="1" w:styleId="68">
    <w:name w:val="页眉 Char"/>
    <w:link w:val="28"/>
    <w:qFormat/>
    <w:uiPriority w:val="0"/>
    <w:rPr>
      <w:rFonts w:eastAsia="宋体"/>
      <w:kern w:val="2"/>
      <w:sz w:val="18"/>
    </w:rPr>
  </w:style>
  <w:style w:type="character" w:customStyle="1" w:styleId="69">
    <w:name w:val="批注框文本 Char"/>
    <w:link w:val="26"/>
    <w:qFormat/>
    <w:uiPriority w:val="0"/>
    <w:rPr>
      <w:rFonts w:eastAsia="宋体"/>
      <w:kern w:val="2"/>
      <w:sz w:val="18"/>
    </w:rPr>
  </w:style>
  <w:style w:type="character" w:customStyle="1" w:styleId="70">
    <w:name w:val="日期 Char"/>
    <w:link w:val="25"/>
    <w:qFormat/>
    <w:uiPriority w:val="0"/>
    <w:rPr>
      <w:rFonts w:eastAsia="宋体"/>
      <w:kern w:val="2"/>
      <w:sz w:val="21"/>
    </w:rPr>
  </w:style>
  <w:style w:type="paragraph" w:customStyle="1" w:styleId="71">
    <w:name w:val="修订1"/>
    <w:qFormat/>
    <w:uiPriority w:val="0"/>
    <w:rPr>
      <w:rFonts w:ascii="Times New Roman" w:hAnsi="Times New Roman" w:eastAsia="宋体" w:cs="Times New Roman"/>
      <w:kern w:val="2"/>
      <w:sz w:val="21"/>
      <w:lang w:val="en-US" w:eastAsia="zh-CN" w:bidi="ar-SA"/>
    </w:rPr>
  </w:style>
  <w:style w:type="paragraph" w:customStyle="1" w:styleId="72">
    <w:name w:val="_Style 23"/>
    <w:basedOn w:val="1"/>
    <w:qFormat/>
    <w:uiPriority w:val="0"/>
    <w:pPr>
      <w:widowControl/>
      <w:spacing w:after="160" w:line="240" w:lineRule="exact"/>
      <w:jc w:val="left"/>
    </w:pPr>
  </w:style>
  <w:style w:type="paragraph" w:customStyle="1" w:styleId="73">
    <w:name w:val="TOC 标题1"/>
    <w:basedOn w:val="3"/>
    <w:next w:val="1"/>
    <w:qFormat/>
    <w:uiPriority w:val="0"/>
    <w:pPr>
      <w:widowControl/>
      <w:spacing w:before="480" w:after="0" w:line="276" w:lineRule="auto"/>
      <w:jc w:val="left"/>
      <w:outlineLvl w:val="9"/>
    </w:pPr>
    <w:rPr>
      <w:rFonts w:ascii="Cambria" w:hAnsi="Cambria"/>
      <w:color w:val="365F91"/>
      <w:kern w:val="0"/>
      <w:sz w:val="28"/>
    </w:rPr>
  </w:style>
  <w:style w:type="character" w:customStyle="1" w:styleId="74">
    <w:name w:val="font161"/>
    <w:qFormat/>
    <w:uiPriority w:val="0"/>
    <w:rPr>
      <w:b/>
      <w:bCs/>
      <w:sz w:val="32"/>
      <w:szCs w:val="32"/>
    </w:rPr>
  </w:style>
  <w:style w:type="character" w:customStyle="1" w:styleId="75">
    <w:name w:val="标题 5 Char"/>
    <w:basedOn w:val="42"/>
    <w:link w:val="10"/>
    <w:semiHidden/>
    <w:qFormat/>
    <w:uiPriority w:val="9"/>
    <w:rPr>
      <w:rFonts w:eastAsia="宋体"/>
      <w:b/>
      <w:bCs/>
      <w:kern w:val="2"/>
      <w:sz w:val="28"/>
      <w:szCs w:val="28"/>
    </w:rPr>
  </w:style>
  <w:style w:type="character" w:customStyle="1" w:styleId="76">
    <w:name w:val="正文首行缩进 Char2"/>
    <w:basedOn w:val="77"/>
    <w:link w:val="39"/>
    <w:qFormat/>
    <w:uiPriority w:val="0"/>
    <w:rPr>
      <w:rFonts w:eastAsia="宋体"/>
      <w:kern w:val="2"/>
      <w:sz w:val="21"/>
      <w:szCs w:val="24"/>
      <w:lang w:val="en-US" w:eastAsia="zh-CN" w:bidi="ar-SA"/>
    </w:rPr>
  </w:style>
  <w:style w:type="character" w:customStyle="1" w:styleId="77">
    <w:name w:val="正文文本 Char"/>
    <w:qFormat/>
    <w:uiPriority w:val="0"/>
    <w:rPr>
      <w:rFonts w:eastAsia="宋体"/>
      <w:kern w:val="2"/>
      <w:sz w:val="21"/>
      <w:szCs w:val="24"/>
      <w:lang w:val="en-US" w:eastAsia="zh-CN" w:bidi="ar-SA"/>
    </w:rPr>
  </w:style>
  <w:style w:type="paragraph" w:customStyle="1" w:styleId="78">
    <w:name w:val="表格文字"/>
    <w:basedOn w:val="1"/>
    <w:qFormat/>
    <w:uiPriority w:val="0"/>
    <w:pPr>
      <w:adjustRightInd w:val="0"/>
      <w:spacing w:line="420" w:lineRule="atLeast"/>
      <w:jc w:val="left"/>
      <w:textAlignment w:val="baseline"/>
    </w:pPr>
    <w:rPr>
      <w:rFonts w:ascii="Times New Roman" w:hAnsi="Times New Roman"/>
      <w:kern w:val="0"/>
      <w:szCs w:val="20"/>
    </w:rPr>
  </w:style>
  <w:style w:type="paragraph" w:customStyle="1" w:styleId="79">
    <w:name w:val="Char"/>
    <w:basedOn w:val="1"/>
    <w:qFormat/>
    <w:uiPriority w:val="0"/>
    <w:pPr>
      <w:widowControl/>
      <w:spacing w:after="160" w:line="240" w:lineRule="exact"/>
      <w:jc w:val="left"/>
    </w:pPr>
    <w:rPr>
      <w:rFonts w:ascii="Verdana" w:hAnsi="Verdana"/>
      <w:kern w:val="0"/>
      <w:sz w:val="20"/>
      <w:szCs w:val="20"/>
      <w:lang w:eastAsia="en-US"/>
    </w:rPr>
  </w:style>
  <w:style w:type="paragraph" w:styleId="80">
    <w:name w:val="List Paragraph"/>
    <w:basedOn w:val="1"/>
    <w:qFormat/>
    <w:uiPriority w:val="1"/>
    <w:pPr>
      <w:ind w:firstLine="420" w:firstLineChars="200"/>
    </w:pPr>
  </w:style>
  <w:style w:type="character" w:customStyle="1" w:styleId="81">
    <w:name w:val="正文文本 Char1"/>
    <w:basedOn w:val="42"/>
    <w:link w:val="19"/>
    <w:qFormat/>
    <w:uiPriority w:val="0"/>
    <w:rPr>
      <w:rFonts w:eastAsia="宋体"/>
      <w:kern w:val="2"/>
      <w:sz w:val="21"/>
    </w:rPr>
  </w:style>
  <w:style w:type="character" w:customStyle="1" w:styleId="82">
    <w:name w:val="正文首行缩进 Char1"/>
    <w:basedOn w:val="81"/>
    <w:qFormat/>
    <w:uiPriority w:val="99"/>
    <w:rPr>
      <w:rFonts w:eastAsia="宋体"/>
      <w:kern w:val="2"/>
      <w:sz w:val="21"/>
    </w:rPr>
  </w:style>
  <w:style w:type="character" w:customStyle="1" w:styleId="83">
    <w:name w:val="正文文本缩进 Char"/>
    <w:basedOn w:val="42"/>
    <w:link w:val="20"/>
    <w:qFormat/>
    <w:uiPriority w:val="0"/>
    <w:rPr>
      <w:rFonts w:eastAsia="宋体"/>
      <w:kern w:val="2"/>
      <w:sz w:val="21"/>
    </w:rPr>
  </w:style>
  <w:style w:type="paragraph" w:customStyle="1" w:styleId="84">
    <w:name w:val="我的正文"/>
    <w:basedOn w:val="1"/>
    <w:qFormat/>
    <w:uiPriority w:val="0"/>
    <w:rPr>
      <w:rFonts w:ascii="宋体" w:hAnsi="宋体"/>
      <w:sz w:val="24"/>
      <w:szCs w:val="24"/>
    </w:rPr>
  </w:style>
  <w:style w:type="paragraph" w:customStyle="1" w:styleId="85">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sz w:val="28"/>
    </w:rPr>
  </w:style>
  <w:style w:type="paragraph" w:customStyle="1" w:styleId="86">
    <w:name w:val="样式2"/>
    <w:basedOn w:val="5"/>
    <w:qFormat/>
    <w:uiPriority w:val="0"/>
    <w:pPr>
      <w:spacing w:line="415" w:lineRule="auto"/>
      <w:ind w:firstLine="137"/>
    </w:pPr>
    <w:rPr>
      <w:rFonts w:hAnsi="Times New Roman"/>
      <w:bCs/>
      <w:i/>
      <w:szCs w:val="28"/>
    </w:rPr>
  </w:style>
  <w:style w:type="character" w:customStyle="1" w:styleId="87">
    <w:name w:val="标题 Char"/>
    <w:basedOn w:val="42"/>
    <w:link w:val="37"/>
    <w:qFormat/>
    <w:uiPriority w:val="0"/>
    <w:rPr>
      <w:rFonts w:ascii="Arial" w:hAnsi="Arial" w:eastAsia="宋体"/>
      <w:b/>
      <w:sz w:val="32"/>
    </w:rPr>
  </w:style>
  <w:style w:type="paragraph" w:customStyle="1" w:styleId="88">
    <w:name w:val="Char1"/>
    <w:basedOn w:val="1"/>
    <w:qFormat/>
    <w:uiPriority w:val="0"/>
    <w:pPr>
      <w:tabs>
        <w:tab w:val="left" w:pos="360"/>
      </w:tabs>
    </w:pPr>
    <w:rPr>
      <w:rFonts w:ascii="Times New Roman" w:hAnsi="Times New Roman"/>
      <w:sz w:val="24"/>
      <w:szCs w:val="20"/>
    </w:rPr>
  </w:style>
  <w:style w:type="paragraph" w:customStyle="1" w:styleId="89">
    <w:name w:val="修订11"/>
    <w:qFormat/>
    <w:uiPriority w:val="0"/>
    <w:rPr>
      <w:rFonts w:ascii="Times New Roman" w:hAnsi="Times New Roman" w:eastAsia="宋体" w:cs="Times New Roman"/>
      <w:kern w:val="2"/>
      <w:sz w:val="21"/>
      <w:szCs w:val="24"/>
      <w:lang w:val="en-US" w:eastAsia="zh-CN" w:bidi="ar-SA"/>
    </w:rPr>
  </w:style>
  <w:style w:type="paragraph" w:customStyle="1" w:styleId="90">
    <w:name w:val="样式1"/>
    <w:basedOn w:val="1"/>
    <w:next w:val="9"/>
    <w:qFormat/>
    <w:uiPriority w:val="0"/>
    <w:pPr>
      <w:spacing w:line="360" w:lineRule="auto"/>
      <w:ind w:firstLine="420" w:firstLineChars="200"/>
    </w:pPr>
    <w:rPr>
      <w:rFonts w:ascii="宋体" w:hAnsi="宋体"/>
      <w:szCs w:val="21"/>
    </w:rPr>
  </w:style>
  <w:style w:type="paragraph" w:customStyle="1" w:styleId="91">
    <w:name w:val="6'"/>
    <w:basedOn w:val="1"/>
    <w:qFormat/>
    <w:uiPriority w:val="0"/>
    <w:pPr>
      <w:autoSpaceDE w:val="0"/>
      <w:autoSpaceDN w:val="0"/>
      <w:adjustRightInd w:val="0"/>
      <w:snapToGrid w:val="0"/>
      <w:spacing w:line="320" w:lineRule="exact"/>
      <w:jc w:val="center"/>
      <w:textAlignment w:val="baseline"/>
    </w:pPr>
    <w:rPr>
      <w:rFonts w:ascii="Times New Roman" w:hAnsi="Times New Roman"/>
      <w:spacing w:val="20"/>
      <w:kern w:val="28"/>
      <w:szCs w:val="20"/>
    </w:rPr>
  </w:style>
  <w:style w:type="paragraph" w:customStyle="1" w:styleId="92">
    <w:name w:val="样式 标题 1 + 黑体 三号 非加粗 居中 段前: 6 磅 段后: 6 磅 行距: 固定值 20 磅"/>
    <w:basedOn w:val="3"/>
    <w:qFormat/>
    <w:uiPriority w:val="0"/>
    <w:pPr>
      <w:spacing w:before="120" w:after="120" w:line="400" w:lineRule="exact"/>
    </w:pPr>
    <w:rPr>
      <w:rFonts w:ascii="黑体" w:hAnsi="黑体" w:eastAsia="黑体" w:cs="宋体"/>
      <w:sz w:val="32"/>
    </w:rPr>
  </w:style>
  <w:style w:type="paragraph" w:customStyle="1" w:styleId="93">
    <w:name w:val="样式 标题 3 + (中文) 黑体 小四 非加粗 段前: 7.8 磅 段后: 0 磅 行距: 固定值 20 磅"/>
    <w:basedOn w:val="5"/>
    <w:qFormat/>
    <w:uiPriority w:val="0"/>
    <w:pPr>
      <w:spacing w:before="0" w:after="0" w:line="400" w:lineRule="exact"/>
      <w:ind w:firstLine="137"/>
    </w:pPr>
    <w:rPr>
      <w:rFonts w:hAnsi="Times New Roman" w:cs="宋体"/>
      <w:sz w:val="24"/>
    </w:rPr>
  </w:style>
  <w:style w:type="paragraph" w:customStyle="1" w:styleId="94">
    <w:name w:val="1"/>
    <w:basedOn w:val="1"/>
    <w:qFormat/>
    <w:uiPriority w:val="0"/>
    <w:rPr>
      <w:rFonts w:ascii="Times New Roman" w:hAnsi="Times New Roman"/>
      <w:szCs w:val="20"/>
    </w:rPr>
  </w:style>
  <w:style w:type="paragraph" w:customStyle="1" w:styleId="95">
    <w:name w:val="表格"/>
    <w:basedOn w:val="1"/>
    <w:qFormat/>
    <w:uiPriority w:val="0"/>
    <w:pPr>
      <w:jc w:val="center"/>
      <w:textAlignment w:val="center"/>
    </w:pPr>
    <w:rPr>
      <w:rFonts w:ascii="华文细黑" w:hAnsi="华文细黑"/>
      <w:kern w:val="0"/>
      <w:szCs w:val="20"/>
    </w:rPr>
  </w:style>
  <w:style w:type="paragraph" w:customStyle="1" w:styleId="96">
    <w:name w:val="修订2"/>
    <w:qFormat/>
    <w:uiPriority w:val="0"/>
    <w:rPr>
      <w:rFonts w:ascii="Times New Roman" w:hAnsi="Times New Roman" w:eastAsia="宋体" w:cs="Times New Roman"/>
      <w:kern w:val="2"/>
      <w:sz w:val="21"/>
      <w:szCs w:val="24"/>
      <w:lang w:val="en-US" w:eastAsia="zh-CN" w:bidi="ar-SA"/>
    </w:rPr>
  </w:style>
  <w:style w:type="character" w:customStyle="1" w:styleId="97">
    <w:name w:val="纯文本 Char"/>
    <w:link w:val="2"/>
    <w:qFormat/>
    <w:locked/>
    <w:uiPriority w:val="0"/>
    <w:rPr>
      <w:rFonts w:ascii="宋体" w:hAnsi="Calibri"/>
      <w:kern w:val="2"/>
      <w:sz w:val="21"/>
      <w:szCs w:val="22"/>
    </w:rPr>
  </w:style>
  <w:style w:type="character" w:customStyle="1" w:styleId="98">
    <w:name w:val="hover42"/>
    <w:basedOn w:val="42"/>
    <w:qFormat/>
    <w:uiPriority w:val="0"/>
  </w:style>
  <w:style w:type="character" w:customStyle="1" w:styleId="99">
    <w:name w:val="times"/>
    <w:basedOn w:val="42"/>
    <w:qFormat/>
    <w:uiPriority w:val="0"/>
    <w:rPr>
      <w:color w:val="CDCDCD"/>
      <w:bdr w:val="single" w:color="CDCDCD" w:sz="6" w:space="0"/>
      <w:shd w:val="clear" w:color="auto" w:fill="EFEFEF"/>
    </w:rPr>
  </w:style>
  <w:style w:type="character" w:customStyle="1" w:styleId="100">
    <w:name w:val="times1"/>
    <w:basedOn w:val="42"/>
    <w:qFormat/>
    <w:uiPriority w:val="0"/>
    <w:rPr>
      <w:color w:val="3399FF"/>
      <w:bdr w:val="single" w:color="D1EDF8" w:sz="6" w:space="0"/>
      <w:shd w:val="clear" w:color="auto" w:fill="EAF9FF"/>
    </w:rPr>
  </w:style>
  <w:style w:type="character" w:customStyle="1" w:styleId="101">
    <w:name w:val="hover41"/>
    <w:basedOn w:val="42"/>
    <w:qFormat/>
    <w:uiPriority w:val="0"/>
  </w:style>
  <w:style w:type="character" w:customStyle="1" w:styleId="102">
    <w:name w:val="批注文字 Char"/>
    <w:qFormat/>
    <w:uiPriority w:val="0"/>
    <w:rPr>
      <w:rFonts w:ascii="Times New Roman" w:hAnsi="Times New Roman"/>
      <w:szCs w:val="24"/>
    </w:rPr>
  </w:style>
  <w:style w:type="character" w:customStyle="1" w:styleId="103">
    <w:name w:val="标题 6 Char"/>
    <w:qFormat/>
    <w:uiPriority w:val="0"/>
    <w:rPr>
      <w:rFonts w:ascii="Arial" w:hAnsi="Arial" w:eastAsia="黑体"/>
      <w:b/>
      <w:bCs/>
      <w:sz w:val="24"/>
      <w:szCs w:val="24"/>
    </w:rPr>
  </w:style>
  <w:style w:type="character" w:customStyle="1" w:styleId="104">
    <w:name w:val="正文首行缩进 Char"/>
    <w:qFormat/>
    <w:uiPriority w:val="0"/>
    <w:rPr>
      <w:rFonts w:eastAsia="宋体"/>
      <w:szCs w:val="24"/>
    </w:rPr>
  </w:style>
  <w:style w:type="character" w:customStyle="1" w:styleId="105">
    <w:name w:val="正文文本 3 Char"/>
    <w:qFormat/>
    <w:uiPriority w:val="0"/>
    <w:rPr>
      <w:rFonts w:ascii="宋体"/>
      <w:kern w:val="2"/>
      <w:sz w:val="24"/>
    </w:rPr>
  </w:style>
  <w:style w:type="character" w:customStyle="1" w:styleId="106">
    <w:name w:val="fontstyle01"/>
    <w:qFormat/>
    <w:uiPriority w:val="0"/>
    <w:rPr>
      <w:rFonts w:hint="eastAsia" w:ascii="宋体" w:hAnsi="宋体" w:eastAsia="宋体"/>
      <w:color w:val="000000"/>
      <w:sz w:val="20"/>
      <w:szCs w:val="20"/>
    </w:rPr>
  </w:style>
  <w:style w:type="character" w:customStyle="1" w:styleId="107">
    <w:name w:val="标题 3 Char"/>
    <w:qFormat/>
    <w:uiPriority w:val="0"/>
    <w:rPr>
      <w:rFonts w:ascii="黑体" w:eastAsia="黑体"/>
      <w:kern w:val="2"/>
      <w:sz w:val="28"/>
    </w:rPr>
  </w:style>
  <w:style w:type="character" w:customStyle="1" w:styleId="108">
    <w:name w:val="标题 2 Char"/>
    <w:qFormat/>
    <w:uiPriority w:val="0"/>
    <w:rPr>
      <w:rFonts w:ascii="Arial" w:hAnsi="Arial" w:eastAsia="黑体"/>
      <w:b/>
      <w:kern w:val="2"/>
      <w:sz w:val="32"/>
    </w:rPr>
  </w:style>
  <w:style w:type="table" w:customStyle="1" w:styleId="109">
    <w:name w:val="Table Normal"/>
    <w:semiHidden/>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110">
    <w:name w:val="Table Paragraph"/>
    <w:basedOn w:val="1"/>
    <w:qFormat/>
    <w:uiPriority w:val="1"/>
    <w:pPr>
      <w:autoSpaceDE w:val="0"/>
      <w:autoSpaceDN w:val="0"/>
      <w:jc w:val="left"/>
    </w:pPr>
    <w:rPr>
      <w:rFonts w:ascii="宋体" w:hAnsi="宋体" w:cs="宋体"/>
      <w:kern w:val="0"/>
      <w:sz w:val="22"/>
      <w:lang w:val="zh-CN" w:bidi="zh-CN"/>
    </w:rPr>
  </w:style>
  <w:style w:type="character" w:customStyle="1" w:styleId="111">
    <w:name w:val="正文_0 Char"/>
    <w:link w:val="50"/>
    <w:qFormat/>
    <w:uiPriority w:val="0"/>
    <w:rPr>
      <w:sz w:val="21"/>
    </w:rPr>
  </w:style>
  <w:style w:type="paragraph" w:customStyle="1" w:styleId="112">
    <w:name w:val="格式2"/>
    <w:basedOn w:val="4"/>
    <w:qFormat/>
    <w:uiPriority w:val="0"/>
    <w:pPr>
      <w:autoSpaceDE w:val="0"/>
      <w:autoSpaceDN w:val="0"/>
      <w:adjustRightInd w:val="0"/>
      <w:spacing w:line="416" w:lineRule="atLeast"/>
      <w:textAlignment w:val="baseline"/>
    </w:pPr>
    <w:rPr>
      <w:rFonts w:ascii="黑体" w:hAnsi="Times New Roman"/>
      <w:kern w:val="0"/>
      <w:sz w:val="30"/>
    </w:rPr>
  </w:style>
  <w:style w:type="paragraph" w:customStyle="1" w:styleId="113">
    <w:name w:val="题注5"/>
    <w:basedOn w:val="1"/>
    <w:next w:val="15"/>
    <w:qFormat/>
    <w:uiPriority w:val="99"/>
    <w:pPr>
      <w:jc w:val="center"/>
    </w:pPr>
    <w:rPr>
      <w:rFonts w:ascii="Times New Roman" w:hAnsi="Times New Roman"/>
      <w:b/>
      <w:color w:val="000000"/>
      <w:sz w:val="24"/>
      <w:szCs w:val="21"/>
    </w:rPr>
  </w:style>
  <w:style w:type="paragraph" w:customStyle="1" w:styleId="114">
    <w:name w:val="题注4"/>
    <w:basedOn w:val="1"/>
    <w:next w:val="15"/>
    <w:qFormat/>
    <w:uiPriority w:val="99"/>
    <w:pPr>
      <w:ind w:left="-132" w:leftChars="-64" w:right="-105" w:rightChars="-50" w:hanging="2"/>
      <w:jc w:val="center"/>
    </w:pPr>
    <w:rPr>
      <w:rFonts w:ascii="Times New Roman" w:hAnsi="Times New Roman"/>
      <w:b/>
      <w:color w:val="FF0000"/>
      <w:szCs w:val="21"/>
      <w:lang w:val="en-GB"/>
    </w:rPr>
  </w:style>
  <w:style w:type="paragraph" w:customStyle="1" w:styleId="115">
    <w:name w:val="修订3"/>
    <w:hidden/>
    <w:semiHidden/>
    <w:qFormat/>
    <w:uiPriority w:val="99"/>
    <w:rPr>
      <w:rFonts w:ascii="Calibri" w:hAnsi="Calibri" w:eastAsia="宋体" w:cs="Times New Roman"/>
      <w:kern w:val="2"/>
      <w:sz w:val="21"/>
      <w:szCs w:val="22"/>
      <w:lang w:val="en-US" w:eastAsia="zh-CN" w:bidi="ar-SA"/>
    </w:rPr>
  </w:style>
  <w:style w:type="character" w:customStyle="1" w:styleId="116">
    <w:name w:val="font91"/>
    <w:qFormat/>
    <w:uiPriority w:val="0"/>
    <w:rPr>
      <w:rFonts w:hint="eastAsia" w:ascii="宋体" w:hAnsi="宋体" w:eastAsia="宋体" w:cs="宋体"/>
      <w:color w:val="000000"/>
      <w:sz w:val="21"/>
      <w:szCs w:val="21"/>
      <w:u w:val="none"/>
    </w:rPr>
  </w:style>
  <w:style w:type="character" w:customStyle="1" w:styleId="117">
    <w:name w:val="font41"/>
    <w:qFormat/>
    <w:uiPriority w:val="0"/>
    <w:rPr>
      <w:rFonts w:ascii="Calibri" w:hAnsi="Calibri" w:cs="Calibri"/>
      <w:color w:val="000000"/>
      <w:sz w:val="21"/>
      <w:szCs w:val="21"/>
      <w:u w:val="none"/>
    </w:rPr>
  </w:style>
  <w:style w:type="paragraph" w:customStyle="1" w:styleId="118">
    <w:name w:val="4"/>
    <w:basedOn w:val="1"/>
    <w:next w:val="1"/>
    <w:qFormat/>
    <w:uiPriority w:val="0"/>
    <w:pPr>
      <w:spacing w:after="120"/>
    </w:pPr>
    <w:rPr>
      <w:szCs w:val="20"/>
    </w:rPr>
  </w:style>
  <w:style w:type="paragraph" w:customStyle="1" w:styleId="119">
    <w:name w:val="无间隔1"/>
    <w:qFormat/>
    <w:uiPriority w:val="0"/>
    <w:rPr>
      <w:rFonts w:ascii="Calibri" w:hAnsi="Calibri" w:eastAsia="宋体" w:cs="Times New Roman"/>
      <w:sz w:val="22"/>
      <w:szCs w:val="22"/>
      <w:lang w:val="en-US" w:eastAsia="zh-CN" w:bidi="ar-SA"/>
    </w:rPr>
  </w:style>
  <w:style w:type="paragraph" w:customStyle="1" w:styleId="120">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Cs w:val="21"/>
    </w:rPr>
  </w:style>
  <w:style w:type="paragraph" w:customStyle="1" w:styleId="121">
    <w:name w:val="样式 宋体 行距: 1.5 倍行距"/>
    <w:basedOn w:val="1"/>
    <w:qFormat/>
    <w:uiPriority w:val="0"/>
    <w:pPr>
      <w:widowControl/>
      <w:spacing w:before="100" w:beforeAutospacing="1" w:after="100" w:afterAutospacing="1" w:line="360" w:lineRule="auto"/>
      <w:ind w:left="57"/>
      <w:jc w:val="center"/>
    </w:pPr>
    <w:rPr>
      <w:rFonts w:ascii="Arial" w:hAnsi="Arial" w:cs="Arial"/>
      <w:b/>
      <w:bCs/>
      <w:iCs/>
      <w:kern w:val="0"/>
      <w:sz w:val="18"/>
      <w:szCs w:val="28"/>
    </w:rPr>
  </w:style>
  <w:style w:type="paragraph" w:customStyle="1" w:styleId="122">
    <w:name w:val="列出段落1"/>
    <w:basedOn w:val="1"/>
    <w:qFormat/>
    <w:uiPriority w:val="0"/>
    <w:pPr>
      <w:ind w:firstLine="420" w:firstLineChars="200"/>
    </w:pPr>
  </w:style>
  <w:style w:type="paragraph" w:customStyle="1" w:styleId="123">
    <w:name w:val="列出段落2"/>
    <w:basedOn w:val="1"/>
    <w:qFormat/>
    <w:uiPriority w:val="99"/>
    <w:pPr>
      <w:ind w:firstLine="420" w:firstLineChars="200"/>
    </w:pPr>
    <w:rPr>
      <w:szCs w:val="20"/>
    </w:rPr>
  </w:style>
  <w:style w:type="paragraph" w:customStyle="1" w:styleId="124">
    <w:name w:val="合同一级标题"/>
    <w:basedOn w:val="3"/>
    <w:next w:val="3"/>
    <w:qFormat/>
    <w:uiPriority w:val="0"/>
    <w:pPr>
      <w:spacing w:before="0" w:after="0" w:line="240" w:lineRule="auto"/>
      <w:jc w:val="center"/>
    </w:pPr>
    <w:rPr>
      <w:rFonts w:ascii="黑体" w:hAnsi="黑体" w:eastAsia="黑体"/>
      <w:kern w:val="0"/>
      <w:sz w:val="36"/>
    </w:rPr>
  </w:style>
  <w:style w:type="paragraph" w:customStyle="1" w:styleId="125">
    <w:name w:val="合同三级标题"/>
    <w:basedOn w:val="5"/>
    <w:qFormat/>
    <w:uiPriority w:val="0"/>
    <w:pPr>
      <w:tabs>
        <w:tab w:val="left" w:pos="284"/>
      </w:tabs>
      <w:autoSpaceDE w:val="0"/>
      <w:autoSpaceDN w:val="0"/>
      <w:adjustRightInd w:val="0"/>
      <w:spacing w:before="0" w:after="0" w:line="240" w:lineRule="auto"/>
      <w:jc w:val="left"/>
    </w:pPr>
    <w:rPr>
      <w:kern w:val="0"/>
      <w:position w:val="-1"/>
      <w:sz w:val="24"/>
      <w:szCs w:val="30"/>
    </w:rPr>
  </w:style>
  <w:style w:type="paragraph" w:customStyle="1" w:styleId="126">
    <w:name w:val="正文 New"/>
    <w:qFormat/>
    <w:uiPriority w:val="0"/>
    <w:pPr>
      <w:widowControl w:val="0"/>
      <w:jc w:val="both"/>
    </w:pPr>
    <w:rPr>
      <w:rFonts w:ascii="等线" w:hAnsi="等线" w:eastAsia="等线" w:cs="Times New Roman"/>
      <w:kern w:val="2"/>
      <w:sz w:val="21"/>
      <w:szCs w:val="22"/>
      <w:lang w:val="en-US" w:eastAsia="zh-CN" w:bidi="ar-SA"/>
    </w:rPr>
  </w:style>
  <w:style w:type="paragraph" w:customStyle="1" w:styleId="127">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128">
    <w:name w:val="Normal_1"/>
    <w:qFormat/>
    <w:uiPriority w:val="0"/>
    <w:rPr>
      <w:rFonts w:ascii="等线" w:hAnsi="等线" w:eastAsia="等线" w:cs="Times New Roman"/>
      <w:kern w:val="2"/>
      <w:sz w:val="24"/>
      <w:szCs w:val="24"/>
      <w:lang w:val="en-US" w:eastAsia="en-US" w:bidi="ar-SA"/>
    </w:rPr>
  </w:style>
  <w:style w:type="paragraph" w:customStyle="1" w:styleId="129">
    <w:name w:val="标题3-个人"/>
    <w:basedOn w:val="5"/>
    <w:qFormat/>
    <w:uiPriority w:val="0"/>
    <w:pPr>
      <w:spacing w:before="0" w:after="0" w:line="360" w:lineRule="auto"/>
      <w:ind w:right="238"/>
    </w:pPr>
  </w:style>
  <w:style w:type="paragraph" w:customStyle="1" w:styleId="130">
    <w:name w:val="Table Text"/>
    <w:basedOn w:val="1"/>
    <w:semiHidden/>
    <w:qFormat/>
    <w:uiPriority w:val="0"/>
    <w:rPr>
      <w:rFonts w:ascii="Arial" w:hAnsi="Arial" w:eastAsia="Arial" w:cs="Arial"/>
      <w:szCs w:val="21"/>
      <w:lang w:eastAsia="en-US"/>
    </w:rPr>
  </w:style>
  <w:style w:type="paragraph" w:customStyle="1" w:styleId="131">
    <w:name w:val="p0"/>
    <w:basedOn w:val="1"/>
    <w:qFormat/>
    <w:uiPriority w:val="0"/>
    <w:pPr>
      <w:widowControl/>
    </w:pPr>
    <w:rPr>
      <w:rFonts w:hint="eastAsia"/>
      <w:sz w:val="32"/>
    </w:rPr>
  </w:style>
  <w:style w:type="paragraph" w:customStyle="1" w:styleId="132">
    <w:name w:val="样式 楷体_GB2312 小四 首行缩进:  0.8 厘米 行距: 固定值 28 磅"/>
    <w:basedOn w:val="1"/>
    <w:qFormat/>
    <w:uiPriority w:val="0"/>
    <w:pPr>
      <w:ind w:firstLine="21"/>
      <w:jc w:val="left"/>
    </w:pPr>
    <w:rPr>
      <w:rFonts w:hAnsi="宋体"/>
      <w:bCs/>
      <w:sz w:val="24"/>
      <w:szCs w:val="24"/>
    </w:rPr>
  </w:style>
  <w:style w:type="character" w:customStyle="1" w:styleId="133">
    <w:name w:val="font11"/>
    <w:qFormat/>
    <w:uiPriority w:val="0"/>
    <w:rPr>
      <w:rFonts w:hint="default" w:ascii="Calibri" w:hAnsi="Calibri" w:cs="Calibri"/>
      <w:color w:val="1F497D"/>
      <w:sz w:val="21"/>
      <w:szCs w:val="21"/>
      <w:u w:val="none"/>
    </w:rPr>
  </w:style>
  <w:style w:type="character" w:customStyle="1" w:styleId="134">
    <w:name w:val="font21"/>
    <w:basedOn w:val="42"/>
    <w:qFormat/>
    <w:uiPriority w:val="0"/>
    <w:rPr>
      <w:rFonts w:hint="eastAsia" w:ascii="仿宋" w:hAnsi="仿宋" w:eastAsia="仿宋" w:cs="仿宋"/>
      <w:color w:val="000000"/>
      <w:sz w:val="21"/>
      <w:szCs w:val="21"/>
      <w:u w:val="none"/>
    </w:rPr>
  </w:style>
  <w:style w:type="paragraph" w:customStyle="1" w:styleId="135">
    <w:name w:val="正文文本首行缩进 21"/>
    <w:basedOn w:val="136"/>
    <w:qFormat/>
    <w:uiPriority w:val="0"/>
    <w:pPr>
      <w:ind w:firstLine="420" w:firstLineChars="200"/>
    </w:pPr>
  </w:style>
  <w:style w:type="paragraph" w:customStyle="1" w:styleId="136">
    <w:name w:val="正文文本缩进1"/>
    <w:basedOn w:val="1"/>
    <w:next w:val="137"/>
    <w:qFormat/>
    <w:uiPriority w:val="0"/>
    <w:pPr>
      <w:spacing w:after="120"/>
      <w:ind w:left="200" w:leftChars="200"/>
    </w:pPr>
  </w:style>
  <w:style w:type="paragraph" w:customStyle="1" w:styleId="137">
    <w:name w:val="font5"/>
    <w:basedOn w:val="1"/>
    <w:qFormat/>
    <w:uiPriority w:val="0"/>
    <w:pPr>
      <w:widowControl/>
      <w:spacing w:before="100" w:beforeAutospacing="1" w:after="100" w:afterAutospacing="1"/>
      <w:jc w:val="left"/>
    </w:pPr>
    <w:rPr>
      <w:rFonts w:ascii="宋体" w:hAnsi="宋体" w:cs="宋体"/>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71</Pages>
  <Words>32822</Words>
  <Characters>34745</Characters>
  <Lines>378</Lines>
  <Paragraphs>106</Paragraphs>
  <TotalTime>258</TotalTime>
  <ScaleCrop>false</ScaleCrop>
  <LinksUpToDate>false</LinksUpToDate>
  <CharactersWithSpaces>36708</CharactersWithSpaces>
  <Application>WPS Office_11.8.2.12055_F1E327BC-269C-435d-A152-05C5408002CA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2022-09-02T04:13:00Z</dcterms:created>
  <dc:creator>袁静</dc:creator>
  <cp:lastModifiedBy>gzzb</cp:lastModifiedBy>
  <cp:lastPrinted>2024-06-12T03:31:00Z</cp:lastPrinted>
  <dcterms:modified xsi:type="dcterms:W3CDTF">2025-01-23T02:11:33Z</dcterms:modified>
  <dc:title>中华人民共和国</dc:title>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2124253241CD443B9A36DA8E9E06DD6D</vt:lpwstr>
  </property>
</Properties>
</file>