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2"/>
        <w:keepNext w:val="0"/>
        <w:keepLines w:val="0"/>
        <w:pageBreakBefore w:val="0"/>
        <w:widowControl/>
        <w:kinsoku/>
        <w:wordWrap/>
        <w:overflowPunct/>
        <w:topLinePunct w:val="0"/>
        <w:autoSpaceDE/>
        <w:autoSpaceDN/>
        <w:bidi w:val="0"/>
        <w:adjustRightInd w:val="0"/>
        <w:snapToGrid w:val="0"/>
        <w:spacing w:line="600" w:lineRule="exact"/>
        <w:jc w:val="center"/>
        <w:textAlignment w:val="auto"/>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中国人民财产保险股份有限公司</w:t>
      </w:r>
      <w:r>
        <w:rPr>
          <w:rFonts w:hint="eastAsia" w:ascii="方正小标宋简体" w:hAnsi="方正小标宋简体" w:eastAsia="方正小标宋简体" w:cs="方正小标宋简体"/>
          <w:sz w:val="44"/>
          <w:szCs w:val="44"/>
          <w:lang w:eastAsia="zh-CN"/>
        </w:rPr>
        <w:t>黔南</w:t>
      </w:r>
      <w:r>
        <w:rPr>
          <w:rFonts w:hint="eastAsia" w:ascii="方正小标宋简体" w:hAnsi="方正小标宋简体" w:eastAsia="方正小标宋简体" w:cs="方正小标宋简体"/>
          <w:sz w:val="44"/>
          <w:szCs w:val="44"/>
        </w:rPr>
        <w:t>分公司</w:t>
      </w:r>
    </w:p>
    <w:p>
      <w:pPr>
        <w:pStyle w:val="52"/>
        <w:keepNext w:val="0"/>
        <w:keepLines w:val="0"/>
        <w:pageBreakBefore w:val="0"/>
        <w:widowControl/>
        <w:kinsoku/>
        <w:wordWrap/>
        <w:overflowPunct/>
        <w:topLinePunct w:val="0"/>
        <w:autoSpaceDE/>
        <w:autoSpaceDN/>
        <w:bidi w:val="0"/>
        <w:adjustRightInd w:val="0"/>
        <w:snapToGrid w:val="0"/>
        <w:spacing w:line="600" w:lineRule="exact"/>
        <w:jc w:val="center"/>
        <w:textAlignment w:val="auto"/>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lang w:eastAsia="zh-CN"/>
        </w:rPr>
        <w:t>外聘</w:t>
      </w:r>
      <w:r>
        <w:rPr>
          <w:rFonts w:hint="eastAsia" w:ascii="方正小标宋简体" w:hAnsi="方正小标宋简体" w:eastAsia="方正小标宋简体" w:cs="方正小标宋简体"/>
          <w:sz w:val="44"/>
          <w:szCs w:val="44"/>
        </w:rPr>
        <w:t>律师</w:t>
      </w:r>
      <w:r>
        <w:rPr>
          <w:rFonts w:hint="eastAsia" w:ascii="方正小标宋简体" w:hAnsi="方正小标宋简体" w:eastAsia="方正小标宋简体" w:cs="方正小标宋简体"/>
          <w:sz w:val="44"/>
          <w:szCs w:val="44"/>
          <w:lang w:eastAsia="zh-CN"/>
        </w:rPr>
        <w:t>库采购项目</w:t>
      </w:r>
      <w:r>
        <w:rPr>
          <w:rFonts w:hint="eastAsia" w:ascii="方正小标宋简体" w:hAnsi="方正小标宋简体" w:eastAsia="方正小标宋简体" w:cs="方正小标宋简体"/>
          <w:sz w:val="44"/>
          <w:szCs w:val="44"/>
        </w:rPr>
        <w:t>竞争性磋商邀请文件</w:t>
      </w:r>
    </w:p>
    <w:p>
      <w:pPr>
        <w:pStyle w:val="52"/>
        <w:keepNext w:val="0"/>
        <w:keepLines w:val="0"/>
        <w:pageBreakBefore w:val="0"/>
        <w:widowControl/>
        <w:kinsoku/>
        <w:wordWrap/>
        <w:overflowPunct/>
        <w:topLinePunct w:val="0"/>
        <w:autoSpaceDE/>
        <w:autoSpaceDN/>
        <w:bidi w:val="0"/>
        <w:adjustRightInd w:val="0"/>
        <w:snapToGrid w:val="0"/>
        <w:spacing w:line="600" w:lineRule="exact"/>
        <w:jc w:val="center"/>
        <w:textAlignment w:val="auto"/>
        <w:rPr>
          <w:rFonts w:hint="eastAsia" w:ascii="方正小标宋简体" w:hAnsi="方正小标宋简体" w:eastAsia="方正小标宋简体" w:cs="方正小标宋简体"/>
          <w:sz w:val="44"/>
          <w:szCs w:val="44"/>
        </w:rPr>
      </w:pPr>
    </w:p>
    <w:p>
      <w:pPr>
        <w:pStyle w:val="52"/>
        <w:adjustRightInd w:val="0"/>
        <w:snapToGrid w:val="0"/>
        <w:spacing w:line="360" w:lineRule="auto"/>
        <w:rPr>
          <w:rFonts w:hint="eastAsia" w:ascii="仿宋_GB2312" w:hAnsi="仿宋_GB2312" w:eastAsia="仿宋_GB2312" w:cs="仿宋_GB2312"/>
          <w:b/>
          <w:bCs/>
          <w:sz w:val="32"/>
          <w:szCs w:val="32"/>
          <w:lang w:eastAsia="zh-CN"/>
        </w:rPr>
      </w:pPr>
      <w:r>
        <w:rPr>
          <w:rFonts w:hint="eastAsia" w:ascii="仿宋_GB2312" w:hAnsi="仿宋_GB2312" w:eastAsia="仿宋_GB2312" w:cs="仿宋_GB2312"/>
          <w:b/>
          <w:bCs/>
          <w:sz w:val="32"/>
          <w:szCs w:val="32"/>
        </w:rPr>
        <w:t>_____________</w:t>
      </w:r>
      <w:r>
        <w:rPr>
          <w:rFonts w:hint="eastAsia" w:ascii="仿宋_GB2312" w:hAnsi="仿宋_GB2312" w:eastAsia="仿宋_GB2312" w:cs="仿宋_GB2312"/>
          <w:b w:val="0"/>
          <w:bCs w:val="0"/>
          <w:sz w:val="32"/>
          <w:szCs w:val="32"/>
          <w:lang w:eastAsia="zh-CN"/>
        </w:rPr>
        <w:t>律师事务所：</w:t>
      </w:r>
    </w:p>
    <w:p>
      <w:pPr>
        <w:pStyle w:val="52"/>
        <w:adjustRightInd w:val="0"/>
        <w:snapToGrid w:val="0"/>
        <w:spacing w:line="360" w:lineRule="auto"/>
        <w:ind w:firstLine="560"/>
        <w:rPr>
          <w:rFonts w:hint="eastAsia" w:ascii="仿宋_GB2312" w:hAnsi="仿宋_GB2312" w:eastAsia="仿宋_GB2312" w:cs="仿宋_GB2312"/>
          <w:b w:val="0"/>
          <w:bCs w:val="0"/>
          <w:color w:val="auto"/>
          <w:sz w:val="32"/>
          <w:szCs w:val="32"/>
        </w:rPr>
      </w:pPr>
      <w:r>
        <w:rPr>
          <w:rFonts w:hint="eastAsia" w:ascii="仿宋_GB2312" w:hAnsi="仿宋_GB2312" w:eastAsia="仿宋_GB2312" w:cs="仿宋_GB2312"/>
          <w:b w:val="0"/>
          <w:bCs w:val="0"/>
          <w:color w:val="auto"/>
          <w:sz w:val="32"/>
          <w:szCs w:val="32"/>
        </w:rPr>
        <w:t>我公司拟通过竞争性磋商方式选择中国人民财产保险股份有限公</w:t>
      </w:r>
      <w:r>
        <w:rPr>
          <w:rFonts w:hint="eastAsia" w:ascii="仿宋_GB2312" w:hAnsi="仿宋_GB2312" w:eastAsia="仿宋_GB2312" w:cs="仿宋_GB2312"/>
          <w:b w:val="0"/>
          <w:bCs w:val="0"/>
          <w:color w:val="auto"/>
          <w:sz w:val="32"/>
          <w:szCs w:val="32"/>
          <w:lang w:eastAsia="zh-CN"/>
        </w:rPr>
        <w:t>黔南</w:t>
      </w:r>
      <w:r>
        <w:rPr>
          <w:rFonts w:hint="eastAsia" w:ascii="仿宋_GB2312" w:hAnsi="仿宋_GB2312" w:eastAsia="仿宋_GB2312" w:cs="仿宋_GB2312"/>
          <w:b w:val="0"/>
          <w:bCs w:val="0"/>
          <w:color w:val="auto"/>
          <w:sz w:val="32"/>
          <w:szCs w:val="32"/>
        </w:rPr>
        <w:t>分公司</w:t>
      </w:r>
      <w:r>
        <w:rPr>
          <w:rFonts w:hint="eastAsia" w:ascii="仿宋_GB2312" w:hAnsi="仿宋_GB2312" w:eastAsia="仿宋_GB2312" w:cs="仿宋_GB2312"/>
          <w:b w:val="0"/>
          <w:bCs w:val="0"/>
          <w:color w:val="auto"/>
          <w:sz w:val="32"/>
          <w:szCs w:val="32"/>
          <w:lang w:eastAsia="zh-CN"/>
        </w:rPr>
        <w:t>外聘</w:t>
      </w:r>
      <w:r>
        <w:rPr>
          <w:rFonts w:hint="eastAsia" w:ascii="仿宋_GB2312" w:hAnsi="仿宋_GB2312" w:eastAsia="仿宋_GB2312" w:cs="仿宋_GB2312"/>
          <w:b w:val="0"/>
          <w:bCs w:val="0"/>
          <w:color w:val="auto"/>
          <w:sz w:val="32"/>
          <w:szCs w:val="32"/>
        </w:rPr>
        <w:t>律师</w:t>
      </w:r>
      <w:r>
        <w:rPr>
          <w:rFonts w:hint="eastAsia" w:ascii="仿宋_GB2312" w:hAnsi="仿宋_GB2312" w:eastAsia="仿宋_GB2312" w:cs="仿宋_GB2312"/>
          <w:b w:val="0"/>
          <w:bCs w:val="0"/>
          <w:color w:val="auto"/>
          <w:sz w:val="32"/>
          <w:szCs w:val="32"/>
          <w:lang w:eastAsia="zh-CN"/>
        </w:rPr>
        <w:t>库</w:t>
      </w:r>
      <w:r>
        <w:rPr>
          <w:rFonts w:hint="eastAsia" w:ascii="仿宋_GB2312" w:hAnsi="仿宋_GB2312" w:eastAsia="仿宋_GB2312" w:cs="仿宋_GB2312"/>
          <w:b w:val="0"/>
          <w:bCs w:val="0"/>
          <w:color w:val="auto"/>
          <w:sz w:val="32"/>
          <w:szCs w:val="32"/>
        </w:rPr>
        <w:t>采购项目供应商，特邀请贵</w:t>
      </w:r>
      <w:r>
        <w:rPr>
          <w:rFonts w:hint="eastAsia" w:ascii="仿宋_GB2312" w:hAnsi="仿宋_GB2312" w:eastAsia="仿宋_GB2312" w:cs="仿宋_GB2312"/>
          <w:b w:val="0"/>
          <w:bCs w:val="0"/>
          <w:color w:val="auto"/>
          <w:sz w:val="32"/>
          <w:szCs w:val="32"/>
          <w:lang w:eastAsia="zh-CN"/>
        </w:rPr>
        <w:t>所</w:t>
      </w:r>
      <w:r>
        <w:rPr>
          <w:rFonts w:hint="eastAsia" w:ascii="仿宋_GB2312" w:hAnsi="仿宋_GB2312" w:eastAsia="仿宋_GB2312" w:cs="仿宋_GB2312"/>
          <w:b w:val="0"/>
          <w:bCs w:val="0"/>
          <w:color w:val="auto"/>
          <w:sz w:val="32"/>
          <w:szCs w:val="32"/>
        </w:rPr>
        <w:t>参加本次磋商。</w:t>
      </w:r>
    </w:p>
    <w:p>
      <w:pPr>
        <w:pStyle w:val="52"/>
        <w:adjustRightInd w:val="0"/>
        <w:snapToGrid w:val="0"/>
        <w:spacing w:line="360" w:lineRule="auto"/>
        <w:ind w:firstLine="560"/>
        <w:rPr>
          <w:rFonts w:hint="eastAsia" w:ascii="仿宋_GB2312" w:hAnsi="仿宋_GB2312" w:eastAsia="仿宋_GB2312" w:cs="仿宋_GB2312"/>
          <w:b w:val="0"/>
          <w:bCs w:val="0"/>
          <w:color w:val="auto"/>
          <w:sz w:val="32"/>
          <w:szCs w:val="32"/>
        </w:rPr>
      </w:pPr>
      <w:r>
        <w:rPr>
          <w:rFonts w:hint="eastAsia" w:ascii="仿宋_GB2312" w:hAnsi="仿宋_GB2312" w:eastAsia="仿宋_GB2312" w:cs="仿宋_GB2312"/>
          <w:b w:val="0"/>
          <w:bCs w:val="0"/>
          <w:color w:val="auto"/>
          <w:sz w:val="32"/>
          <w:szCs w:val="32"/>
        </w:rPr>
        <w:t>如贵</w:t>
      </w:r>
      <w:r>
        <w:rPr>
          <w:rFonts w:hint="eastAsia" w:ascii="仿宋_GB2312" w:hAnsi="仿宋_GB2312" w:eastAsia="仿宋_GB2312" w:cs="仿宋_GB2312"/>
          <w:b w:val="0"/>
          <w:bCs w:val="0"/>
          <w:color w:val="auto"/>
          <w:sz w:val="32"/>
          <w:szCs w:val="32"/>
          <w:lang w:eastAsia="zh-CN"/>
        </w:rPr>
        <w:t>所</w:t>
      </w:r>
      <w:r>
        <w:rPr>
          <w:rFonts w:hint="eastAsia" w:ascii="仿宋_GB2312" w:hAnsi="仿宋_GB2312" w:eastAsia="仿宋_GB2312" w:cs="仿宋_GB2312"/>
          <w:b w:val="0"/>
          <w:bCs w:val="0"/>
          <w:color w:val="auto"/>
          <w:sz w:val="32"/>
          <w:szCs w:val="32"/>
        </w:rPr>
        <w:t>有意参与，严格按本邀请文件之规定准备响应文件并参加磋商会议，磋商相关事宜见附件。</w:t>
      </w:r>
    </w:p>
    <w:p>
      <w:pPr>
        <w:pStyle w:val="52"/>
        <w:adjustRightInd w:val="0"/>
        <w:snapToGrid w:val="0"/>
        <w:spacing w:line="360" w:lineRule="auto"/>
        <w:ind w:firstLine="420"/>
        <w:rPr>
          <w:rFonts w:hint="eastAsia" w:ascii="仿宋_GB2312" w:hAnsi="仿宋_GB2312" w:eastAsia="仿宋_GB2312" w:cs="仿宋_GB2312"/>
          <w:b w:val="0"/>
          <w:bCs w:val="0"/>
          <w:color w:val="auto"/>
          <w:sz w:val="32"/>
          <w:szCs w:val="32"/>
        </w:rPr>
      </w:pPr>
    </w:p>
    <w:p>
      <w:pPr>
        <w:pStyle w:val="52"/>
        <w:adjustRightInd w:val="0"/>
        <w:snapToGrid w:val="0"/>
        <w:spacing w:line="360" w:lineRule="auto"/>
        <w:ind w:firstLine="420"/>
        <w:rPr>
          <w:rFonts w:hint="eastAsia" w:ascii="仿宋_GB2312" w:hAnsi="仿宋_GB2312" w:eastAsia="仿宋_GB2312" w:cs="仿宋_GB2312"/>
          <w:b w:val="0"/>
          <w:bCs w:val="0"/>
          <w:color w:val="auto"/>
          <w:sz w:val="32"/>
          <w:szCs w:val="32"/>
          <w:lang w:eastAsia="zh-CN"/>
        </w:rPr>
      </w:pPr>
      <w:r>
        <w:rPr>
          <w:rFonts w:hint="eastAsia" w:ascii="仿宋_GB2312" w:hAnsi="仿宋_GB2312" w:eastAsia="仿宋_GB2312" w:cs="仿宋_GB2312"/>
          <w:b w:val="0"/>
          <w:bCs w:val="0"/>
          <w:color w:val="auto"/>
          <w:sz w:val="32"/>
          <w:szCs w:val="32"/>
        </w:rPr>
        <w:t>采购机构名称：中国人民财产保险股份有限公司</w:t>
      </w:r>
      <w:r>
        <w:rPr>
          <w:rFonts w:hint="eastAsia" w:ascii="仿宋_GB2312" w:hAnsi="仿宋_GB2312" w:eastAsia="仿宋_GB2312" w:cs="仿宋_GB2312"/>
          <w:b w:val="0"/>
          <w:bCs w:val="0"/>
          <w:color w:val="auto"/>
          <w:sz w:val="32"/>
          <w:szCs w:val="32"/>
          <w:lang w:eastAsia="zh-CN"/>
        </w:rPr>
        <w:t>黔南分公司</w:t>
      </w:r>
    </w:p>
    <w:p>
      <w:pPr>
        <w:pStyle w:val="52"/>
        <w:adjustRightInd w:val="0"/>
        <w:snapToGrid w:val="0"/>
        <w:spacing w:line="360" w:lineRule="auto"/>
        <w:ind w:firstLine="420"/>
        <w:rPr>
          <w:rFonts w:hint="eastAsia" w:ascii="仿宋_GB2312" w:hAnsi="仿宋_GB2312" w:eastAsia="仿宋_GB2312" w:cs="仿宋_GB2312"/>
          <w:b w:val="0"/>
          <w:bCs w:val="0"/>
          <w:color w:val="auto"/>
          <w:sz w:val="32"/>
          <w:szCs w:val="32"/>
          <w:lang w:eastAsia="zh-CN"/>
        </w:rPr>
      </w:pPr>
      <w:r>
        <w:rPr>
          <w:rFonts w:hint="eastAsia" w:ascii="仿宋_GB2312" w:hAnsi="仿宋_GB2312" w:eastAsia="仿宋_GB2312" w:cs="仿宋_GB2312"/>
          <w:b w:val="0"/>
          <w:bCs w:val="0"/>
          <w:color w:val="auto"/>
          <w:sz w:val="32"/>
          <w:szCs w:val="32"/>
        </w:rPr>
        <w:t>地址：</w:t>
      </w:r>
      <w:r>
        <w:rPr>
          <w:rFonts w:hint="eastAsia" w:ascii="仿宋_GB2312" w:hAnsi="仿宋_GB2312" w:eastAsia="仿宋_GB2312" w:cs="仿宋_GB2312"/>
          <w:b w:val="0"/>
          <w:bCs w:val="0"/>
          <w:color w:val="auto"/>
          <w:sz w:val="32"/>
          <w:szCs w:val="32"/>
          <w:lang w:eastAsia="zh-CN"/>
        </w:rPr>
        <w:t>贵州省都匀市环东南路庆云宫</w:t>
      </w:r>
    </w:p>
    <w:p>
      <w:pPr>
        <w:pStyle w:val="52"/>
        <w:adjustRightInd w:val="0"/>
        <w:snapToGrid w:val="0"/>
        <w:spacing w:line="360" w:lineRule="auto"/>
        <w:ind w:firstLine="420"/>
        <w:rPr>
          <w:rFonts w:hint="default"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rPr>
        <w:t>电话：</w:t>
      </w:r>
      <w:r>
        <w:rPr>
          <w:rFonts w:hint="eastAsia" w:ascii="仿宋_GB2312" w:hAnsi="仿宋_GB2312" w:eastAsia="仿宋_GB2312" w:cs="仿宋_GB2312"/>
          <w:b w:val="0"/>
          <w:bCs w:val="0"/>
          <w:color w:val="auto"/>
          <w:sz w:val="32"/>
          <w:szCs w:val="32"/>
          <w:lang w:val="en-US" w:eastAsia="zh-CN"/>
        </w:rPr>
        <w:t>15885471667</w:t>
      </w:r>
    </w:p>
    <w:p>
      <w:pPr>
        <w:pStyle w:val="52"/>
        <w:adjustRightInd w:val="0"/>
        <w:snapToGrid w:val="0"/>
        <w:spacing w:line="360" w:lineRule="auto"/>
        <w:ind w:firstLine="420"/>
        <w:rPr>
          <w:rFonts w:hint="eastAsia" w:ascii="仿宋_GB2312" w:hAnsi="仿宋_GB2312" w:eastAsia="仿宋_GB2312" w:cs="仿宋_GB2312"/>
          <w:b w:val="0"/>
          <w:bCs w:val="0"/>
          <w:color w:val="auto"/>
          <w:sz w:val="32"/>
          <w:szCs w:val="32"/>
          <w:lang w:eastAsia="zh-CN"/>
        </w:rPr>
      </w:pPr>
      <w:r>
        <w:rPr>
          <w:rFonts w:hint="eastAsia" w:ascii="仿宋_GB2312" w:hAnsi="仿宋_GB2312" w:eastAsia="仿宋_GB2312" w:cs="仿宋_GB2312"/>
          <w:b w:val="0"/>
          <w:bCs w:val="0"/>
          <w:color w:val="auto"/>
          <w:sz w:val="32"/>
          <w:szCs w:val="32"/>
        </w:rPr>
        <w:t>联系人：</w:t>
      </w:r>
      <w:r>
        <w:rPr>
          <w:rFonts w:hint="eastAsia" w:ascii="仿宋_GB2312" w:hAnsi="仿宋_GB2312" w:eastAsia="仿宋_GB2312" w:cs="仿宋_GB2312"/>
          <w:b w:val="0"/>
          <w:bCs w:val="0"/>
          <w:color w:val="auto"/>
          <w:sz w:val="32"/>
          <w:szCs w:val="32"/>
          <w:lang w:eastAsia="zh-CN"/>
        </w:rPr>
        <w:t>刘莉莎</w:t>
      </w:r>
    </w:p>
    <w:p>
      <w:pPr>
        <w:pStyle w:val="52"/>
        <w:adjustRightInd w:val="0"/>
        <w:snapToGrid w:val="0"/>
        <w:spacing w:line="360" w:lineRule="auto"/>
        <w:ind w:firstLine="420"/>
        <w:rPr>
          <w:rFonts w:hint="eastAsia" w:ascii="仿宋_GB2312" w:hAnsi="仿宋_GB2312" w:eastAsia="仿宋_GB2312" w:cs="仿宋_GB2312"/>
          <w:b w:val="0"/>
          <w:bCs w:val="0"/>
          <w:color w:val="auto"/>
          <w:sz w:val="32"/>
          <w:szCs w:val="32"/>
        </w:rPr>
      </w:pPr>
      <w:r>
        <w:rPr>
          <w:rFonts w:hint="eastAsia" w:ascii="仿宋_GB2312" w:hAnsi="仿宋_GB2312" w:eastAsia="仿宋_GB2312" w:cs="仿宋_GB2312"/>
          <w:b w:val="0"/>
          <w:bCs w:val="0"/>
          <w:color w:val="auto"/>
          <w:sz w:val="32"/>
          <w:szCs w:val="32"/>
        </w:rPr>
        <w:t>附件：一、磋商事项说明</w:t>
      </w:r>
    </w:p>
    <w:p>
      <w:pPr>
        <w:pStyle w:val="52"/>
        <w:adjustRightInd w:val="0"/>
        <w:snapToGrid w:val="0"/>
        <w:spacing w:line="360" w:lineRule="auto"/>
        <w:ind w:firstLine="840"/>
        <w:rPr>
          <w:rFonts w:hint="eastAsia" w:ascii="仿宋_GB2312" w:hAnsi="仿宋_GB2312" w:eastAsia="仿宋_GB2312" w:cs="仿宋_GB2312"/>
          <w:b w:val="0"/>
          <w:bCs w:val="0"/>
          <w:color w:val="auto"/>
          <w:sz w:val="32"/>
          <w:szCs w:val="32"/>
        </w:rPr>
      </w:pPr>
      <w:r>
        <w:rPr>
          <w:rFonts w:hint="eastAsia" w:ascii="仿宋_GB2312" w:hAnsi="仿宋_GB2312" w:eastAsia="仿宋_GB2312" w:cs="仿宋_GB2312"/>
          <w:b w:val="0"/>
          <w:bCs w:val="0"/>
          <w:color w:val="auto"/>
          <w:sz w:val="32"/>
          <w:szCs w:val="32"/>
        </w:rPr>
        <w:t xml:space="preserve">   二、响应文件格式和表格</w:t>
      </w:r>
    </w:p>
    <w:p>
      <w:pPr>
        <w:pStyle w:val="52"/>
        <w:adjustRightInd w:val="0"/>
        <w:snapToGrid w:val="0"/>
        <w:spacing w:line="360" w:lineRule="auto"/>
        <w:ind w:firstLine="840"/>
        <w:rPr>
          <w:rFonts w:hint="eastAsia" w:ascii="仿宋_GB2312" w:hAnsi="仿宋_GB2312" w:eastAsia="仿宋_GB2312" w:cs="仿宋_GB2312"/>
          <w:b w:val="0"/>
          <w:bCs w:val="0"/>
          <w:color w:val="auto"/>
          <w:sz w:val="32"/>
          <w:szCs w:val="32"/>
        </w:rPr>
      </w:pPr>
      <w:r>
        <w:rPr>
          <w:rFonts w:hint="eastAsia" w:ascii="仿宋_GB2312" w:hAnsi="仿宋_GB2312" w:eastAsia="仿宋_GB2312" w:cs="仿宋_GB2312"/>
          <w:b w:val="0"/>
          <w:bCs w:val="0"/>
          <w:color w:val="auto"/>
          <w:sz w:val="32"/>
          <w:szCs w:val="32"/>
        </w:rPr>
        <w:t xml:space="preserve">   三、资格证明文件</w:t>
      </w:r>
    </w:p>
    <w:p>
      <w:pPr>
        <w:pStyle w:val="52"/>
        <w:adjustRightInd w:val="0"/>
        <w:snapToGrid w:val="0"/>
        <w:spacing w:line="360" w:lineRule="auto"/>
        <w:ind w:firstLine="840"/>
        <w:rPr>
          <w:rFonts w:hint="eastAsia" w:ascii="仿宋_GB2312" w:hAnsi="仿宋_GB2312" w:eastAsia="仿宋_GB2312" w:cs="仿宋_GB2312"/>
          <w:sz w:val="32"/>
          <w:szCs w:val="32"/>
        </w:rPr>
      </w:pPr>
      <w:r>
        <w:rPr>
          <w:rFonts w:hint="eastAsia" w:ascii="仿宋_GB2312" w:hAnsi="仿宋_GB2312" w:eastAsia="仿宋_GB2312" w:cs="仿宋_GB2312"/>
          <w:b w:val="0"/>
          <w:bCs w:val="0"/>
          <w:color w:val="auto"/>
          <w:sz w:val="32"/>
          <w:szCs w:val="32"/>
        </w:rPr>
        <w:t xml:space="preserve">   四、项目采购需求及服务要求</w:t>
      </w:r>
    </w:p>
    <w:p>
      <w:pPr>
        <w:pStyle w:val="52"/>
        <w:adjustRightInd w:val="0"/>
        <w:snapToGrid w:val="0"/>
        <w:spacing w:line="360" w:lineRule="auto"/>
        <w:rPr>
          <w:rFonts w:hint="eastAsia" w:ascii="仿宋_GB2312" w:hAnsi="仿宋_GB2312" w:eastAsia="仿宋_GB2312" w:cs="仿宋_GB2312"/>
          <w:sz w:val="32"/>
          <w:szCs w:val="32"/>
        </w:rPr>
      </w:pPr>
    </w:p>
    <w:p>
      <w:pPr>
        <w:pStyle w:val="52"/>
        <w:adjustRightInd w:val="0"/>
        <w:snapToGrid w:val="0"/>
        <w:spacing w:line="360" w:lineRule="auto"/>
        <w:rPr>
          <w:rFonts w:hint="eastAsia" w:ascii="仿宋_GB2312" w:hAnsi="仿宋_GB2312" w:eastAsia="仿宋_GB2312" w:cs="仿宋_GB2312"/>
          <w:sz w:val="32"/>
          <w:szCs w:val="32"/>
        </w:rPr>
      </w:pPr>
    </w:p>
    <w:p>
      <w:pPr>
        <w:pStyle w:val="52"/>
        <w:adjustRightInd w:val="0"/>
        <w:snapToGrid w:val="0"/>
        <w:spacing w:line="360" w:lineRule="auto"/>
        <w:jc w:val="right"/>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rPr>
        <w:t>中国人民财产保险股份有限公司</w:t>
      </w:r>
      <w:r>
        <w:rPr>
          <w:rFonts w:hint="eastAsia" w:ascii="仿宋_GB2312" w:hAnsi="仿宋_GB2312" w:eastAsia="仿宋_GB2312" w:cs="仿宋_GB2312"/>
          <w:color w:val="auto"/>
          <w:sz w:val="32"/>
          <w:szCs w:val="32"/>
          <w:lang w:eastAsia="zh-CN"/>
        </w:rPr>
        <w:t>黔南分公司</w:t>
      </w:r>
    </w:p>
    <w:p>
      <w:pPr>
        <w:pStyle w:val="52"/>
        <w:adjustRightInd w:val="0"/>
        <w:snapToGrid w:val="0"/>
        <w:spacing w:line="360" w:lineRule="auto"/>
        <w:jc w:val="center"/>
        <w:rPr>
          <w:rFonts w:hint="eastAsia"/>
          <w:b/>
          <w:bCs/>
          <w:sz w:val="36"/>
          <w:szCs w:val="36"/>
        </w:rPr>
      </w:pPr>
      <w:r>
        <w:rPr>
          <w:rFonts w:hint="eastAsia" w:ascii="仿宋_GB2312" w:hAnsi="仿宋_GB2312" w:eastAsia="仿宋_GB2312" w:cs="仿宋_GB2312"/>
          <w:color w:val="auto"/>
          <w:sz w:val="32"/>
          <w:szCs w:val="32"/>
          <w:lang w:val="en-US" w:eastAsia="zh-CN"/>
        </w:rPr>
        <w:t xml:space="preserve">                   2025年1月</w:t>
      </w:r>
    </w:p>
    <w:p>
      <w:pPr>
        <w:pStyle w:val="52"/>
        <w:adjustRightInd w:val="0"/>
        <w:snapToGrid w:val="0"/>
        <w:spacing w:line="360" w:lineRule="auto"/>
        <w:jc w:val="center"/>
        <w:rPr>
          <w:rFonts w:hint="eastAsia"/>
          <w:b/>
          <w:bCs/>
          <w:sz w:val="36"/>
          <w:szCs w:val="36"/>
        </w:rPr>
      </w:pPr>
    </w:p>
    <w:p>
      <w:pPr>
        <w:pStyle w:val="52"/>
        <w:adjustRightInd w:val="0"/>
        <w:snapToGrid w:val="0"/>
        <w:spacing w:line="360" w:lineRule="auto"/>
        <w:jc w:val="center"/>
        <w:rPr>
          <w:b/>
          <w:bCs/>
          <w:sz w:val="36"/>
          <w:szCs w:val="36"/>
        </w:rPr>
      </w:pPr>
      <w:r>
        <w:rPr>
          <w:rFonts w:hint="eastAsia"/>
          <w:b/>
          <w:bCs/>
          <w:sz w:val="36"/>
          <w:szCs w:val="36"/>
        </w:rPr>
        <w:t>目 录</w:t>
      </w:r>
    </w:p>
    <w:p>
      <w:pPr>
        <w:pStyle w:val="52"/>
        <w:adjustRightInd w:val="0"/>
        <w:snapToGrid w:val="0"/>
        <w:spacing w:line="360" w:lineRule="auto"/>
        <w:jc w:val="distribute"/>
        <w:rPr>
          <w:color w:val="000000"/>
        </w:rPr>
      </w:pPr>
      <w:r>
        <w:fldChar w:fldCharType="begin"/>
      </w:r>
      <w:r>
        <w:instrText xml:space="preserve"> HYPERLINK \l "_Toc327863035#_Toc327863035#_Toc3278630" \o "blocked::#_Toc327863035" </w:instrText>
      </w:r>
      <w:r>
        <w:fldChar w:fldCharType="separate"/>
      </w:r>
      <w:r>
        <w:rPr>
          <w:rStyle w:val="34"/>
          <w:rFonts w:hint="eastAsia"/>
          <w:b/>
          <w:bCs/>
          <w:color w:val="000000"/>
          <w:u w:val="none"/>
        </w:rPr>
        <w:t>附件一 磋商事项说明……………………………………………………………………</w:t>
      </w:r>
      <w:r>
        <w:rPr>
          <w:rStyle w:val="34"/>
          <w:rFonts w:hint="eastAsia"/>
          <w:color w:val="000000"/>
          <w:u w:val="none"/>
        </w:rPr>
        <w:t>3</w:t>
      </w:r>
      <w:r>
        <w:rPr>
          <w:rStyle w:val="34"/>
          <w:rFonts w:hint="eastAsia"/>
          <w:color w:val="000000"/>
          <w:u w:val="none"/>
        </w:rPr>
        <w:fldChar w:fldCharType="end"/>
      </w:r>
    </w:p>
    <w:p>
      <w:pPr>
        <w:pStyle w:val="52"/>
        <w:adjustRightInd w:val="0"/>
        <w:snapToGrid w:val="0"/>
        <w:spacing w:line="360" w:lineRule="auto"/>
        <w:ind w:left="420"/>
        <w:jc w:val="distribute"/>
        <w:rPr>
          <w:color w:val="000000"/>
        </w:rPr>
      </w:pPr>
      <w:r>
        <w:fldChar w:fldCharType="begin"/>
      </w:r>
      <w:r>
        <w:instrText xml:space="preserve"> HYPERLINK \l "_Toc327863036#_Toc327863036#_Toc3278630" \o "blocked::#_Toc327863036" </w:instrText>
      </w:r>
      <w:r>
        <w:fldChar w:fldCharType="separate"/>
      </w:r>
      <w:r>
        <w:rPr>
          <w:rStyle w:val="34"/>
          <w:rFonts w:hint="eastAsia"/>
          <w:color w:val="000000"/>
          <w:u w:val="none"/>
        </w:rPr>
        <w:t>一、供应商</w:t>
      </w:r>
      <w:r>
        <w:rPr>
          <w:rStyle w:val="34"/>
          <w:color w:val="000000"/>
          <w:u w:val="none"/>
        </w:rPr>
        <w:t>资格</w:t>
      </w:r>
      <w:r>
        <w:rPr>
          <w:rStyle w:val="34"/>
          <w:rFonts w:hint="eastAsia"/>
          <w:color w:val="000000"/>
          <w:u w:val="none"/>
        </w:rPr>
        <w:t>要求………………………………………………………………………3</w:t>
      </w:r>
      <w:r>
        <w:rPr>
          <w:rStyle w:val="34"/>
          <w:rFonts w:hint="eastAsia"/>
          <w:color w:val="000000"/>
          <w:u w:val="none"/>
        </w:rPr>
        <w:fldChar w:fldCharType="end"/>
      </w:r>
    </w:p>
    <w:p>
      <w:pPr>
        <w:pStyle w:val="52"/>
        <w:adjustRightInd w:val="0"/>
        <w:snapToGrid w:val="0"/>
        <w:spacing w:line="360" w:lineRule="auto"/>
        <w:ind w:left="420"/>
        <w:jc w:val="distribute"/>
        <w:rPr>
          <w:color w:val="000000"/>
        </w:rPr>
      </w:pPr>
      <w:r>
        <w:rPr>
          <w:rFonts w:hint="eastAsia"/>
        </w:rPr>
        <w:t>二、评审标准………………………………………………………………………3</w:t>
      </w:r>
    </w:p>
    <w:p>
      <w:pPr>
        <w:pStyle w:val="52"/>
        <w:adjustRightInd w:val="0"/>
        <w:snapToGrid w:val="0"/>
        <w:spacing w:line="360" w:lineRule="auto"/>
        <w:ind w:left="420"/>
        <w:jc w:val="distribute"/>
        <w:rPr>
          <w:rFonts w:hint="eastAsia" w:eastAsia="宋体"/>
          <w:color w:val="000000"/>
          <w:lang w:eastAsia="zh-CN"/>
        </w:rPr>
      </w:pPr>
      <w:r>
        <w:fldChar w:fldCharType="begin"/>
      </w:r>
      <w:r>
        <w:instrText xml:space="preserve"> HYPERLINK \l "_Toc327863038#_Toc327863038#_Toc3278630" \o "blocked::#_Toc327863038" </w:instrText>
      </w:r>
      <w:r>
        <w:fldChar w:fldCharType="separate"/>
      </w:r>
      <w:r>
        <w:rPr>
          <w:rStyle w:val="34"/>
          <w:rFonts w:hint="eastAsia"/>
          <w:color w:val="000000"/>
          <w:u w:val="none"/>
        </w:rPr>
        <w:t>三、响应文件要求………………………………………………………………………</w:t>
      </w:r>
      <w:r>
        <w:rPr>
          <w:rStyle w:val="34"/>
          <w:rFonts w:hint="eastAsia"/>
          <w:color w:val="000000"/>
          <w:u w:val="none"/>
        </w:rPr>
        <w:fldChar w:fldCharType="end"/>
      </w:r>
      <w:r>
        <w:rPr>
          <w:rStyle w:val="34"/>
          <w:rFonts w:hint="eastAsia"/>
          <w:color w:val="000000"/>
          <w:u w:val="none"/>
          <w:lang w:val="en-US" w:eastAsia="zh-CN"/>
        </w:rPr>
        <w:t>5</w:t>
      </w:r>
    </w:p>
    <w:p>
      <w:pPr>
        <w:pStyle w:val="52"/>
        <w:adjustRightInd w:val="0"/>
        <w:snapToGrid w:val="0"/>
        <w:spacing w:line="360" w:lineRule="auto"/>
        <w:ind w:left="420"/>
        <w:jc w:val="distribute"/>
        <w:rPr>
          <w:color w:val="000000"/>
        </w:rPr>
      </w:pPr>
      <w:r>
        <w:fldChar w:fldCharType="begin"/>
      </w:r>
      <w:r>
        <w:instrText xml:space="preserve"> HYPERLINK \l "_Toc327863039#_Toc327863039#_Toc3278630" \o "blocked::#_Toc327863039" </w:instrText>
      </w:r>
      <w:r>
        <w:fldChar w:fldCharType="separate"/>
      </w:r>
      <w:r>
        <w:rPr>
          <w:rStyle w:val="34"/>
          <w:rFonts w:hint="eastAsia"/>
          <w:color w:val="000000"/>
          <w:u w:val="none"/>
        </w:rPr>
        <w:t>四、磋商时间和地点……………………………………………………………………</w:t>
      </w:r>
      <w:r>
        <w:rPr>
          <w:rStyle w:val="34"/>
          <w:rFonts w:hint="eastAsia"/>
          <w:color w:val="000000"/>
          <w:u w:val="none"/>
        </w:rPr>
        <w:fldChar w:fldCharType="end"/>
      </w:r>
      <w:r>
        <w:rPr>
          <w:rStyle w:val="34"/>
          <w:color w:val="000000"/>
          <w:u w:val="none"/>
        </w:rPr>
        <w:t>6</w:t>
      </w:r>
    </w:p>
    <w:p>
      <w:pPr>
        <w:pStyle w:val="52"/>
        <w:adjustRightInd w:val="0"/>
        <w:snapToGrid w:val="0"/>
        <w:spacing w:line="360" w:lineRule="auto"/>
        <w:ind w:left="420"/>
        <w:jc w:val="distribute"/>
        <w:rPr>
          <w:rFonts w:ascii="Times New Roman" w:hAnsi="Times New Roman" w:cs="Times New Roman"/>
          <w:color w:val="000000"/>
        </w:rPr>
      </w:pPr>
      <w:r>
        <w:fldChar w:fldCharType="begin"/>
      </w:r>
      <w:r>
        <w:instrText xml:space="preserve"> HYPERLINK \l "_Toc327863040#_Toc327863040#_Toc3278630" \o "blocked::#_Toc327863040" </w:instrText>
      </w:r>
      <w:r>
        <w:fldChar w:fldCharType="separate"/>
      </w:r>
      <w:r>
        <w:rPr>
          <w:rStyle w:val="34"/>
          <w:rFonts w:hint="eastAsia"/>
          <w:color w:val="000000"/>
          <w:u w:val="none"/>
        </w:rPr>
        <w:t>五、竞争性磋商流程…………………………………………………………………………</w:t>
      </w:r>
      <w:r>
        <w:rPr>
          <w:rStyle w:val="34"/>
          <w:rFonts w:hint="eastAsia"/>
          <w:color w:val="000000"/>
          <w:u w:val="none"/>
        </w:rPr>
        <w:fldChar w:fldCharType="end"/>
      </w:r>
      <w:r>
        <w:rPr>
          <w:rStyle w:val="34"/>
          <w:color w:val="000000"/>
          <w:u w:val="none"/>
        </w:rPr>
        <w:t>6</w:t>
      </w:r>
    </w:p>
    <w:p>
      <w:pPr>
        <w:pStyle w:val="52"/>
        <w:adjustRightInd w:val="0"/>
        <w:snapToGrid w:val="0"/>
        <w:spacing w:line="360" w:lineRule="auto"/>
        <w:jc w:val="distribute"/>
        <w:rPr>
          <w:rFonts w:ascii="Calibri" w:hAnsi="Calibri"/>
          <w:color w:val="000000"/>
        </w:rPr>
      </w:pPr>
      <w:r>
        <w:rPr>
          <w:rFonts w:hint="eastAsia"/>
          <w:color w:val="000000"/>
        </w:rPr>
        <w:t xml:space="preserve">    六、关于商务和技术偏离…………………………………………………………………</w:t>
      </w:r>
      <w:r>
        <w:rPr>
          <w:color w:val="000000"/>
        </w:rPr>
        <w:t>7</w:t>
      </w:r>
    </w:p>
    <w:p>
      <w:pPr>
        <w:pStyle w:val="52"/>
        <w:adjustRightInd w:val="0"/>
        <w:snapToGrid w:val="0"/>
        <w:spacing w:line="360" w:lineRule="auto"/>
        <w:ind w:left="420"/>
        <w:jc w:val="distribute"/>
        <w:rPr>
          <w:color w:val="000000"/>
        </w:rPr>
      </w:pPr>
      <w:r>
        <w:fldChar w:fldCharType="begin"/>
      </w:r>
      <w:r>
        <w:instrText xml:space="preserve"> HYPERLINK \l "_Toc327863041#_Toc327863041#_Toc3278630" \o "blocked::#_Toc327863041" </w:instrText>
      </w:r>
      <w:r>
        <w:fldChar w:fldCharType="separate"/>
      </w:r>
      <w:r>
        <w:rPr>
          <w:rStyle w:val="34"/>
          <w:rFonts w:hint="eastAsia"/>
          <w:color w:val="000000"/>
          <w:u w:val="none"/>
        </w:rPr>
        <w:t>七、特别声明…………………………………………………………………………………</w:t>
      </w:r>
      <w:r>
        <w:rPr>
          <w:rStyle w:val="34"/>
          <w:rFonts w:hint="eastAsia"/>
          <w:color w:val="000000"/>
          <w:u w:val="none"/>
        </w:rPr>
        <w:fldChar w:fldCharType="end"/>
      </w:r>
      <w:r>
        <w:rPr>
          <w:rStyle w:val="34"/>
          <w:color w:val="000000"/>
          <w:u w:val="none"/>
        </w:rPr>
        <w:t>7</w:t>
      </w:r>
    </w:p>
    <w:p>
      <w:pPr>
        <w:pStyle w:val="52"/>
        <w:adjustRightInd w:val="0"/>
        <w:snapToGrid w:val="0"/>
        <w:spacing w:line="360" w:lineRule="auto"/>
        <w:jc w:val="distribute"/>
        <w:rPr>
          <w:rFonts w:hint="eastAsia" w:eastAsia="宋体"/>
          <w:color w:val="000000"/>
          <w:lang w:eastAsia="zh-CN"/>
        </w:rPr>
      </w:pPr>
      <w:r>
        <w:fldChar w:fldCharType="begin"/>
      </w:r>
      <w:r>
        <w:instrText xml:space="preserve"> HYPERLINK \l "_Toc327863042#_Toc327863042#_Toc3278630" \o "blocked::#_Toc327863042" </w:instrText>
      </w:r>
      <w:r>
        <w:fldChar w:fldCharType="separate"/>
      </w:r>
      <w:r>
        <w:rPr>
          <w:rStyle w:val="34"/>
          <w:rFonts w:hint="eastAsia"/>
          <w:b/>
          <w:bCs/>
          <w:color w:val="000000"/>
          <w:u w:val="none"/>
        </w:rPr>
        <w:t>附件二 响应文件格式和表格…………………………………………………………………</w:t>
      </w:r>
      <w:r>
        <w:rPr>
          <w:rStyle w:val="34"/>
          <w:rFonts w:hint="eastAsia"/>
          <w:b/>
          <w:bCs/>
          <w:color w:val="000000"/>
          <w:u w:val="none"/>
        </w:rPr>
        <w:fldChar w:fldCharType="end"/>
      </w:r>
      <w:r>
        <w:rPr>
          <w:rFonts w:hint="eastAsia"/>
          <w:lang w:val="en-US" w:eastAsia="zh-CN"/>
        </w:rPr>
        <w:t>8</w:t>
      </w:r>
    </w:p>
    <w:p>
      <w:pPr>
        <w:pStyle w:val="52"/>
        <w:adjustRightInd w:val="0"/>
        <w:snapToGrid w:val="0"/>
        <w:spacing w:line="360" w:lineRule="auto"/>
        <w:jc w:val="distribute"/>
        <w:rPr>
          <w:rFonts w:hint="default" w:eastAsia="宋体"/>
          <w:color w:val="000000"/>
          <w:lang w:val="en-US" w:eastAsia="zh-CN"/>
        </w:rPr>
      </w:pPr>
      <w:r>
        <w:fldChar w:fldCharType="begin"/>
      </w:r>
      <w:r>
        <w:instrText xml:space="preserve"> HYPERLINK \l "_Toc327863047#_Toc327863047#_Toc3278630" \o "blocked::#_Toc327863047" </w:instrText>
      </w:r>
      <w:r>
        <w:fldChar w:fldCharType="separate"/>
      </w:r>
      <w:r>
        <w:rPr>
          <w:rStyle w:val="34"/>
          <w:rFonts w:hint="eastAsia"/>
          <w:b/>
          <w:bCs/>
          <w:color w:val="000000"/>
          <w:u w:val="none"/>
        </w:rPr>
        <w:t>附件三 资格证明文件</w:t>
      </w:r>
      <w:r>
        <w:rPr>
          <w:rStyle w:val="34"/>
          <w:rFonts w:hint="eastAsia"/>
          <w:color w:val="000000"/>
          <w:u w:val="none"/>
        </w:rPr>
        <w:t>…………………………………………………………………………</w:t>
      </w:r>
      <w:r>
        <w:rPr>
          <w:rStyle w:val="34"/>
          <w:rFonts w:hint="eastAsia"/>
          <w:color w:val="000000"/>
          <w:u w:val="none"/>
        </w:rPr>
        <w:fldChar w:fldCharType="end"/>
      </w:r>
      <w:r>
        <w:rPr>
          <w:rStyle w:val="34"/>
          <w:rFonts w:hint="eastAsia"/>
          <w:color w:val="000000"/>
          <w:u w:val="none"/>
          <w:lang w:val="en-US" w:eastAsia="zh-CN"/>
        </w:rPr>
        <w:t>19</w:t>
      </w:r>
    </w:p>
    <w:p>
      <w:pPr>
        <w:pStyle w:val="52"/>
        <w:adjustRightInd w:val="0"/>
        <w:snapToGrid w:val="0"/>
        <w:spacing w:line="360" w:lineRule="auto"/>
        <w:ind w:left="420"/>
        <w:jc w:val="distribute"/>
        <w:rPr>
          <w:rFonts w:hint="eastAsia" w:ascii="Times New Roman" w:hAnsi="Times New Roman" w:eastAsia="宋体" w:cs="Times New Roman"/>
          <w:color w:val="000000"/>
          <w:lang w:val="en-US" w:eastAsia="zh-CN"/>
        </w:rPr>
      </w:pPr>
      <w:r>
        <w:fldChar w:fldCharType="begin"/>
      </w:r>
      <w:r>
        <w:instrText xml:space="preserve"> HYPERLINK \l "_Toc327863048#_Toc327863048#_Toc3278630" \o "blocked::#_Toc327863048" </w:instrText>
      </w:r>
      <w:r>
        <w:fldChar w:fldCharType="separate"/>
      </w:r>
      <w:r>
        <w:rPr>
          <w:rStyle w:val="34"/>
          <w:rFonts w:hint="eastAsia"/>
          <w:color w:val="000000"/>
          <w:u w:val="none"/>
        </w:rPr>
        <w:t>3.1供应商基本情况表………</w:t>
      </w:r>
      <w:r>
        <w:rPr>
          <w:rStyle w:val="34"/>
          <w:color w:val="000000"/>
          <w:u w:val="none"/>
        </w:rPr>
        <w:t>……………</w:t>
      </w:r>
      <w:r>
        <w:rPr>
          <w:rStyle w:val="34"/>
          <w:rFonts w:hint="eastAsia"/>
          <w:color w:val="000000"/>
          <w:u w:val="none"/>
        </w:rPr>
        <w:t>………………………………………………………</w:t>
      </w:r>
      <w:r>
        <w:rPr>
          <w:rStyle w:val="34"/>
          <w:rFonts w:hint="eastAsia"/>
          <w:color w:val="000000"/>
          <w:u w:val="none"/>
          <w:lang w:val="en-US" w:eastAsia="zh-CN"/>
        </w:rPr>
        <w:t>2</w:t>
      </w:r>
      <w:r>
        <w:rPr>
          <w:rStyle w:val="34"/>
          <w:rFonts w:hint="eastAsia"/>
          <w:color w:val="000000"/>
          <w:u w:val="none"/>
        </w:rPr>
        <w:fldChar w:fldCharType="end"/>
      </w:r>
      <w:r>
        <w:rPr>
          <w:rStyle w:val="34"/>
          <w:rFonts w:hint="eastAsia"/>
          <w:color w:val="000000"/>
          <w:u w:val="none"/>
          <w:lang w:val="en-US" w:eastAsia="zh-CN"/>
        </w:rPr>
        <w:t>0</w:t>
      </w:r>
    </w:p>
    <w:p>
      <w:pPr>
        <w:pStyle w:val="52"/>
        <w:adjustRightInd w:val="0"/>
        <w:snapToGrid w:val="0"/>
        <w:spacing w:line="360" w:lineRule="auto"/>
        <w:ind w:left="420"/>
        <w:jc w:val="distribute"/>
        <w:rPr>
          <w:rFonts w:hint="eastAsia" w:eastAsia="宋体"/>
          <w:color w:val="000000"/>
          <w:lang w:val="en-US" w:eastAsia="zh-CN"/>
        </w:rPr>
      </w:pPr>
      <w:r>
        <w:rPr>
          <w:rFonts w:hint="eastAsia"/>
          <w:color w:val="000000"/>
        </w:rPr>
        <w:t>3.2</w:t>
      </w:r>
      <w:r>
        <w:rPr>
          <w:rFonts w:hint="eastAsia"/>
          <w:color w:val="000000"/>
          <w:lang w:eastAsia="zh-CN"/>
        </w:rPr>
        <w:t>法人营业执照</w:t>
      </w:r>
      <w:r>
        <w:rPr>
          <w:rFonts w:hint="eastAsia"/>
          <w:color w:val="000000"/>
        </w:rPr>
        <w:t>…………………………………………………………………………</w:t>
      </w:r>
      <w:r>
        <w:rPr>
          <w:color w:val="000000"/>
        </w:rPr>
        <w:t>2</w:t>
      </w:r>
      <w:r>
        <w:rPr>
          <w:rFonts w:hint="eastAsia"/>
          <w:color w:val="000000"/>
          <w:lang w:val="en-US" w:eastAsia="zh-CN"/>
        </w:rPr>
        <w:t>1</w:t>
      </w:r>
    </w:p>
    <w:p>
      <w:pPr>
        <w:pStyle w:val="52"/>
        <w:adjustRightInd w:val="0"/>
        <w:snapToGrid w:val="0"/>
        <w:spacing w:line="360" w:lineRule="auto"/>
        <w:ind w:left="420"/>
        <w:jc w:val="distribute"/>
        <w:rPr>
          <w:rFonts w:hint="eastAsia" w:eastAsia="宋体"/>
          <w:color w:val="000000"/>
          <w:lang w:val="en-US" w:eastAsia="zh-CN"/>
        </w:rPr>
      </w:pPr>
      <w:r>
        <w:rPr>
          <w:rFonts w:hint="eastAsia"/>
          <w:color w:val="000000"/>
        </w:rPr>
        <w:t>3.3</w:t>
      </w:r>
      <w:r>
        <w:rPr>
          <w:rFonts w:ascii="宋体" w:hAnsi="宋体" w:eastAsia="宋体" w:cs="宋体"/>
          <w:sz w:val="21"/>
          <w:szCs w:val="21"/>
        </w:rPr>
        <w:t>供应商无违法违规记录承诺</w:t>
      </w:r>
      <w:r>
        <w:rPr>
          <w:rFonts w:hint="eastAsia"/>
          <w:color w:val="000000"/>
        </w:rPr>
        <w:t>……………………………………………………………</w:t>
      </w:r>
      <w:r>
        <w:rPr>
          <w:color w:val="000000"/>
        </w:rPr>
        <w:t>2</w:t>
      </w:r>
      <w:r>
        <w:rPr>
          <w:rFonts w:hint="eastAsia"/>
          <w:color w:val="000000"/>
          <w:lang w:val="en-US" w:eastAsia="zh-CN"/>
        </w:rPr>
        <w:t>2</w:t>
      </w:r>
    </w:p>
    <w:p>
      <w:pPr>
        <w:pStyle w:val="52"/>
        <w:adjustRightInd w:val="0"/>
        <w:snapToGrid w:val="0"/>
        <w:spacing w:line="360" w:lineRule="auto"/>
        <w:ind w:left="420"/>
        <w:rPr>
          <w:rFonts w:hint="eastAsia" w:eastAsia="宋体"/>
          <w:color w:val="000000"/>
          <w:lang w:val="en-US" w:eastAsia="zh-CN"/>
        </w:rPr>
      </w:pPr>
      <w:r>
        <w:rPr>
          <w:rFonts w:hint="eastAsia"/>
          <w:color w:val="000000"/>
        </w:rPr>
        <w:t>3.4</w:t>
      </w:r>
      <w:r>
        <w:rPr>
          <w:color w:val="000000"/>
        </w:rPr>
        <w:t xml:space="preserve"> 律师事务所执业许可证或律师事务所分所执业许可证</w:t>
      </w:r>
      <w:r>
        <w:rPr>
          <w:rFonts w:hint="eastAsia"/>
          <w:color w:val="000000"/>
        </w:rPr>
        <w:t>……………………………………</w:t>
      </w:r>
      <w:r>
        <w:rPr>
          <w:color w:val="000000"/>
        </w:rPr>
        <w:t>2</w:t>
      </w:r>
      <w:r>
        <w:rPr>
          <w:rFonts w:hint="eastAsia"/>
          <w:color w:val="000000"/>
          <w:lang w:val="en-US" w:eastAsia="zh-CN"/>
        </w:rPr>
        <w:t>3</w:t>
      </w:r>
    </w:p>
    <w:p>
      <w:pPr>
        <w:pStyle w:val="52"/>
        <w:adjustRightInd w:val="0"/>
        <w:snapToGrid w:val="0"/>
        <w:spacing w:line="360" w:lineRule="auto"/>
        <w:ind w:left="420"/>
        <w:jc w:val="distribute"/>
        <w:rPr>
          <w:rFonts w:hint="eastAsia" w:eastAsia="宋体"/>
          <w:color w:val="000000"/>
          <w:lang w:val="en-US" w:eastAsia="zh-CN"/>
        </w:rPr>
      </w:pPr>
      <w:r>
        <w:rPr>
          <w:rFonts w:hint="eastAsia"/>
          <w:color w:val="000000"/>
        </w:rPr>
        <w:t>3.5主要律师团队简介………………………………………………………………………</w:t>
      </w:r>
      <w:r>
        <w:rPr>
          <w:color w:val="000000"/>
        </w:rPr>
        <w:t>2</w:t>
      </w:r>
      <w:r>
        <w:rPr>
          <w:rFonts w:hint="eastAsia"/>
          <w:color w:val="000000"/>
          <w:lang w:val="en-US" w:eastAsia="zh-CN"/>
        </w:rPr>
        <w:t>4</w:t>
      </w:r>
    </w:p>
    <w:p>
      <w:pPr>
        <w:pStyle w:val="52"/>
        <w:adjustRightInd w:val="0"/>
        <w:snapToGrid w:val="0"/>
        <w:spacing w:line="360" w:lineRule="auto"/>
        <w:ind w:left="420"/>
        <w:jc w:val="distribute"/>
        <w:rPr>
          <w:rFonts w:hint="eastAsia" w:eastAsia="宋体"/>
          <w:color w:val="000000"/>
          <w:lang w:val="en-US" w:eastAsia="zh-CN"/>
        </w:rPr>
      </w:pPr>
      <w:r>
        <w:rPr>
          <w:rFonts w:hint="eastAsia"/>
          <w:color w:val="000000"/>
        </w:rPr>
        <w:t>3.</w:t>
      </w:r>
      <w:r>
        <w:rPr>
          <w:color w:val="000000"/>
        </w:rPr>
        <w:t>6团队律师法律服务材料</w:t>
      </w:r>
      <w:r>
        <w:rPr>
          <w:rFonts w:hint="eastAsia"/>
          <w:color w:val="000000"/>
        </w:rPr>
        <w:t>……</w:t>
      </w:r>
      <w:r>
        <w:rPr>
          <w:color w:val="000000"/>
        </w:rPr>
        <w:t>………</w:t>
      </w:r>
      <w:r>
        <w:rPr>
          <w:rFonts w:hint="eastAsia"/>
          <w:color w:val="000000"/>
        </w:rPr>
        <w:t>…………………………………………………………</w:t>
      </w:r>
      <w:r>
        <w:rPr>
          <w:color w:val="000000"/>
        </w:rPr>
        <w:t>2</w:t>
      </w:r>
      <w:r>
        <w:rPr>
          <w:rFonts w:hint="eastAsia"/>
          <w:color w:val="000000"/>
          <w:lang w:val="en-US" w:eastAsia="zh-CN"/>
        </w:rPr>
        <w:t>5</w:t>
      </w:r>
    </w:p>
    <w:p>
      <w:pPr>
        <w:pStyle w:val="52"/>
        <w:adjustRightInd w:val="0"/>
        <w:snapToGrid w:val="0"/>
        <w:spacing w:line="360" w:lineRule="auto"/>
        <w:ind w:left="420"/>
        <w:jc w:val="distribute"/>
        <w:rPr>
          <w:rFonts w:hint="eastAsia" w:eastAsia="宋体"/>
          <w:color w:val="000000"/>
          <w:lang w:val="en-US" w:eastAsia="zh-CN"/>
        </w:rPr>
      </w:pPr>
      <w:r>
        <w:rPr>
          <w:rFonts w:hint="eastAsia"/>
          <w:color w:val="000000"/>
        </w:rPr>
        <w:t>3.</w:t>
      </w:r>
      <w:r>
        <w:rPr>
          <w:color w:val="000000"/>
        </w:rPr>
        <w:t>7</w:t>
      </w:r>
      <w:r>
        <w:rPr>
          <w:rFonts w:hint="eastAsia"/>
          <w:color w:val="000000"/>
        </w:rPr>
        <w:t>与本次采购有关的其他资质证明文件</w:t>
      </w:r>
      <w:r>
        <w:rPr>
          <w:color w:val="000000"/>
        </w:rPr>
        <w:t>……………</w:t>
      </w:r>
      <w:r>
        <w:rPr>
          <w:rFonts w:hint="eastAsia"/>
          <w:color w:val="000000"/>
        </w:rPr>
        <w:t>…………………………………………</w:t>
      </w:r>
      <w:r>
        <w:rPr>
          <w:color w:val="000000"/>
        </w:rPr>
        <w:t>2</w:t>
      </w:r>
      <w:r>
        <w:rPr>
          <w:rFonts w:hint="eastAsia"/>
          <w:color w:val="000000"/>
          <w:lang w:val="en-US" w:eastAsia="zh-CN"/>
        </w:rPr>
        <w:t>6</w:t>
      </w:r>
    </w:p>
    <w:p>
      <w:pPr>
        <w:pStyle w:val="52"/>
        <w:adjustRightInd w:val="0"/>
        <w:snapToGrid w:val="0"/>
        <w:spacing w:line="360" w:lineRule="auto"/>
        <w:jc w:val="distribute"/>
        <w:rPr>
          <w:rFonts w:hint="default" w:eastAsia="宋体"/>
          <w:color w:val="000000"/>
          <w:lang w:val="en-US" w:eastAsia="zh-CN"/>
        </w:rPr>
      </w:pPr>
      <w:r>
        <w:fldChar w:fldCharType="begin"/>
      </w:r>
      <w:r>
        <w:instrText xml:space="preserve"> HYPERLINK \l "_Toc327863057#_Toc327863057#_Toc3278630" \o "blocked::#_Toc327863057" </w:instrText>
      </w:r>
      <w:r>
        <w:fldChar w:fldCharType="separate"/>
      </w:r>
      <w:r>
        <w:rPr>
          <w:rStyle w:val="34"/>
          <w:rFonts w:hint="eastAsia"/>
          <w:b/>
          <w:bCs/>
          <w:color w:val="000000"/>
          <w:u w:val="none"/>
        </w:rPr>
        <w:t>附件四 项目采购需求及服务要求</w:t>
      </w:r>
      <w:r>
        <w:rPr>
          <w:rStyle w:val="34"/>
          <w:rFonts w:hint="eastAsia"/>
          <w:color w:val="000000"/>
          <w:u w:val="none"/>
        </w:rPr>
        <w:t>…………………………………………………………</w:t>
      </w:r>
      <w:r>
        <w:rPr>
          <w:rStyle w:val="34"/>
          <w:rFonts w:hint="eastAsia"/>
          <w:color w:val="000000"/>
          <w:u w:val="none"/>
        </w:rPr>
        <w:fldChar w:fldCharType="end"/>
      </w:r>
      <w:r>
        <w:rPr>
          <w:rStyle w:val="34"/>
          <w:rFonts w:hint="eastAsia"/>
          <w:color w:val="000000"/>
          <w:u w:val="none"/>
          <w:lang w:val="en-US" w:eastAsia="zh-CN"/>
        </w:rPr>
        <w:t>27</w:t>
      </w:r>
    </w:p>
    <w:p>
      <w:pPr>
        <w:pStyle w:val="52"/>
        <w:adjustRightInd w:val="0"/>
        <w:snapToGrid w:val="0"/>
        <w:spacing w:line="360" w:lineRule="auto"/>
        <w:ind w:left="420"/>
        <w:jc w:val="distribute"/>
        <w:rPr>
          <w:rFonts w:hint="eastAsia" w:ascii="Times New Roman" w:hAnsi="Times New Roman" w:eastAsia="宋体" w:cs="Times New Roman"/>
          <w:color w:val="000000"/>
          <w:lang w:val="en-US" w:eastAsia="zh-CN"/>
        </w:rPr>
      </w:pPr>
      <w:r>
        <w:rPr>
          <w:rFonts w:hint="eastAsia"/>
          <w:color w:val="000000"/>
        </w:rPr>
        <w:t>4</w:t>
      </w:r>
      <w:r>
        <w:fldChar w:fldCharType="begin"/>
      </w:r>
      <w:r>
        <w:instrText xml:space="preserve"> HYPERLINK \l "_Toc327863058#_Toc327863058#_Toc3278630" \o "blocked::#_Toc327863058" </w:instrText>
      </w:r>
      <w:r>
        <w:fldChar w:fldCharType="separate"/>
      </w:r>
      <w:r>
        <w:rPr>
          <w:rStyle w:val="34"/>
          <w:rFonts w:hint="eastAsia"/>
          <w:color w:val="000000"/>
          <w:u w:val="none"/>
        </w:rPr>
        <w:t>.1合同模板…………………………………………………………………………………</w:t>
      </w:r>
      <w:r>
        <w:rPr>
          <w:rStyle w:val="34"/>
          <w:rFonts w:hint="eastAsia"/>
          <w:color w:val="000000"/>
          <w:u w:val="none"/>
        </w:rPr>
        <w:fldChar w:fldCharType="end"/>
      </w:r>
      <w:r>
        <w:rPr>
          <w:rStyle w:val="34"/>
          <w:color w:val="000000"/>
          <w:u w:val="none"/>
        </w:rPr>
        <w:t>2</w:t>
      </w:r>
      <w:r>
        <w:rPr>
          <w:rStyle w:val="34"/>
          <w:rFonts w:hint="eastAsia"/>
          <w:color w:val="000000"/>
          <w:u w:val="none"/>
          <w:lang w:val="en-US" w:eastAsia="zh-CN"/>
        </w:rPr>
        <w:t>7</w:t>
      </w:r>
    </w:p>
    <w:p>
      <w:pPr>
        <w:pStyle w:val="52"/>
        <w:adjustRightInd w:val="0"/>
        <w:snapToGrid w:val="0"/>
        <w:spacing w:line="360" w:lineRule="auto"/>
        <w:ind w:left="420"/>
        <w:jc w:val="distribute"/>
        <w:rPr>
          <w:rFonts w:hint="eastAsia" w:eastAsia="宋体"/>
          <w:color w:val="000000"/>
          <w:lang w:val="en-US" w:eastAsia="zh-CN"/>
        </w:rPr>
      </w:pPr>
      <w:r>
        <w:rPr>
          <w:rFonts w:hint="eastAsia"/>
          <w:color w:val="000000"/>
        </w:rPr>
        <w:t>4.2采购需求及技术服务要求……………………………………………………………</w:t>
      </w:r>
      <w:r>
        <w:rPr>
          <w:color w:val="000000"/>
        </w:rPr>
        <w:t>4</w:t>
      </w:r>
      <w:r>
        <w:rPr>
          <w:rFonts w:hint="eastAsia"/>
          <w:color w:val="000000"/>
          <w:lang w:val="en-US" w:eastAsia="zh-CN"/>
        </w:rPr>
        <w:t>2</w:t>
      </w:r>
    </w:p>
    <w:p>
      <w:pPr>
        <w:pStyle w:val="52"/>
        <w:adjustRightInd w:val="0"/>
        <w:snapToGrid w:val="0"/>
        <w:spacing w:line="360" w:lineRule="auto"/>
        <w:ind w:left="420"/>
        <w:jc w:val="distribute"/>
        <w:rPr>
          <w:rFonts w:hint="default" w:eastAsia="宋体"/>
          <w:color w:val="000000"/>
          <w:lang w:val="en-US" w:eastAsia="zh-CN"/>
        </w:rPr>
      </w:pPr>
      <w:r>
        <w:rPr>
          <w:rFonts w:hint="eastAsia"/>
          <w:color w:val="000000"/>
        </w:rPr>
        <w:t>4.</w:t>
      </w:r>
      <w:r>
        <w:rPr>
          <w:color w:val="000000"/>
        </w:rPr>
        <w:t xml:space="preserve">3 </w:t>
      </w:r>
      <w:r>
        <w:rPr>
          <w:rFonts w:hint="eastAsia"/>
          <w:color w:val="000000"/>
        </w:rPr>
        <w:t>供应商</w:t>
      </w:r>
      <w:r>
        <w:rPr>
          <w:color w:val="000000"/>
        </w:rPr>
        <w:t>技术响应文件</w:t>
      </w:r>
      <w:r>
        <w:rPr>
          <w:rFonts w:hint="eastAsia"/>
          <w:color w:val="000000"/>
        </w:rPr>
        <w:t>………………………</w:t>
      </w:r>
      <w:r>
        <w:rPr>
          <w:color w:val="000000"/>
        </w:rPr>
        <w:t>………</w:t>
      </w:r>
      <w:r>
        <w:rPr>
          <w:rFonts w:hint="eastAsia"/>
          <w:color w:val="000000"/>
        </w:rPr>
        <w:t>………………………………………</w:t>
      </w:r>
      <w:r>
        <w:rPr>
          <w:rFonts w:hint="eastAsia"/>
          <w:color w:val="000000"/>
          <w:lang w:val="en-US" w:eastAsia="zh-CN"/>
        </w:rPr>
        <w:t>45</w:t>
      </w:r>
    </w:p>
    <w:p>
      <w:pPr>
        <w:pStyle w:val="52"/>
        <w:adjustRightInd w:val="0"/>
        <w:snapToGrid w:val="0"/>
        <w:spacing w:line="360" w:lineRule="auto"/>
        <w:ind w:left="3240" w:right="620" w:hanging="3240"/>
        <w:jc w:val="right"/>
        <w:rPr>
          <w:color w:val="000000"/>
        </w:rPr>
      </w:pPr>
    </w:p>
    <w:p>
      <w:pPr>
        <w:pStyle w:val="52"/>
        <w:adjustRightInd w:val="0"/>
        <w:snapToGrid w:val="0"/>
        <w:spacing w:line="360" w:lineRule="auto"/>
        <w:ind w:left="3240" w:right="620" w:hanging="3240"/>
        <w:jc w:val="right"/>
        <w:rPr>
          <w:color w:val="000000"/>
        </w:rPr>
      </w:pPr>
    </w:p>
    <w:p>
      <w:pPr>
        <w:pStyle w:val="52"/>
        <w:adjustRightInd w:val="0"/>
        <w:snapToGrid w:val="0"/>
        <w:spacing w:line="360" w:lineRule="auto"/>
        <w:ind w:left="3240" w:right="620" w:hanging="3240"/>
        <w:jc w:val="right"/>
        <w:rPr>
          <w:color w:val="000000"/>
        </w:rPr>
      </w:pPr>
    </w:p>
    <w:p>
      <w:pPr>
        <w:widowControl/>
        <w:adjustRightInd w:val="0"/>
        <w:snapToGrid w:val="0"/>
        <w:spacing w:line="360" w:lineRule="auto"/>
        <w:ind w:left="3240" w:right="740" w:hanging="3240"/>
        <w:jc w:val="left"/>
        <w:rPr>
          <w:rFonts w:ascii="宋体" w:hAnsi="宋体" w:cs="宋体"/>
          <w:b/>
          <w:bCs/>
          <w:kern w:val="0"/>
          <w:sz w:val="28"/>
          <w:szCs w:val="28"/>
        </w:rPr>
      </w:pPr>
    </w:p>
    <w:p>
      <w:pPr>
        <w:widowControl/>
        <w:adjustRightInd w:val="0"/>
        <w:snapToGrid w:val="0"/>
        <w:spacing w:line="360" w:lineRule="auto"/>
        <w:ind w:left="3240" w:right="740" w:hanging="3240"/>
        <w:jc w:val="left"/>
        <w:rPr>
          <w:rFonts w:ascii="宋体" w:hAnsi="宋体" w:cs="宋体"/>
          <w:b/>
          <w:bCs/>
          <w:kern w:val="0"/>
          <w:sz w:val="28"/>
          <w:szCs w:val="28"/>
        </w:rPr>
      </w:pPr>
    </w:p>
    <w:p>
      <w:pPr>
        <w:widowControl/>
        <w:adjustRightInd w:val="0"/>
        <w:snapToGrid w:val="0"/>
        <w:spacing w:line="360" w:lineRule="auto"/>
        <w:ind w:left="3240" w:right="740" w:hanging="3240"/>
        <w:jc w:val="left"/>
        <w:rPr>
          <w:rFonts w:ascii="宋体" w:hAnsi="宋体" w:cs="宋体"/>
          <w:b/>
          <w:bCs/>
          <w:kern w:val="0"/>
          <w:sz w:val="28"/>
          <w:szCs w:val="28"/>
        </w:rPr>
      </w:pPr>
    </w:p>
    <w:p>
      <w:pPr>
        <w:widowControl/>
        <w:adjustRightInd w:val="0"/>
        <w:snapToGrid w:val="0"/>
        <w:spacing w:line="360" w:lineRule="auto"/>
        <w:ind w:left="3240" w:right="740" w:hanging="3240"/>
        <w:jc w:val="left"/>
        <w:rPr>
          <w:rFonts w:ascii="宋体" w:hAnsi="宋体" w:cs="宋体"/>
          <w:b/>
          <w:bCs/>
          <w:kern w:val="0"/>
          <w:sz w:val="28"/>
          <w:szCs w:val="28"/>
        </w:rPr>
      </w:pPr>
    </w:p>
    <w:p>
      <w:pPr>
        <w:widowControl/>
        <w:adjustRightInd w:val="0"/>
        <w:snapToGrid w:val="0"/>
        <w:spacing w:line="360" w:lineRule="auto"/>
        <w:ind w:left="3240" w:right="740" w:hanging="3240"/>
        <w:jc w:val="left"/>
        <w:rPr>
          <w:rFonts w:ascii="宋体" w:hAnsi="宋体" w:cs="宋体"/>
          <w:b/>
          <w:bCs/>
          <w:kern w:val="0"/>
          <w:sz w:val="28"/>
          <w:szCs w:val="28"/>
        </w:rPr>
      </w:pPr>
    </w:p>
    <w:p>
      <w:pPr>
        <w:pStyle w:val="3"/>
        <w:numPr>
          <w:ilvl w:val="0"/>
          <w:numId w:val="0"/>
        </w:numPr>
        <w:adjustRightInd w:val="0"/>
        <w:snapToGrid w:val="0"/>
        <w:rPr>
          <w:sz w:val="30"/>
          <w:szCs w:val="30"/>
        </w:rPr>
      </w:pPr>
      <w:r>
        <w:rPr>
          <w:rFonts w:hint="eastAsia"/>
          <w:sz w:val="30"/>
          <w:szCs w:val="30"/>
        </w:rPr>
        <w:t>附件一：磋商事项说明</w:t>
      </w:r>
    </w:p>
    <w:p>
      <w:pPr>
        <w:pStyle w:val="2"/>
        <w:numPr>
          <w:ilvl w:val="0"/>
          <w:numId w:val="0"/>
        </w:numPr>
        <w:adjustRightInd w:val="0"/>
        <w:snapToGrid w:val="0"/>
        <w:spacing w:before="0" w:after="0" w:line="360" w:lineRule="auto"/>
        <w:ind w:firstLine="482" w:firstLineChars="200"/>
        <w:rPr>
          <w:sz w:val="24"/>
          <w:szCs w:val="24"/>
        </w:rPr>
      </w:pPr>
      <w:r>
        <w:rPr>
          <w:rFonts w:hint="eastAsia"/>
          <w:sz w:val="24"/>
          <w:szCs w:val="24"/>
        </w:rPr>
        <w:t>一、供应商资格要求</w:t>
      </w:r>
    </w:p>
    <w:p>
      <w:pPr>
        <w:widowControl/>
        <w:adjustRightInd w:val="0"/>
        <w:snapToGrid w:val="0"/>
        <w:spacing w:line="360" w:lineRule="auto"/>
        <w:ind w:firstLine="482"/>
        <w:rPr>
          <w:rFonts w:hint="eastAsia" w:ascii="宋体" w:hAnsi="宋体" w:cs="宋体"/>
          <w:color w:val="000000" w:themeColor="text1"/>
          <w:kern w:val="0"/>
          <w:sz w:val="24"/>
          <w:szCs w:val="24"/>
          <w:lang w:val="en-US" w:eastAsia="zh-CN"/>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1.</w:t>
      </w:r>
      <w:r>
        <w:rPr>
          <w:rFonts w:hint="eastAsia" w:ascii="宋体" w:hAnsi="宋体" w:cs="宋体"/>
          <w:color w:val="000000" w:themeColor="text1"/>
          <w:kern w:val="0"/>
          <w:sz w:val="24"/>
          <w:szCs w:val="24"/>
          <w14:textFill>
            <w14:solidFill>
              <w14:schemeClr w14:val="tx1"/>
            </w14:solidFill>
          </w14:textFill>
        </w:rPr>
        <w:t>符合《中华人民共和国政府采购法》第二十二条规定，具有本次采购服务能力及磋商文件规定的资质要求的供应商均可参加</w:t>
      </w:r>
      <w:r>
        <w:rPr>
          <w:rFonts w:hint="eastAsia" w:ascii="宋体" w:hAnsi="宋体" w:cs="宋体"/>
          <w:color w:val="000000" w:themeColor="text1"/>
          <w:kern w:val="0"/>
          <w:sz w:val="24"/>
          <w:szCs w:val="24"/>
          <w:lang w:eastAsia="zh-CN"/>
          <w14:textFill>
            <w14:solidFill>
              <w14:schemeClr w14:val="tx1"/>
            </w14:solidFill>
          </w14:textFill>
        </w:rPr>
        <w:t>。</w:t>
      </w:r>
    </w:p>
    <w:p>
      <w:pPr>
        <w:widowControl/>
        <w:adjustRightInd w:val="0"/>
        <w:snapToGrid w:val="0"/>
        <w:spacing w:line="360" w:lineRule="auto"/>
        <w:ind w:firstLine="482"/>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2.</w:t>
      </w:r>
      <w:r>
        <w:rPr>
          <w:rFonts w:hint="eastAsia" w:ascii="宋体" w:hAnsi="宋体" w:cs="宋体"/>
          <w:color w:val="000000" w:themeColor="text1"/>
          <w:kern w:val="0"/>
          <w:sz w:val="24"/>
          <w:szCs w:val="24"/>
          <w14:textFill>
            <w14:solidFill>
              <w14:schemeClr w14:val="tx1"/>
            </w14:solidFill>
          </w14:textFill>
        </w:rPr>
        <w:t>具有独立承担民事责任的能力</w:t>
      </w:r>
      <w:r>
        <w:rPr>
          <w:rFonts w:hint="eastAsia" w:ascii="宋体" w:hAnsi="宋体" w:cs="宋体"/>
          <w:color w:val="000000" w:themeColor="text1"/>
          <w:kern w:val="0"/>
          <w:sz w:val="24"/>
          <w:szCs w:val="24"/>
          <w:lang w:eastAsia="zh-CN"/>
          <w14:textFill>
            <w14:solidFill>
              <w14:schemeClr w14:val="tx1"/>
            </w14:solidFill>
          </w14:textFill>
        </w:rPr>
        <w:t>。需</w:t>
      </w:r>
      <w:r>
        <w:rPr>
          <w:rFonts w:hint="eastAsia" w:ascii="宋体" w:hAnsi="宋体" w:cs="宋体"/>
          <w:color w:val="000000" w:themeColor="text1"/>
          <w:kern w:val="0"/>
          <w:sz w:val="24"/>
          <w:szCs w:val="24"/>
          <w14:textFill>
            <w14:solidFill>
              <w14:schemeClr w14:val="tx1"/>
            </w14:solidFill>
          </w14:textFill>
        </w:rPr>
        <w:t>提供具有独立法人的营业执照或其他组织营业执照（复印件或扫描件加盖</w:t>
      </w:r>
      <w:r>
        <w:rPr>
          <w:rFonts w:hint="eastAsia" w:ascii="宋体" w:hAnsi="宋体" w:cs="宋体"/>
          <w:color w:val="000000" w:themeColor="text1"/>
          <w:kern w:val="0"/>
          <w:sz w:val="24"/>
          <w:szCs w:val="24"/>
          <w:lang w:eastAsia="zh-CN"/>
          <w14:textFill>
            <w14:solidFill>
              <w14:schemeClr w14:val="tx1"/>
            </w14:solidFill>
          </w14:textFill>
        </w:rPr>
        <w:t>供应商</w:t>
      </w:r>
      <w:r>
        <w:rPr>
          <w:rFonts w:hint="eastAsia" w:ascii="宋体" w:hAnsi="宋体" w:cs="宋体"/>
          <w:color w:val="000000" w:themeColor="text1"/>
          <w:kern w:val="0"/>
          <w:sz w:val="24"/>
          <w:szCs w:val="24"/>
          <w14:textFill>
            <w14:solidFill>
              <w14:schemeClr w14:val="tx1"/>
            </w14:solidFill>
          </w14:textFill>
        </w:rPr>
        <w:t>公章）</w:t>
      </w:r>
      <w:r>
        <w:rPr>
          <w:rFonts w:hint="eastAsia" w:ascii="宋体" w:hAnsi="宋体" w:cs="宋体"/>
          <w:color w:val="000000" w:themeColor="text1"/>
          <w:kern w:val="0"/>
          <w:sz w:val="24"/>
          <w:szCs w:val="24"/>
          <w:lang w:eastAsia="zh-CN"/>
          <w14:textFill>
            <w14:solidFill>
              <w14:schemeClr w14:val="tx1"/>
            </w14:solidFill>
          </w14:textFill>
        </w:rPr>
        <w:t>。</w:t>
      </w:r>
    </w:p>
    <w:p>
      <w:pPr>
        <w:widowControl/>
        <w:adjustRightInd w:val="0"/>
        <w:snapToGrid w:val="0"/>
        <w:spacing w:line="360" w:lineRule="auto"/>
        <w:ind w:firstLine="482"/>
        <w:rPr>
          <w:rFonts w:hint="eastAsia" w:ascii="宋体" w:hAnsi="宋体" w:cs="宋体"/>
          <w:color w:val="000000" w:themeColor="text1"/>
          <w:kern w:val="0"/>
          <w:sz w:val="24"/>
          <w:szCs w:val="24"/>
          <w:lang w:val="en-US" w:eastAsia="zh-CN"/>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3.近三年未受过律师主管部门的行政处罚和客户投诉，其中成立未满三年的律师事务所，应当自成立之日起未受过处罚和投诉，并且连续经营时间至少一年以上。（供应商需提供经营活动良好，近三年无违法违规记录的书面声明）</w:t>
      </w:r>
    </w:p>
    <w:p>
      <w:pPr>
        <w:widowControl/>
        <w:adjustRightInd w:val="0"/>
        <w:snapToGrid w:val="0"/>
        <w:spacing w:line="360" w:lineRule="auto"/>
        <w:ind w:firstLine="482"/>
        <w:rPr>
          <w:rFonts w:hint="eastAsia" w:ascii="宋体" w:hAnsi="宋体" w:cs="宋体"/>
          <w:color w:val="000000" w:themeColor="text1"/>
          <w:kern w:val="0"/>
          <w:sz w:val="24"/>
          <w:szCs w:val="24"/>
          <w:lang w:val="en-US" w:eastAsia="zh-CN"/>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4.采购人仅接受供应商以律师团队的形式参加竞争，团队的牵头律师必须为供应商的合伙人；所有律师团队成员必须取得司法管理部门颁发的律师执业证（提供执业证复印件，原件备查），并有相应的执业能力（</w:t>
      </w:r>
      <w:r>
        <w:rPr>
          <w:rFonts w:hint="eastAsia" w:ascii="宋体" w:hAnsi="宋体" w:cs="宋体"/>
          <w:color w:val="000000" w:themeColor="text1"/>
          <w:kern w:val="0"/>
          <w:sz w:val="24"/>
          <w:szCs w:val="24"/>
          <w14:textFill>
            <w14:solidFill>
              <w14:schemeClr w14:val="tx1"/>
            </w14:solidFill>
          </w14:textFill>
        </w:rPr>
        <w:t>团队所有成员有不少于</w:t>
      </w:r>
      <w:r>
        <w:rPr>
          <w:rFonts w:hint="eastAsia" w:ascii="宋体" w:hAnsi="宋体" w:cs="宋体"/>
          <w:color w:val="000000" w:themeColor="text1"/>
          <w:kern w:val="0"/>
          <w:sz w:val="24"/>
          <w:szCs w:val="24"/>
          <w:lang w:eastAsia="zh-CN"/>
          <w14:textFill>
            <w14:solidFill>
              <w14:schemeClr w14:val="tx1"/>
            </w14:solidFill>
          </w14:textFill>
        </w:rPr>
        <w:t>三</w:t>
      </w:r>
      <w:r>
        <w:rPr>
          <w:rFonts w:hint="eastAsia" w:ascii="宋体" w:hAnsi="宋体" w:cs="宋体"/>
          <w:color w:val="000000" w:themeColor="text1"/>
          <w:kern w:val="0"/>
          <w:sz w:val="24"/>
          <w:szCs w:val="24"/>
          <w14:textFill>
            <w14:solidFill>
              <w14:schemeClr w14:val="tx1"/>
            </w14:solidFill>
          </w14:textFill>
        </w:rPr>
        <w:t>年的律师执业经历</w:t>
      </w:r>
      <w:r>
        <w:rPr>
          <w:rFonts w:hint="eastAsia" w:ascii="宋体" w:hAnsi="宋体" w:cs="宋体"/>
          <w:color w:val="000000" w:themeColor="text1"/>
          <w:kern w:val="0"/>
          <w:sz w:val="24"/>
          <w:szCs w:val="24"/>
          <w:lang w:val="en-US" w:eastAsia="zh-CN"/>
          <w14:textFill>
            <w14:solidFill>
              <w14:schemeClr w14:val="tx1"/>
            </w14:solidFill>
          </w14:textFill>
        </w:rPr>
        <w:t>）。</w:t>
      </w:r>
    </w:p>
    <w:p>
      <w:pPr>
        <w:widowControl/>
        <w:adjustRightInd w:val="0"/>
        <w:snapToGrid w:val="0"/>
        <w:spacing w:line="360" w:lineRule="auto"/>
        <w:ind w:firstLine="482"/>
        <w:rPr>
          <w:rFonts w:hint="eastAsia" w:ascii="宋体" w:hAnsi="宋体" w:cs="宋体"/>
          <w:color w:val="000000" w:themeColor="text1"/>
          <w:kern w:val="0"/>
          <w:sz w:val="24"/>
          <w:szCs w:val="24"/>
          <w:lang w:val="en-US" w:eastAsia="zh-CN"/>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5.供应商必须为经司法管理部门批准的律师事务所（提供执业许可证副本复印件，原件备查）。</w:t>
      </w:r>
    </w:p>
    <w:p>
      <w:pPr>
        <w:pStyle w:val="2"/>
        <w:numPr>
          <w:ilvl w:val="0"/>
          <w:numId w:val="0"/>
        </w:numPr>
        <w:adjustRightInd w:val="0"/>
        <w:snapToGrid w:val="0"/>
        <w:spacing w:before="0" w:after="0" w:line="360" w:lineRule="auto"/>
        <w:ind w:firstLine="482" w:firstLineChars="200"/>
        <w:rPr>
          <w:sz w:val="24"/>
          <w:szCs w:val="24"/>
        </w:rPr>
      </w:pPr>
      <w:r>
        <w:rPr>
          <w:rFonts w:hint="eastAsia"/>
          <w:sz w:val="24"/>
          <w:szCs w:val="24"/>
        </w:rPr>
        <w:t>二、评审标准</w:t>
      </w:r>
    </w:p>
    <w:p>
      <w:pPr>
        <w:widowControl/>
        <w:adjustRightInd w:val="0"/>
        <w:snapToGrid w:val="0"/>
        <w:spacing w:line="360" w:lineRule="auto"/>
        <w:ind w:firstLine="480"/>
      </w:pPr>
      <w:r>
        <w:rPr>
          <w:rFonts w:hint="eastAsia" w:ascii="宋体" w:hAnsi="宋体" w:cs="宋体"/>
          <w:color w:val="auto"/>
          <w:kern w:val="0"/>
          <w:sz w:val="24"/>
          <w:szCs w:val="24"/>
        </w:rPr>
        <w:t>采购评审标准由项目最终报价、</w:t>
      </w:r>
      <w:r>
        <w:rPr>
          <w:rFonts w:hint="eastAsia" w:ascii="宋体" w:hAnsi="宋体" w:cs="宋体"/>
          <w:color w:val="auto"/>
          <w:kern w:val="0"/>
          <w:sz w:val="24"/>
          <w:szCs w:val="24"/>
          <w:lang w:eastAsia="zh-CN"/>
        </w:rPr>
        <w:t>商务部分和技术部分</w:t>
      </w:r>
      <w:r>
        <w:rPr>
          <w:rFonts w:hint="eastAsia" w:ascii="宋体" w:hAnsi="宋体" w:cs="宋体"/>
          <w:color w:val="auto"/>
          <w:kern w:val="0"/>
          <w:sz w:val="24"/>
          <w:szCs w:val="24"/>
        </w:rPr>
        <w:t>三项标准构成，评审</w:t>
      </w:r>
      <w:r>
        <w:rPr>
          <w:rFonts w:ascii="宋体" w:hAnsi="宋体" w:cs="宋体"/>
          <w:color w:val="auto"/>
          <w:kern w:val="0"/>
          <w:sz w:val="24"/>
          <w:szCs w:val="24"/>
        </w:rPr>
        <w:t>专家</w:t>
      </w:r>
      <w:r>
        <w:rPr>
          <w:rFonts w:hint="eastAsia" w:ascii="宋体" w:hAnsi="宋体" w:cs="宋体"/>
          <w:color w:val="auto"/>
          <w:kern w:val="0"/>
          <w:sz w:val="24"/>
          <w:szCs w:val="24"/>
        </w:rPr>
        <w:t>将依据磋商</w:t>
      </w:r>
      <w:r>
        <w:rPr>
          <w:rFonts w:ascii="宋体" w:hAnsi="宋体" w:cs="宋体"/>
          <w:color w:val="auto"/>
          <w:kern w:val="0"/>
          <w:sz w:val="24"/>
          <w:szCs w:val="24"/>
        </w:rPr>
        <w:t>邀请</w:t>
      </w:r>
      <w:r>
        <w:rPr>
          <w:rFonts w:hint="eastAsia" w:ascii="宋体" w:hAnsi="宋体" w:cs="宋体"/>
          <w:color w:val="auto"/>
          <w:kern w:val="0"/>
          <w:sz w:val="24"/>
          <w:szCs w:val="24"/>
        </w:rPr>
        <w:t>文件要求，结合项目最终报价表、技术方案、服务方案等情况进行评分。各有效供应商的综合得分为各评审专家所评分值的算术平均值，若总得分相同，以价格得分高者排序在先。</w:t>
      </w:r>
      <w:r>
        <w:rPr>
          <w:rFonts w:hint="eastAsia" w:ascii="宋体" w:hAnsi="宋体" w:cs="宋体"/>
          <w:b/>
          <w:color w:val="auto"/>
          <w:kern w:val="0"/>
          <w:sz w:val="24"/>
          <w:szCs w:val="24"/>
        </w:rPr>
        <w:t>将把合同授予被确定为实质上响应磋商文件要求且评标得分最</w:t>
      </w:r>
      <w:r>
        <w:rPr>
          <w:rFonts w:hint="eastAsia" w:ascii="宋体" w:hAnsi="宋体" w:cs="宋体"/>
          <w:b/>
          <w:color w:val="auto"/>
          <w:kern w:val="0"/>
          <w:sz w:val="24"/>
          <w:szCs w:val="24"/>
          <w:lang w:eastAsia="zh-CN"/>
        </w:rPr>
        <w:t>高</w:t>
      </w:r>
      <w:r>
        <w:rPr>
          <w:rFonts w:hint="eastAsia" w:ascii="宋体" w:hAnsi="宋体" w:cs="宋体"/>
          <w:b/>
          <w:color w:val="auto"/>
          <w:kern w:val="0"/>
          <w:sz w:val="24"/>
          <w:szCs w:val="24"/>
        </w:rPr>
        <w:t>的</w:t>
      </w:r>
      <w:r>
        <w:rPr>
          <w:rFonts w:hint="eastAsia" w:ascii="宋体" w:hAnsi="宋体" w:cs="宋体"/>
          <w:b/>
          <w:color w:val="auto"/>
          <w:kern w:val="0"/>
          <w:sz w:val="24"/>
          <w:szCs w:val="24"/>
          <w:lang w:eastAsia="zh-CN"/>
        </w:rPr>
        <w:t>前三名</w:t>
      </w:r>
      <w:r>
        <w:rPr>
          <w:rFonts w:hint="eastAsia" w:ascii="宋体" w:hAnsi="宋体" w:cs="宋体"/>
          <w:b/>
          <w:color w:val="auto"/>
          <w:kern w:val="0"/>
          <w:sz w:val="24"/>
          <w:szCs w:val="24"/>
        </w:rPr>
        <w:t>供应商。</w:t>
      </w:r>
    </w:p>
    <w:p>
      <w:pPr>
        <w:pStyle w:val="2"/>
        <w:numPr>
          <w:ilvl w:val="1"/>
          <w:numId w:val="0"/>
        </w:numPr>
        <w:ind w:leftChars="0"/>
        <w:rPr>
          <w:rFonts w:hint="eastAsia" w:ascii="宋体" w:hAnsi="宋体" w:cs="宋体"/>
          <w:color w:val="000000" w:themeColor="text1"/>
          <w:kern w:val="0"/>
          <w:sz w:val="24"/>
          <w:szCs w:val="24"/>
          <w14:textFill>
            <w14:solidFill>
              <w14:schemeClr w14:val="tx1"/>
            </w14:solidFill>
          </w14:textFill>
        </w:rPr>
      </w:pPr>
    </w:p>
    <w:p>
      <w:pPr>
        <w:rPr>
          <w:rFonts w:hint="eastAsia" w:ascii="宋体" w:hAnsi="宋体" w:cs="宋体"/>
          <w:color w:val="000000" w:themeColor="text1"/>
          <w:kern w:val="0"/>
          <w:sz w:val="24"/>
          <w:szCs w:val="24"/>
          <w14:textFill>
            <w14:solidFill>
              <w14:schemeClr w14:val="tx1"/>
            </w14:solidFill>
          </w14:textFill>
        </w:rPr>
      </w:pPr>
    </w:p>
    <w:p>
      <w:pPr>
        <w:pStyle w:val="2"/>
        <w:numPr>
          <w:ilvl w:val="1"/>
          <w:numId w:val="0"/>
        </w:numPr>
        <w:ind w:leftChars="0"/>
        <w:rPr>
          <w:rFonts w:hint="eastAsia"/>
        </w:rPr>
      </w:pPr>
    </w:p>
    <w:p>
      <w:pPr>
        <w:widowControl/>
        <w:adjustRightInd w:val="0"/>
        <w:snapToGrid w:val="0"/>
        <w:spacing w:line="360" w:lineRule="auto"/>
        <w:ind w:firstLine="480"/>
        <w:rPr>
          <w:rFonts w:hint="eastAsia" w:ascii="宋体" w:hAnsi="宋体" w:cs="宋体"/>
          <w:color w:val="000000" w:themeColor="text1"/>
          <w:kern w:val="0"/>
          <w:sz w:val="24"/>
          <w:szCs w:val="24"/>
          <w14:textFill>
            <w14:solidFill>
              <w14:schemeClr w14:val="tx1"/>
            </w14:solidFill>
          </w14:textFill>
        </w:rPr>
      </w:pPr>
    </w:p>
    <w:p>
      <w:pPr>
        <w:widowControl/>
        <w:adjustRightInd w:val="0"/>
        <w:snapToGrid w:val="0"/>
        <w:spacing w:line="360" w:lineRule="auto"/>
        <w:ind w:firstLine="480"/>
        <w:rPr>
          <w:rFonts w:hint="eastAsia" w:ascii="宋体" w:hAnsi="宋体" w:cs="宋体"/>
          <w:color w:val="000000" w:themeColor="text1"/>
          <w:kern w:val="0"/>
          <w:sz w:val="24"/>
          <w:szCs w:val="24"/>
          <w14:textFill>
            <w14:solidFill>
              <w14:schemeClr w14:val="tx1"/>
            </w14:solidFill>
          </w14:textFill>
        </w:rPr>
      </w:pPr>
    </w:p>
    <w:p>
      <w:pPr>
        <w:widowControl/>
        <w:adjustRightInd w:val="0"/>
        <w:snapToGrid w:val="0"/>
        <w:spacing w:line="360" w:lineRule="auto"/>
        <w:ind w:firstLine="480"/>
        <w:rPr>
          <w:rFonts w:hint="eastAsia" w:ascii="宋体" w:hAnsi="宋体" w:cs="宋体"/>
          <w:color w:val="000000" w:themeColor="text1"/>
          <w:kern w:val="0"/>
          <w:sz w:val="24"/>
          <w:szCs w:val="24"/>
          <w14:textFill>
            <w14:solidFill>
              <w14:schemeClr w14:val="tx1"/>
            </w14:solidFill>
          </w14:textFill>
        </w:rPr>
      </w:pPr>
    </w:p>
    <w:p>
      <w:pPr>
        <w:widowControl/>
        <w:adjustRightInd w:val="0"/>
        <w:snapToGrid w:val="0"/>
        <w:spacing w:line="360" w:lineRule="auto"/>
        <w:rPr>
          <w:rFonts w:hint="eastAsia"/>
          <w:lang w:eastAsia="zh-CN"/>
        </w:rPr>
      </w:pPr>
      <w:r>
        <w:rPr>
          <w:rFonts w:hint="eastAsia" w:ascii="宋体" w:hAnsi="宋体" w:cs="宋体"/>
          <w:b/>
          <w:bCs/>
          <w:color w:val="000000" w:themeColor="text1"/>
          <w:kern w:val="0"/>
          <w:sz w:val="24"/>
          <w:szCs w:val="24"/>
          <w14:textFill>
            <w14:solidFill>
              <w14:schemeClr w14:val="tx1"/>
            </w14:solidFill>
          </w14:textFill>
        </w:rPr>
        <w:t>评审标准如下</w:t>
      </w:r>
      <w:r>
        <w:rPr>
          <w:rFonts w:hint="eastAsia" w:ascii="宋体" w:hAnsi="宋体" w:cs="宋体"/>
          <w:b/>
          <w:bCs/>
          <w:color w:val="000000" w:themeColor="text1"/>
          <w:kern w:val="0"/>
          <w:sz w:val="24"/>
          <w:szCs w:val="24"/>
          <w:lang w:eastAsia="zh-CN"/>
          <w14:textFill>
            <w14:solidFill>
              <w14:schemeClr w14:val="tx1"/>
            </w14:solidFill>
          </w14:textFill>
        </w:rPr>
        <w:t>：</w:t>
      </w:r>
    </w:p>
    <w:tbl>
      <w:tblPr>
        <w:tblStyle w:val="29"/>
        <w:tblpPr w:leftFromText="180" w:rightFromText="180" w:vertAnchor="text" w:horzAnchor="page" w:tblpX="1856" w:tblpY="284"/>
        <w:tblOverlap w:val="never"/>
        <w:tblW w:w="89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065"/>
        <w:gridCol w:w="1170"/>
        <w:gridCol w:w="750"/>
        <w:gridCol w:w="5117"/>
        <w:gridCol w:w="8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41" w:hRule="atLeast"/>
          <w:jc w:val="center"/>
        </w:trPr>
        <w:tc>
          <w:tcPr>
            <w:tcW w:w="1065" w:type="dxa"/>
            <w:tcBorders>
              <w:top w:val="single" w:color="auto" w:sz="4" w:space="0"/>
              <w:bottom w:val="single" w:color="auto" w:sz="4" w:space="0"/>
              <w:right w:val="single" w:color="auto" w:sz="4" w:space="0"/>
            </w:tcBorders>
            <w:tcMar>
              <w:top w:w="15" w:type="dxa"/>
              <w:left w:w="15" w:type="dxa"/>
              <w:right w:w="15" w:type="dxa"/>
            </w:tcMar>
            <w:vAlign w:val="center"/>
          </w:tcPr>
          <w:p>
            <w:pPr>
              <w:widowControl/>
              <w:spacing w:before="0" w:beforeAutospacing="0" w:after="0" w:afterAutospacing="0" w:line="240" w:lineRule="auto"/>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项目</w:t>
            </w:r>
          </w:p>
        </w:tc>
        <w:tc>
          <w:tcPr>
            <w:tcW w:w="1170"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widowControl/>
              <w:spacing w:before="0" w:beforeAutospacing="0" w:after="0" w:afterAutospacing="0" w:line="240" w:lineRule="auto"/>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评分</w:t>
            </w:r>
            <w:r>
              <w:rPr>
                <w:rFonts w:hint="eastAsia" w:ascii="宋体" w:hAnsi="宋体" w:cs="宋体"/>
                <w:color w:val="auto"/>
                <w:sz w:val="24"/>
                <w:highlight w:val="none"/>
                <w:lang w:eastAsia="zh-CN"/>
              </w:rPr>
              <w:t>内容</w:t>
            </w:r>
          </w:p>
        </w:tc>
        <w:tc>
          <w:tcPr>
            <w:tcW w:w="750"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widowControl/>
              <w:spacing w:before="0" w:beforeAutospacing="0" w:after="0" w:afterAutospacing="0" w:line="24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分数</w:t>
            </w:r>
          </w:p>
        </w:tc>
        <w:tc>
          <w:tcPr>
            <w:tcW w:w="511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widowControl/>
              <w:spacing w:before="0" w:beforeAutospacing="0" w:after="0" w:afterAutospacing="0" w:line="24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评分标准</w:t>
            </w:r>
          </w:p>
        </w:tc>
        <w:tc>
          <w:tcPr>
            <w:tcW w:w="81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widowControl/>
              <w:spacing w:before="0" w:beforeAutospacing="0" w:after="0" w:afterAutospacing="0" w:line="24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75" w:hRule="atLeast"/>
          <w:jc w:val="center"/>
        </w:trPr>
        <w:tc>
          <w:tcPr>
            <w:tcW w:w="1065"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eastAsia" w:ascii="宋体" w:hAnsi="宋体" w:eastAsia="宋体" w:cs="宋体"/>
                <w:color w:val="auto"/>
                <w:sz w:val="32"/>
                <w:szCs w:val="32"/>
                <w:highlight w:val="none"/>
              </w:rPr>
            </w:pPr>
            <w:r>
              <w:rPr>
                <w:rFonts w:hint="eastAsia" w:ascii="宋体" w:hAnsi="宋体" w:eastAsia="宋体" w:cs="宋体"/>
                <w:color w:val="auto"/>
                <w:kern w:val="0"/>
                <w:sz w:val="24"/>
                <w:szCs w:val="24"/>
                <w:highlight w:val="none"/>
              </w:rPr>
              <w:t>价格部分</w:t>
            </w:r>
          </w:p>
        </w:tc>
        <w:tc>
          <w:tcPr>
            <w:tcW w:w="1170"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宋体" w:hAnsi="宋体" w:eastAsia="宋体" w:cs="宋体"/>
                <w:color w:val="auto"/>
                <w:sz w:val="32"/>
                <w:szCs w:val="32"/>
                <w:highlight w:val="none"/>
                <w:lang w:val="en-US" w:eastAsia="zh-CN"/>
              </w:rPr>
            </w:pPr>
            <w:r>
              <w:rPr>
                <w:rFonts w:hint="eastAsia" w:ascii="宋体" w:hAnsi="宋体" w:cs="宋体"/>
                <w:color w:val="auto"/>
                <w:kern w:val="0"/>
                <w:sz w:val="24"/>
                <w:szCs w:val="24"/>
                <w:highlight w:val="none"/>
                <w:lang w:val="en-US" w:eastAsia="zh-CN"/>
              </w:rPr>
              <w:t>项目</w:t>
            </w:r>
            <w:r>
              <w:rPr>
                <w:rFonts w:hint="eastAsia" w:ascii="宋体" w:hAnsi="宋体" w:eastAsia="宋体" w:cs="宋体"/>
                <w:color w:val="auto"/>
                <w:kern w:val="0"/>
                <w:sz w:val="24"/>
                <w:szCs w:val="24"/>
                <w:highlight w:val="none"/>
                <w:lang w:val="en-US" w:eastAsia="zh-CN"/>
              </w:rPr>
              <w:t>报价</w:t>
            </w:r>
          </w:p>
        </w:tc>
        <w:tc>
          <w:tcPr>
            <w:tcW w:w="750"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宋体" w:hAnsi="宋体" w:eastAsia="宋体" w:cs="宋体"/>
                <w:color w:val="auto"/>
                <w:highlight w:val="none"/>
                <w:lang w:val="en-US" w:eastAsia="zh-CN"/>
              </w:rPr>
            </w:pPr>
            <w:r>
              <w:rPr>
                <w:rFonts w:hint="eastAsia" w:ascii="宋体" w:hAnsi="宋体" w:cs="宋体"/>
                <w:color w:val="auto"/>
                <w:sz w:val="24"/>
                <w:szCs w:val="24"/>
                <w:highlight w:val="none"/>
                <w:lang w:val="en-US" w:eastAsia="zh-CN"/>
              </w:rPr>
              <w:t>45</w:t>
            </w:r>
          </w:p>
        </w:tc>
        <w:tc>
          <w:tcPr>
            <w:tcW w:w="511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left"/>
              <w:textAlignment w:val="auto"/>
              <w:rPr>
                <w:rFonts w:hint="eastAsia"/>
                <w:sz w:val="24"/>
                <w:szCs w:val="24"/>
                <w:lang w:val="en-US" w:eastAsia="zh-CN"/>
              </w:rPr>
            </w:pPr>
            <w:r>
              <w:rPr>
                <w:rFonts w:hint="eastAsia"/>
                <w:sz w:val="24"/>
                <w:szCs w:val="24"/>
                <w:lang w:val="en-US" w:eastAsia="zh-CN"/>
              </w:rPr>
              <w:t>价格部分采用低价优先计算，各有效投标人的每项评标价中，取每项的最低价为评标基准价，其价格为满分。其他投标人的价格分统一按照以下公式计算：</w:t>
            </w:r>
          </w:p>
          <w:p>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left"/>
              <w:textAlignment w:val="auto"/>
              <w:rPr>
                <w:rFonts w:hint="eastAsia"/>
                <w:sz w:val="24"/>
                <w:szCs w:val="24"/>
                <w:lang w:val="en-US" w:eastAsia="zh-CN"/>
              </w:rPr>
            </w:pPr>
            <w:r>
              <w:rPr>
                <w:rFonts w:hint="eastAsia"/>
                <w:sz w:val="24"/>
                <w:szCs w:val="24"/>
                <w:lang w:val="en-US" w:eastAsia="zh-CN"/>
              </w:rPr>
              <w:t>价格评分=（评标基准价/供应商报价）*45分。</w:t>
            </w:r>
          </w:p>
          <w:p>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left"/>
              <w:textAlignment w:val="auto"/>
              <w:rPr>
                <w:rFonts w:hint="eastAsia"/>
                <w:sz w:val="24"/>
                <w:szCs w:val="24"/>
                <w:lang w:val="en-US" w:eastAsia="zh-CN"/>
              </w:rPr>
            </w:pPr>
            <w:r>
              <w:rPr>
                <w:rFonts w:hint="eastAsia"/>
                <w:sz w:val="24"/>
                <w:szCs w:val="24"/>
                <w:lang w:val="en-US" w:eastAsia="zh-CN"/>
              </w:rPr>
              <w:t>最后按单项分的总和计算平均分为最终得分。</w:t>
            </w:r>
          </w:p>
          <w:p>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left"/>
              <w:textAlignment w:val="auto"/>
              <w:rPr>
                <w:rFonts w:hint="eastAsia"/>
                <w:sz w:val="24"/>
                <w:szCs w:val="24"/>
                <w:lang w:val="en-US" w:eastAsia="zh-CN"/>
              </w:rPr>
            </w:pPr>
            <w:r>
              <w:rPr>
                <w:rFonts w:hint="eastAsia"/>
                <w:sz w:val="24"/>
                <w:szCs w:val="24"/>
                <w:lang w:val="en-US" w:eastAsia="zh-CN"/>
              </w:rPr>
              <w:t>评审价格按照如下方式定义：</w:t>
            </w:r>
          </w:p>
          <w:p>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left"/>
              <w:textAlignment w:val="auto"/>
              <w:rPr>
                <w:rFonts w:hint="eastAsia"/>
                <w:sz w:val="24"/>
                <w:szCs w:val="24"/>
                <w:lang w:val="en-US" w:eastAsia="zh-CN"/>
              </w:rPr>
            </w:pPr>
            <w:r>
              <w:rPr>
                <w:rFonts w:hint="eastAsia"/>
                <w:sz w:val="24"/>
                <w:szCs w:val="24"/>
                <w:lang w:val="en-US" w:eastAsia="zh-CN"/>
              </w:rPr>
              <w:t>对于承诺提供增值税专用发票的供应商，评审价格即不含税的投标总价净价；</w:t>
            </w:r>
          </w:p>
          <w:p>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left"/>
              <w:textAlignment w:val="auto"/>
              <w:rPr>
                <w:rFonts w:hint="eastAsia"/>
                <w:lang w:val="en-US" w:eastAsia="zh-CN"/>
              </w:rPr>
            </w:pPr>
            <w:r>
              <w:rPr>
                <w:rFonts w:hint="eastAsia"/>
                <w:sz w:val="24"/>
                <w:szCs w:val="24"/>
                <w:lang w:val="en-US" w:eastAsia="zh-CN"/>
              </w:rPr>
              <w:t>对于不能提供增值税专用发票的供应商，评审价格是含税的投标总价。</w:t>
            </w:r>
          </w:p>
        </w:tc>
        <w:tc>
          <w:tcPr>
            <w:tcW w:w="81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spacing w:before="0" w:beforeAutospacing="0" w:after="0" w:afterAutospacing="0" w:line="240" w:lineRule="auto"/>
              <w:rPr>
                <w:rFonts w:hint="eastAsia"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16" w:hRule="atLeast"/>
          <w:jc w:val="center"/>
        </w:trPr>
        <w:tc>
          <w:tcPr>
            <w:tcW w:w="1065" w:type="dxa"/>
            <w:tcBorders>
              <w:top w:val="single" w:color="auto" w:sz="4" w:space="0"/>
              <w:left w:val="single" w:color="auto" w:sz="4" w:space="0"/>
              <w:right w:val="single" w:color="auto" w:sz="4" w:space="0"/>
            </w:tcBorders>
            <w:tcMar>
              <w:top w:w="15" w:type="dxa"/>
              <w:left w:w="15" w:type="dxa"/>
              <w:right w:w="15" w:type="dxa"/>
            </w:tcMar>
            <w:vAlign w:val="center"/>
          </w:tcPr>
          <w:p>
            <w:pPr>
              <w:widowControl/>
              <w:spacing w:before="0" w:beforeAutospacing="0" w:after="0" w:afterAutospacing="0" w:line="24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商务部分</w:t>
            </w:r>
          </w:p>
        </w:tc>
        <w:tc>
          <w:tcPr>
            <w:tcW w:w="1170" w:type="dxa"/>
            <w:tcBorders>
              <w:top w:val="single" w:color="auto" w:sz="4" w:space="0"/>
              <w:left w:val="single" w:color="auto" w:sz="4" w:space="0"/>
              <w:right w:val="single" w:color="auto" w:sz="4" w:space="0"/>
            </w:tcBorders>
            <w:tcMar>
              <w:top w:w="15" w:type="dxa"/>
              <w:left w:w="15" w:type="dxa"/>
              <w:right w:w="15" w:type="dxa"/>
            </w:tcMar>
            <w:vAlign w:val="center"/>
          </w:tcPr>
          <w:p>
            <w:pPr>
              <w:widowControl/>
              <w:spacing w:before="0" w:beforeAutospacing="0" w:after="0" w:afterAutospacing="0" w:line="240" w:lineRule="auto"/>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业绩材料</w:t>
            </w:r>
          </w:p>
        </w:tc>
        <w:tc>
          <w:tcPr>
            <w:tcW w:w="750" w:type="dxa"/>
            <w:tcBorders>
              <w:top w:val="single" w:color="auto" w:sz="4" w:space="0"/>
              <w:left w:val="single" w:color="auto" w:sz="4" w:space="0"/>
              <w:right w:val="single" w:color="auto" w:sz="4" w:space="0"/>
            </w:tcBorders>
            <w:tcMar>
              <w:top w:w="15" w:type="dxa"/>
              <w:left w:w="15" w:type="dxa"/>
              <w:right w:w="15" w:type="dxa"/>
            </w:tcMar>
            <w:vAlign w:val="center"/>
          </w:tcPr>
          <w:p>
            <w:pPr>
              <w:widowControl/>
              <w:spacing w:before="0" w:beforeAutospacing="0" w:after="0" w:afterAutospacing="0" w:line="240" w:lineRule="auto"/>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30</w:t>
            </w:r>
          </w:p>
        </w:tc>
        <w:tc>
          <w:tcPr>
            <w:tcW w:w="511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pageBreakBefore w:val="0"/>
              <w:widowControl/>
              <w:numPr>
                <w:ilvl w:val="0"/>
                <w:numId w:val="0"/>
              </w:numPr>
              <w:kinsoku/>
              <w:wordWrap/>
              <w:overflowPunct/>
              <w:topLinePunct w:val="0"/>
              <w:autoSpaceDE/>
              <w:autoSpaceDN/>
              <w:bidi w:val="0"/>
              <w:adjustRightInd/>
              <w:snapToGrid/>
              <w:spacing w:before="0" w:beforeAutospacing="0" w:after="0" w:afterAutospacing="0" w:line="240" w:lineRule="auto"/>
              <w:jc w:val="left"/>
              <w:textAlignment w:val="auto"/>
              <w:rPr>
                <w:rFonts w:hint="eastAsia"/>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before="0" w:beforeAutospacing="0" w:after="0" w:afterAutospacing="0" w:line="240" w:lineRule="auto"/>
              <w:jc w:val="left"/>
              <w:textAlignment w:val="auto"/>
              <w:rPr>
                <w:rFonts w:hint="eastAsia"/>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before="0" w:beforeAutospacing="0" w:after="0" w:afterAutospacing="0" w:line="240" w:lineRule="auto"/>
              <w:jc w:val="left"/>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提供律所代理或服务团队成员代理的保险类诉讼案件民事判决书、民事调解书或其他案件业绩证明材料或保险业务非诉讼法律服务材料，任意提供一项得3分，本项最多的30分。请投标人严格按照要求提供证明材料，可能影响评审结果。</w:t>
            </w:r>
          </w:p>
          <w:p>
            <w:pPr>
              <w:pStyle w:val="2"/>
              <w:numPr>
                <w:ilvl w:val="1"/>
                <w:numId w:val="0"/>
              </w:numPr>
              <w:ind w:leftChars="0"/>
              <w:rPr>
                <w:rFonts w:hint="eastAsia"/>
                <w:lang w:val="en-US" w:eastAsia="zh-CN"/>
              </w:rPr>
            </w:pPr>
          </w:p>
        </w:tc>
        <w:tc>
          <w:tcPr>
            <w:tcW w:w="817" w:type="dxa"/>
            <w:tcBorders>
              <w:top w:val="single" w:color="auto" w:sz="4" w:space="0"/>
              <w:left w:val="single" w:color="auto" w:sz="4" w:space="0"/>
              <w:right w:val="single" w:color="auto" w:sz="4" w:space="0"/>
            </w:tcBorders>
            <w:tcMar>
              <w:top w:w="15" w:type="dxa"/>
              <w:left w:w="15" w:type="dxa"/>
              <w:right w:w="15" w:type="dxa"/>
            </w:tcMar>
            <w:vAlign w:val="center"/>
          </w:tcPr>
          <w:p>
            <w:pPr>
              <w:spacing w:before="0" w:beforeAutospacing="0" w:after="0" w:afterAutospacing="0" w:line="240" w:lineRule="auto"/>
              <w:jc w:val="center"/>
              <w:rPr>
                <w:rStyle w:val="49"/>
                <w:rFonts w:hint="eastAsia" w:ascii="宋体" w:hAnsi="宋体" w:eastAsia="宋体" w:cs="宋体"/>
                <w:b w:val="0"/>
                <w:bCs w:val="0"/>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10" w:hRule="atLeast"/>
          <w:jc w:val="center"/>
        </w:trPr>
        <w:tc>
          <w:tcPr>
            <w:tcW w:w="1065" w:type="dxa"/>
            <w:tcBorders>
              <w:left w:val="single" w:color="auto" w:sz="4" w:space="0"/>
              <w:right w:val="single" w:color="auto" w:sz="4" w:space="0"/>
            </w:tcBorders>
            <w:tcMar>
              <w:top w:w="15" w:type="dxa"/>
              <w:left w:w="15" w:type="dxa"/>
              <w:right w:w="15" w:type="dxa"/>
            </w:tcMar>
            <w:vAlign w:val="center"/>
          </w:tcPr>
          <w:p>
            <w:pPr>
              <w:spacing w:before="0" w:beforeAutospacing="0" w:after="0" w:afterAutospacing="0" w:line="240" w:lineRule="auto"/>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技术部分</w:t>
            </w:r>
          </w:p>
        </w:tc>
        <w:tc>
          <w:tcPr>
            <w:tcW w:w="1170"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widowControl/>
              <w:spacing w:before="0" w:beforeAutospacing="0" w:after="0" w:afterAutospacing="0" w:line="240" w:lineRule="auto"/>
              <w:jc w:val="center"/>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服务团队及服务模式</w:t>
            </w:r>
          </w:p>
        </w:tc>
        <w:tc>
          <w:tcPr>
            <w:tcW w:w="750" w:type="dxa"/>
            <w:tcBorders>
              <w:top w:val="single" w:color="auto" w:sz="4" w:space="0"/>
              <w:left w:val="single" w:color="auto" w:sz="4" w:space="0"/>
              <w:right w:val="single" w:color="auto" w:sz="4" w:space="0"/>
            </w:tcBorders>
            <w:tcMar>
              <w:top w:w="15" w:type="dxa"/>
              <w:left w:w="15" w:type="dxa"/>
              <w:right w:w="15" w:type="dxa"/>
            </w:tcMar>
            <w:vAlign w:val="center"/>
          </w:tcPr>
          <w:p>
            <w:pPr>
              <w:widowControl/>
              <w:spacing w:before="0" w:beforeAutospacing="0" w:after="0" w:afterAutospacing="0" w:line="240" w:lineRule="auto"/>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25</w:t>
            </w:r>
          </w:p>
        </w:tc>
        <w:tc>
          <w:tcPr>
            <w:tcW w:w="5117" w:type="dxa"/>
            <w:tcBorders>
              <w:top w:val="single" w:color="auto" w:sz="4" w:space="0"/>
              <w:left w:val="single" w:color="auto" w:sz="4" w:space="0"/>
              <w:right w:val="single" w:color="auto" w:sz="4" w:space="0"/>
            </w:tcBorders>
            <w:tcMar>
              <w:top w:w="15" w:type="dxa"/>
              <w:left w:w="15" w:type="dxa"/>
              <w:right w:w="15" w:type="dxa"/>
            </w:tcMar>
            <w:vAlign w:val="center"/>
          </w:tcPr>
          <w:p>
            <w:pPr>
              <w:keepNext w:val="0"/>
              <w:keepLines w:val="0"/>
              <w:pageBreakBefore w:val="0"/>
              <w:widowControl/>
              <w:numPr>
                <w:ilvl w:val="0"/>
                <w:numId w:val="0"/>
              </w:numPr>
              <w:kinsoku/>
              <w:wordWrap/>
              <w:overflowPunct/>
              <w:topLinePunct w:val="0"/>
              <w:autoSpaceDE/>
              <w:autoSpaceDN/>
              <w:bidi w:val="0"/>
              <w:adjustRightInd/>
              <w:snapToGrid/>
              <w:spacing w:before="0" w:beforeAutospacing="0" w:after="0" w:afterAutospacing="0" w:line="240" w:lineRule="auto"/>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项目团队对需求响应程度高，团队人员配备合理，职责分工明确，在金融或保险业服务经验丰富，团队人员执业年限、技术能力、综合素质等，评价优的得</w:t>
            </w:r>
            <w:r>
              <w:rPr>
                <w:rFonts w:hint="eastAsia" w:ascii="宋体" w:hAnsi="宋体" w:cs="宋体"/>
                <w:sz w:val="24"/>
                <w:szCs w:val="24"/>
                <w:lang w:val="en-US" w:eastAsia="zh-CN"/>
              </w:rPr>
              <w:t>21-25</w:t>
            </w:r>
            <w:r>
              <w:rPr>
                <w:rFonts w:hint="eastAsia" w:ascii="宋体" w:hAnsi="宋体" w:eastAsia="宋体" w:cs="宋体"/>
                <w:sz w:val="24"/>
                <w:szCs w:val="24"/>
                <w:lang w:val="en-US" w:eastAsia="zh-CN"/>
              </w:rPr>
              <w:t>分；</w:t>
            </w:r>
          </w:p>
          <w:p>
            <w:pPr>
              <w:keepNext w:val="0"/>
              <w:keepLines w:val="0"/>
              <w:pageBreakBefore w:val="0"/>
              <w:widowControl/>
              <w:numPr>
                <w:ilvl w:val="0"/>
                <w:numId w:val="0"/>
              </w:numPr>
              <w:kinsoku/>
              <w:wordWrap/>
              <w:overflowPunct/>
              <w:topLinePunct w:val="0"/>
              <w:autoSpaceDE/>
              <w:autoSpaceDN/>
              <w:bidi w:val="0"/>
              <w:adjustRightInd/>
              <w:snapToGrid/>
              <w:spacing w:before="0" w:beforeAutospacing="0" w:after="0" w:afterAutospacing="0" w:line="240" w:lineRule="auto"/>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项目团队对需求的响应程度较高，团队人员配备合理，职责分工明确，在金融或保险业服务经验丰富，团队人员执业年限、技术能力、综合素质等，评价良的得</w:t>
            </w:r>
            <w:r>
              <w:rPr>
                <w:rFonts w:hint="eastAsia" w:ascii="宋体" w:hAnsi="宋体" w:cs="宋体"/>
                <w:sz w:val="24"/>
                <w:szCs w:val="24"/>
                <w:lang w:val="en-US" w:eastAsia="zh-CN"/>
              </w:rPr>
              <w:t>16-20</w:t>
            </w:r>
            <w:r>
              <w:rPr>
                <w:rFonts w:hint="eastAsia" w:ascii="宋体" w:hAnsi="宋体" w:eastAsia="宋体" w:cs="宋体"/>
                <w:sz w:val="24"/>
                <w:szCs w:val="24"/>
                <w:lang w:val="en-US" w:eastAsia="zh-CN"/>
              </w:rPr>
              <w:t>分；</w:t>
            </w:r>
          </w:p>
          <w:p>
            <w:pPr>
              <w:keepNext w:val="0"/>
              <w:keepLines w:val="0"/>
              <w:pageBreakBefore w:val="0"/>
              <w:widowControl/>
              <w:numPr>
                <w:ilvl w:val="0"/>
                <w:numId w:val="0"/>
              </w:numPr>
              <w:kinsoku/>
              <w:wordWrap/>
              <w:overflowPunct/>
              <w:topLinePunct w:val="0"/>
              <w:autoSpaceDE/>
              <w:autoSpaceDN/>
              <w:bidi w:val="0"/>
              <w:adjustRightInd/>
              <w:snapToGrid/>
              <w:spacing w:before="0" w:beforeAutospacing="0" w:after="0" w:afterAutospacing="0" w:line="240" w:lineRule="auto"/>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项目团队对需求的响应程度一般，团队人员配备合理，职责分工较为明确，在金融或保险行业服务经验丰富，团队人员执业年限、技术能力、综合素质等，评价中等的得</w:t>
            </w:r>
            <w:r>
              <w:rPr>
                <w:rFonts w:hint="eastAsia" w:ascii="宋体" w:hAnsi="宋体" w:cs="宋体"/>
                <w:sz w:val="24"/>
                <w:szCs w:val="24"/>
                <w:lang w:val="en-US" w:eastAsia="zh-CN"/>
              </w:rPr>
              <w:t>11-15</w:t>
            </w:r>
            <w:r>
              <w:rPr>
                <w:rFonts w:hint="eastAsia" w:ascii="宋体" w:hAnsi="宋体" w:eastAsia="宋体" w:cs="宋体"/>
                <w:sz w:val="24"/>
                <w:szCs w:val="24"/>
                <w:lang w:val="en-US" w:eastAsia="zh-CN"/>
              </w:rPr>
              <w:t>分。</w:t>
            </w:r>
          </w:p>
          <w:p>
            <w:pPr>
              <w:keepNext w:val="0"/>
              <w:keepLines w:val="0"/>
              <w:pageBreakBefore w:val="0"/>
              <w:widowControl/>
              <w:numPr>
                <w:ilvl w:val="0"/>
                <w:numId w:val="0"/>
              </w:numPr>
              <w:kinsoku/>
              <w:wordWrap/>
              <w:overflowPunct/>
              <w:topLinePunct w:val="0"/>
              <w:autoSpaceDE/>
              <w:autoSpaceDN/>
              <w:bidi w:val="0"/>
              <w:adjustRightInd/>
              <w:snapToGrid/>
              <w:spacing w:before="0" w:beforeAutospacing="0" w:after="0" w:afterAutospacing="0" w:line="240" w:lineRule="auto"/>
              <w:jc w:val="left"/>
              <w:textAlignment w:val="auto"/>
              <w:rPr>
                <w:rFonts w:hint="eastAsia"/>
                <w:lang w:val="en-US" w:eastAsia="zh-CN"/>
              </w:rPr>
            </w:pPr>
            <w:r>
              <w:rPr>
                <w:rFonts w:hint="eastAsia" w:ascii="宋体" w:hAnsi="宋体" w:eastAsia="宋体" w:cs="宋体"/>
                <w:sz w:val="24"/>
                <w:szCs w:val="24"/>
                <w:lang w:val="en-US" w:eastAsia="zh-CN"/>
              </w:rPr>
              <w:t>项目团队对需求的响应程度较差，团队人员配备合理，职责分工明确，在金融或保险行业服务经验，团队人员执业年限、技术能力、综合素质等，评价较差的得</w:t>
            </w:r>
            <w:r>
              <w:rPr>
                <w:rFonts w:hint="eastAsia" w:ascii="宋体" w:hAnsi="宋体" w:cs="宋体"/>
                <w:sz w:val="24"/>
                <w:szCs w:val="24"/>
                <w:lang w:val="en-US" w:eastAsia="zh-CN"/>
              </w:rPr>
              <w:t>0</w:t>
            </w:r>
            <w:r>
              <w:rPr>
                <w:rFonts w:hint="eastAsia" w:ascii="宋体" w:hAnsi="宋体" w:eastAsia="宋体" w:cs="宋体"/>
                <w:sz w:val="24"/>
                <w:szCs w:val="24"/>
                <w:lang w:val="en-US" w:eastAsia="zh-CN"/>
              </w:rPr>
              <w:t>-10分。</w:t>
            </w:r>
          </w:p>
        </w:tc>
        <w:tc>
          <w:tcPr>
            <w:tcW w:w="817" w:type="dxa"/>
            <w:tcBorders>
              <w:top w:val="single" w:color="auto" w:sz="4" w:space="0"/>
              <w:left w:val="single" w:color="auto" w:sz="4" w:space="0"/>
              <w:right w:val="single" w:color="auto" w:sz="4" w:space="0"/>
            </w:tcBorders>
            <w:tcMar>
              <w:top w:w="15" w:type="dxa"/>
              <w:left w:w="15" w:type="dxa"/>
              <w:right w:w="15" w:type="dxa"/>
            </w:tcMar>
            <w:vAlign w:val="center"/>
          </w:tcPr>
          <w:p>
            <w:pPr>
              <w:spacing w:before="0" w:beforeAutospacing="0" w:after="0" w:afterAutospacing="0" w:line="240" w:lineRule="auto"/>
              <w:jc w:val="left"/>
              <w:rPr>
                <w:rFonts w:hint="eastAsia" w:ascii="宋体" w:hAnsi="宋体" w:eastAsia="宋体" w:cs="宋体"/>
                <w:b w:val="0"/>
                <w:bCs w:val="0"/>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98" w:hRule="atLeast"/>
          <w:jc w:val="center"/>
        </w:trPr>
        <w:tc>
          <w:tcPr>
            <w:tcW w:w="2235"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widowControl/>
              <w:spacing w:before="0" w:beforeAutospacing="0" w:after="0" w:afterAutospacing="0" w:line="24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总分</w:t>
            </w:r>
          </w:p>
        </w:tc>
        <w:tc>
          <w:tcPr>
            <w:tcW w:w="750"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spacing w:before="0" w:beforeAutospacing="0" w:after="0" w:afterAutospacing="0" w:line="24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100</w:t>
            </w:r>
          </w:p>
        </w:tc>
        <w:tc>
          <w:tcPr>
            <w:tcW w:w="511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spacing w:before="0" w:beforeAutospacing="0" w:after="0" w:afterAutospacing="0" w:line="240" w:lineRule="auto"/>
              <w:jc w:val="left"/>
              <w:rPr>
                <w:rFonts w:hint="eastAsia" w:ascii="宋体" w:hAnsi="宋体" w:eastAsia="宋体" w:cs="宋体"/>
                <w:color w:val="auto"/>
                <w:sz w:val="24"/>
                <w:highlight w:val="none"/>
              </w:rPr>
            </w:pPr>
          </w:p>
        </w:tc>
        <w:tc>
          <w:tcPr>
            <w:tcW w:w="81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spacing w:before="0" w:beforeAutospacing="0" w:after="0" w:afterAutospacing="0" w:line="240" w:lineRule="auto"/>
              <w:jc w:val="left"/>
              <w:rPr>
                <w:rFonts w:hint="eastAsia" w:ascii="宋体" w:hAnsi="宋体" w:eastAsia="宋体" w:cs="宋体"/>
                <w:color w:val="auto"/>
                <w:sz w:val="24"/>
                <w:highlight w:val="none"/>
              </w:rPr>
            </w:pPr>
          </w:p>
        </w:tc>
      </w:tr>
    </w:tbl>
    <w:p>
      <w:pPr>
        <w:pStyle w:val="2"/>
        <w:numPr>
          <w:ilvl w:val="0"/>
          <w:numId w:val="0"/>
        </w:numPr>
        <w:adjustRightInd w:val="0"/>
        <w:snapToGrid w:val="0"/>
        <w:spacing w:before="0" w:after="0" w:line="360" w:lineRule="auto"/>
        <w:ind w:firstLine="482" w:firstLineChars="200"/>
        <w:rPr>
          <w:rFonts w:hint="eastAsia" w:ascii="宋体" w:hAnsi="宋体" w:eastAsia="宋体" w:cs="宋体"/>
          <w:b/>
          <w:bCs w:val="0"/>
          <w:kern w:val="0"/>
          <w:sz w:val="24"/>
          <w:szCs w:val="24"/>
          <w:lang w:val="en-US" w:eastAsia="zh-CN" w:bidi="ar-SA"/>
        </w:rPr>
      </w:pPr>
      <w:r>
        <w:rPr>
          <w:rFonts w:hint="eastAsia" w:ascii="宋体" w:hAnsi="宋体" w:eastAsia="宋体" w:cs="宋体"/>
          <w:b/>
          <w:bCs w:val="0"/>
          <w:kern w:val="0"/>
          <w:sz w:val="24"/>
          <w:szCs w:val="24"/>
          <w:lang w:val="en-US" w:eastAsia="zh-CN" w:bidi="ar-SA"/>
        </w:rPr>
        <w:t>三、响应文件要求</w:t>
      </w:r>
    </w:p>
    <w:p>
      <w:pPr>
        <w:widowControl/>
        <w:adjustRightInd w:val="0"/>
        <w:snapToGrid w:val="0"/>
        <w:spacing w:line="360" w:lineRule="auto"/>
        <w:ind w:firstLine="480"/>
        <w:rPr>
          <w:rFonts w:hint="eastAsia" w:ascii="宋体" w:hAnsi="宋体" w:eastAsia="宋体" w:cs="宋体"/>
          <w:color w:val="000000"/>
          <w:sz w:val="24"/>
          <w:szCs w:val="24"/>
        </w:rPr>
      </w:pPr>
      <w:r>
        <w:rPr>
          <w:rFonts w:hint="eastAsia" w:ascii="宋体" w:hAnsi="宋体" w:eastAsia="宋体" w:cs="宋体"/>
          <w:b/>
          <w:bCs w:val="0"/>
          <w:kern w:val="0"/>
          <w:sz w:val="24"/>
          <w:szCs w:val="24"/>
          <w:lang w:val="en-US" w:eastAsia="zh-CN" w:bidi="ar-SA"/>
        </w:rPr>
        <w:t>1.</w:t>
      </w:r>
      <w:r>
        <w:rPr>
          <w:rFonts w:hint="eastAsia" w:ascii="宋体" w:hAnsi="宋体" w:eastAsia="宋体" w:cs="宋体"/>
          <w:color w:val="000000"/>
          <w:sz w:val="24"/>
          <w:szCs w:val="24"/>
        </w:rPr>
        <w:t>参加磋商的供应商准备一份纸质响应文件，提交时间和地点与磋商时间和地点一致。</w:t>
      </w:r>
    </w:p>
    <w:p>
      <w:pPr>
        <w:widowControl/>
        <w:adjustRightInd w:val="0"/>
        <w:snapToGrid w:val="0"/>
        <w:spacing w:line="360" w:lineRule="auto"/>
        <w:ind w:firstLine="480"/>
        <w:rPr>
          <w:rFonts w:ascii="宋体" w:hAnsi="宋体" w:cs="宋体"/>
          <w:b/>
          <w:kern w:val="0"/>
          <w:sz w:val="24"/>
          <w:szCs w:val="24"/>
        </w:rPr>
      </w:pPr>
      <w:r>
        <w:rPr>
          <w:rFonts w:hint="eastAsia" w:ascii="宋体" w:hAnsi="宋体" w:cs="宋体"/>
          <w:b/>
          <w:kern w:val="0"/>
          <w:sz w:val="24"/>
          <w:szCs w:val="24"/>
        </w:rPr>
        <w:t>2</w:t>
      </w:r>
      <w:r>
        <w:rPr>
          <w:rFonts w:ascii="宋体" w:hAnsi="宋体" w:cs="宋体"/>
          <w:b/>
          <w:kern w:val="0"/>
          <w:sz w:val="24"/>
          <w:szCs w:val="24"/>
        </w:rPr>
        <w:t>.</w:t>
      </w:r>
      <w:r>
        <w:rPr>
          <w:rFonts w:hint="eastAsia" w:ascii="宋体" w:hAnsi="宋体" w:cs="宋体"/>
          <w:b/>
          <w:kern w:val="0"/>
          <w:sz w:val="24"/>
          <w:szCs w:val="24"/>
        </w:rPr>
        <w:t>响应文件按下列顺序编写：</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（1）承诺与声明</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（2）法人代表授权书</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（3）投标函</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（4）报价一览表</w:t>
      </w:r>
      <w:r>
        <w:rPr>
          <w:rFonts w:hint="eastAsia" w:ascii="Arial" w:hAnsi="Arial" w:cs="Arial"/>
          <w:color w:val="000000" w:themeColor="text1"/>
          <w:sz w:val="24"/>
          <w:szCs w:val="24"/>
          <w14:textFill>
            <w14:solidFill>
              <w14:schemeClr w14:val="tx1"/>
            </w14:solidFill>
          </w14:textFill>
        </w:rPr>
        <w:t>（单独密封）</w:t>
      </w:r>
    </w:p>
    <w:p>
      <w:pPr>
        <w:widowControl/>
        <w:adjustRightInd w:val="0"/>
        <w:snapToGrid w:val="0"/>
        <w:spacing w:line="360" w:lineRule="auto"/>
        <w:ind w:firstLine="480"/>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（5）商务偏离表格式</w:t>
      </w:r>
    </w:p>
    <w:p>
      <w:pPr>
        <w:widowControl/>
        <w:adjustRightInd w:val="0"/>
        <w:snapToGrid w:val="0"/>
        <w:spacing w:line="360" w:lineRule="auto"/>
        <w:ind w:firstLine="480"/>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w:t>
      </w:r>
      <w:r>
        <w:rPr>
          <w:rFonts w:hint="eastAsia" w:ascii="宋体" w:hAnsi="宋体" w:cs="宋体"/>
          <w:color w:val="000000" w:themeColor="text1"/>
          <w:kern w:val="0"/>
          <w:sz w:val="24"/>
          <w:szCs w:val="24"/>
          <w:lang w:val="en-US" w:eastAsia="zh-CN"/>
          <w14:textFill>
            <w14:solidFill>
              <w14:schemeClr w14:val="tx1"/>
            </w14:solidFill>
          </w14:textFill>
        </w:rPr>
        <w:t>6</w:t>
      </w:r>
      <w:r>
        <w:rPr>
          <w:rFonts w:hint="eastAsia" w:ascii="宋体" w:hAnsi="宋体" w:cs="宋体"/>
          <w:color w:val="000000" w:themeColor="text1"/>
          <w:kern w:val="0"/>
          <w:sz w:val="24"/>
          <w:szCs w:val="24"/>
          <w:lang w:eastAsia="zh-CN"/>
          <w14:textFill>
            <w14:solidFill>
              <w14:schemeClr w14:val="tx1"/>
            </w14:solidFill>
          </w14:textFill>
        </w:rPr>
        <w:t>）</w:t>
      </w:r>
      <w:r>
        <w:rPr>
          <w:rFonts w:hint="eastAsia" w:ascii="宋体" w:hAnsi="宋体" w:cs="宋体"/>
          <w:color w:val="000000" w:themeColor="text1"/>
          <w:kern w:val="0"/>
          <w:sz w:val="24"/>
          <w:szCs w:val="24"/>
          <w:lang w:val="en-US" w:eastAsia="zh-CN"/>
          <w14:textFill>
            <w14:solidFill>
              <w14:schemeClr w14:val="tx1"/>
            </w14:solidFill>
          </w14:textFill>
        </w:rPr>
        <w:t>技术偏离表格式</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w:t>
      </w:r>
      <w:r>
        <w:rPr>
          <w:rFonts w:hint="eastAsia" w:ascii="宋体" w:hAnsi="宋体" w:cs="宋体"/>
          <w:color w:val="000000" w:themeColor="text1"/>
          <w:kern w:val="0"/>
          <w:sz w:val="24"/>
          <w:szCs w:val="24"/>
          <w:lang w:val="en-US" w:eastAsia="zh-CN"/>
          <w14:textFill>
            <w14:solidFill>
              <w14:schemeClr w14:val="tx1"/>
            </w14:solidFill>
          </w14:textFill>
        </w:rPr>
        <w:t>7</w:t>
      </w:r>
      <w:r>
        <w:rPr>
          <w:rFonts w:hint="eastAsia" w:ascii="宋体" w:hAnsi="宋体" w:cs="宋体"/>
          <w:color w:val="000000" w:themeColor="text1"/>
          <w:kern w:val="0"/>
          <w:sz w:val="24"/>
          <w:szCs w:val="24"/>
          <w:lang w:eastAsia="zh-CN"/>
          <w14:textFill>
            <w14:solidFill>
              <w14:schemeClr w14:val="tx1"/>
            </w14:solidFill>
          </w14:textFill>
        </w:rPr>
        <w:t>）</w:t>
      </w:r>
      <w:r>
        <w:rPr>
          <w:rFonts w:hint="eastAsia" w:ascii="宋体" w:hAnsi="宋体" w:cs="宋体"/>
          <w:color w:val="000000" w:themeColor="text1"/>
          <w:kern w:val="0"/>
          <w:sz w:val="24"/>
          <w:szCs w:val="24"/>
          <w14:textFill>
            <w14:solidFill>
              <w14:schemeClr w14:val="tx1"/>
            </w14:solidFill>
          </w14:textFill>
        </w:rPr>
        <w:t>资格证明文件（格式</w:t>
      </w:r>
      <w:r>
        <w:rPr>
          <w:rFonts w:ascii="宋体" w:hAnsi="宋体" w:cs="宋体"/>
          <w:color w:val="000000" w:themeColor="text1"/>
          <w:kern w:val="0"/>
          <w:sz w:val="24"/>
          <w:szCs w:val="24"/>
          <w14:textFill>
            <w14:solidFill>
              <w14:schemeClr w14:val="tx1"/>
            </w14:solidFill>
          </w14:textFill>
        </w:rPr>
        <w:t>详见附件三）</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lang w:val="en-US" w:eastAsia="zh-CN"/>
          <w14:textFill>
            <w14:solidFill>
              <w14:schemeClr w14:val="tx1"/>
            </w14:solidFill>
          </w14:textFill>
        </w:rPr>
        <w:t>8</w:t>
      </w:r>
      <w:r>
        <w:rPr>
          <w:rFonts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14:textFill>
            <w14:solidFill>
              <w14:schemeClr w14:val="tx1"/>
            </w14:solidFill>
          </w14:textFill>
        </w:rPr>
        <w:t>信息</w:t>
      </w:r>
      <w:r>
        <w:rPr>
          <w:rFonts w:ascii="宋体" w:hAnsi="宋体" w:cs="宋体"/>
          <w:color w:val="000000" w:themeColor="text1"/>
          <w:kern w:val="0"/>
          <w:sz w:val="24"/>
          <w:szCs w:val="24"/>
          <w14:textFill>
            <w14:solidFill>
              <w14:schemeClr w14:val="tx1"/>
            </w14:solidFill>
          </w14:textFill>
        </w:rPr>
        <w:t>安全采购要求承诺函</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lang w:val="en-US" w:eastAsia="zh-CN"/>
          <w14:textFill>
            <w14:solidFill>
              <w14:schemeClr w14:val="tx1"/>
            </w14:solidFill>
          </w14:textFill>
        </w:rPr>
        <w:t>9</w:t>
      </w:r>
      <w:r>
        <w:rPr>
          <w:rFonts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14:textFill>
            <w14:solidFill>
              <w14:schemeClr w14:val="tx1"/>
            </w14:solidFill>
          </w14:textFill>
        </w:rPr>
        <w:t>评审标准对应页码表</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除合同另有明确规定和要求之外，供应商须按照所附格式文件和表格编制其响应文件的相关内容。</w:t>
      </w:r>
    </w:p>
    <w:p>
      <w:pPr>
        <w:widowControl/>
        <w:adjustRightInd w:val="0"/>
        <w:snapToGrid w:val="0"/>
        <w:spacing w:line="360" w:lineRule="auto"/>
        <w:ind w:firstLine="480"/>
        <w:rPr>
          <w:rFonts w:ascii="宋体" w:hAnsi="宋体" w:cs="宋体"/>
          <w:b/>
          <w:kern w:val="0"/>
          <w:sz w:val="24"/>
          <w:szCs w:val="24"/>
        </w:rPr>
      </w:pPr>
      <w:r>
        <w:rPr>
          <w:rFonts w:hint="eastAsia" w:ascii="宋体" w:hAnsi="宋体" w:cs="宋体"/>
          <w:b/>
          <w:kern w:val="0"/>
          <w:sz w:val="24"/>
          <w:szCs w:val="24"/>
        </w:rPr>
        <w:t>3</w:t>
      </w:r>
      <w:r>
        <w:rPr>
          <w:rFonts w:ascii="宋体" w:hAnsi="宋体" w:cs="宋体"/>
          <w:b/>
          <w:kern w:val="0"/>
          <w:sz w:val="24"/>
          <w:szCs w:val="24"/>
        </w:rPr>
        <w:t>.响应文件使用</w:t>
      </w:r>
      <w:r>
        <w:rPr>
          <w:rFonts w:hint="eastAsia" w:ascii="宋体" w:hAnsi="宋体" w:cs="宋体"/>
          <w:b/>
          <w:kern w:val="0"/>
          <w:sz w:val="24"/>
          <w:szCs w:val="24"/>
        </w:rPr>
        <w:t>的</w:t>
      </w:r>
      <w:r>
        <w:rPr>
          <w:rFonts w:ascii="宋体" w:hAnsi="宋体" w:cs="宋体"/>
          <w:b/>
          <w:kern w:val="0"/>
          <w:sz w:val="24"/>
          <w:szCs w:val="24"/>
        </w:rPr>
        <w:t>语言</w:t>
      </w:r>
      <w:r>
        <w:rPr>
          <w:rFonts w:hint="eastAsia" w:ascii="宋体" w:hAnsi="宋体" w:cs="宋体"/>
          <w:b/>
          <w:kern w:val="0"/>
          <w:sz w:val="24"/>
          <w:szCs w:val="24"/>
        </w:rPr>
        <w:t>和计量</w:t>
      </w:r>
      <w:r>
        <w:rPr>
          <w:rFonts w:ascii="宋体" w:hAnsi="宋体" w:cs="宋体"/>
          <w:b/>
          <w:kern w:val="0"/>
          <w:sz w:val="24"/>
          <w:szCs w:val="24"/>
        </w:rPr>
        <w:t>单位</w:t>
      </w:r>
    </w:p>
    <w:p>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3</w:t>
      </w:r>
      <w:r>
        <w:rPr>
          <w:rFonts w:ascii="宋体" w:hAnsi="宋体" w:cs="宋体"/>
          <w:kern w:val="0"/>
          <w:sz w:val="24"/>
          <w:szCs w:val="24"/>
        </w:rPr>
        <w:t>.1</w:t>
      </w:r>
      <w:r>
        <w:rPr>
          <w:rFonts w:hint="eastAsia" w:ascii="宋体" w:hAnsi="宋体" w:cs="宋体"/>
          <w:kern w:val="0"/>
          <w:sz w:val="24"/>
          <w:szCs w:val="24"/>
        </w:rPr>
        <w:t>供应商提交的《响应文件》以及供应商与采购人就有关磋商的所有来往函电均应使用中文书写。供应商提交的支持文件和印制的文献可以用另一种语言，但相应内容必须附有中文翻译本，在解释《响应文件》时以翻译本为准。</w:t>
      </w:r>
    </w:p>
    <w:p>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3</w:t>
      </w:r>
      <w:r>
        <w:rPr>
          <w:rFonts w:ascii="宋体" w:hAnsi="宋体" w:cs="宋体"/>
          <w:kern w:val="0"/>
          <w:sz w:val="24"/>
          <w:szCs w:val="24"/>
        </w:rPr>
        <w:t>.2</w:t>
      </w:r>
      <w:r>
        <w:rPr>
          <w:rFonts w:ascii="Arial" w:hAnsi="Arial" w:cs="Arial"/>
          <w:sz w:val="24"/>
          <w:szCs w:val="24"/>
        </w:rPr>
        <w:t>《响应文件》所使用的计量单位，应使用国家法定计量单位。</w:t>
      </w:r>
    </w:p>
    <w:p>
      <w:pPr>
        <w:snapToGrid w:val="0"/>
        <w:spacing w:line="360" w:lineRule="auto"/>
        <w:ind w:firstLine="426" w:firstLineChars="177"/>
        <w:rPr>
          <w:rFonts w:cs="Arial" w:asciiTheme="minorEastAsia" w:hAnsiTheme="minorEastAsia" w:eastAsiaTheme="minorEastAsia"/>
          <w:b/>
          <w:sz w:val="24"/>
          <w:szCs w:val="24"/>
        </w:rPr>
      </w:pPr>
      <w:r>
        <w:rPr>
          <w:rFonts w:hint="eastAsia" w:cs="Arial" w:asciiTheme="minorEastAsia" w:hAnsiTheme="minorEastAsia" w:eastAsiaTheme="minorEastAsia"/>
          <w:b/>
          <w:sz w:val="24"/>
          <w:szCs w:val="24"/>
        </w:rPr>
        <w:t>4</w:t>
      </w:r>
      <w:r>
        <w:rPr>
          <w:rFonts w:cs="Arial" w:asciiTheme="minorEastAsia" w:hAnsiTheme="minorEastAsia" w:eastAsiaTheme="minorEastAsia"/>
          <w:b/>
          <w:sz w:val="24"/>
          <w:szCs w:val="24"/>
        </w:rPr>
        <w:t>.</w:t>
      </w:r>
      <w:r>
        <w:rPr>
          <w:rFonts w:hint="eastAsia" w:cs="Arial" w:asciiTheme="minorEastAsia" w:hAnsiTheme="minorEastAsia" w:eastAsiaTheme="minorEastAsia"/>
          <w:b/>
          <w:sz w:val="24"/>
          <w:szCs w:val="24"/>
        </w:rPr>
        <w:t>《响应文件》的式样和签署</w:t>
      </w:r>
    </w:p>
    <w:p>
      <w:pPr>
        <w:snapToGrid w:val="0"/>
        <w:spacing w:line="360" w:lineRule="auto"/>
        <w:ind w:firstLine="424" w:firstLineChars="177"/>
        <w:rPr>
          <w:rFonts w:ascii="Arial" w:hAnsi="Arial" w:cs="Arial"/>
          <w:sz w:val="24"/>
          <w:szCs w:val="24"/>
        </w:rPr>
      </w:pPr>
      <w:r>
        <w:rPr>
          <w:rFonts w:hint="eastAsia" w:cs="Arial" w:asciiTheme="minorEastAsia" w:hAnsiTheme="minorEastAsia" w:eastAsiaTheme="minorEastAsia"/>
          <w:sz w:val="24"/>
          <w:szCs w:val="24"/>
        </w:rPr>
        <w:t>4</w:t>
      </w:r>
      <w:r>
        <w:rPr>
          <w:rFonts w:cs="Arial" w:asciiTheme="minorEastAsia" w:hAnsiTheme="minorEastAsia" w:eastAsiaTheme="minorEastAsia"/>
          <w:sz w:val="24"/>
          <w:szCs w:val="24"/>
        </w:rPr>
        <w:t>.1</w:t>
      </w:r>
      <w:r>
        <w:rPr>
          <w:rFonts w:ascii="Arial" w:hAnsi="Arial" w:cs="Arial"/>
          <w:sz w:val="24"/>
          <w:szCs w:val="24"/>
        </w:rPr>
        <w:t>响应文件规格幅面使用A4规格纸张，按照磋商文件规定的顺序，统一编目编码装订。由于编排混乱导致响应文件被误读或查找不到，其责任应当</w:t>
      </w:r>
      <w:r>
        <w:rPr>
          <w:rFonts w:hint="eastAsia" w:ascii="Arial" w:hAnsi="Arial" w:cs="Arial"/>
          <w:sz w:val="24"/>
          <w:szCs w:val="24"/>
        </w:rPr>
        <w:t>由</w:t>
      </w:r>
      <w:r>
        <w:rPr>
          <w:rFonts w:ascii="Arial" w:hAnsi="Arial" w:cs="Arial"/>
          <w:sz w:val="24"/>
          <w:szCs w:val="24"/>
        </w:rPr>
        <w:t>供应商承担。响应文件装订采用胶订或线订形式，不得采用活页装订，否则将被视为无效文件。</w:t>
      </w:r>
    </w:p>
    <w:p>
      <w:pPr>
        <w:snapToGrid w:val="0"/>
        <w:spacing w:line="360" w:lineRule="auto"/>
        <w:ind w:firstLine="424" w:firstLineChars="177"/>
        <w:rPr>
          <w:rFonts w:ascii="Arial" w:hAnsi="Arial" w:cs="Arial"/>
          <w:sz w:val="24"/>
          <w:szCs w:val="24"/>
        </w:rPr>
      </w:pPr>
      <w:r>
        <w:rPr>
          <w:rFonts w:cs="Arial" w:asciiTheme="minorEastAsia" w:hAnsiTheme="minorEastAsia" w:eastAsiaTheme="minorEastAsia"/>
          <w:sz w:val="24"/>
          <w:szCs w:val="24"/>
        </w:rPr>
        <w:t>4.</w:t>
      </w:r>
      <w:r>
        <w:rPr>
          <w:rFonts w:hint="eastAsia" w:cs="Arial" w:asciiTheme="minorEastAsia" w:hAnsiTheme="minorEastAsia" w:eastAsiaTheme="minorEastAsia"/>
          <w:sz w:val="24"/>
          <w:szCs w:val="24"/>
          <w:lang w:val="en-US" w:eastAsia="zh-CN"/>
        </w:rPr>
        <w:t>2</w:t>
      </w:r>
      <w:r>
        <w:rPr>
          <w:rFonts w:hint="eastAsia" w:ascii="宋体" w:hAnsi="宋体" w:cs="宋体"/>
          <w:kern w:val="0"/>
          <w:sz w:val="24"/>
          <w:szCs w:val="24"/>
        </w:rPr>
        <w:t>响应文件均需打印或用不褪色墨水书写，并由供应商或经正式授权并对供应商有约束力的代表签字。授权代表须将以书面形式出具的“授权书”附在响应文件中。</w:t>
      </w:r>
    </w:p>
    <w:p>
      <w:pPr>
        <w:spacing w:line="360" w:lineRule="auto"/>
        <w:ind w:firstLine="480" w:firstLineChars="200"/>
        <w:rPr>
          <w:rFonts w:asciiTheme="minorEastAsia" w:hAnsiTheme="minorEastAsia" w:eastAsiaTheme="minorEastAsia"/>
          <w:sz w:val="24"/>
        </w:rPr>
      </w:pPr>
      <w:r>
        <w:rPr>
          <w:rFonts w:hint="eastAsia" w:ascii="宋体" w:hAnsi="宋体" w:cs="宋体"/>
          <w:kern w:val="0"/>
          <w:sz w:val="24"/>
          <w:szCs w:val="24"/>
        </w:rPr>
        <w:t>4</w:t>
      </w:r>
      <w:r>
        <w:rPr>
          <w:rFonts w:ascii="宋体" w:hAnsi="宋体" w:cs="宋体"/>
          <w:kern w:val="0"/>
          <w:sz w:val="24"/>
          <w:szCs w:val="24"/>
        </w:rPr>
        <w:t>.</w:t>
      </w:r>
      <w:r>
        <w:rPr>
          <w:rFonts w:hint="eastAsia" w:ascii="宋体" w:hAnsi="宋体" w:cs="宋体"/>
          <w:kern w:val="0"/>
          <w:sz w:val="24"/>
          <w:szCs w:val="24"/>
          <w:lang w:val="en-US" w:eastAsia="zh-CN"/>
        </w:rPr>
        <w:t>3</w:t>
      </w:r>
      <w:r>
        <w:rPr>
          <w:rFonts w:hint="eastAsia" w:ascii="宋体" w:hAnsi="宋体" w:cs="宋体"/>
          <w:kern w:val="0"/>
          <w:sz w:val="24"/>
          <w:szCs w:val="24"/>
        </w:rPr>
        <w:t>响应文件规定盖章的地方，应盖单位公章。</w:t>
      </w:r>
      <w:r>
        <w:rPr>
          <w:rFonts w:hint="eastAsia" w:asciiTheme="minorEastAsia" w:hAnsiTheme="minorEastAsia" w:eastAsiaTheme="minorEastAsia"/>
          <w:sz w:val="24"/>
        </w:rPr>
        <w:t>供应商在磋商过程中相关文件的签订、履行、通知等事项的书面文件中的单位盖章、印章、公章等处均仅指与供应商名称全称相一致的标准公章。如供应商需要在本次项目中使用投标专用章，须提供符合以下要求的特别说明函：</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（1）特别说明函须声明：针对本次项目，供应商投标专用章作为直接参与磋商时相关投标文件的签章、及业务合作伙伴参与磋商时授权函的签章，其效力等同于公章；</w:t>
      </w:r>
    </w:p>
    <w:p>
      <w:pPr>
        <w:widowControl/>
        <w:adjustRightInd w:val="0"/>
        <w:snapToGrid w:val="0"/>
        <w:spacing w:line="360" w:lineRule="auto"/>
        <w:ind w:firstLine="480"/>
        <w:rPr>
          <w:rFonts w:asciiTheme="minorEastAsia" w:hAnsiTheme="minorEastAsia" w:eastAsiaTheme="minorEastAsia"/>
          <w:sz w:val="24"/>
        </w:rPr>
      </w:pPr>
      <w:r>
        <w:rPr>
          <w:rFonts w:hint="eastAsia" w:asciiTheme="minorEastAsia" w:hAnsiTheme="minorEastAsia" w:eastAsiaTheme="minorEastAsia"/>
          <w:sz w:val="24"/>
        </w:rPr>
        <w:t>（2）特别说明函须同时加盖供应商公章及投标专用章。</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4.</w:t>
      </w:r>
      <w:r>
        <w:rPr>
          <w:rFonts w:hint="eastAsia" w:ascii="宋体" w:hAnsi="宋体" w:cs="宋体"/>
          <w:kern w:val="0"/>
          <w:sz w:val="24"/>
          <w:szCs w:val="24"/>
          <w:lang w:val="en-US" w:eastAsia="zh-CN"/>
        </w:rPr>
        <w:t>4</w:t>
      </w:r>
      <w:r>
        <w:rPr>
          <w:rFonts w:ascii="宋体" w:hAnsi="宋体" w:cs="宋体"/>
          <w:kern w:val="0"/>
          <w:sz w:val="24"/>
          <w:szCs w:val="24"/>
        </w:rPr>
        <w:t xml:space="preserve"> </w:t>
      </w:r>
      <w:r>
        <w:rPr>
          <w:rFonts w:hint="eastAsia" w:ascii="宋体" w:hAnsi="宋体" w:cs="宋体"/>
          <w:kern w:val="0"/>
          <w:sz w:val="24"/>
          <w:szCs w:val="24"/>
        </w:rPr>
        <w:t>任何行间插字、涂改和增删，必须由响应文件授权代表用姓名在旁边签字生效。</w:t>
      </w:r>
    </w:p>
    <w:p>
      <w:pPr>
        <w:pStyle w:val="2"/>
        <w:numPr>
          <w:ilvl w:val="0"/>
          <w:numId w:val="0"/>
        </w:numPr>
        <w:adjustRightInd w:val="0"/>
        <w:snapToGrid w:val="0"/>
        <w:spacing w:before="0" w:after="0" w:line="360" w:lineRule="auto"/>
        <w:ind w:firstLine="482" w:firstLineChars="200"/>
        <w:rPr>
          <w:sz w:val="24"/>
          <w:szCs w:val="24"/>
        </w:rPr>
      </w:pPr>
      <w:r>
        <w:rPr>
          <w:rFonts w:hint="eastAsia"/>
          <w:sz w:val="24"/>
          <w:szCs w:val="24"/>
        </w:rPr>
        <w:t>四、磋商时间和地点</w:t>
      </w:r>
    </w:p>
    <w:p>
      <w:pPr>
        <w:widowControl/>
        <w:adjustRightInd w:val="0"/>
        <w:snapToGrid w:val="0"/>
        <w:spacing w:line="360" w:lineRule="auto"/>
        <w:ind w:firstLine="480"/>
        <w:rPr>
          <w:rFonts w:ascii="宋体" w:hAnsi="宋体" w:cs="宋体"/>
          <w:color w:val="FF0000"/>
          <w:kern w:val="0"/>
          <w:sz w:val="24"/>
          <w:szCs w:val="24"/>
        </w:rPr>
      </w:pPr>
      <w:bookmarkStart w:id="0" w:name="OLE_LINK4"/>
      <w:bookmarkEnd w:id="0"/>
      <w:bookmarkStart w:id="1" w:name="OLE_LINK3"/>
      <w:bookmarkEnd w:id="1"/>
      <w:r>
        <w:rPr>
          <w:rFonts w:hint="eastAsia" w:ascii="宋体" w:hAnsi="宋体" w:cs="宋体"/>
          <w:color w:val="auto"/>
          <w:kern w:val="0"/>
          <w:sz w:val="24"/>
          <w:szCs w:val="24"/>
          <w:lang w:val="en-US" w:eastAsia="zh-CN"/>
        </w:rPr>
        <w:t>2025</w:t>
      </w:r>
      <w:r>
        <w:rPr>
          <w:rFonts w:hint="eastAsia" w:ascii="宋体" w:hAnsi="宋体" w:cs="宋体"/>
          <w:color w:val="auto"/>
          <w:kern w:val="0"/>
          <w:sz w:val="24"/>
          <w:szCs w:val="24"/>
        </w:rPr>
        <w:t>年</w:t>
      </w:r>
      <w:r>
        <w:rPr>
          <w:rFonts w:hint="eastAsia" w:ascii="宋体" w:hAnsi="宋体" w:cs="宋体"/>
          <w:color w:val="auto"/>
          <w:kern w:val="0"/>
          <w:sz w:val="24"/>
          <w:szCs w:val="24"/>
          <w:lang w:val="en-US" w:eastAsia="zh-CN"/>
        </w:rPr>
        <w:t>2</w:t>
      </w:r>
      <w:r>
        <w:rPr>
          <w:rFonts w:hint="eastAsia" w:ascii="宋体" w:hAnsi="宋体" w:cs="宋体"/>
          <w:color w:val="auto"/>
          <w:kern w:val="0"/>
          <w:sz w:val="24"/>
          <w:szCs w:val="24"/>
        </w:rPr>
        <w:t>月</w:t>
      </w:r>
      <w:r>
        <w:rPr>
          <w:rFonts w:hint="eastAsia" w:ascii="宋体" w:hAnsi="宋体" w:cs="宋体"/>
          <w:color w:val="auto"/>
          <w:kern w:val="0"/>
          <w:sz w:val="24"/>
          <w:szCs w:val="24"/>
          <w:lang w:val="en-US" w:eastAsia="zh-CN"/>
        </w:rPr>
        <w:t>18</w:t>
      </w:r>
      <w:r>
        <w:rPr>
          <w:rFonts w:hint="eastAsia" w:ascii="宋体" w:hAnsi="宋体" w:cs="宋体"/>
          <w:color w:val="auto"/>
          <w:kern w:val="0"/>
          <w:sz w:val="24"/>
          <w:szCs w:val="24"/>
        </w:rPr>
        <w:t>日上午</w:t>
      </w:r>
      <w:r>
        <w:rPr>
          <w:rFonts w:hint="eastAsia" w:ascii="宋体" w:hAnsi="宋体" w:cs="宋体"/>
          <w:color w:val="auto"/>
          <w:kern w:val="0"/>
          <w:sz w:val="24"/>
          <w:szCs w:val="24"/>
          <w:lang w:val="en-US" w:eastAsia="zh-CN"/>
        </w:rPr>
        <w:t>9时</w:t>
      </w:r>
      <w:r>
        <w:rPr>
          <w:rFonts w:hint="eastAsia" w:ascii="宋体" w:hAnsi="宋体" w:cs="宋体"/>
          <w:color w:val="auto"/>
          <w:kern w:val="0"/>
          <w:sz w:val="24"/>
          <w:szCs w:val="24"/>
        </w:rPr>
        <w:t>，中国人民财产保险股份有限公司</w:t>
      </w:r>
      <w:r>
        <w:rPr>
          <w:rFonts w:hint="eastAsia" w:ascii="宋体" w:hAnsi="宋体" w:cs="宋体"/>
          <w:color w:val="auto"/>
          <w:kern w:val="0"/>
          <w:sz w:val="24"/>
          <w:szCs w:val="24"/>
          <w:lang w:eastAsia="zh-CN"/>
        </w:rPr>
        <w:t>黔南</w:t>
      </w:r>
      <w:bookmarkStart w:id="17" w:name="_GoBack"/>
      <w:bookmarkEnd w:id="17"/>
      <w:r>
        <w:rPr>
          <w:rFonts w:hint="eastAsia" w:ascii="宋体" w:hAnsi="宋体" w:cs="宋体"/>
          <w:color w:val="auto"/>
          <w:kern w:val="0"/>
          <w:sz w:val="24"/>
          <w:szCs w:val="24"/>
        </w:rPr>
        <w:t>分公司</w:t>
      </w:r>
      <w:r>
        <w:rPr>
          <w:rFonts w:hint="eastAsia" w:ascii="宋体" w:hAnsi="宋体" w:cs="宋体"/>
          <w:color w:val="auto"/>
          <w:kern w:val="0"/>
          <w:sz w:val="24"/>
          <w:szCs w:val="24"/>
          <w:lang w:eastAsia="zh-CN"/>
        </w:rPr>
        <w:t>三</w:t>
      </w:r>
      <w:r>
        <w:rPr>
          <w:rFonts w:hint="eastAsia" w:ascii="宋体" w:hAnsi="宋体" w:cs="宋体"/>
          <w:color w:val="auto"/>
          <w:kern w:val="0"/>
          <w:sz w:val="24"/>
          <w:szCs w:val="24"/>
        </w:rPr>
        <w:t>楼会议室（时间、地点如有变化，将另行提前通知）。</w:t>
      </w:r>
    </w:p>
    <w:p>
      <w:pPr>
        <w:pStyle w:val="2"/>
        <w:numPr>
          <w:ilvl w:val="0"/>
          <w:numId w:val="0"/>
        </w:numPr>
        <w:adjustRightInd w:val="0"/>
        <w:snapToGrid w:val="0"/>
        <w:spacing w:before="0" w:after="0" w:line="360" w:lineRule="auto"/>
        <w:ind w:firstLine="482" w:firstLineChars="200"/>
        <w:rPr>
          <w:sz w:val="24"/>
          <w:szCs w:val="24"/>
          <w:highlight w:val="none"/>
        </w:rPr>
      </w:pPr>
      <w:r>
        <w:rPr>
          <w:rFonts w:hint="eastAsia"/>
          <w:sz w:val="24"/>
          <w:szCs w:val="24"/>
          <w:highlight w:val="none"/>
        </w:rPr>
        <w:t>五、竞争性磋商流程说明</w:t>
      </w:r>
    </w:p>
    <w:p>
      <w:pPr>
        <w:widowControl/>
        <w:adjustRightInd w:val="0"/>
        <w:snapToGrid w:val="0"/>
        <w:spacing w:line="360" w:lineRule="auto"/>
        <w:ind w:firstLine="482"/>
        <w:rPr>
          <w:rFonts w:ascii="宋体" w:hAnsi="宋体" w:cs="宋体"/>
          <w:b/>
          <w:bCs/>
          <w:kern w:val="0"/>
          <w:sz w:val="24"/>
          <w:szCs w:val="24"/>
          <w:highlight w:val="none"/>
        </w:rPr>
      </w:pPr>
      <w:r>
        <w:rPr>
          <w:rFonts w:hint="eastAsia" w:ascii="宋体" w:hAnsi="宋体" w:cs="宋体"/>
          <w:b/>
          <w:bCs/>
          <w:kern w:val="0"/>
          <w:sz w:val="24"/>
          <w:szCs w:val="24"/>
          <w:highlight w:val="none"/>
        </w:rPr>
        <w:t>（一</w:t>
      </w:r>
      <w:r>
        <w:rPr>
          <w:rFonts w:ascii="宋体" w:hAnsi="宋体" w:cs="宋体"/>
          <w:b/>
          <w:bCs/>
          <w:kern w:val="0"/>
          <w:sz w:val="24"/>
          <w:szCs w:val="24"/>
          <w:highlight w:val="none"/>
        </w:rPr>
        <w:t>）</w:t>
      </w:r>
      <w:r>
        <w:rPr>
          <w:rFonts w:hint="eastAsia" w:ascii="宋体" w:hAnsi="宋体" w:cs="宋体"/>
          <w:b/>
          <w:bCs/>
          <w:kern w:val="0"/>
          <w:sz w:val="24"/>
          <w:szCs w:val="24"/>
          <w:highlight w:val="none"/>
        </w:rPr>
        <w:t>磋商流程</w:t>
      </w:r>
    </w:p>
    <w:p>
      <w:pPr>
        <w:widowControl/>
        <w:adjustRightInd w:val="0"/>
        <w:snapToGrid w:val="0"/>
        <w:spacing w:line="360" w:lineRule="auto"/>
        <w:ind w:firstLine="480"/>
        <w:rPr>
          <w:rFonts w:ascii="宋体" w:hAnsi="宋体" w:cs="宋体"/>
          <w:kern w:val="0"/>
          <w:sz w:val="24"/>
          <w:szCs w:val="24"/>
          <w:highlight w:val="none"/>
        </w:rPr>
      </w:pPr>
      <w:r>
        <w:rPr>
          <w:rFonts w:hint="eastAsia" w:ascii="宋体" w:hAnsi="宋体" w:cs="宋体"/>
          <w:kern w:val="0"/>
          <w:sz w:val="24"/>
          <w:szCs w:val="24"/>
          <w:highlight w:val="none"/>
        </w:rPr>
        <w:t>1.供应商进行第一轮报价（为附件2</w:t>
      </w:r>
      <w:r>
        <w:rPr>
          <w:rFonts w:ascii="宋体" w:hAnsi="宋体" w:cs="宋体"/>
          <w:kern w:val="0"/>
          <w:sz w:val="24"/>
          <w:szCs w:val="24"/>
          <w:highlight w:val="none"/>
        </w:rPr>
        <w:t>.4</w:t>
      </w:r>
      <w:r>
        <w:rPr>
          <w:rFonts w:hint="eastAsia" w:ascii="宋体" w:hAnsi="宋体" w:cs="宋体"/>
          <w:kern w:val="0"/>
          <w:sz w:val="24"/>
          <w:szCs w:val="24"/>
          <w:highlight w:val="none"/>
        </w:rPr>
        <w:t>报价一览表中的报价），第一轮报价公开唱标。</w:t>
      </w:r>
    </w:p>
    <w:p>
      <w:pPr>
        <w:widowControl/>
        <w:adjustRightInd w:val="0"/>
        <w:snapToGrid w:val="0"/>
        <w:spacing w:line="360" w:lineRule="auto"/>
        <w:ind w:firstLine="480"/>
        <w:rPr>
          <w:rFonts w:cs="宋体" w:asciiTheme="minorEastAsia" w:hAnsiTheme="minorEastAsia" w:eastAsiaTheme="minorEastAsia"/>
          <w:kern w:val="0"/>
          <w:sz w:val="24"/>
          <w:szCs w:val="24"/>
          <w:highlight w:val="none"/>
        </w:rPr>
      </w:pPr>
      <w:r>
        <w:rPr>
          <w:rFonts w:hint="eastAsia" w:cs="Arial" w:asciiTheme="minorEastAsia" w:hAnsiTheme="minorEastAsia" w:eastAsiaTheme="minorEastAsia"/>
          <w:sz w:val="24"/>
          <w:szCs w:val="24"/>
          <w:highlight w:val="none"/>
        </w:rPr>
        <w:t>2.</w:t>
      </w:r>
      <w:r>
        <w:rPr>
          <w:rFonts w:cs="Arial" w:asciiTheme="minorEastAsia" w:hAnsiTheme="minorEastAsia" w:eastAsiaTheme="minorEastAsia"/>
          <w:sz w:val="24"/>
          <w:szCs w:val="24"/>
          <w:highlight w:val="none"/>
        </w:rPr>
        <w:t>通过《响应文件》</w:t>
      </w:r>
      <w:r>
        <w:rPr>
          <w:rFonts w:hint="eastAsia" w:cs="Arial" w:asciiTheme="minorEastAsia" w:hAnsiTheme="minorEastAsia" w:eastAsiaTheme="minorEastAsia"/>
          <w:sz w:val="24"/>
          <w:szCs w:val="24"/>
          <w:highlight w:val="none"/>
        </w:rPr>
        <w:t>资格审查和符合性审查</w:t>
      </w:r>
      <w:r>
        <w:rPr>
          <w:rFonts w:cs="Arial" w:asciiTheme="minorEastAsia" w:hAnsiTheme="minorEastAsia" w:eastAsiaTheme="minorEastAsia"/>
          <w:sz w:val="24"/>
          <w:szCs w:val="24"/>
          <w:highlight w:val="none"/>
        </w:rPr>
        <w:t>的供应商被视为实质性响应《磋商文件》的供应商，进入磋商环节。</w:t>
      </w:r>
    </w:p>
    <w:p>
      <w:pPr>
        <w:widowControl/>
        <w:adjustRightInd w:val="0"/>
        <w:snapToGrid w:val="0"/>
        <w:spacing w:line="360" w:lineRule="auto"/>
        <w:ind w:firstLine="480"/>
        <w:rPr>
          <w:rFonts w:ascii="宋体" w:hAnsi="宋体" w:cs="宋体"/>
          <w:color w:val="auto"/>
          <w:kern w:val="0"/>
          <w:sz w:val="24"/>
          <w:szCs w:val="24"/>
          <w:highlight w:val="none"/>
        </w:rPr>
      </w:pPr>
      <w:r>
        <w:rPr>
          <w:rFonts w:ascii="宋体" w:hAnsi="宋体" w:cs="宋体"/>
          <w:kern w:val="0"/>
          <w:sz w:val="24"/>
          <w:szCs w:val="24"/>
          <w:highlight w:val="none"/>
        </w:rPr>
        <w:t>3</w:t>
      </w:r>
      <w:r>
        <w:rPr>
          <w:rFonts w:hint="eastAsia" w:ascii="宋体" w:hAnsi="宋体" w:cs="宋体"/>
          <w:kern w:val="0"/>
          <w:sz w:val="24"/>
          <w:szCs w:val="24"/>
          <w:highlight w:val="none"/>
        </w:rPr>
        <w:t>.按照抽签顺序或签到顺序，参加磋商的供应商陈述项目方案，讲标时间</w:t>
      </w:r>
      <w:r>
        <w:rPr>
          <w:rFonts w:hint="eastAsia" w:ascii="宋体" w:hAnsi="宋体" w:cs="宋体"/>
          <w:color w:val="auto"/>
          <w:kern w:val="0"/>
          <w:sz w:val="24"/>
          <w:szCs w:val="24"/>
          <w:highlight w:val="none"/>
        </w:rPr>
        <w:t>10分钟左右。</w:t>
      </w:r>
    </w:p>
    <w:p>
      <w:pPr>
        <w:widowControl/>
        <w:adjustRightInd w:val="0"/>
        <w:snapToGrid w:val="0"/>
        <w:spacing w:line="360" w:lineRule="auto"/>
        <w:ind w:firstLine="480"/>
        <w:rPr>
          <w:rFonts w:ascii="宋体" w:hAnsi="宋体" w:cs="宋体"/>
          <w:kern w:val="0"/>
          <w:sz w:val="24"/>
          <w:szCs w:val="24"/>
          <w:highlight w:val="none"/>
        </w:rPr>
      </w:pPr>
      <w:r>
        <w:rPr>
          <w:rFonts w:ascii="宋体" w:hAnsi="宋体" w:cs="宋体"/>
          <w:kern w:val="0"/>
          <w:sz w:val="24"/>
          <w:szCs w:val="24"/>
          <w:highlight w:val="none"/>
        </w:rPr>
        <w:t>4</w:t>
      </w:r>
      <w:r>
        <w:rPr>
          <w:rFonts w:hint="eastAsia" w:ascii="宋体" w:hAnsi="宋体" w:cs="宋体"/>
          <w:kern w:val="0"/>
          <w:sz w:val="24"/>
          <w:szCs w:val="24"/>
          <w:highlight w:val="none"/>
        </w:rPr>
        <w:t>.我公司磋商小组成员集中与实质性响应《磋商文件》的供应商分别就商务、技术服务等进行磋商，并给予供应商平等的磋商机会。</w:t>
      </w:r>
      <w:r>
        <w:rPr>
          <w:rFonts w:cs="Arial" w:asciiTheme="minorEastAsia" w:hAnsiTheme="minorEastAsia" w:eastAsiaTheme="minorEastAsia"/>
          <w:sz w:val="24"/>
          <w:szCs w:val="24"/>
          <w:highlight w:val="none"/>
        </w:rPr>
        <w:t>磋商小组要求供应商澄清、说明或者更正《响应文件》应当以书面形式作出。供应商的澄清、说明或者更正应当由法定代表人或者其授权代表签字或者加盖公章。</w:t>
      </w:r>
    </w:p>
    <w:p>
      <w:pPr>
        <w:widowControl/>
        <w:adjustRightInd w:val="0"/>
        <w:snapToGrid w:val="0"/>
        <w:spacing w:line="360" w:lineRule="auto"/>
        <w:ind w:firstLine="480"/>
        <w:rPr>
          <w:rFonts w:ascii="宋体" w:hAnsi="宋体" w:cs="宋体"/>
          <w:kern w:val="0"/>
          <w:sz w:val="24"/>
          <w:szCs w:val="24"/>
          <w:highlight w:val="none"/>
        </w:rPr>
      </w:pPr>
      <w:r>
        <w:rPr>
          <w:rFonts w:ascii="宋体" w:hAnsi="宋体" w:cs="宋体"/>
          <w:kern w:val="0"/>
          <w:sz w:val="24"/>
          <w:szCs w:val="24"/>
          <w:highlight w:val="none"/>
        </w:rPr>
        <w:t>5</w:t>
      </w:r>
      <w:r>
        <w:rPr>
          <w:rFonts w:hint="eastAsia" w:ascii="宋体" w:hAnsi="宋体" w:cs="宋体"/>
          <w:kern w:val="0"/>
          <w:sz w:val="24"/>
          <w:szCs w:val="24"/>
          <w:highlight w:val="none"/>
        </w:rPr>
        <w:t xml:space="preserve">.第一轮报价结束后，磋商小组邀请项目报价高价者首先进入磋商会场，请高价者再次报价。(第二轮及后续报价各投标方只知道自己报价，即各方报价为背靠背形式) </w:t>
      </w:r>
    </w:p>
    <w:p>
      <w:pPr>
        <w:widowControl/>
        <w:adjustRightInd w:val="0"/>
        <w:snapToGrid w:val="0"/>
        <w:spacing w:line="360" w:lineRule="auto"/>
        <w:ind w:firstLine="480"/>
        <w:rPr>
          <w:rFonts w:ascii="宋体" w:hAnsi="宋体" w:cs="宋体"/>
          <w:kern w:val="0"/>
          <w:sz w:val="24"/>
          <w:szCs w:val="24"/>
          <w:highlight w:val="none"/>
        </w:rPr>
      </w:pPr>
      <w:r>
        <w:rPr>
          <w:rFonts w:ascii="宋体" w:hAnsi="宋体" w:cs="宋体"/>
          <w:kern w:val="0"/>
          <w:sz w:val="24"/>
          <w:szCs w:val="24"/>
          <w:highlight w:val="none"/>
        </w:rPr>
        <w:t>6</w:t>
      </w:r>
      <w:r>
        <w:rPr>
          <w:rFonts w:hint="eastAsia" w:ascii="宋体" w:hAnsi="宋体" w:cs="宋体"/>
          <w:kern w:val="0"/>
          <w:sz w:val="24"/>
          <w:szCs w:val="24"/>
          <w:highlight w:val="none"/>
        </w:rPr>
        <w:t>.如高价者再次出价，低于上次最低价出价者，则邀请另外一家进入磋商会场再次出价，如此进行反复。</w:t>
      </w:r>
    </w:p>
    <w:p>
      <w:pPr>
        <w:widowControl/>
        <w:adjustRightInd w:val="0"/>
        <w:snapToGrid w:val="0"/>
        <w:spacing w:line="360" w:lineRule="auto"/>
        <w:ind w:firstLine="480"/>
        <w:rPr>
          <w:rFonts w:ascii="宋体" w:hAnsi="宋体" w:cs="宋体"/>
          <w:kern w:val="0"/>
          <w:sz w:val="24"/>
          <w:szCs w:val="24"/>
          <w:highlight w:val="none"/>
        </w:rPr>
      </w:pPr>
      <w:r>
        <w:rPr>
          <w:rFonts w:ascii="宋体" w:hAnsi="宋体" w:cs="宋体"/>
          <w:kern w:val="0"/>
          <w:sz w:val="24"/>
          <w:szCs w:val="24"/>
          <w:highlight w:val="none"/>
        </w:rPr>
        <w:t>7</w:t>
      </w:r>
      <w:r>
        <w:rPr>
          <w:rFonts w:hint="eastAsia" w:ascii="宋体" w:hAnsi="宋体" w:cs="宋体"/>
          <w:kern w:val="0"/>
          <w:sz w:val="24"/>
          <w:szCs w:val="24"/>
          <w:highlight w:val="none"/>
        </w:rPr>
        <w:t>.若供应商都不再出价或磋商小组认为竞价已达到预期效果，则要求所有参加磋商的受邀公司在规定的时间内进行最后报价并签字或盖章。</w:t>
      </w:r>
    </w:p>
    <w:p>
      <w:pPr>
        <w:widowControl/>
        <w:adjustRightInd w:val="0"/>
        <w:snapToGrid w:val="0"/>
        <w:spacing w:line="360" w:lineRule="auto"/>
        <w:ind w:firstLine="480"/>
        <w:rPr>
          <w:rFonts w:ascii="宋体" w:hAnsi="宋体" w:cs="宋体"/>
          <w:kern w:val="0"/>
          <w:sz w:val="24"/>
          <w:szCs w:val="24"/>
          <w:highlight w:val="none"/>
        </w:rPr>
      </w:pPr>
      <w:r>
        <w:rPr>
          <w:rFonts w:ascii="宋体" w:hAnsi="宋体" w:cs="宋体"/>
          <w:kern w:val="0"/>
          <w:sz w:val="24"/>
          <w:szCs w:val="24"/>
          <w:highlight w:val="none"/>
        </w:rPr>
        <w:t>8</w:t>
      </w:r>
      <w:r>
        <w:rPr>
          <w:rFonts w:hint="eastAsia" w:ascii="宋体" w:hAnsi="宋体" w:cs="宋体"/>
          <w:kern w:val="0"/>
          <w:sz w:val="24"/>
          <w:szCs w:val="24"/>
          <w:highlight w:val="none"/>
        </w:rPr>
        <w:t>.磋商小组对本次磋商结果进行最终打分。</w:t>
      </w:r>
    </w:p>
    <w:p>
      <w:pPr>
        <w:pStyle w:val="2"/>
        <w:numPr>
          <w:ilvl w:val="0"/>
          <w:numId w:val="0"/>
        </w:numPr>
        <w:adjustRightInd w:val="0"/>
        <w:snapToGrid w:val="0"/>
        <w:spacing w:before="0" w:after="0" w:line="360" w:lineRule="auto"/>
        <w:ind w:firstLine="482" w:firstLineChars="200"/>
        <w:rPr>
          <w:sz w:val="24"/>
          <w:szCs w:val="24"/>
        </w:rPr>
      </w:pPr>
      <w:r>
        <w:rPr>
          <w:rFonts w:hint="eastAsia"/>
          <w:sz w:val="24"/>
          <w:szCs w:val="24"/>
        </w:rPr>
        <w:t>六、关于商务和技术偏离</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任何对磋商文件技术部分和商务部分的偏离，供应商都应分别在技术偏离表</w:t>
      </w:r>
      <w:r>
        <w:rPr>
          <w:rFonts w:hint="eastAsia" w:ascii="宋体" w:hAnsi="宋体" w:cs="宋体"/>
          <w:b/>
          <w:kern w:val="0"/>
          <w:sz w:val="24"/>
          <w:szCs w:val="24"/>
        </w:rPr>
        <w:t>（对</w:t>
      </w:r>
      <w:r>
        <w:rPr>
          <w:rFonts w:ascii="宋体" w:hAnsi="宋体" w:cs="宋体"/>
          <w:b/>
          <w:kern w:val="0"/>
          <w:sz w:val="24"/>
          <w:szCs w:val="24"/>
        </w:rPr>
        <w:t>附件采购需求和技术服务要求的偏离情况）</w:t>
      </w:r>
      <w:r>
        <w:rPr>
          <w:rFonts w:hint="eastAsia" w:ascii="宋体" w:hAnsi="宋体" w:cs="宋体"/>
          <w:kern w:val="0"/>
          <w:sz w:val="24"/>
          <w:szCs w:val="24"/>
        </w:rPr>
        <w:t>和商务偏离表</w:t>
      </w:r>
      <w:r>
        <w:rPr>
          <w:rFonts w:hint="eastAsia" w:ascii="宋体" w:hAnsi="宋体" w:cs="宋体"/>
          <w:b/>
          <w:kern w:val="0"/>
          <w:sz w:val="24"/>
          <w:szCs w:val="24"/>
        </w:rPr>
        <w:t>（对合同条款</w:t>
      </w:r>
      <w:r>
        <w:rPr>
          <w:rFonts w:ascii="宋体" w:hAnsi="宋体" w:cs="宋体"/>
          <w:b/>
          <w:kern w:val="0"/>
          <w:sz w:val="24"/>
          <w:szCs w:val="24"/>
        </w:rPr>
        <w:t>的偏离情况）</w:t>
      </w:r>
      <w:r>
        <w:rPr>
          <w:rFonts w:hint="eastAsia" w:ascii="宋体" w:hAnsi="宋体" w:cs="宋体"/>
          <w:kern w:val="0"/>
          <w:sz w:val="24"/>
          <w:szCs w:val="24"/>
        </w:rPr>
        <w:t>中分项列明，并标明正偏离、负偏离或</w:t>
      </w:r>
      <w:r>
        <w:rPr>
          <w:rFonts w:ascii="宋体" w:hAnsi="宋体" w:cs="宋体"/>
          <w:kern w:val="0"/>
          <w:sz w:val="24"/>
          <w:szCs w:val="24"/>
        </w:rPr>
        <w:t>无偏离</w:t>
      </w:r>
      <w:r>
        <w:rPr>
          <w:rFonts w:hint="eastAsia" w:ascii="宋体" w:hAnsi="宋体" w:cs="宋体"/>
          <w:kern w:val="0"/>
          <w:sz w:val="24"/>
          <w:szCs w:val="24"/>
        </w:rPr>
        <w:t>。对于投标文件中不构成实质性偏差的不正规、不一致或不规则，招标人可接受，但会影响其得分。如果发现下列情况之一，其投标将可能被拒绝：</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1.未按照磋商文件要求提供投标文件的；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2.投标文件未按磋商文件要求的实质性内容与格式编写的；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3.投标文件未按磋商文件规定加盖投标单位公章、无法定代表人或其授权代表人签字的；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4.投标文件未加盖骑缝章的；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5.超出经营范围投标的；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6.供应商的投标文件或资格证明文件不符合磋商文件要求的；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7.投标有效期不足的；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8.投标文件符合磋商文件中规定废标的其它条款的；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9.投标文件附有招标人不能接受的条件的；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10.投标文件中对合同条款有重大偏离的；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11.有国家法律法规规定废标的其他情况的。</w:t>
      </w:r>
    </w:p>
    <w:p>
      <w:pPr>
        <w:pStyle w:val="2"/>
        <w:numPr>
          <w:ilvl w:val="0"/>
          <w:numId w:val="0"/>
        </w:numPr>
        <w:adjustRightInd w:val="0"/>
        <w:snapToGrid w:val="0"/>
        <w:spacing w:before="0" w:after="0" w:line="360" w:lineRule="auto"/>
        <w:ind w:firstLine="482" w:firstLineChars="200"/>
        <w:rPr>
          <w:sz w:val="24"/>
          <w:szCs w:val="24"/>
        </w:rPr>
      </w:pPr>
      <w:r>
        <w:rPr>
          <w:rFonts w:hint="eastAsia"/>
          <w:sz w:val="24"/>
          <w:szCs w:val="24"/>
        </w:rPr>
        <w:t>七、特别声明</w:t>
      </w:r>
    </w:p>
    <w:p>
      <w:pPr>
        <w:widowControl/>
        <w:adjustRightInd w:val="0"/>
        <w:snapToGrid w:val="0"/>
        <w:spacing w:line="360" w:lineRule="auto"/>
        <w:ind w:right="-315" w:rightChars="-150" w:firstLine="480"/>
        <w:rPr>
          <w:rFonts w:ascii="宋体" w:hAnsi="宋体" w:cs="宋体"/>
          <w:kern w:val="0"/>
          <w:sz w:val="24"/>
          <w:szCs w:val="24"/>
        </w:rPr>
      </w:pPr>
      <w:r>
        <w:rPr>
          <w:rFonts w:hint="eastAsia" w:ascii="宋体" w:hAnsi="宋体" w:cs="宋体"/>
          <w:kern w:val="0"/>
          <w:sz w:val="24"/>
          <w:szCs w:val="24"/>
        </w:rPr>
        <w:t>1.受邀公司提供虚假材料或文件的，自动丧失参加资格。</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2.受邀公司未在响应文件中提及和承诺，但又未明确书面提出异议的事项，按本磋商磋商邀请函的有关要求执行。</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3.受邀公司不应将本次采购理解为政府采购与招标。</w:t>
      </w:r>
    </w:p>
    <w:p>
      <w:pPr>
        <w:widowControl/>
        <w:adjustRightInd w:val="0"/>
        <w:snapToGrid w:val="0"/>
        <w:spacing w:line="360" w:lineRule="auto"/>
        <w:ind w:right="-315" w:rightChars="-150" w:firstLine="480"/>
        <w:rPr>
          <w:rFonts w:ascii="宋体" w:hAnsi="宋体" w:cs="宋体"/>
          <w:kern w:val="0"/>
          <w:sz w:val="24"/>
          <w:szCs w:val="24"/>
        </w:rPr>
      </w:pPr>
      <w:r>
        <w:rPr>
          <w:rFonts w:hint="eastAsia" w:ascii="宋体" w:hAnsi="宋体" w:cs="宋体"/>
          <w:kern w:val="0"/>
          <w:sz w:val="24"/>
          <w:szCs w:val="24"/>
        </w:rPr>
        <w:t>4.受邀公司不得以任何理由要求退还已提交的响应文件。</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5.采购方在任何时候均有权解释或调整本邀请文件及附件的内容。</w:t>
      </w:r>
    </w:p>
    <w:p>
      <w:pPr>
        <w:widowControl/>
        <w:adjustRightInd w:val="0"/>
        <w:snapToGrid w:val="0"/>
        <w:spacing w:line="360" w:lineRule="auto"/>
        <w:ind w:right="-420" w:rightChars="-200" w:firstLine="480"/>
        <w:rPr>
          <w:rFonts w:ascii="宋体" w:hAnsi="宋体" w:cs="宋体"/>
          <w:kern w:val="0"/>
          <w:sz w:val="24"/>
          <w:szCs w:val="24"/>
        </w:rPr>
      </w:pPr>
      <w:r>
        <w:rPr>
          <w:rFonts w:hint="eastAsia" w:ascii="宋体" w:hAnsi="宋体" w:cs="宋体"/>
          <w:kern w:val="0"/>
          <w:sz w:val="24"/>
          <w:szCs w:val="24"/>
        </w:rPr>
        <w:t>6.受邀公司没有按规定时间和内容提供材料的，视为放弃。</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7.受邀公司提供的文档、陈述和演示均应使用中文。</w:t>
      </w:r>
    </w:p>
    <w:p>
      <w:pPr>
        <w:widowControl/>
        <w:adjustRightInd w:val="0"/>
        <w:snapToGrid w:val="0"/>
        <w:spacing w:line="360" w:lineRule="auto"/>
        <w:ind w:right="-945" w:rightChars="-450" w:firstLine="480"/>
        <w:rPr>
          <w:rFonts w:ascii="宋体" w:hAnsi="宋体" w:cs="宋体"/>
          <w:kern w:val="0"/>
          <w:sz w:val="24"/>
          <w:szCs w:val="24"/>
        </w:rPr>
      </w:pPr>
      <w:r>
        <w:rPr>
          <w:rFonts w:hint="eastAsia" w:ascii="宋体" w:hAnsi="宋体" w:cs="宋体"/>
          <w:kern w:val="0"/>
          <w:sz w:val="24"/>
          <w:szCs w:val="24"/>
        </w:rPr>
        <w:t>8.对本磋商邀请函及附件存有疑问的，请向采购方咨询。</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9.本邀请函及附件之著作权受中国法律保护，所有文件仅限于受邀公司参加本次采购磋商使用，任何用于其他目的之复制或引用均应事先获得采购方书面许可。</w:t>
      </w:r>
    </w:p>
    <w:p>
      <w:pPr>
        <w:pStyle w:val="3"/>
        <w:numPr>
          <w:ilvl w:val="0"/>
          <w:numId w:val="0"/>
        </w:numPr>
        <w:rPr>
          <w:b w:val="0"/>
          <w:bCs w:val="0"/>
          <w:kern w:val="0"/>
          <w:sz w:val="28"/>
          <w:szCs w:val="28"/>
        </w:rPr>
      </w:pPr>
      <w:bookmarkStart w:id="2" w:name="_Toc104714652"/>
      <w:bookmarkEnd w:id="2"/>
      <w:bookmarkStart w:id="3" w:name="_Toc125183154"/>
      <w:bookmarkEnd w:id="3"/>
      <w:bookmarkStart w:id="4" w:name="_Toc137965295"/>
      <w:r>
        <w:rPr>
          <w:rFonts w:hint="eastAsia"/>
          <w:sz w:val="30"/>
          <w:szCs w:val="30"/>
        </w:rPr>
        <w:t>附件二：响应文件格式和表格</w:t>
      </w:r>
      <w:bookmarkEnd w:id="4"/>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jc w:val="center"/>
        <w:rPr>
          <w:rFonts w:ascii="宋体" w:hAnsi="宋体" w:cs="宋体"/>
          <w:b/>
          <w:bCs/>
          <w:kern w:val="0"/>
          <w:sz w:val="24"/>
          <w:szCs w:val="24"/>
        </w:rPr>
      </w:pPr>
      <w:r>
        <w:rPr>
          <w:rFonts w:hint="eastAsia" w:ascii="宋体" w:hAnsi="宋体" w:cs="宋体"/>
          <w:b/>
          <w:bCs/>
          <w:kern w:val="0"/>
          <w:sz w:val="24"/>
          <w:szCs w:val="24"/>
        </w:rPr>
        <w:t>响应文件格式和表格</w:t>
      </w: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目 录</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附件2.1 承诺与声明</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附件2.2 法人代表授权书</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附件2.3 投标函</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附件2.4 报价一览表</w:t>
      </w:r>
    </w:p>
    <w:p>
      <w:pPr>
        <w:widowControl/>
        <w:adjustRightInd w:val="0"/>
        <w:snapToGrid w:val="0"/>
        <w:spacing w:line="360" w:lineRule="auto"/>
        <w:rPr>
          <w:rFonts w:hint="eastAsia" w:ascii="宋体" w:hAnsi="宋体" w:cs="宋体"/>
          <w:kern w:val="0"/>
          <w:sz w:val="24"/>
          <w:szCs w:val="24"/>
        </w:rPr>
      </w:pPr>
      <w:r>
        <w:rPr>
          <w:rFonts w:hint="eastAsia" w:ascii="宋体" w:hAnsi="宋体" w:cs="宋体"/>
          <w:kern w:val="0"/>
          <w:sz w:val="24"/>
          <w:szCs w:val="24"/>
        </w:rPr>
        <w:t xml:space="preserve">附件2.5 </w:t>
      </w:r>
      <w:r>
        <w:rPr>
          <w:rFonts w:hint="eastAsia"/>
          <w:sz w:val="24"/>
          <w:szCs w:val="24"/>
        </w:rPr>
        <w:t>商务偏离表格式</w:t>
      </w:r>
    </w:p>
    <w:p>
      <w:pPr>
        <w:widowControl/>
        <w:adjustRightInd w:val="0"/>
        <w:snapToGrid w:val="0"/>
        <w:spacing w:line="360" w:lineRule="auto"/>
        <w:rPr>
          <w:rFonts w:hint="default" w:ascii="宋体" w:hAnsi="宋体" w:eastAsia="宋体" w:cs="宋体"/>
          <w:kern w:val="0"/>
          <w:sz w:val="24"/>
          <w:szCs w:val="24"/>
          <w:lang w:val="en-US" w:eastAsia="zh-CN"/>
        </w:rPr>
      </w:pPr>
      <w:r>
        <w:rPr>
          <w:rFonts w:hint="eastAsia" w:ascii="宋体" w:hAnsi="宋体" w:cs="宋体"/>
          <w:kern w:val="0"/>
          <w:sz w:val="24"/>
          <w:szCs w:val="24"/>
          <w:lang w:eastAsia="zh-CN"/>
        </w:rPr>
        <w:t>附件</w:t>
      </w:r>
      <w:r>
        <w:rPr>
          <w:rFonts w:hint="eastAsia" w:ascii="宋体" w:hAnsi="宋体" w:cs="宋体"/>
          <w:kern w:val="0"/>
          <w:sz w:val="24"/>
          <w:szCs w:val="24"/>
          <w:lang w:val="en-US" w:eastAsia="zh-CN"/>
        </w:rPr>
        <w:t>2.6 技术偏离表格式</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lang w:eastAsia="zh-CN"/>
        </w:rPr>
        <w:t>附件</w:t>
      </w:r>
      <w:r>
        <w:rPr>
          <w:rFonts w:hint="eastAsia" w:ascii="宋体" w:hAnsi="宋体" w:cs="宋体"/>
          <w:kern w:val="0"/>
          <w:sz w:val="24"/>
          <w:szCs w:val="24"/>
          <w:lang w:val="en-US" w:eastAsia="zh-CN"/>
        </w:rPr>
        <w:t xml:space="preserve">2.7 </w:t>
      </w:r>
      <w:r>
        <w:rPr>
          <w:rFonts w:hint="eastAsia" w:ascii="宋体" w:hAnsi="宋体" w:cs="宋体"/>
          <w:kern w:val="0"/>
          <w:sz w:val="24"/>
          <w:szCs w:val="24"/>
        </w:rPr>
        <w:t>信息安全采购要求承诺函</w:t>
      </w:r>
    </w:p>
    <w:p>
      <w:pPr>
        <w:pStyle w:val="2"/>
        <w:numPr>
          <w:ilvl w:val="0"/>
          <w:numId w:val="0"/>
        </w:numPr>
        <w:rPr>
          <w:kern w:val="0"/>
          <w:sz w:val="24"/>
          <w:szCs w:val="24"/>
        </w:rPr>
      </w:pPr>
      <w:r>
        <w:rPr>
          <w:rFonts w:hint="eastAsia"/>
          <w:kern w:val="0"/>
          <w:sz w:val="24"/>
          <w:szCs w:val="24"/>
        </w:rPr>
        <w:br w:type="page"/>
      </w:r>
      <w:r>
        <w:rPr>
          <w:rFonts w:hint="eastAsia"/>
          <w:sz w:val="24"/>
          <w:szCs w:val="24"/>
        </w:rPr>
        <w:t>附件2.1</w:t>
      </w:r>
      <w:r>
        <w:rPr>
          <w:sz w:val="24"/>
          <w:szCs w:val="24"/>
        </w:rPr>
        <w:t xml:space="preserve"> </w:t>
      </w:r>
      <w:r>
        <w:rPr>
          <w:rFonts w:hint="eastAsia"/>
          <w:sz w:val="24"/>
          <w:szCs w:val="24"/>
        </w:rPr>
        <w:t>承诺与声明格式</w:t>
      </w:r>
    </w:p>
    <w:p>
      <w:pPr>
        <w:widowControl/>
        <w:adjustRightInd w:val="0"/>
        <w:snapToGrid w:val="0"/>
        <w:spacing w:line="360" w:lineRule="auto"/>
        <w:ind w:firstLine="300"/>
        <w:jc w:val="center"/>
        <w:rPr>
          <w:rFonts w:ascii="宋体" w:hAnsi="宋体" w:cs="宋体"/>
          <w:b/>
          <w:bCs/>
          <w:kern w:val="0"/>
          <w:sz w:val="24"/>
          <w:szCs w:val="24"/>
        </w:rPr>
      </w:pPr>
    </w:p>
    <w:p>
      <w:pPr>
        <w:widowControl/>
        <w:adjustRightInd w:val="0"/>
        <w:snapToGrid w:val="0"/>
        <w:spacing w:line="360" w:lineRule="auto"/>
        <w:ind w:firstLine="300"/>
        <w:jc w:val="center"/>
        <w:rPr>
          <w:rFonts w:ascii="宋体" w:hAnsi="宋体" w:cs="宋体"/>
          <w:b/>
          <w:bCs/>
          <w:kern w:val="0"/>
          <w:sz w:val="24"/>
          <w:szCs w:val="24"/>
        </w:rPr>
      </w:pPr>
      <w:r>
        <w:rPr>
          <w:rFonts w:hint="eastAsia" w:ascii="宋体" w:hAnsi="宋体" w:cs="宋体"/>
          <w:b/>
          <w:bCs/>
          <w:kern w:val="0"/>
          <w:sz w:val="24"/>
          <w:szCs w:val="24"/>
        </w:rPr>
        <w:t>承诺与声明</w:t>
      </w:r>
    </w:p>
    <w:p>
      <w:pPr>
        <w:widowControl/>
        <w:adjustRightInd w:val="0"/>
        <w:snapToGrid w:val="0"/>
        <w:spacing w:line="360" w:lineRule="auto"/>
        <w:ind w:firstLine="300"/>
        <w:jc w:val="center"/>
        <w:rPr>
          <w:rFonts w:ascii="宋体" w:hAnsi="宋体" w:cs="宋体"/>
          <w:b/>
          <w:bCs/>
          <w:kern w:val="0"/>
          <w:sz w:val="24"/>
          <w:szCs w:val="24"/>
        </w:rPr>
      </w:pPr>
    </w:p>
    <w:p>
      <w:pPr>
        <w:widowControl/>
        <w:adjustRightInd w:val="0"/>
        <w:snapToGrid w:val="0"/>
        <w:spacing w:line="360" w:lineRule="auto"/>
        <w:rPr>
          <w:rFonts w:hint="eastAsia" w:ascii="宋体" w:hAnsi="宋体" w:eastAsia="宋体" w:cs="宋体"/>
          <w:color w:val="000000"/>
          <w:kern w:val="0"/>
          <w:sz w:val="24"/>
          <w:szCs w:val="24"/>
          <w:lang w:eastAsia="zh-CN"/>
        </w:rPr>
      </w:pPr>
      <w:r>
        <w:rPr>
          <w:rFonts w:hint="eastAsia" w:ascii="宋体" w:hAnsi="宋体" w:cs="宋体"/>
          <w:kern w:val="0"/>
          <w:sz w:val="24"/>
          <w:szCs w:val="24"/>
        </w:rPr>
        <w:t>致：中国人民财产保险股份有限公司</w:t>
      </w:r>
      <w:r>
        <w:rPr>
          <w:rFonts w:hint="eastAsia" w:ascii="宋体" w:hAnsi="宋体" w:cs="宋体"/>
          <w:kern w:val="0"/>
          <w:sz w:val="24"/>
          <w:szCs w:val="24"/>
          <w:lang w:eastAsia="zh-CN"/>
        </w:rPr>
        <w:t>黔南分公司</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本公司特承诺并声明如下：</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一、我公司认识到贵公司采购行为为企业采购，非政府采购与磋商。</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二、我公司己认真阅读采购邀请文件，并完全理解邀请文件的内容。</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三、我公司保证所递交的响应文件、资格证明、产品资料、合同等文件内容的真实性、有效性。</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我公司愿意承担虚构数据及伪造资格证明、合同和检测报告等有损诚信行为导致的一切不利后果。</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四、本次采购涉及函件往来时请使用我公司以下地址及联系方式：</w:t>
      </w:r>
    </w:p>
    <w:p>
      <w:pPr>
        <w:widowControl/>
        <w:adjustRightInd w:val="0"/>
        <w:snapToGrid w:val="0"/>
        <w:spacing w:line="360" w:lineRule="auto"/>
        <w:rPr>
          <w:rFonts w:hint="eastAsia" w:ascii="宋体" w:hAnsi="宋体" w:cs="宋体"/>
          <w:kern w:val="0"/>
          <w:sz w:val="24"/>
          <w:szCs w:val="24"/>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公司名称（全称）：___________________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法定代表人姓名、职务：_________________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地址：___________________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邮编：___________________</w:t>
      </w:r>
    </w:p>
    <w:p>
      <w:pPr>
        <w:widowControl/>
        <w:adjustRightInd w:val="0"/>
        <w:snapToGrid w:val="0"/>
        <w:spacing w:line="360" w:lineRule="auto"/>
        <w:rPr>
          <w:rFonts w:hint="eastAsia" w:ascii="宋体" w:hAnsi="宋体" w:cs="宋体"/>
          <w:kern w:val="0"/>
          <w:sz w:val="24"/>
          <w:szCs w:val="24"/>
        </w:rPr>
      </w:pPr>
      <w:r>
        <w:rPr>
          <w:rFonts w:hint="eastAsia" w:ascii="宋体" w:hAnsi="宋体" w:cs="宋体"/>
          <w:kern w:val="0"/>
          <w:sz w:val="24"/>
          <w:szCs w:val="24"/>
        </w:rPr>
        <w:t>电话：___________________</w:t>
      </w:r>
    </w:p>
    <w:p>
      <w:pPr>
        <w:widowControl/>
        <w:adjustRightInd w:val="0"/>
        <w:snapToGrid w:val="0"/>
        <w:spacing w:line="360" w:lineRule="auto"/>
        <w:rPr>
          <w:rFonts w:hint="eastAsia" w:ascii="宋体" w:hAnsi="宋体" w:cs="宋体"/>
          <w:kern w:val="0"/>
          <w:sz w:val="24"/>
          <w:szCs w:val="24"/>
        </w:rPr>
      </w:pPr>
    </w:p>
    <w:p>
      <w:pPr>
        <w:widowControl/>
        <w:adjustRightInd w:val="0"/>
        <w:snapToGrid w:val="0"/>
        <w:spacing w:line="360" w:lineRule="auto"/>
        <w:ind w:firstLine="4560" w:firstLineChars="1900"/>
        <w:jc w:val="left"/>
        <w:rPr>
          <w:rFonts w:ascii="宋体" w:hAnsi="宋体" w:cs="宋体"/>
          <w:kern w:val="0"/>
          <w:sz w:val="24"/>
          <w:szCs w:val="24"/>
        </w:rPr>
      </w:pPr>
      <w:r>
        <w:rPr>
          <w:rFonts w:hint="eastAsia" w:ascii="宋体" w:hAnsi="宋体" w:cs="宋体"/>
          <w:kern w:val="0"/>
          <w:sz w:val="24"/>
          <w:szCs w:val="24"/>
        </w:rPr>
        <w:t>公司名称（盖章）：</w:t>
      </w:r>
    </w:p>
    <w:p>
      <w:pPr>
        <w:widowControl/>
        <w:adjustRightInd w:val="0"/>
        <w:snapToGrid w:val="0"/>
        <w:spacing w:line="360" w:lineRule="auto"/>
        <w:ind w:firstLine="4560" w:firstLineChars="1900"/>
        <w:jc w:val="left"/>
        <w:rPr>
          <w:rFonts w:ascii="宋体" w:hAnsi="宋体" w:cs="宋体"/>
          <w:kern w:val="0"/>
          <w:sz w:val="24"/>
          <w:szCs w:val="24"/>
        </w:rPr>
      </w:pPr>
      <w:r>
        <w:rPr>
          <w:rFonts w:hint="eastAsia" w:ascii="宋体" w:hAnsi="宋体" w:cs="宋体"/>
          <w:kern w:val="0"/>
          <w:sz w:val="24"/>
          <w:szCs w:val="24"/>
        </w:rPr>
        <w:t>法定代表人签字：</w:t>
      </w:r>
    </w:p>
    <w:p>
      <w:pPr>
        <w:widowControl/>
        <w:adjustRightInd w:val="0"/>
        <w:snapToGrid w:val="0"/>
        <w:spacing w:line="360" w:lineRule="auto"/>
        <w:ind w:firstLine="5040" w:firstLineChars="2100"/>
        <w:jc w:val="left"/>
        <w:rPr>
          <w:rFonts w:ascii="宋体" w:hAnsi="宋体" w:cs="宋体"/>
          <w:kern w:val="0"/>
          <w:sz w:val="24"/>
          <w:szCs w:val="24"/>
        </w:rPr>
      </w:pPr>
      <w:r>
        <w:rPr>
          <w:rFonts w:hint="eastAsia" w:ascii="宋体" w:hAnsi="宋体" w:cs="宋体"/>
          <w:kern w:val="0"/>
          <w:sz w:val="24"/>
          <w:szCs w:val="24"/>
        </w:rPr>
        <w:t>年</w:t>
      </w:r>
      <w:r>
        <w:rPr>
          <w:rFonts w:hint="eastAsia" w:ascii="宋体" w:hAnsi="宋体" w:cs="宋体"/>
          <w:kern w:val="0"/>
          <w:sz w:val="24"/>
          <w:szCs w:val="24"/>
          <w:lang w:val="en-US" w:eastAsia="zh-CN"/>
        </w:rPr>
        <w:t xml:space="preserve">  </w:t>
      </w:r>
      <w:r>
        <w:rPr>
          <w:rFonts w:hint="eastAsia" w:ascii="宋体" w:hAnsi="宋体" w:cs="宋体"/>
          <w:kern w:val="0"/>
          <w:sz w:val="24"/>
          <w:szCs w:val="24"/>
        </w:rPr>
        <w:t>月</w:t>
      </w:r>
      <w:r>
        <w:rPr>
          <w:rFonts w:hint="eastAsia" w:ascii="宋体" w:hAnsi="宋体" w:cs="宋体"/>
          <w:kern w:val="0"/>
          <w:sz w:val="24"/>
          <w:szCs w:val="24"/>
          <w:lang w:val="en-US" w:eastAsia="zh-CN"/>
        </w:rPr>
        <w:t xml:space="preserve"> </w:t>
      </w:r>
      <w:r>
        <w:rPr>
          <w:rFonts w:hint="eastAsia" w:ascii="宋体" w:hAnsi="宋体" w:cs="宋体"/>
          <w:kern w:val="0"/>
          <w:sz w:val="24"/>
          <w:szCs w:val="24"/>
        </w:rPr>
        <w:t xml:space="preserve"> 日</w:t>
      </w:r>
    </w:p>
    <w:p>
      <w:pPr>
        <w:pStyle w:val="2"/>
        <w:numPr>
          <w:ilvl w:val="0"/>
          <w:numId w:val="0"/>
        </w:numPr>
        <w:rPr>
          <w:rFonts w:ascii="宋体" w:hAnsi="宋体" w:cs="宋体"/>
          <w:kern w:val="0"/>
          <w:sz w:val="24"/>
          <w:szCs w:val="24"/>
        </w:rPr>
      </w:pPr>
      <w:r>
        <w:rPr>
          <w:rFonts w:hint="eastAsia" w:ascii="宋体" w:hAnsi="宋体" w:cs="宋体"/>
          <w:kern w:val="0"/>
          <w:sz w:val="24"/>
          <w:szCs w:val="24"/>
        </w:rPr>
        <w:br w:type="page"/>
      </w:r>
      <w:bookmarkStart w:id="5" w:name="_Toc104714658"/>
      <w:bookmarkEnd w:id="5"/>
      <w:bookmarkStart w:id="6" w:name="_Toc125183169"/>
      <w:bookmarkEnd w:id="6"/>
      <w:bookmarkStart w:id="7" w:name="_Toc137965305"/>
      <w:r>
        <w:rPr>
          <w:rFonts w:hint="eastAsia"/>
          <w:sz w:val="24"/>
          <w:szCs w:val="24"/>
        </w:rPr>
        <w:t>附件2.2</w:t>
      </w:r>
      <w:bookmarkEnd w:id="7"/>
      <w:r>
        <w:rPr>
          <w:sz w:val="24"/>
          <w:szCs w:val="24"/>
        </w:rPr>
        <w:t xml:space="preserve"> </w:t>
      </w:r>
      <w:r>
        <w:rPr>
          <w:rFonts w:hint="eastAsia"/>
          <w:sz w:val="24"/>
          <w:szCs w:val="24"/>
        </w:rPr>
        <w:t>法人代表授权书格式</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jc w:val="center"/>
        <w:rPr>
          <w:rFonts w:ascii="宋体" w:hAnsi="宋体" w:cs="宋体"/>
          <w:b/>
          <w:bCs/>
          <w:snapToGrid w:val="0"/>
          <w:kern w:val="0"/>
          <w:sz w:val="24"/>
          <w:szCs w:val="24"/>
        </w:rPr>
      </w:pPr>
      <w:r>
        <w:rPr>
          <w:rFonts w:hint="eastAsia" w:ascii="宋体" w:hAnsi="宋体" w:cs="宋体"/>
          <w:b/>
          <w:bCs/>
          <w:snapToGrid w:val="0"/>
          <w:kern w:val="0"/>
          <w:sz w:val="24"/>
          <w:szCs w:val="24"/>
        </w:rPr>
        <w:t>法人代表授权书</w:t>
      </w: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本授权书声明：注册于</w:t>
      </w:r>
      <w:r>
        <w:rPr>
          <w:rFonts w:hint="eastAsia" w:ascii="宋体" w:hAnsi="宋体" w:cs="宋体"/>
          <w:kern w:val="0"/>
          <w:sz w:val="24"/>
          <w:szCs w:val="24"/>
          <w:u w:val="single"/>
        </w:rPr>
        <w:t xml:space="preserve"> （国家或地区的名称） </w:t>
      </w:r>
      <w:r>
        <w:rPr>
          <w:rFonts w:hint="eastAsia" w:ascii="宋体" w:hAnsi="宋体" w:cs="宋体"/>
          <w:kern w:val="0"/>
          <w:sz w:val="24"/>
          <w:szCs w:val="24"/>
        </w:rPr>
        <w:t>的</w:t>
      </w:r>
      <w:r>
        <w:rPr>
          <w:rFonts w:hint="eastAsia" w:ascii="宋体" w:hAnsi="宋体" w:cs="宋体"/>
          <w:kern w:val="0"/>
          <w:sz w:val="24"/>
          <w:szCs w:val="24"/>
          <w:u w:val="single"/>
        </w:rPr>
        <w:t xml:space="preserve"> （公司名称）</w:t>
      </w:r>
      <w:r>
        <w:rPr>
          <w:rFonts w:hint="eastAsia" w:ascii="宋体" w:hAnsi="宋体" w:cs="宋体"/>
          <w:kern w:val="0"/>
          <w:sz w:val="24"/>
          <w:szCs w:val="24"/>
        </w:rPr>
        <w:t>的在下面签字的</w:t>
      </w:r>
      <w:r>
        <w:rPr>
          <w:rFonts w:hint="eastAsia" w:ascii="宋体" w:hAnsi="宋体" w:cs="宋体"/>
          <w:kern w:val="0"/>
          <w:sz w:val="24"/>
          <w:szCs w:val="24"/>
          <w:u w:val="single"/>
        </w:rPr>
        <w:t xml:space="preserve"> （法定代表人姓名、职务） </w:t>
      </w:r>
      <w:r>
        <w:rPr>
          <w:rFonts w:hint="eastAsia" w:ascii="宋体" w:hAnsi="宋体" w:cs="宋体"/>
          <w:kern w:val="0"/>
          <w:sz w:val="24"/>
          <w:szCs w:val="24"/>
        </w:rPr>
        <w:t xml:space="preserve">代表本公司授权 </w:t>
      </w:r>
      <w:r>
        <w:rPr>
          <w:rFonts w:hint="eastAsia" w:ascii="宋体" w:hAnsi="宋体" w:cs="宋体"/>
          <w:kern w:val="0"/>
          <w:sz w:val="24"/>
          <w:szCs w:val="24"/>
          <w:u w:val="single"/>
        </w:rPr>
        <w:t xml:space="preserve">（公司名称） </w:t>
      </w:r>
      <w:r>
        <w:rPr>
          <w:rFonts w:hint="eastAsia" w:ascii="宋体" w:hAnsi="宋体" w:cs="宋体"/>
          <w:kern w:val="0"/>
          <w:sz w:val="24"/>
          <w:szCs w:val="24"/>
        </w:rPr>
        <w:t>的在下面签字的</w:t>
      </w:r>
      <w:r>
        <w:rPr>
          <w:rFonts w:hint="eastAsia" w:ascii="宋体" w:hAnsi="宋体" w:cs="宋体"/>
          <w:kern w:val="0"/>
          <w:sz w:val="24"/>
          <w:szCs w:val="24"/>
          <w:u w:val="single"/>
        </w:rPr>
        <w:t xml:space="preserve"> （被授权人的姓名、职务） </w:t>
      </w:r>
      <w:r>
        <w:rPr>
          <w:rFonts w:hint="eastAsia" w:ascii="宋体" w:hAnsi="宋体" w:cs="宋体"/>
          <w:kern w:val="0"/>
          <w:sz w:val="24"/>
          <w:szCs w:val="24"/>
        </w:rPr>
        <w:t>为本公司的合法代理人，就</w:t>
      </w:r>
      <w:r>
        <w:rPr>
          <w:rFonts w:hint="eastAsia" w:ascii="宋体" w:hAnsi="宋体" w:cs="宋体"/>
          <w:kern w:val="0"/>
          <w:sz w:val="24"/>
          <w:szCs w:val="24"/>
          <w:u w:val="single"/>
        </w:rPr>
        <w:t xml:space="preserve"> （项目名称）</w:t>
      </w:r>
      <w:r>
        <w:rPr>
          <w:rFonts w:hint="eastAsia" w:ascii="宋体" w:hAnsi="宋体" w:cs="宋体"/>
          <w:kern w:val="0"/>
          <w:sz w:val="24"/>
          <w:szCs w:val="24"/>
        </w:rPr>
        <w:t>投标，以本公司名义处理一切与之有关的事务。</w:t>
      </w: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ind w:firstLine="480"/>
        <w:rPr>
          <w:rFonts w:ascii="宋体" w:hAnsi="宋体" w:cs="宋体"/>
          <w:snapToGrid w:val="0"/>
          <w:kern w:val="0"/>
          <w:sz w:val="24"/>
          <w:szCs w:val="24"/>
        </w:rPr>
      </w:pPr>
      <w:r>
        <w:rPr>
          <w:rFonts w:hint="eastAsia" w:ascii="宋体" w:hAnsi="宋体" w:cs="宋体"/>
          <w:snapToGrid w:val="0"/>
          <w:kern w:val="0"/>
          <w:sz w:val="24"/>
          <w:szCs w:val="24"/>
        </w:rPr>
        <w:t>本授权书自</w:t>
      </w:r>
      <w:r>
        <w:rPr>
          <w:rFonts w:hint="eastAsia" w:ascii="宋体" w:hAnsi="宋体" w:cs="宋体"/>
          <w:snapToGrid w:val="0"/>
          <w:kern w:val="0"/>
          <w:sz w:val="24"/>
          <w:szCs w:val="24"/>
          <w:u w:val="single"/>
          <w:lang w:val="en-US" w:eastAsia="zh-CN"/>
        </w:rPr>
        <w:t xml:space="preserve">     </w:t>
      </w:r>
      <w:r>
        <w:rPr>
          <w:rFonts w:hint="eastAsia" w:ascii="宋体" w:hAnsi="宋体" w:cs="宋体"/>
          <w:snapToGrid w:val="0"/>
          <w:kern w:val="0"/>
          <w:sz w:val="24"/>
          <w:szCs w:val="24"/>
        </w:rPr>
        <w:t>年</w:t>
      </w:r>
      <w:r>
        <w:rPr>
          <w:rFonts w:hint="eastAsia" w:ascii="宋体" w:hAnsi="宋体" w:cs="宋体"/>
          <w:snapToGrid w:val="0"/>
          <w:kern w:val="0"/>
          <w:sz w:val="24"/>
          <w:szCs w:val="24"/>
          <w:u w:val="single"/>
          <w:lang w:val="en-US" w:eastAsia="zh-CN"/>
        </w:rPr>
        <w:t xml:space="preserve">   </w:t>
      </w:r>
      <w:r>
        <w:rPr>
          <w:rFonts w:hint="eastAsia" w:ascii="宋体" w:hAnsi="宋体" w:cs="宋体"/>
          <w:snapToGrid w:val="0"/>
          <w:kern w:val="0"/>
          <w:sz w:val="24"/>
          <w:szCs w:val="24"/>
        </w:rPr>
        <w:t>月</w:t>
      </w:r>
      <w:r>
        <w:rPr>
          <w:rFonts w:hint="eastAsia" w:ascii="宋体" w:hAnsi="宋体" w:cs="宋体"/>
          <w:snapToGrid w:val="0"/>
          <w:kern w:val="0"/>
          <w:sz w:val="24"/>
          <w:szCs w:val="24"/>
          <w:u w:val="single"/>
          <w:lang w:val="en-US" w:eastAsia="zh-CN"/>
        </w:rPr>
        <w:t xml:space="preserve">   </w:t>
      </w:r>
      <w:r>
        <w:rPr>
          <w:rFonts w:hint="eastAsia" w:ascii="宋体" w:hAnsi="宋体" w:cs="宋体"/>
          <w:snapToGrid w:val="0"/>
          <w:kern w:val="0"/>
          <w:sz w:val="24"/>
          <w:szCs w:val="24"/>
        </w:rPr>
        <w:t>日至</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u w:val="single"/>
          <w:lang w:val="en-US" w:eastAsia="zh-CN"/>
        </w:rPr>
        <w:t xml:space="preserve">    </w:t>
      </w:r>
      <w:r>
        <w:rPr>
          <w:rFonts w:hint="eastAsia" w:ascii="宋体" w:hAnsi="宋体" w:cs="宋体"/>
          <w:snapToGrid w:val="0"/>
          <w:kern w:val="0"/>
          <w:sz w:val="24"/>
          <w:szCs w:val="24"/>
        </w:rPr>
        <w:t>年</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u w:val="single"/>
          <w:lang w:val="en-US" w:eastAsia="zh-CN"/>
        </w:rPr>
        <w:t xml:space="preserve">  </w:t>
      </w:r>
      <w:r>
        <w:rPr>
          <w:rFonts w:hint="eastAsia" w:ascii="宋体" w:hAnsi="宋体" w:cs="宋体"/>
          <w:snapToGrid w:val="0"/>
          <w:kern w:val="0"/>
          <w:sz w:val="24"/>
          <w:szCs w:val="24"/>
        </w:rPr>
        <w:t>月</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u w:val="single"/>
          <w:lang w:val="en-US" w:eastAsia="zh-CN"/>
        </w:rPr>
        <w:t xml:space="preserve">  </w:t>
      </w:r>
      <w:r>
        <w:rPr>
          <w:rFonts w:hint="eastAsia" w:ascii="宋体" w:hAnsi="宋体" w:cs="宋体"/>
          <w:snapToGrid w:val="0"/>
          <w:kern w:val="0"/>
          <w:sz w:val="24"/>
          <w:szCs w:val="24"/>
        </w:rPr>
        <w:t>日有效，特此声明。</w:t>
      </w: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hint="eastAsia" w:ascii="宋体" w:hAnsi="宋体" w:cs="宋体"/>
          <w:snapToGrid w:val="0"/>
          <w:kern w:val="0"/>
          <w:sz w:val="24"/>
          <w:szCs w:val="24"/>
        </w:rPr>
      </w:pPr>
      <w:r>
        <w:rPr>
          <w:rFonts w:hint="eastAsia" w:ascii="宋体" w:hAnsi="宋体" w:cs="宋体"/>
          <w:snapToGrid w:val="0"/>
          <w:kern w:val="0"/>
          <w:sz w:val="24"/>
          <w:szCs w:val="24"/>
        </w:rPr>
        <w:t>法定代表人签字：</w:t>
      </w:r>
    </w:p>
    <w:p>
      <w:pPr>
        <w:widowControl/>
        <w:adjustRightInd w:val="0"/>
        <w:snapToGrid w:val="0"/>
        <w:spacing w:line="360" w:lineRule="auto"/>
        <w:rPr>
          <w:rFonts w:ascii="宋体" w:hAnsi="宋体" w:cs="宋体"/>
          <w:snapToGrid w:val="0"/>
          <w:kern w:val="0"/>
          <w:sz w:val="24"/>
          <w:szCs w:val="24"/>
        </w:rPr>
      </w:pPr>
      <w:r>
        <w:rPr>
          <w:rFonts w:hint="eastAsia" w:ascii="宋体" w:hAnsi="宋体" w:cs="宋体"/>
          <w:snapToGrid w:val="0"/>
          <w:kern w:val="0"/>
          <w:sz w:val="24"/>
          <w:szCs w:val="24"/>
        </w:rPr>
        <w:t xml:space="preserve">被授权人签字： </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color w:val="FF0000"/>
          <w:kern w:val="0"/>
          <w:sz w:val="24"/>
          <w:szCs w:val="24"/>
        </w:rPr>
      </w:pPr>
    </w:p>
    <w:p>
      <w:pPr>
        <w:widowControl/>
        <w:adjustRightInd w:val="0"/>
        <w:snapToGrid w:val="0"/>
        <w:spacing w:line="360" w:lineRule="auto"/>
        <w:rPr>
          <w:rFonts w:ascii="宋体" w:hAnsi="宋体" w:cs="宋体"/>
          <w:b/>
          <w:bCs/>
          <w:i/>
          <w:iCs/>
          <w:color w:val="000000" w:themeColor="text1"/>
          <w:kern w:val="0"/>
          <w:sz w:val="24"/>
          <w:szCs w:val="24"/>
          <w14:textFill>
            <w14:solidFill>
              <w14:schemeClr w14:val="tx1"/>
            </w14:solidFill>
          </w14:textFill>
        </w:rPr>
      </w:pPr>
      <w:r>
        <w:rPr>
          <w:rFonts w:hint="eastAsia" w:ascii="宋体" w:hAnsi="宋体" w:cs="宋体"/>
          <w:b/>
          <w:bCs/>
          <w:i/>
          <w:iCs/>
          <w:color w:val="000000" w:themeColor="text1"/>
          <w:kern w:val="0"/>
          <w:sz w:val="24"/>
          <w:szCs w:val="24"/>
          <w14:textFill>
            <w14:solidFill>
              <w14:schemeClr w14:val="tx1"/>
            </w14:solidFill>
          </w14:textFill>
        </w:rPr>
        <w:t>注：此授权书需用带供应商抬头的格式纸出具或提供。</w:t>
      </w:r>
    </w:p>
    <w:p>
      <w:pPr>
        <w:pStyle w:val="2"/>
        <w:numPr>
          <w:ilvl w:val="0"/>
          <w:numId w:val="0"/>
        </w:numPr>
        <w:rPr>
          <w:rFonts w:ascii="宋体" w:hAnsi="宋体" w:cs="宋体"/>
          <w:kern w:val="0"/>
          <w:sz w:val="24"/>
          <w:szCs w:val="24"/>
        </w:rPr>
      </w:pPr>
      <w:r>
        <w:rPr>
          <w:rFonts w:hint="eastAsia" w:ascii="宋体" w:hAnsi="宋体" w:cs="宋体"/>
          <w:i/>
          <w:iCs/>
          <w:kern w:val="0"/>
          <w:sz w:val="24"/>
          <w:szCs w:val="24"/>
        </w:rPr>
        <w:br w:type="page"/>
      </w:r>
      <w:r>
        <w:rPr>
          <w:rFonts w:hint="eastAsia"/>
          <w:sz w:val="24"/>
          <w:szCs w:val="24"/>
        </w:rPr>
        <w:t>附件2.3</w:t>
      </w:r>
      <w:r>
        <w:rPr>
          <w:sz w:val="24"/>
          <w:szCs w:val="24"/>
        </w:rPr>
        <w:t xml:space="preserve"> </w:t>
      </w:r>
      <w:r>
        <w:rPr>
          <w:rFonts w:hint="eastAsia"/>
          <w:sz w:val="24"/>
          <w:szCs w:val="24"/>
        </w:rPr>
        <w:t>投标函格式</w:t>
      </w:r>
    </w:p>
    <w:p>
      <w:pPr>
        <w:widowControl/>
        <w:adjustRightInd w:val="0"/>
        <w:snapToGrid w:val="0"/>
        <w:spacing w:line="360" w:lineRule="auto"/>
        <w:rPr>
          <w:rFonts w:ascii="宋体" w:hAnsi="宋体" w:cs="宋体"/>
          <w:b/>
          <w:bCs/>
          <w:kern w:val="0"/>
          <w:sz w:val="24"/>
          <w:szCs w:val="24"/>
        </w:rPr>
      </w:pPr>
    </w:p>
    <w:p>
      <w:pPr>
        <w:widowControl/>
        <w:adjustRightInd w:val="0"/>
        <w:snapToGrid w:val="0"/>
        <w:spacing w:line="360" w:lineRule="auto"/>
        <w:ind w:firstLine="630"/>
        <w:jc w:val="center"/>
        <w:rPr>
          <w:rFonts w:ascii="宋体" w:hAnsi="宋体" w:cs="宋体"/>
          <w:b/>
          <w:bCs/>
          <w:kern w:val="0"/>
          <w:sz w:val="24"/>
          <w:szCs w:val="24"/>
        </w:rPr>
      </w:pPr>
      <w:r>
        <w:rPr>
          <w:rFonts w:hint="eastAsia" w:ascii="宋体" w:hAnsi="宋体" w:cs="宋体"/>
          <w:b/>
          <w:bCs/>
          <w:kern w:val="0"/>
          <w:sz w:val="24"/>
          <w:szCs w:val="24"/>
        </w:rPr>
        <w:t>投标函</w:t>
      </w:r>
    </w:p>
    <w:p>
      <w:pPr>
        <w:widowControl/>
        <w:adjustRightInd w:val="0"/>
        <w:snapToGrid w:val="0"/>
        <w:spacing w:line="360" w:lineRule="auto"/>
        <w:rPr>
          <w:rFonts w:ascii="宋体" w:hAnsi="宋体" w:cs="宋体"/>
          <w:kern w:val="0"/>
          <w:sz w:val="24"/>
          <w:szCs w:val="24"/>
          <w:u w:val="single"/>
        </w:rPr>
      </w:pPr>
    </w:p>
    <w:p>
      <w:pPr>
        <w:widowControl/>
        <w:adjustRightInd w:val="0"/>
        <w:snapToGrid w:val="0"/>
        <w:spacing w:line="360" w:lineRule="auto"/>
        <w:rPr>
          <w:rFonts w:hint="eastAsia" w:ascii="宋体" w:hAnsi="宋体" w:eastAsia="宋体" w:cs="宋体"/>
          <w:kern w:val="0"/>
          <w:sz w:val="24"/>
          <w:szCs w:val="24"/>
          <w:lang w:eastAsia="zh-CN"/>
        </w:rPr>
      </w:pPr>
      <w:r>
        <w:rPr>
          <w:rFonts w:hint="eastAsia" w:ascii="宋体" w:hAnsi="宋体" w:cs="宋体"/>
          <w:kern w:val="0"/>
          <w:sz w:val="24"/>
          <w:szCs w:val="24"/>
        </w:rPr>
        <w:t>致：中国人民财产保险股份有限公司</w:t>
      </w:r>
      <w:r>
        <w:rPr>
          <w:rFonts w:hint="eastAsia" w:ascii="宋体" w:hAnsi="宋体" w:cs="宋体"/>
          <w:kern w:val="0"/>
          <w:sz w:val="24"/>
          <w:szCs w:val="24"/>
          <w:lang w:eastAsia="zh-CN"/>
        </w:rPr>
        <w:t>黔南分公司</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根据贵方</w:t>
      </w:r>
      <w:r>
        <w:rPr>
          <w:rFonts w:hint="eastAsia" w:ascii="宋体" w:hAnsi="宋体" w:cs="宋体"/>
          <w:kern w:val="0"/>
          <w:sz w:val="24"/>
          <w:szCs w:val="24"/>
          <w:u w:val="single"/>
        </w:rPr>
        <w:t xml:space="preserve"> （项目名称）</w:t>
      </w:r>
      <w:r>
        <w:rPr>
          <w:rFonts w:hint="eastAsia" w:ascii="宋体" w:hAnsi="宋体" w:cs="宋体"/>
          <w:kern w:val="0"/>
          <w:sz w:val="24"/>
          <w:szCs w:val="24"/>
        </w:rPr>
        <w:t>的磋商邀请，签字代表</w:t>
      </w:r>
      <w:r>
        <w:rPr>
          <w:rFonts w:hint="eastAsia" w:ascii="宋体" w:hAnsi="宋体" w:cs="宋体"/>
          <w:kern w:val="0"/>
          <w:sz w:val="24"/>
          <w:szCs w:val="24"/>
          <w:u w:val="single"/>
        </w:rPr>
        <w:t xml:space="preserve"> （全名、职务） </w:t>
      </w:r>
      <w:r>
        <w:rPr>
          <w:rFonts w:hint="eastAsia" w:ascii="宋体" w:hAnsi="宋体" w:cs="宋体"/>
          <w:kern w:val="0"/>
          <w:sz w:val="24"/>
          <w:szCs w:val="24"/>
        </w:rPr>
        <w:t>经正式授权并代表供应商</w:t>
      </w:r>
      <w:r>
        <w:rPr>
          <w:rFonts w:hint="eastAsia" w:ascii="宋体" w:hAnsi="宋体" w:cs="宋体"/>
          <w:kern w:val="0"/>
          <w:sz w:val="24"/>
          <w:szCs w:val="24"/>
          <w:u w:val="single"/>
        </w:rPr>
        <w:t xml:space="preserve"> （供应商名称、地址） </w:t>
      </w:r>
      <w:r>
        <w:rPr>
          <w:rFonts w:hint="eastAsia" w:ascii="宋体" w:hAnsi="宋体" w:cs="宋体"/>
          <w:kern w:val="0"/>
          <w:sz w:val="24"/>
          <w:szCs w:val="24"/>
        </w:rPr>
        <w:t>提交下述文件正本一份、副本</w:t>
      </w:r>
      <w:r>
        <w:rPr>
          <w:rFonts w:ascii="宋体" w:hAnsi="宋体" w:cs="宋体"/>
          <w:kern w:val="0"/>
          <w:sz w:val="24"/>
          <w:szCs w:val="24"/>
          <w:u w:val="single"/>
        </w:rPr>
        <w:t xml:space="preserve">  </w:t>
      </w:r>
      <w:r>
        <w:rPr>
          <w:rFonts w:hint="eastAsia" w:ascii="宋体" w:hAnsi="宋体" w:cs="宋体"/>
          <w:kern w:val="0"/>
          <w:sz w:val="24"/>
          <w:szCs w:val="24"/>
        </w:rPr>
        <w:t>份及一份电子文档：</w:t>
      </w:r>
    </w:p>
    <w:p>
      <w:pPr>
        <w:widowControl/>
        <w:numPr>
          <w:ilvl w:val="0"/>
          <w:numId w:val="3"/>
        </w:numPr>
        <w:adjustRightInd w:val="0"/>
        <w:snapToGrid w:val="0"/>
        <w:spacing w:line="360" w:lineRule="auto"/>
        <w:rPr>
          <w:rFonts w:ascii="宋体" w:hAnsi="宋体" w:cs="宋体"/>
          <w:color w:val="000000" w:themeColor="text1"/>
          <w:kern w:val="0"/>
          <w:sz w:val="24"/>
          <w:szCs w:val="24"/>
          <w14:textFill>
            <w14:solidFill>
              <w14:schemeClr w14:val="tx1"/>
            </w14:solidFill>
          </w14:textFill>
        </w:rPr>
      </w:pPr>
      <w:r>
        <w:rPr>
          <w:rFonts w:hint="eastAsia" w:ascii="宋体" w:hAnsi="宋体" w:cs="宋体"/>
          <w:kern w:val="0"/>
          <w:sz w:val="24"/>
          <w:szCs w:val="24"/>
        </w:rPr>
        <w:t>报价一览表</w:t>
      </w:r>
      <w:r>
        <w:rPr>
          <w:rFonts w:hint="eastAsia" w:ascii="Arial" w:hAnsi="Arial" w:cs="Arial"/>
          <w:color w:val="000000" w:themeColor="text1"/>
          <w:sz w:val="24"/>
          <w:szCs w:val="24"/>
          <w14:textFill>
            <w14:solidFill>
              <w14:schemeClr w14:val="tx1"/>
            </w14:solidFill>
          </w14:textFill>
        </w:rPr>
        <w:t>（单独密封）</w:t>
      </w:r>
    </w:p>
    <w:p>
      <w:pPr>
        <w:widowControl/>
        <w:numPr>
          <w:ilvl w:val="0"/>
          <w:numId w:val="3"/>
        </w:numPr>
        <w:adjustRightInd w:val="0"/>
        <w:snapToGrid w:val="0"/>
        <w:spacing w:line="360" w:lineRule="auto"/>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分项报价表</w:t>
      </w:r>
      <w:r>
        <w:rPr>
          <w:rFonts w:hint="eastAsia" w:ascii="Arial" w:hAnsi="Arial" w:cs="Arial"/>
          <w:color w:val="000000" w:themeColor="text1"/>
          <w:sz w:val="24"/>
          <w:szCs w:val="24"/>
          <w14:textFill>
            <w14:solidFill>
              <w14:schemeClr w14:val="tx1"/>
            </w14:solidFill>
          </w14:textFill>
        </w:rPr>
        <w:t>（单独密封）</w:t>
      </w:r>
    </w:p>
    <w:p>
      <w:pPr>
        <w:widowControl/>
        <w:numPr>
          <w:ilvl w:val="0"/>
          <w:numId w:val="3"/>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技术响应文件和技术偏离表</w:t>
      </w:r>
    </w:p>
    <w:p>
      <w:pPr>
        <w:widowControl/>
        <w:numPr>
          <w:ilvl w:val="0"/>
          <w:numId w:val="3"/>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商务偏离表</w:t>
      </w:r>
    </w:p>
    <w:p>
      <w:pPr>
        <w:widowControl/>
        <w:numPr>
          <w:ilvl w:val="0"/>
          <w:numId w:val="3"/>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按磋商文件要求提供的有关文件</w:t>
      </w:r>
    </w:p>
    <w:p>
      <w:pPr>
        <w:widowControl/>
        <w:numPr>
          <w:ilvl w:val="0"/>
          <w:numId w:val="3"/>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资格证明文件</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ind w:firstLine="353"/>
        <w:jc w:val="left"/>
        <w:rPr>
          <w:rFonts w:ascii="宋体" w:hAnsi="宋体" w:cs="宋体"/>
          <w:kern w:val="0"/>
          <w:sz w:val="24"/>
          <w:szCs w:val="24"/>
        </w:rPr>
      </w:pPr>
      <w:r>
        <w:rPr>
          <w:rFonts w:hint="eastAsia" w:ascii="宋体" w:hAnsi="宋体" w:cs="宋体"/>
          <w:kern w:val="0"/>
          <w:sz w:val="24"/>
          <w:szCs w:val="24"/>
        </w:rPr>
        <w:t>据此函，供应商和签字代表宣布同意如下：</w:t>
      </w:r>
    </w:p>
    <w:p>
      <w:pPr>
        <w:widowControl/>
        <w:adjustRightInd w:val="0"/>
        <w:snapToGrid w:val="0"/>
        <w:spacing w:line="360" w:lineRule="auto"/>
        <w:ind w:left="540" w:leftChars="257" w:firstLine="470"/>
        <w:jc w:val="left"/>
        <w:rPr>
          <w:rFonts w:ascii="宋体" w:hAnsi="宋体" w:cs="宋体"/>
          <w:kern w:val="0"/>
          <w:sz w:val="24"/>
          <w:szCs w:val="24"/>
        </w:rPr>
      </w:pPr>
      <w:r>
        <w:rPr>
          <w:rFonts w:hint="eastAsia" w:ascii="宋体" w:hAnsi="宋体" w:cs="宋体"/>
          <w:kern w:val="0"/>
          <w:sz w:val="24"/>
          <w:szCs w:val="24"/>
        </w:rPr>
        <w:t>1.所附磋商价格表中规定的应提交和提供的货物和服务磋商总价为</w:t>
      </w:r>
      <w:r>
        <w:rPr>
          <w:rFonts w:hint="eastAsia" w:ascii="宋体" w:hAnsi="宋体" w:cs="宋体"/>
          <w:kern w:val="0"/>
          <w:sz w:val="24"/>
          <w:szCs w:val="24"/>
          <w:u w:val="single"/>
        </w:rPr>
        <w:t>（注明币种，并用文字和数字表示的磋商总价）</w:t>
      </w:r>
      <w:r>
        <w:rPr>
          <w:rFonts w:hint="eastAsia" w:ascii="宋体" w:hAnsi="宋体" w:cs="宋体"/>
          <w:kern w:val="0"/>
          <w:sz w:val="24"/>
          <w:szCs w:val="24"/>
        </w:rPr>
        <w:t>。</w:t>
      </w:r>
    </w:p>
    <w:p>
      <w:pPr>
        <w:widowControl/>
        <w:adjustRightInd w:val="0"/>
        <w:snapToGrid w:val="0"/>
        <w:spacing w:line="360" w:lineRule="auto"/>
        <w:ind w:left="540" w:leftChars="257" w:firstLine="470"/>
        <w:jc w:val="left"/>
        <w:rPr>
          <w:rFonts w:ascii="宋体" w:hAnsi="宋体" w:cs="宋体"/>
          <w:kern w:val="0"/>
          <w:sz w:val="24"/>
          <w:szCs w:val="24"/>
        </w:rPr>
      </w:pPr>
      <w:r>
        <w:rPr>
          <w:rFonts w:hint="eastAsia" w:ascii="宋体" w:hAnsi="宋体" w:cs="宋体"/>
          <w:kern w:val="0"/>
          <w:sz w:val="24"/>
          <w:szCs w:val="24"/>
        </w:rPr>
        <w:t>2.我公司按磋商文件的规定履行合同责任和义务。</w:t>
      </w:r>
    </w:p>
    <w:p>
      <w:pPr>
        <w:widowControl/>
        <w:adjustRightInd w:val="0"/>
        <w:snapToGrid w:val="0"/>
        <w:spacing w:line="360" w:lineRule="auto"/>
        <w:ind w:left="540" w:leftChars="257" w:firstLine="470"/>
        <w:jc w:val="left"/>
        <w:rPr>
          <w:rFonts w:ascii="宋体" w:hAnsi="宋体" w:cs="宋体"/>
          <w:kern w:val="0"/>
          <w:sz w:val="24"/>
          <w:szCs w:val="24"/>
        </w:rPr>
      </w:pPr>
      <w:r>
        <w:rPr>
          <w:rFonts w:hint="eastAsia" w:ascii="宋体" w:hAnsi="宋体" w:cs="宋体"/>
          <w:kern w:val="0"/>
          <w:sz w:val="24"/>
          <w:szCs w:val="24"/>
        </w:rPr>
        <w:t>3.我公司已详细审查全部磋商文件，我们完全理解并同意放弃对这方面有不明及误解的权力。</w:t>
      </w:r>
    </w:p>
    <w:p>
      <w:pPr>
        <w:widowControl/>
        <w:adjustRightInd w:val="0"/>
        <w:snapToGrid w:val="0"/>
        <w:spacing w:line="360" w:lineRule="auto"/>
        <w:ind w:left="540" w:leftChars="257" w:firstLine="480"/>
        <w:jc w:val="left"/>
        <w:rPr>
          <w:rFonts w:ascii="宋体" w:hAnsi="宋体" w:cs="宋体"/>
          <w:kern w:val="0"/>
          <w:sz w:val="24"/>
          <w:szCs w:val="24"/>
        </w:rPr>
      </w:pPr>
      <w:r>
        <w:rPr>
          <w:rFonts w:hint="eastAsia" w:ascii="宋体" w:hAnsi="宋体" w:cs="宋体"/>
          <w:kern w:val="0"/>
          <w:sz w:val="24"/>
          <w:szCs w:val="24"/>
        </w:rPr>
        <w:t>4.我公司同意提供按照贵方可能要求的与其磋商有关的一切数据或资料，完全理解贵方不一定接受最低价的投标或收到的任何投标。</w:t>
      </w:r>
    </w:p>
    <w:p>
      <w:pPr>
        <w:widowControl/>
        <w:adjustRightInd w:val="0"/>
        <w:snapToGrid w:val="0"/>
        <w:spacing w:line="360" w:lineRule="auto"/>
        <w:ind w:left="540" w:leftChars="257" w:firstLine="480"/>
        <w:jc w:val="left"/>
        <w:rPr>
          <w:rFonts w:ascii="宋体" w:hAnsi="宋体" w:cs="宋体"/>
          <w:kern w:val="0"/>
          <w:sz w:val="24"/>
          <w:szCs w:val="24"/>
        </w:rPr>
      </w:pPr>
      <w:r>
        <w:rPr>
          <w:rFonts w:hint="eastAsia" w:ascii="宋体" w:hAnsi="宋体" w:cs="宋体"/>
          <w:kern w:val="0"/>
          <w:sz w:val="24"/>
          <w:szCs w:val="24"/>
        </w:rPr>
        <w:t>5.我公司是所供硬件和软件的知识产权的合法所有人，或已从其所有人那里得到了适当的授权。</w:t>
      </w:r>
    </w:p>
    <w:p>
      <w:pPr>
        <w:widowControl/>
        <w:adjustRightInd w:val="0"/>
        <w:snapToGrid w:val="0"/>
        <w:spacing w:line="360" w:lineRule="auto"/>
        <w:rPr>
          <w:rFonts w:ascii="宋体" w:hAnsi="宋体" w:cs="宋体"/>
          <w:kern w:val="0"/>
          <w:sz w:val="24"/>
          <w:szCs w:val="24"/>
        </w:rPr>
      </w:pPr>
    </w:p>
    <w:p>
      <w:pPr>
        <w:pStyle w:val="9"/>
        <w:rPr>
          <w:rFonts w:ascii="宋体" w:hAnsi="宋体" w:cs="宋体"/>
          <w:kern w:val="0"/>
          <w:sz w:val="24"/>
          <w:szCs w:val="24"/>
        </w:rPr>
      </w:pPr>
    </w:p>
    <w:p>
      <w:pPr>
        <w:pStyle w:val="9"/>
        <w:rPr>
          <w:rFonts w:ascii="宋体" w:hAnsi="宋体" w:cs="宋体"/>
          <w:kern w:val="0"/>
          <w:sz w:val="24"/>
          <w:szCs w:val="24"/>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供应商名称：_______________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地址：_______________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邮编：________________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电话：________________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传真：________________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授权代表签字：________________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职务：_________________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电话：_________________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公章：_________________</w:t>
      </w:r>
    </w:p>
    <w:p>
      <w:pPr>
        <w:widowControl/>
        <w:adjustRightInd w:val="0"/>
        <w:snapToGrid w:val="0"/>
        <w:spacing w:line="360" w:lineRule="auto"/>
        <w:rPr>
          <w:rFonts w:ascii="宋体" w:hAnsi="宋体" w:cs="宋体"/>
          <w:kern w:val="0"/>
          <w:sz w:val="24"/>
          <w:szCs w:val="24"/>
        </w:rPr>
      </w:pPr>
    </w:p>
    <w:p>
      <w:pPr>
        <w:pStyle w:val="2"/>
        <w:numPr>
          <w:ilvl w:val="0"/>
          <w:numId w:val="0"/>
        </w:numPr>
        <w:rPr>
          <w:rFonts w:ascii="宋体" w:hAnsi="宋体" w:cs="宋体"/>
          <w:kern w:val="0"/>
          <w:sz w:val="24"/>
          <w:szCs w:val="24"/>
        </w:rPr>
      </w:pPr>
      <w:r>
        <w:rPr>
          <w:rFonts w:hint="eastAsia" w:ascii="宋体" w:hAnsi="宋体" w:cs="宋体"/>
          <w:kern w:val="0"/>
          <w:sz w:val="24"/>
          <w:szCs w:val="24"/>
        </w:rPr>
        <w:br w:type="page"/>
      </w:r>
      <w:r>
        <w:rPr>
          <w:rFonts w:hint="eastAsia"/>
          <w:sz w:val="24"/>
          <w:szCs w:val="24"/>
        </w:rPr>
        <w:t>附件2.4 报价一览表格式</w:t>
      </w:r>
    </w:p>
    <w:p>
      <w:pPr>
        <w:widowControl/>
        <w:adjustRightInd w:val="0"/>
        <w:snapToGrid w:val="0"/>
        <w:spacing w:line="360" w:lineRule="auto"/>
        <w:jc w:val="center"/>
        <w:rPr>
          <w:rFonts w:ascii="宋体" w:hAnsi="宋体" w:cs="宋体"/>
          <w:b/>
          <w:bCs/>
          <w:kern w:val="0"/>
          <w:sz w:val="28"/>
          <w:szCs w:val="28"/>
        </w:rPr>
      </w:pPr>
      <w:r>
        <w:rPr>
          <w:rFonts w:hint="eastAsia" w:ascii="宋体" w:hAnsi="宋体" w:cs="宋体"/>
          <w:b/>
          <w:bCs/>
          <w:kern w:val="0"/>
          <w:sz w:val="28"/>
          <w:szCs w:val="28"/>
        </w:rPr>
        <w:t>报价一览表</w:t>
      </w:r>
    </w:p>
    <w:p>
      <w:pPr>
        <w:widowControl/>
        <w:adjustRightInd w:val="0"/>
        <w:snapToGrid w:val="0"/>
        <w:spacing w:line="360" w:lineRule="auto"/>
        <w:jc w:val="center"/>
        <w:rPr>
          <w:rFonts w:ascii="宋体" w:hAnsi="宋体" w:cs="宋体"/>
          <w:color w:val="000000" w:themeColor="text1"/>
          <w:kern w:val="0"/>
          <w:sz w:val="24"/>
          <w:szCs w:val="24"/>
          <w:highlight w:val="yellow"/>
          <w14:textFill>
            <w14:solidFill>
              <w14:schemeClr w14:val="tx1"/>
            </w14:solidFill>
          </w14:textFill>
        </w:rPr>
      </w:pPr>
    </w:p>
    <w:p>
      <w:pPr>
        <w:widowControl/>
        <w:adjustRightInd w:val="0"/>
        <w:snapToGrid w:val="0"/>
        <w:spacing w:line="360" w:lineRule="auto"/>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供应商名称：</w:t>
      </w:r>
    </w:p>
    <w:p>
      <w:pPr>
        <w:pStyle w:val="52"/>
        <w:adjustRightInd w:val="0"/>
        <w:snapToGrid w:val="0"/>
        <w:spacing w:line="360" w:lineRule="auto"/>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项目名称：</w:t>
      </w:r>
      <w:r>
        <w:rPr>
          <w:rFonts w:hint="eastAsia" w:ascii="宋体" w:hAnsi="宋体" w:cs="宋体"/>
          <w:color w:val="000000" w:themeColor="text1"/>
          <w:kern w:val="0"/>
          <w:sz w:val="24"/>
          <w:szCs w:val="24"/>
          <w:lang w:eastAsia="zh-CN"/>
          <w14:textFill>
            <w14:solidFill>
              <w14:schemeClr w14:val="tx1"/>
            </w14:solidFill>
          </w14:textFill>
        </w:rPr>
        <w:t>黔南</w:t>
      </w:r>
      <w:r>
        <w:rPr>
          <w:rFonts w:hint="eastAsia" w:ascii="宋体" w:hAnsi="宋体" w:cs="宋体"/>
          <w:color w:val="000000" w:themeColor="text1"/>
          <w:kern w:val="0"/>
          <w:sz w:val="24"/>
          <w:szCs w:val="24"/>
          <w14:textFill>
            <w14:solidFill>
              <w14:schemeClr w14:val="tx1"/>
            </w14:solidFill>
          </w14:textFill>
        </w:rPr>
        <w:t>分公司</w:t>
      </w:r>
      <w:r>
        <w:rPr>
          <w:rFonts w:hint="eastAsia" w:ascii="宋体" w:hAnsi="宋体" w:cs="宋体"/>
          <w:color w:val="000000" w:themeColor="text1"/>
          <w:kern w:val="0"/>
          <w:sz w:val="24"/>
          <w:szCs w:val="24"/>
          <w:lang w:eastAsia="zh-CN"/>
          <w14:textFill>
            <w14:solidFill>
              <w14:schemeClr w14:val="tx1"/>
            </w14:solidFill>
          </w14:textFill>
        </w:rPr>
        <w:t>外聘</w:t>
      </w:r>
      <w:r>
        <w:rPr>
          <w:rFonts w:hint="eastAsia" w:ascii="宋体" w:hAnsi="宋体" w:cs="宋体"/>
          <w:color w:val="000000" w:themeColor="text1"/>
          <w:kern w:val="0"/>
          <w:sz w:val="24"/>
          <w:szCs w:val="24"/>
          <w14:textFill>
            <w14:solidFill>
              <w14:schemeClr w14:val="tx1"/>
            </w14:solidFill>
          </w14:textFill>
        </w:rPr>
        <w:t>律师</w:t>
      </w:r>
      <w:r>
        <w:rPr>
          <w:rFonts w:hint="eastAsia" w:ascii="宋体" w:hAnsi="宋体" w:cs="宋体"/>
          <w:color w:val="000000" w:themeColor="text1"/>
          <w:kern w:val="0"/>
          <w:sz w:val="24"/>
          <w:szCs w:val="24"/>
          <w:lang w:eastAsia="zh-CN"/>
          <w14:textFill>
            <w14:solidFill>
              <w14:schemeClr w14:val="tx1"/>
            </w14:solidFill>
          </w14:textFill>
        </w:rPr>
        <w:t>库采购项目</w:t>
      </w:r>
    </w:p>
    <w:p>
      <w:pPr>
        <w:pStyle w:val="52"/>
        <w:adjustRightInd w:val="0"/>
        <w:snapToGrid w:val="0"/>
        <w:spacing w:line="360" w:lineRule="auto"/>
        <w:ind w:firstLine="560"/>
        <w:rPr>
          <w:rFonts w:hint="eastAsia" w:ascii="仿宋_GB2312" w:hAnsi="仿宋_GB2312" w:eastAsia="仿宋_GB2312" w:cs="仿宋_GB2312"/>
          <w:b/>
          <w:bCs/>
          <w:color w:val="auto"/>
          <w:sz w:val="32"/>
          <w:szCs w:val="32"/>
          <w:highlight w:val="none"/>
          <w:lang w:val="en-US" w:eastAsia="zh-CN"/>
        </w:rPr>
      </w:pPr>
      <w:r>
        <w:rPr>
          <w:rFonts w:hint="eastAsia" w:ascii="仿宋_GB2312" w:hAnsi="仿宋_GB2312" w:eastAsia="仿宋_GB2312" w:cs="仿宋_GB2312"/>
          <w:b/>
          <w:bCs/>
          <w:color w:val="auto"/>
          <w:sz w:val="32"/>
          <w:szCs w:val="32"/>
          <w:lang w:eastAsia="zh-CN"/>
        </w:rPr>
        <w:t>（一）</w:t>
      </w:r>
      <w:r>
        <w:rPr>
          <w:rFonts w:hint="eastAsia" w:ascii="仿宋_GB2312" w:hAnsi="仿宋_GB2312" w:eastAsia="仿宋_GB2312" w:cs="仿宋_GB2312"/>
          <w:b/>
          <w:bCs/>
          <w:color w:val="auto"/>
          <w:sz w:val="32"/>
          <w:szCs w:val="32"/>
          <w:highlight w:val="none"/>
        </w:rPr>
        <w:t>法律追偿</w:t>
      </w:r>
      <w:r>
        <w:rPr>
          <w:rFonts w:hint="eastAsia" w:ascii="仿宋_GB2312" w:hAnsi="仿宋_GB2312" w:eastAsia="仿宋_GB2312" w:cs="仿宋_GB2312"/>
          <w:b/>
          <w:bCs/>
          <w:color w:val="auto"/>
          <w:sz w:val="32"/>
          <w:szCs w:val="32"/>
          <w:highlight w:val="none"/>
          <w:lang w:val="en-US" w:eastAsia="zh-CN"/>
        </w:rPr>
        <w:t>服务最高投标限价</w:t>
      </w:r>
      <w:r>
        <w:rPr>
          <w:rFonts w:hint="eastAsia" w:ascii="仿宋_GB2312" w:hAnsi="仿宋_GB2312" w:eastAsia="仿宋_GB2312" w:cs="仿宋_GB2312"/>
          <w:b/>
          <w:bCs/>
          <w:color w:val="auto"/>
          <w:sz w:val="32"/>
          <w:szCs w:val="32"/>
          <w:highlight w:val="none"/>
          <w:lang w:eastAsia="zh-CN"/>
        </w:rPr>
        <w:t>：</w:t>
      </w:r>
    </w:p>
    <w:tbl>
      <w:tblPr>
        <w:tblStyle w:val="29"/>
        <w:tblW w:w="90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4"/>
        <w:gridCol w:w="3180"/>
        <w:gridCol w:w="1674"/>
        <w:gridCol w:w="911"/>
        <w:gridCol w:w="1292"/>
        <w:gridCol w:w="12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704" w:type="dxa"/>
            <w:noWrap/>
            <w:vAlign w:val="center"/>
          </w:tcPr>
          <w:p>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0" w:firstLineChars="0"/>
              <w:jc w:val="center"/>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sz w:val="24"/>
                <w:szCs w:val="24"/>
                <w:highlight w:val="none"/>
              </w:rPr>
              <w:t>序号</w:t>
            </w:r>
          </w:p>
        </w:tc>
        <w:tc>
          <w:tcPr>
            <w:tcW w:w="3180" w:type="dxa"/>
            <w:noWrap/>
            <w:vAlign w:val="center"/>
          </w:tcPr>
          <w:p>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0" w:firstLineChars="0"/>
              <w:jc w:val="center"/>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sz w:val="24"/>
                <w:szCs w:val="24"/>
                <w:highlight w:val="none"/>
              </w:rPr>
              <w:t>追回金额（每案）</w:t>
            </w:r>
          </w:p>
        </w:tc>
        <w:tc>
          <w:tcPr>
            <w:tcW w:w="1674" w:type="dxa"/>
            <w:noWrap/>
            <w:vAlign w:val="center"/>
          </w:tcPr>
          <w:p>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0" w:firstLineChars="0"/>
              <w:jc w:val="center"/>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最高投标限价</w:t>
            </w:r>
          </w:p>
          <w:p>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0" w:firstLineChars="0"/>
              <w:jc w:val="center"/>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sz w:val="24"/>
                <w:szCs w:val="24"/>
                <w:highlight w:val="none"/>
                <w:lang w:val="en-US" w:eastAsia="zh-CN"/>
              </w:rPr>
              <w:t>（支付比例）</w:t>
            </w:r>
          </w:p>
        </w:tc>
        <w:tc>
          <w:tcPr>
            <w:tcW w:w="911" w:type="dxa"/>
            <w:noWrap/>
            <w:vAlign w:val="center"/>
          </w:tcPr>
          <w:p>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0" w:firstLineChars="0"/>
              <w:jc w:val="center"/>
              <w:textAlignment w:val="auto"/>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税率</w:t>
            </w:r>
          </w:p>
        </w:tc>
        <w:tc>
          <w:tcPr>
            <w:tcW w:w="1292" w:type="dxa"/>
            <w:noWrap/>
            <w:vAlign w:val="center"/>
          </w:tcPr>
          <w:p>
            <w:pPr>
              <w:keepNext w:val="0"/>
              <w:keepLines w:val="0"/>
              <w:pageBreakBefore w:val="0"/>
              <w:widowControl w:val="0"/>
              <w:tabs>
                <w:tab w:val="left" w:pos="527"/>
              </w:tabs>
              <w:kinsoku/>
              <w:wordWrap/>
              <w:overflowPunct/>
              <w:topLinePunct w:val="0"/>
              <w:autoSpaceDE/>
              <w:autoSpaceDN/>
              <w:bidi w:val="0"/>
              <w:adjustRightInd/>
              <w:snapToGrid/>
              <w:spacing w:before="0" w:beforeAutospacing="0" w:after="0" w:afterAutospacing="0" w:line="240" w:lineRule="auto"/>
              <w:ind w:firstLine="0" w:firstLineChars="0"/>
              <w:jc w:val="center"/>
              <w:textAlignment w:val="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发票类型</w:t>
            </w:r>
          </w:p>
        </w:tc>
        <w:tc>
          <w:tcPr>
            <w:tcW w:w="1287" w:type="dxa"/>
            <w:noWrap/>
            <w:vAlign w:val="center"/>
          </w:tcPr>
          <w:p>
            <w:pPr>
              <w:keepNext w:val="0"/>
              <w:keepLines w:val="0"/>
              <w:pageBreakBefore w:val="0"/>
              <w:widowControl w:val="0"/>
              <w:tabs>
                <w:tab w:val="left" w:pos="527"/>
              </w:tabs>
              <w:kinsoku/>
              <w:wordWrap/>
              <w:overflowPunct/>
              <w:topLinePunct w:val="0"/>
              <w:autoSpaceDE/>
              <w:autoSpaceDN/>
              <w:bidi w:val="0"/>
              <w:adjustRightInd/>
              <w:snapToGrid/>
              <w:spacing w:before="0" w:beforeAutospacing="0" w:after="0" w:afterAutospacing="0" w:line="240" w:lineRule="auto"/>
              <w:ind w:firstLine="0" w:firstLineChars="0"/>
              <w:jc w:val="center"/>
              <w:textAlignment w:val="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704" w:type="dxa"/>
            <w:noWrap/>
            <w:vAlign w:val="center"/>
          </w:tcPr>
          <w:p>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0" w:firstLineChars="0"/>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1</w:t>
            </w:r>
          </w:p>
        </w:tc>
        <w:tc>
          <w:tcPr>
            <w:tcW w:w="3180" w:type="dxa"/>
            <w:noWrap/>
            <w:vAlign w:val="center"/>
          </w:tcPr>
          <w:p>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0" w:firstLineChars="0"/>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50万元以内</w:t>
            </w:r>
          </w:p>
        </w:tc>
        <w:tc>
          <w:tcPr>
            <w:tcW w:w="1674" w:type="dxa"/>
            <w:noWrap/>
            <w:vAlign w:val="center"/>
          </w:tcPr>
          <w:p>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0" w:firstLineChars="0"/>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不</w:t>
            </w:r>
            <w:r>
              <w:rPr>
                <w:rFonts w:hint="eastAsia" w:ascii="宋体" w:hAnsi="宋体" w:eastAsia="宋体" w:cs="宋体"/>
                <w:color w:val="auto"/>
                <w:sz w:val="24"/>
                <w:szCs w:val="24"/>
                <w:highlight w:val="none"/>
                <w:lang w:val="en-US" w:eastAsia="zh-CN"/>
              </w:rPr>
              <w:t>得高于</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w:t>
            </w:r>
          </w:p>
        </w:tc>
        <w:tc>
          <w:tcPr>
            <w:tcW w:w="911" w:type="dxa"/>
            <w:vMerge w:val="restart"/>
            <w:noWrap/>
            <w:vAlign w:val="center"/>
          </w:tcPr>
          <w:p>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0" w:firstLineChars="0"/>
              <w:jc w:val="center"/>
              <w:textAlignment w:val="auto"/>
              <w:rPr>
                <w:rFonts w:hint="eastAsia" w:ascii="宋体" w:hAnsi="宋体" w:eastAsia="宋体" w:cs="宋体"/>
                <w:color w:val="auto"/>
                <w:sz w:val="24"/>
                <w:szCs w:val="24"/>
                <w:highlight w:val="none"/>
              </w:rPr>
            </w:pPr>
          </w:p>
        </w:tc>
        <w:tc>
          <w:tcPr>
            <w:tcW w:w="1292" w:type="dxa"/>
            <w:vMerge w:val="restart"/>
            <w:noWrap/>
            <w:vAlign w:val="center"/>
          </w:tcPr>
          <w:p>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0" w:firstLineChars="0"/>
              <w:jc w:val="center"/>
              <w:textAlignment w:val="auto"/>
              <w:rPr>
                <w:rFonts w:hint="eastAsia" w:ascii="宋体" w:hAnsi="宋体" w:eastAsia="宋体" w:cs="宋体"/>
                <w:color w:val="auto"/>
                <w:sz w:val="24"/>
                <w:szCs w:val="24"/>
                <w:highlight w:val="none"/>
              </w:rPr>
            </w:pPr>
          </w:p>
        </w:tc>
        <w:tc>
          <w:tcPr>
            <w:tcW w:w="1287" w:type="dxa"/>
            <w:vMerge w:val="restart"/>
            <w:noWrap/>
            <w:vAlign w:val="center"/>
          </w:tcPr>
          <w:p>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0" w:firstLineChars="0"/>
              <w:jc w:val="center"/>
              <w:textAlignment w:val="auto"/>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704" w:type="dxa"/>
            <w:noWrap/>
            <w:vAlign w:val="center"/>
          </w:tcPr>
          <w:p>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0" w:firstLineChars="0"/>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2</w:t>
            </w:r>
          </w:p>
        </w:tc>
        <w:tc>
          <w:tcPr>
            <w:tcW w:w="3180" w:type="dxa"/>
            <w:noWrap/>
            <w:vAlign w:val="center"/>
          </w:tcPr>
          <w:p>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0" w:firstLineChars="0"/>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50万-100万（不包括100万）</w:t>
            </w:r>
          </w:p>
        </w:tc>
        <w:tc>
          <w:tcPr>
            <w:tcW w:w="1674" w:type="dxa"/>
            <w:noWrap/>
            <w:vAlign w:val="center"/>
          </w:tcPr>
          <w:p>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0" w:firstLineChars="0"/>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不</w:t>
            </w:r>
            <w:r>
              <w:rPr>
                <w:rFonts w:hint="eastAsia" w:ascii="宋体" w:hAnsi="宋体" w:eastAsia="宋体" w:cs="宋体"/>
                <w:color w:val="auto"/>
                <w:sz w:val="24"/>
                <w:szCs w:val="24"/>
                <w:highlight w:val="none"/>
                <w:lang w:val="en-US" w:eastAsia="zh-CN"/>
              </w:rPr>
              <w:t>得高于</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w:t>
            </w:r>
          </w:p>
        </w:tc>
        <w:tc>
          <w:tcPr>
            <w:tcW w:w="911" w:type="dxa"/>
            <w:vMerge w:val="continue"/>
            <w:noWrap/>
            <w:vAlign w:val="center"/>
          </w:tcPr>
          <w:p>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0" w:firstLineChars="0"/>
              <w:jc w:val="center"/>
              <w:textAlignment w:val="auto"/>
              <w:rPr>
                <w:rFonts w:hint="eastAsia" w:ascii="宋体" w:hAnsi="宋体" w:eastAsia="宋体" w:cs="宋体"/>
                <w:color w:val="auto"/>
                <w:sz w:val="24"/>
                <w:szCs w:val="24"/>
                <w:highlight w:val="none"/>
              </w:rPr>
            </w:pPr>
          </w:p>
        </w:tc>
        <w:tc>
          <w:tcPr>
            <w:tcW w:w="1292" w:type="dxa"/>
            <w:vMerge w:val="continue"/>
            <w:noWrap/>
            <w:vAlign w:val="center"/>
          </w:tcPr>
          <w:p>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0" w:firstLineChars="0"/>
              <w:jc w:val="center"/>
              <w:textAlignment w:val="auto"/>
              <w:rPr>
                <w:rFonts w:hint="eastAsia" w:ascii="宋体" w:hAnsi="宋体" w:eastAsia="宋体" w:cs="宋体"/>
                <w:color w:val="auto"/>
                <w:sz w:val="24"/>
                <w:szCs w:val="24"/>
                <w:highlight w:val="none"/>
              </w:rPr>
            </w:pPr>
          </w:p>
        </w:tc>
        <w:tc>
          <w:tcPr>
            <w:tcW w:w="1287" w:type="dxa"/>
            <w:vMerge w:val="continue"/>
            <w:noWrap/>
            <w:vAlign w:val="center"/>
          </w:tcPr>
          <w:p>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0" w:firstLineChars="0"/>
              <w:jc w:val="center"/>
              <w:textAlignment w:val="auto"/>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704" w:type="dxa"/>
            <w:noWrap/>
            <w:vAlign w:val="center"/>
          </w:tcPr>
          <w:p>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0" w:firstLineChars="0"/>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3</w:t>
            </w:r>
          </w:p>
        </w:tc>
        <w:tc>
          <w:tcPr>
            <w:tcW w:w="3180" w:type="dxa"/>
            <w:noWrap/>
            <w:vAlign w:val="center"/>
          </w:tcPr>
          <w:p>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0" w:firstLineChars="0"/>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100万-</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00万（不包括</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00万）</w:t>
            </w:r>
          </w:p>
        </w:tc>
        <w:tc>
          <w:tcPr>
            <w:tcW w:w="1674" w:type="dxa"/>
            <w:noWrap/>
            <w:vAlign w:val="center"/>
          </w:tcPr>
          <w:p>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0" w:firstLineChars="0"/>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不</w:t>
            </w:r>
            <w:r>
              <w:rPr>
                <w:rFonts w:hint="eastAsia" w:ascii="宋体" w:hAnsi="宋体" w:eastAsia="宋体" w:cs="宋体"/>
                <w:color w:val="auto"/>
                <w:sz w:val="24"/>
                <w:szCs w:val="24"/>
                <w:highlight w:val="none"/>
                <w:lang w:val="en-US" w:eastAsia="zh-CN"/>
              </w:rPr>
              <w:t>得高于</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w:t>
            </w:r>
          </w:p>
        </w:tc>
        <w:tc>
          <w:tcPr>
            <w:tcW w:w="911" w:type="dxa"/>
            <w:vMerge w:val="continue"/>
            <w:noWrap/>
            <w:vAlign w:val="center"/>
          </w:tcPr>
          <w:p>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0" w:firstLineChars="0"/>
              <w:jc w:val="center"/>
              <w:textAlignment w:val="auto"/>
              <w:rPr>
                <w:rFonts w:hint="eastAsia" w:ascii="宋体" w:hAnsi="宋体" w:eastAsia="宋体" w:cs="宋体"/>
                <w:color w:val="auto"/>
                <w:sz w:val="24"/>
                <w:szCs w:val="24"/>
                <w:highlight w:val="none"/>
              </w:rPr>
            </w:pPr>
          </w:p>
        </w:tc>
        <w:tc>
          <w:tcPr>
            <w:tcW w:w="1292" w:type="dxa"/>
            <w:vMerge w:val="continue"/>
            <w:noWrap/>
            <w:vAlign w:val="center"/>
          </w:tcPr>
          <w:p>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0" w:firstLineChars="0"/>
              <w:jc w:val="center"/>
              <w:textAlignment w:val="auto"/>
              <w:rPr>
                <w:rFonts w:hint="eastAsia" w:ascii="宋体" w:hAnsi="宋体" w:eastAsia="宋体" w:cs="宋体"/>
                <w:color w:val="auto"/>
                <w:sz w:val="24"/>
                <w:szCs w:val="24"/>
                <w:highlight w:val="none"/>
              </w:rPr>
            </w:pPr>
          </w:p>
        </w:tc>
        <w:tc>
          <w:tcPr>
            <w:tcW w:w="1287" w:type="dxa"/>
            <w:vMerge w:val="continue"/>
            <w:noWrap/>
            <w:vAlign w:val="center"/>
          </w:tcPr>
          <w:p>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0" w:firstLineChars="0"/>
              <w:jc w:val="center"/>
              <w:textAlignment w:val="auto"/>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704" w:type="dxa"/>
            <w:noWrap/>
            <w:vAlign w:val="center"/>
          </w:tcPr>
          <w:p>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0" w:firstLineChars="0"/>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4</w:t>
            </w:r>
          </w:p>
        </w:tc>
        <w:tc>
          <w:tcPr>
            <w:tcW w:w="3180" w:type="dxa"/>
            <w:noWrap/>
            <w:vAlign w:val="center"/>
          </w:tcPr>
          <w:p>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0" w:firstLineChars="0"/>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500万-1000万（不包括1000万）</w:t>
            </w:r>
          </w:p>
        </w:tc>
        <w:tc>
          <w:tcPr>
            <w:tcW w:w="1674" w:type="dxa"/>
            <w:noWrap/>
            <w:vAlign w:val="center"/>
          </w:tcPr>
          <w:p>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0" w:firstLineChars="0"/>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不</w:t>
            </w:r>
            <w:r>
              <w:rPr>
                <w:rFonts w:hint="eastAsia" w:ascii="宋体" w:hAnsi="宋体" w:eastAsia="宋体" w:cs="宋体"/>
                <w:color w:val="auto"/>
                <w:sz w:val="24"/>
                <w:szCs w:val="24"/>
                <w:highlight w:val="none"/>
                <w:lang w:val="en-US" w:eastAsia="zh-CN"/>
              </w:rPr>
              <w:t>得高于</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w:t>
            </w:r>
          </w:p>
        </w:tc>
        <w:tc>
          <w:tcPr>
            <w:tcW w:w="911" w:type="dxa"/>
            <w:vMerge w:val="continue"/>
            <w:noWrap/>
            <w:vAlign w:val="center"/>
          </w:tcPr>
          <w:p>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0" w:firstLineChars="0"/>
              <w:jc w:val="center"/>
              <w:textAlignment w:val="auto"/>
              <w:rPr>
                <w:rFonts w:hint="eastAsia" w:ascii="宋体" w:hAnsi="宋体" w:eastAsia="宋体" w:cs="宋体"/>
                <w:color w:val="auto"/>
                <w:sz w:val="24"/>
                <w:szCs w:val="24"/>
                <w:highlight w:val="none"/>
              </w:rPr>
            </w:pPr>
          </w:p>
        </w:tc>
        <w:tc>
          <w:tcPr>
            <w:tcW w:w="1292" w:type="dxa"/>
            <w:vMerge w:val="continue"/>
            <w:noWrap/>
            <w:vAlign w:val="center"/>
          </w:tcPr>
          <w:p>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0" w:firstLineChars="0"/>
              <w:jc w:val="center"/>
              <w:textAlignment w:val="auto"/>
              <w:rPr>
                <w:rFonts w:hint="eastAsia" w:ascii="宋体" w:hAnsi="宋体" w:eastAsia="宋体" w:cs="宋体"/>
                <w:color w:val="auto"/>
                <w:sz w:val="24"/>
                <w:szCs w:val="24"/>
                <w:highlight w:val="none"/>
              </w:rPr>
            </w:pPr>
          </w:p>
        </w:tc>
        <w:tc>
          <w:tcPr>
            <w:tcW w:w="1287" w:type="dxa"/>
            <w:vMerge w:val="continue"/>
            <w:noWrap/>
            <w:vAlign w:val="center"/>
          </w:tcPr>
          <w:p>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0" w:firstLineChars="0"/>
              <w:jc w:val="center"/>
              <w:textAlignment w:val="auto"/>
              <w:rPr>
                <w:rFonts w:hint="eastAsia" w:ascii="宋体" w:hAnsi="宋体" w:eastAsia="宋体" w:cs="宋体"/>
                <w:color w:val="auto"/>
                <w:sz w:val="24"/>
                <w:szCs w:val="24"/>
                <w:highlight w:val="none"/>
              </w:rPr>
            </w:pPr>
          </w:p>
        </w:tc>
      </w:tr>
    </w:tbl>
    <w:p>
      <w:pPr>
        <w:widowControl/>
        <w:adjustRightInd w:val="0"/>
        <w:snapToGrid w:val="0"/>
        <w:spacing w:line="360" w:lineRule="auto"/>
        <w:ind w:firstLine="480" w:firstLineChars="200"/>
        <w:rPr>
          <w:rFonts w:hint="eastAsia" w:ascii="宋体" w:hAnsi="宋体" w:cs="宋体"/>
          <w:color w:val="auto"/>
          <w:kern w:val="0"/>
          <w:sz w:val="24"/>
          <w:szCs w:val="24"/>
          <w:lang w:val="en-US" w:eastAsia="zh-CN"/>
        </w:rPr>
      </w:pPr>
      <w:r>
        <w:rPr>
          <w:rFonts w:hint="eastAsia" w:ascii="宋体" w:hAnsi="宋体" w:cs="宋体"/>
          <w:color w:val="auto"/>
          <w:kern w:val="0"/>
          <w:sz w:val="24"/>
          <w:szCs w:val="24"/>
          <w:lang w:val="en-US" w:eastAsia="zh-CN"/>
        </w:rPr>
        <w:t>注：1.法律追偿实行“基础代理+风险代理”或“全风险代理”的方式，基础代理费不再进行报价，由双方在个案中进行协商处理;风险代理费由索赔到账金额的一定比例支付，投标供应商对支付比例进行报价。上表中的收费标准为收费比例的最高投标限价，合同双方根据投标报价在具体个案中单独签署代理合同进行明确(协商选择“基础代理+风险代理”或选择“全风险代理”法律追偿服务收费均不高于每案追回金额*最高投标限价支付比例即可)。</w:t>
      </w:r>
    </w:p>
    <w:p>
      <w:pPr>
        <w:widowControl/>
        <w:adjustRightInd w:val="0"/>
        <w:snapToGrid w:val="0"/>
        <w:spacing w:line="360" w:lineRule="auto"/>
        <w:ind w:firstLine="480" w:firstLineChars="200"/>
        <w:rPr>
          <w:rFonts w:hint="eastAsia" w:ascii="宋体" w:hAnsi="宋体" w:cs="宋体"/>
          <w:color w:val="auto"/>
          <w:kern w:val="0"/>
          <w:sz w:val="24"/>
          <w:szCs w:val="24"/>
          <w:lang w:val="en-US" w:eastAsia="zh-CN"/>
        </w:rPr>
      </w:pPr>
      <w:r>
        <w:rPr>
          <w:rFonts w:hint="eastAsia" w:ascii="宋体" w:hAnsi="宋体" w:cs="宋体"/>
          <w:color w:val="auto"/>
          <w:kern w:val="0"/>
          <w:sz w:val="24"/>
          <w:szCs w:val="24"/>
          <w:lang w:val="en-US" w:eastAsia="zh-CN"/>
        </w:rPr>
        <w:t>2.针对诉讼标的为1000万元及以上的案件，采取一事一议的方式，不在上述表格中设置最高投标限价，此诉讼标的金额范围可由甲方根据营业授权范围进行调整。此处内容不要求供应商进行报价且不参与报价评审。</w:t>
      </w:r>
    </w:p>
    <w:p>
      <w:pPr>
        <w:pStyle w:val="26"/>
        <w:spacing w:before="0" w:beforeAutospacing="0" w:after="0" w:afterAutospacing="0" w:line="360" w:lineRule="auto"/>
        <w:ind w:firstLine="643" w:firstLineChars="200"/>
        <w:rPr>
          <w:rFonts w:hint="eastAsia" w:ascii="仿宋_GB2312" w:hAnsi="仿宋_GB2312" w:eastAsia="仿宋_GB2312" w:cs="仿宋_GB2312"/>
          <w:b/>
          <w:bCs/>
          <w:color w:val="auto"/>
          <w:sz w:val="32"/>
          <w:szCs w:val="32"/>
          <w:highlight w:val="none"/>
          <w:lang w:val="en-US" w:eastAsia="zh-CN"/>
        </w:rPr>
      </w:pPr>
      <w:r>
        <w:rPr>
          <w:rFonts w:hint="eastAsia" w:ascii="仿宋_GB2312" w:hAnsi="仿宋_GB2312" w:eastAsia="仿宋_GB2312" w:cs="仿宋_GB2312"/>
          <w:b/>
          <w:bCs/>
          <w:color w:val="auto"/>
          <w:sz w:val="32"/>
          <w:szCs w:val="32"/>
          <w:highlight w:val="none"/>
          <w:lang w:val="en-US" w:eastAsia="zh-CN"/>
        </w:rPr>
        <w:t>（二）</w:t>
      </w:r>
      <w:r>
        <w:rPr>
          <w:rFonts w:hint="eastAsia" w:ascii="仿宋_GB2312" w:hAnsi="仿宋_GB2312" w:eastAsia="仿宋_GB2312" w:cs="仿宋_GB2312"/>
          <w:b/>
          <w:bCs/>
          <w:color w:val="auto"/>
          <w:sz w:val="32"/>
          <w:szCs w:val="32"/>
          <w:highlight w:val="none"/>
        </w:rPr>
        <w:t>诉讼法律服务</w:t>
      </w:r>
      <w:r>
        <w:rPr>
          <w:rFonts w:hint="eastAsia" w:ascii="仿宋_GB2312" w:hAnsi="仿宋_GB2312" w:eastAsia="仿宋_GB2312" w:cs="仿宋_GB2312"/>
          <w:b/>
          <w:bCs/>
          <w:color w:val="auto"/>
          <w:sz w:val="32"/>
          <w:szCs w:val="32"/>
          <w:highlight w:val="none"/>
          <w:lang w:val="en-US" w:eastAsia="zh-CN"/>
        </w:rPr>
        <w:t>最高投标限价：</w:t>
      </w:r>
    </w:p>
    <w:tbl>
      <w:tblPr>
        <w:tblStyle w:val="29"/>
        <w:tblW w:w="8958" w:type="dxa"/>
        <w:tblInd w:w="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8"/>
        <w:gridCol w:w="2792"/>
        <w:gridCol w:w="1778"/>
        <w:gridCol w:w="804"/>
        <w:gridCol w:w="1384"/>
        <w:gridCol w:w="16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578" w:type="dxa"/>
            <w:noWrap/>
            <w:vAlign w:val="center"/>
          </w:tcPr>
          <w:p>
            <w:pPr>
              <w:pStyle w:val="26"/>
              <w:keepNext w:val="0"/>
              <w:keepLines w:val="0"/>
              <w:pageBreakBefore w:val="0"/>
              <w:widowControl w:val="0"/>
              <w:kinsoku/>
              <w:wordWrap/>
              <w:overflowPunct/>
              <w:topLinePunct w:val="0"/>
              <w:autoSpaceDE/>
              <w:autoSpaceDN/>
              <w:bidi w:val="0"/>
              <w:adjustRightInd/>
              <w:snapToGrid/>
              <w:spacing w:before="0" w:beforeAutospacing="0" w:after="0" w:afterAutospacing="0" w:line="300" w:lineRule="exact"/>
              <w:ind w:firstLine="0" w:firstLineChars="0"/>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序号</w:t>
            </w:r>
          </w:p>
        </w:tc>
        <w:tc>
          <w:tcPr>
            <w:tcW w:w="2792" w:type="dxa"/>
            <w:noWrap/>
            <w:vAlign w:val="center"/>
          </w:tcPr>
          <w:p>
            <w:pPr>
              <w:pStyle w:val="26"/>
              <w:keepNext w:val="0"/>
              <w:keepLines w:val="0"/>
              <w:pageBreakBefore w:val="0"/>
              <w:widowControl w:val="0"/>
              <w:kinsoku/>
              <w:wordWrap/>
              <w:overflowPunct/>
              <w:topLinePunct w:val="0"/>
              <w:autoSpaceDE/>
              <w:autoSpaceDN/>
              <w:bidi w:val="0"/>
              <w:adjustRightInd/>
              <w:snapToGrid/>
              <w:spacing w:before="0" w:beforeAutospacing="0" w:after="0" w:afterAutospacing="0" w:line="300" w:lineRule="exact"/>
              <w:ind w:firstLine="0" w:firstLineChars="0"/>
              <w:jc w:val="center"/>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争议标的（每案）</w:t>
            </w:r>
          </w:p>
        </w:tc>
        <w:tc>
          <w:tcPr>
            <w:tcW w:w="1778" w:type="dxa"/>
            <w:noWrap/>
            <w:vAlign w:val="center"/>
          </w:tcPr>
          <w:p>
            <w:pPr>
              <w:keepNext w:val="0"/>
              <w:keepLines w:val="0"/>
              <w:pageBreakBefore w:val="0"/>
              <w:widowControl w:val="0"/>
              <w:kinsoku/>
              <w:wordWrap/>
              <w:overflowPunct/>
              <w:topLinePunct w:val="0"/>
              <w:autoSpaceDE/>
              <w:autoSpaceDN/>
              <w:bidi w:val="0"/>
              <w:adjustRightInd/>
              <w:snapToGrid/>
              <w:spacing w:before="0" w:beforeAutospacing="0" w:after="0" w:afterAutospacing="0" w:line="300" w:lineRule="exact"/>
              <w:ind w:firstLine="0" w:firstLineChars="0"/>
              <w:jc w:val="center"/>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最高投标限价</w:t>
            </w:r>
          </w:p>
          <w:p>
            <w:pPr>
              <w:keepNext w:val="0"/>
              <w:keepLines w:val="0"/>
              <w:pageBreakBefore w:val="0"/>
              <w:widowControl w:val="0"/>
              <w:kinsoku/>
              <w:wordWrap/>
              <w:overflowPunct/>
              <w:topLinePunct w:val="0"/>
              <w:autoSpaceDE/>
              <w:autoSpaceDN/>
              <w:bidi w:val="0"/>
              <w:adjustRightInd/>
              <w:snapToGrid/>
              <w:spacing w:before="0" w:beforeAutospacing="0" w:after="0" w:afterAutospacing="0" w:line="300" w:lineRule="exact"/>
              <w:ind w:firstLine="0" w:firstLineChars="0"/>
              <w:jc w:val="center"/>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sz w:val="24"/>
                <w:szCs w:val="24"/>
                <w:highlight w:val="none"/>
                <w:lang w:val="en-US" w:eastAsia="zh-CN"/>
              </w:rPr>
              <w:t>（支付比例）</w:t>
            </w:r>
          </w:p>
        </w:tc>
        <w:tc>
          <w:tcPr>
            <w:tcW w:w="804" w:type="dxa"/>
            <w:noWrap/>
            <w:vAlign w:val="center"/>
          </w:tcPr>
          <w:p>
            <w:pPr>
              <w:keepNext w:val="0"/>
              <w:keepLines w:val="0"/>
              <w:pageBreakBefore w:val="0"/>
              <w:widowControl w:val="0"/>
              <w:kinsoku/>
              <w:wordWrap/>
              <w:overflowPunct/>
              <w:topLinePunct w:val="0"/>
              <w:autoSpaceDE/>
              <w:autoSpaceDN/>
              <w:bidi w:val="0"/>
              <w:adjustRightInd/>
              <w:snapToGrid/>
              <w:spacing w:before="0" w:beforeAutospacing="0" w:after="0" w:afterAutospacing="0" w:line="300" w:lineRule="exact"/>
              <w:ind w:firstLine="0" w:firstLineChars="0"/>
              <w:jc w:val="center"/>
              <w:textAlignment w:val="auto"/>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税率</w:t>
            </w:r>
          </w:p>
        </w:tc>
        <w:tc>
          <w:tcPr>
            <w:tcW w:w="1384" w:type="dxa"/>
            <w:noWrap/>
            <w:vAlign w:val="center"/>
          </w:tcPr>
          <w:p>
            <w:pPr>
              <w:keepNext w:val="0"/>
              <w:keepLines w:val="0"/>
              <w:pageBreakBefore w:val="0"/>
              <w:widowControl w:val="0"/>
              <w:kinsoku/>
              <w:wordWrap/>
              <w:overflowPunct/>
              <w:topLinePunct w:val="0"/>
              <w:autoSpaceDE/>
              <w:autoSpaceDN/>
              <w:bidi w:val="0"/>
              <w:adjustRightInd/>
              <w:snapToGrid/>
              <w:spacing w:before="0" w:beforeAutospacing="0" w:after="0" w:afterAutospacing="0" w:line="300" w:lineRule="exact"/>
              <w:ind w:firstLine="0" w:firstLineChars="0"/>
              <w:jc w:val="center"/>
              <w:textAlignment w:val="auto"/>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发票类型</w:t>
            </w:r>
          </w:p>
        </w:tc>
        <w:tc>
          <w:tcPr>
            <w:tcW w:w="1622" w:type="dxa"/>
            <w:noWrap/>
            <w:vAlign w:val="center"/>
          </w:tcPr>
          <w:p>
            <w:pPr>
              <w:keepNext w:val="0"/>
              <w:keepLines w:val="0"/>
              <w:pageBreakBefore w:val="0"/>
              <w:widowControl w:val="0"/>
              <w:kinsoku/>
              <w:wordWrap/>
              <w:overflowPunct/>
              <w:topLinePunct w:val="0"/>
              <w:autoSpaceDE/>
              <w:autoSpaceDN/>
              <w:bidi w:val="0"/>
              <w:adjustRightInd/>
              <w:snapToGrid/>
              <w:spacing w:before="0" w:beforeAutospacing="0" w:after="0" w:afterAutospacing="0" w:line="300" w:lineRule="exact"/>
              <w:ind w:firstLine="0" w:firstLineChars="0"/>
              <w:jc w:val="center"/>
              <w:textAlignment w:val="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578" w:type="dxa"/>
            <w:noWrap/>
            <w:vAlign w:val="center"/>
          </w:tcPr>
          <w:p>
            <w:pPr>
              <w:pStyle w:val="26"/>
              <w:keepNext w:val="0"/>
              <w:keepLines w:val="0"/>
              <w:pageBreakBefore w:val="0"/>
              <w:widowControl w:val="0"/>
              <w:kinsoku/>
              <w:wordWrap/>
              <w:overflowPunct/>
              <w:topLinePunct w:val="0"/>
              <w:autoSpaceDE/>
              <w:autoSpaceDN/>
              <w:bidi w:val="0"/>
              <w:adjustRightInd/>
              <w:snapToGrid/>
              <w:spacing w:before="0" w:beforeAutospacing="0" w:after="0" w:afterAutospacing="0" w:line="300" w:lineRule="exact"/>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2792" w:type="dxa"/>
            <w:noWrap/>
            <w:vAlign w:val="center"/>
          </w:tcPr>
          <w:p>
            <w:pPr>
              <w:pStyle w:val="26"/>
              <w:keepNext w:val="0"/>
              <w:keepLines w:val="0"/>
              <w:pageBreakBefore w:val="0"/>
              <w:widowControl w:val="0"/>
              <w:kinsoku/>
              <w:wordWrap/>
              <w:overflowPunct/>
              <w:topLinePunct w:val="0"/>
              <w:autoSpaceDE/>
              <w:autoSpaceDN/>
              <w:bidi w:val="0"/>
              <w:adjustRightInd/>
              <w:snapToGrid/>
              <w:spacing w:before="0" w:beforeAutospacing="0" w:after="0" w:afterAutospacing="0" w:line="300" w:lineRule="exact"/>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0000元</w:t>
            </w:r>
            <w:r>
              <w:rPr>
                <w:rFonts w:hint="eastAsia" w:ascii="宋体" w:hAnsi="宋体" w:eastAsia="宋体" w:cs="宋体"/>
                <w:color w:val="auto"/>
                <w:sz w:val="24"/>
                <w:szCs w:val="24"/>
                <w:highlight w:val="none"/>
              </w:rPr>
              <w:t>以下</w:t>
            </w:r>
          </w:p>
        </w:tc>
        <w:tc>
          <w:tcPr>
            <w:tcW w:w="1778" w:type="dxa"/>
            <w:noWrap/>
            <w:vAlign w:val="center"/>
          </w:tcPr>
          <w:p>
            <w:pPr>
              <w:pStyle w:val="26"/>
              <w:keepNext w:val="0"/>
              <w:keepLines w:val="0"/>
              <w:pageBreakBefore w:val="0"/>
              <w:widowControl w:val="0"/>
              <w:kinsoku/>
              <w:wordWrap/>
              <w:overflowPunct/>
              <w:topLinePunct w:val="0"/>
              <w:autoSpaceDE/>
              <w:autoSpaceDN/>
              <w:bidi w:val="0"/>
              <w:adjustRightInd/>
              <w:snapToGrid/>
              <w:spacing w:before="0" w:beforeAutospacing="0" w:after="0" w:afterAutospacing="0" w:line="300" w:lineRule="exact"/>
              <w:ind w:firstLine="0" w:firstLineChars="0"/>
              <w:jc w:val="center"/>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不</w:t>
            </w:r>
            <w:r>
              <w:rPr>
                <w:rFonts w:hint="eastAsia" w:ascii="宋体" w:hAnsi="宋体" w:eastAsia="宋体" w:cs="宋体"/>
                <w:color w:val="auto"/>
                <w:sz w:val="24"/>
                <w:szCs w:val="24"/>
                <w:highlight w:val="none"/>
                <w:lang w:val="en-US" w:eastAsia="zh-CN"/>
              </w:rPr>
              <w:t>得高于</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w:t>
            </w:r>
          </w:p>
        </w:tc>
        <w:tc>
          <w:tcPr>
            <w:tcW w:w="804" w:type="dxa"/>
            <w:vMerge w:val="restart"/>
            <w:noWrap/>
            <w:vAlign w:val="center"/>
          </w:tcPr>
          <w:p>
            <w:pPr>
              <w:pStyle w:val="26"/>
              <w:keepNext w:val="0"/>
              <w:keepLines w:val="0"/>
              <w:pageBreakBefore w:val="0"/>
              <w:widowControl w:val="0"/>
              <w:kinsoku/>
              <w:wordWrap/>
              <w:overflowPunct/>
              <w:topLinePunct w:val="0"/>
              <w:autoSpaceDE/>
              <w:autoSpaceDN/>
              <w:bidi w:val="0"/>
              <w:adjustRightInd/>
              <w:snapToGrid/>
              <w:spacing w:before="0" w:beforeAutospacing="0" w:after="0" w:afterAutospacing="0" w:line="300" w:lineRule="exact"/>
              <w:ind w:firstLine="0" w:firstLineChars="0"/>
              <w:jc w:val="center"/>
              <w:textAlignment w:val="auto"/>
              <w:rPr>
                <w:rFonts w:hint="eastAsia" w:ascii="宋体" w:hAnsi="宋体" w:eastAsia="宋体" w:cs="宋体"/>
                <w:color w:val="auto"/>
                <w:sz w:val="24"/>
                <w:szCs w:val="24"/>
                <w:highlight w:val="none"/>
              </w:rPr>
            </w:pPr>
          </w:p>
        </w:tc>
        <w:tc>
          <w:tcPr>
            <w:tcW w:w="1384" w:type="dxa"/>
            <w:vMerge w:val="restart"/>
            <w:noWrap/>
            <w:vAlign w:val="center"/>
          </w:tcPr>
          <w:p>
            <w:pPr>
              <w:pStyle w:val="26"/>
              <w:keepNext w:val="0"/>
              <w:keepLines w:val="0"/>
              <w:pageBreakBefore w:val="0"/>
              <w:widowControl w:val="0"/>
              <w:kinsoku/>
              <w:wordWrap/>
              <w:overflowPunct/>
              <w:topLinePunct w:val="0"/>
              <w:autoSpaceDE/>
              <w:autoSpaceDN/>
              <w:bidi w:val="0"/>
              <w:adjustRightInd/>
              <w:snapToGrid/>
              <w:spacing w:before="0" w:beforeAutospacing="0" w:after="0" w:afterAutospacing="0" w:line="300" w:lineRule="exact"/>
              <w:ind w:firstLine="0" w:firstLineChars="0"/>
              <w:jc w:val="center"/>
              <w:textAlignment w:val="auto"/>
              <w:rPr>
                <w:rFonts w:hint="eastAsia" w:ascii="宋体" w:hAnsi="宋体" w:eastAsia="宋体" w:cs="宋体"/>
                <w:color w:val="auto"/>
                <w:sz w:val="24"/>
                <w:szCs w:val="24"/>
                <w:highlight w:val="none"/>
              </w:rPr>
            </w:pPr>
          </w:p>
        </w:tc>
        <w:tc>
          <w:tcPr>
            <w:tcW w:w="1622" w:type="dxa"/>
            <w:vMerge w:val="restart"/>
            <w:noWrap/>
            <w:vAlign w:val="center"/>
          </w:tcPr>
          <w:p>
            <w:pPr>
              <w:pStyle w:val="26"/>
              <w:keepNext w:val="0"/>
              <w:keepLines w:val="0"/>
              <w:pageBreakBefore w:val="0"/>
              <w:widowControl w:val="0"/>
              <w:kinsoku/>
              <w:wordWrap/>
              <w:overflowPunct/>
              <w:topLinePunct w:val="0"/>
              <w:autoSpaceDE/>
              <w:autoSpaceDN/>
              <w:bidi w:val="0"/>
              <w:adjustRightInd/>
              <w:snapToGrid/>
              <w:spacing w:before="0" w:beforeAutospacing="0" w:after="0" w:afterAutospacing="0" w:line="300" w:lineRule="exact"/>
              <w:ind w:firstLine="0" w:firstLineChars="0"/>
              <w:jc w:val="center"/>
              <w:textAlignment w:val="auto"/>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578" w:type="dxa"/>
            <w:noWrap/>
            <w:vAlign w:val="center"/>
          </w:tcPr>
          <w:p>
            <w:pPr>
              <w:pStyle w:val="26"/>
              <w:keepNext w:val="0"/>
              <w:keepLines w:val="0"/>
              <w:pageBreakBefore w:val="0"/>
              <w:widowControl w:val="0"/>
              <w:kinsoku/>
              <w:wordWrap/>
              <w:overflowPunct/>
              <w:topLinePunct w:val="0"/>
              <w:autoSpaceDE/>
              <w:autoSpaceDN/>
              <w:bidi w:val="0"/>
              <w:adjustRightInd/>
              <w:snapToGrid/>
              <w:spacing w:before="0" w:beforeAutospacing="0" w:after="0" w:afterAutospacing="0" w:line="300" w:lineRule="exact"/>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2792" w:type="dxa"/>
            <w:noWrap/>
            <w:vAlign w:val="center"/>
          </w:tcPr>
          <w:p>
            <w:pPr>
              <w:pStyle w:val="26"/>
              <w:keepNext w:val="0"/>
              <w:keepLines w:val="0"/>
              <w:pageBreakBefore w:val="0"/>
              <w:widowControl w:val="0"/>
              <w:kinsoku/>
              <w:wordWrap/>
              <w:overflowPunct/>
              <w:topLinePunct w:val="0"/>
              <w:autoSpaceDE/>
              <w:autoSpaceDN/>
              <w:bidi w:val="0"/>
              <w:adjustRightInd/>
              <w:snapToGrid/>
              <w:spacing w:before="0" w:beforeAutospacing="0" w:after="0" w:afterAutospacing="0" w:line="300" w:lineRule="exact"/>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10001元至100000元</w:t>
            </w:r>
          </w:p>
        </w:tc>
        <w:tc>
          <w:tcPr>
            <w:tcW w:w="1778" w:type="dxa"/>
            <w:noWrap/>
            <w:vAlign w:val="center"/>
          </w:tcPr>
          <w:p>
            <w:pPr>
              <w:pStyle w:val="26"/>
              <w:keepNext w:val="0"/>
              <w:keepLines w:val="0"/>
              <w:pageBreakBefore w:val="0"/>
              <w:widowControl w:val="0"/>
              <w:kinsoku/>
              <w:wordWrap/>
              <w:overflowPunct/>
              <w:topLinePunct w:val="0"/>
              <w:autoSpaceDE/>
              <w:autoSpaceDN/>
              <w:bidi w:val="0"/>
              <w:adjustRightInd/>
              <w:snapToGrid/>
              <w:spacing w:before="0" w:beforeAutospacing="0" w:after="0" w:afterAutospacing="0" w:line="300" w:lineRule="exact"/>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w:t>
            </w:r>
            <w:r>
              <w:rPr>
                <w:rFonts w:hint="eastAsia" w:ascii="宋体" w:hAnsi="宋体" w:eastAsia="宋体" w:cs="宋体"/>
                <w:color w:val="auto"/>
                <w:sz w:val="24"/>
                <w:szCs w:val="24"/>
                <w:highlight w:val="none"/>
                <w:lang w:val="en-US" w:eastAsia="zh-CN"/>
              </w:rPr>
              <w:t>得高于</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w:t>
            </w:r>
          </w:p>
        </w:tc>
        <w:tc>
          <w:tcPr>
            <w:tcW w:w="804" w:type="dxa"/>
            <w:vMerge w:val="continue"/>
            <w:noWrap/>
            <w:vAlign w:val="center"/>
          </w:tcPr>
          <w:p>
            <w:pPr>
              <w:pStyle w:val="26"/>
              <w:keepNext w:val="0"/>
              <w:keepLines w:val="0"/>
              <w:pageBreakBefore w:val="0"/>
              <w:widowControl w:val="0"/>
              <w:kinsoku/>
              <w:wordWrap/>
              <w:overflowPunct/>
              <w:topLinePunct w:val="0"/>
              <w:autoSpaceDE/>
              <w:autoSpaceDN/>
              <w:bidi w:val="0"/>
              <w:adjustRightInd/>
              <w:snapToGrid/>
              <w:spacing w:before="0" w:beforeAutospacing="0" w:after="0" w:afterAutospacing="0" w:line="300" w:lineRule="exact"/>
              <w:ind w:firstLine="0" w:firstLineChars="0"/>
              <w:jc w:val="center"/>
              <w:textAlignment w:val="auto"/>
              <w:rPr>
                <w:rFonts w:hint="eastAsia" w:ascii="宋体" w:hAnsi="宋体" w:eastAsia="宋体" w:cs="宋体"/>
                <w:color w:val="auto"/>
                <w:sz w:val="24"/>
                <w:szCs w:val="24"/>
                <w:highlight w:val="none"/>
              </w:rPr>
            </w:pPr>
          </w:p>
        </w:tc>
        <w:tc>
          <w:tcPr>
            <w:tcW w:w="1384" w:type="dxa"/>
            <w:vMerge w:val="continue"/>
            <w:noWrap/>
            <w:vAlign w:val="center"/>
          </w:tcPr>
          <w:p>
            <w:pPr>
              <w:pStyle w:val="26"/>
              <w:keepNext w:val="0"/>
              <w:keepLines w:val="0"/>
              <w:pageBreakBefore w:val="0"/>
              <w:widowControl w:val="0"/>
              <w:kinsoku/>
              <w:wordWrap/>
              <w:overflowPunct/>
              <w:topLinePunct w:val="0"/>
              <w:autoSpaceDE/>
              <w:autoSpaceDN/>
              <w:bidi w:val="0"/>
              <w:adjustRightInd/>
              <w:snapToGrid/>
              <w:spacing w:before="0" w:beforeAutospacing="0" w:after="0" w:afterAutospacing="0" w:line="300" w:lineRule="exact"/>
              <w:ind w:firstLine="0" w:firstLineChars="0"/>
              <w:jc w:val="center"/>
              <w:textAlignment w:val="auto"/>
              <w:rPr>
                <w:rFonts w:hint="eastAsia" w:ascii="宋体" w:hAnsi="宋体" w:eastAsia="宋体" w:cs="宋体"/>
                <w:color w:val="auto"/>
                <w:sz w:val="24"/>
                <w:szCs w:val="24"/>
                <w:highlight w:val="none"/>
              </w:rPr>
            </w:pPr>
          </w:p>
        </w:tc>
        <w:tc>
          <w:tcPr>
            <w:tcW w:w="1622" w:type="dxa"/>
            <w:vMerge w:val="continue"/>
            <w:noWrap/>
            <w:vAlign w:val="center"/>
          </w:tcPr>
          <w:p>
            <w:pPr>
              <w:pStyle w:val="26"/>
              <w:keepNext w:val="0"/>
              <w:keepLines w:val="0"/>
              <w:pageBreakBefore w:val="0"/>
              <w:widowControl w:val="0"/>
              <w:kinsoku/>
              <w:wordWrap/>
              <w:overflowPunct/>
              <w:topLinePunct w:val="0"/>
              <w:autoSpaceDE/>
              <w:autoSpaceDN/>
              <w:bidi w:val="0"/>
              <w:adjustRightInd/>
              <w:snapToGrid/>
              <w:spacing w:before="0" w:beforeAutospacing="0" w:after="0" w:afterAutospacing="0" w:line="300" w:lineRule="exact"/>
              <w:ind w:firstLine="0" w:firstLineChars="0"/>
              <w:jc w:val="center"/>
              <w:textAlignment w:val="auto"/>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578" w:type="dxa"/>
            <w:noWrap/>
            <w:vAlign w:val="center"/>
          </w:tcPr>
          <w:p>
            <w:pPr>
              <w:pStyle w:val="26"/>
              <w:keepNext w:val="0"/>
              <w:keepLines w:val="0"/>
              <w:pageBreakBefore w:val="0"/>
              <w:widowControl w:val="0"/>
              <w:kinsoku/>
              <w:wordWrap/>
              <w:overflowPunct/>
              <w:topLinePunct w:val="0"/>
              <w:autoSpaceDE/>
              <w:autoSpaceDN/>
              <w:bidi w:val="0"/>
              <w:adjustRightInd/>
              <w:snapToGrid/>
              <w:spacing w:before="0" w:beforeAutospacing="0" w:after="0" w:afterAutospacing="0" w:line="300" w:lineRule="exact"/>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2792" w:type="dxa"/>
            <w:noWrap/>
            <w:vAlign w:val="center"/>
          </w:tcPr>
          <w:p>
            <w:pPr>
              <w:pStyle w:val="26"/>
              <w:keepNext w:val="0"/>
              <w:keepLines w:val="0"/>
              <w:pageBreakBefore w:val="0"/>
              <w:widowControl w:val="0"/>
              <w:kinsoku/>
              <w:wordWrap/>
              <w:overflowPunct/>
              <w:topLinePunct w:val="0"/>
              <w:autoSpaceDE/>
              <w:autoSpaceDN/>
              <w:bidi w:val="0"/>
              <w:adjustRightInd/>
              <w:snapToGrid/>
              <w:spacing w:before="0" w:beforeAutospacing="0" w:after="0" w:afterAutospacing="0" w:line="300" w:lineRule="exact"/>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100001元至500000元</w:t>
            </w:r>
          </w:p>
        </w:tc>
        <w:tc>
          <w:tcPr>
            <w:tcW w:w="1778" w:type="dxa"/>
            <w:noWrap/>
            <w:vAlign w:val="center"/>
          </w:tcPr>
          <w:p>
            <w:pPr>
              <w:pStyle w:val="26"/>
              <w:keepNext w:val="0"/>
              <w:keepLines w:val="0"/>
              <w:pageBreakBefore w:val="0"/>
              <w:widowControl w:val="0"/>
              <w:kinsoku/>
              <w:wordWrap/>
              <w:overflowPunct/>
              <w:topLinePunct w:val="0"/>
              <w:autoSpaceDE/>
              <w:autoSpaceDN/>
              <w:bidi w:val="0"/>
              <w:adjustRightInd/>
              <w:snapToGrid/>
              <w:spacing w:before="0" w:beforeAutospacing="0" w:after="0" w:afterAutospacing="0" w:line="300" w:lineRule="exact"/>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w:t>
            </w:r>
            <w:r>
              <w:rPr>
                <w:rFonts w:hint="eastAsia" w:ascii="宋体" w:hAnsi="宋体" w:eastAsia="宋体" w:cs="宋体"/>
                <w:color w:val="auto"/>
                <w:sz w:val="24"/>
                <w:szCs w:val="24"/>
                <w:highlight w:val="none"/>
                <w:lang w:val="en-US" w:eastAsia="zh-CN"/>
              </w:rPr>
              <w:t>得高于</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w:t>
            </w:r>
          </w:p>
        </w:tc>
        <w:tc>
          <w:tcPr>
            <w:tcW w:w="804" w:type="dxa"/>
            <w:vMerge w:val="continue"/>
            <w:noWrap/>
            <w:vAlign w:val="center"/>
          </w:tcPr>
          <w:p>
            <w:pPr>
              <w:pStyle w:val="26"/>
              <w:keepNext w:val="0"/>
              <w:keepLines w:val="0"/>
              <w:pageBreakBefore w:val="0"/>
              <w:widowControl w:val="0"/>
              <w:kinsoku/>
              <w:wordWrap/>
              <w:overflowPunct/>
              <w:topLinePunct w:val="0"/>
              <w:autoSpaceDE/>
              <w:autoSpaceDN/>
              <w:bidi w:val="0"/>
              <w:adjustRightInd/>
              <w:snapToGrid/>
              <w:spacing w:before="0" w:beforeAutospacing="0" w:after="0" w:afterAutospacing="0" w:line="300" w:lineRule="exact"/>
              <w:ind w:firstLine="0" w:firstLineChars="0"/>
              <w:jc w:val="center"/>
              <w:textAlignment w:val="auto"/>
              <w:rPr>
                <w:rFonts w:hint="eastAsia" w:ascii="宋体" w:hAnsi="宋体" w:eastAsia="宋体" w:cs="宋体"/>
                <w:color w:val="auto"/>
                <w:sz w:val="24"/>
                <w:szCs w:val="24"/>
                <w:highlight w:val="none"/>
              </w:rPr>
            </w:pPr>
          </w:p>
        </w:tc>
        <w:tc>
          <w:tcPr>
            <w:tcW w:w="1384" w:type="dxa"/>
            <w:vMerge w:val="continue"/>
            <w:noWrap/>
            <w:vAlign w:val="center"/>
          </w:tcPr>
          <w:p>
            <w:pPr>
              <w:pStyle w:val="26"/>
              <w:keepNext w:val="0"/>
              <w:keepLines w:val="0"/>
              <w:pageBreakBefore w:val="0"/>
              <w:widowControl w:val="0"/>
              <w:kinsoku/>
              <w:wordWrap/>
              <w:overflowPunct/>
              <w:topLinePunct w:val="0"/>
              <w:autoSpaceDE/>
              <w:autoSpaceDN/>
              <w:bidi w:val="0"/>
              <w:adjustRightInd/>
              <w:snapToGrid/>
              <w:spacing w:before="0" w:beforeAutospacing="0" w:after="0" w:afterAutospacing="0" w:line="300" w:lineRule="exact"/>
              <w:ind w:firstLine="0" w:firstLineChars="0"/>
              <w:jc w:val="center"/>
              <w:textAlignment w:val="auto"/>
              <w:rPr>
                <w:rFonts w:hint="eastAsia" w:ascii="宋体" w:hAnsi="宋体" w:eastAsia="宋体" w:cs="宋体"/>
                <w:color w:val="auto"/>
                <w:sz w:val="24"/>
                <w:szCs w:val="24"/>
                <w:highlight w:val="none"/>
              </w:rPr>
            </w:pPr>
          </w:p>
        </w:tc>
        <w:tc>
          <w:tcPr>
            <w:tcW w:w="1622" w:type="dxa"/>
            <w:vMerge w:val="continue"/>
            <w:noWrap/>
            <w:vAlign w:val="center"/>
          </w:tcPr>
          <w:p>
            <w:pPr>
              <w:pStyle w:val="26"/>
              <w:keepNext w:val="0"/>
              <w:keepLines w:val="0"/>
              <w:pageBreakBefore w:val="0"/>
              <w:widowControl w:val="0"/>
              <w:kinsoku/>
              <w:wordWrap/>
              <w:overflowPunct/>
              <w:topLinePunct w:val="0"/>
              <w:autoSpaceDE/>
              <w:autoSpaceDN/>
              <w:bidi w:val="0"/>
              <w:adjustRightInd/>
              <w:snapToGrid/>
              <w:spacing w:before="0" w:beforeAutospacing="0" w:after="0" w:afterAutospacing="0" w:line="300" w:lineRule="exact"/>
              <w:ind w:firstLine="0" w:firstLineChars="0"/>
              <w:jc w:val="center"/>
              <w:textAlignment w:val="auto"/>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578" w:type="dxa"/>
            <w:noWrap/>
            <w:vAlign w:val="center"/>
          </w:tcPr>
          <w:p>
            <w:pPr>
              <w:pStyle w:val="26"/>
              <w:keepNext w:val="0"/>
              <w:keepLines w:val="0"/>
              <w:pageBreakBefore w:val="0"/>
              <w:widowControl w:val="0"/>
              <w:kinsoku/>
              <w:wordWrap/>
              <w:overflowPunct/>
              <w:topLinePunct w:val="0"/>
              <w:autoSpaceDE/>
              <w:autoSpaceDN/>
              <w:bidi w:val="0"/>
              <w:adjustRightInd/>
              <w:snapToGrid/>
              <w:spacing w:before="0" w:beforeAutospacing="0" w:after="0" w:afterAutospacing="0" w:line="300" w:lineRule="exact"/>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2792" w:type="dxa"/>
            <w:noWrap/>
            <w:vAlign w:val="center"/>
          </w:tcPr>
          <w:p>
            <w:pPr>
              <w:pStyle w:val="26"/>
              <w:keepNext w:val="0"/>
              <w:keepLines w:val="0"/>
              <w:pageBreakBefore w:val="0"/>
              <w:widowControl w:val="0"/>
              <w:kinsoku/>
              <w:wordWrap/>
              <w:overflowPunct/>
              <w:topLinePunct w:val="0"/>
              <w:autoSpaceDE/>
              <w:autoSpaceDN/>
              <w:bidi w:val="0"/>
              <w:adjustRightInd/>
              <w:snapToGrid/>
              <w:spacing w:before="0" w:beforeAutospacing="0" w:after="0" w:afterAutospacing="0" w:line="300" w:lineRule="exact"/>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500001元至 1000000元</w:t>
            </w:r>
          </w:p>
        </w:tc>
        <w:tc>
          <w:tcPr>
            <w:tcW w:w="1778" w:type="dxa"/>
            <w:noWrap/>
            <w:vAlign w:val="center"/>
          </w:tcPr>
          <w:p>
            <w:pPr>
              <w:pStyle w:val="26"/>
              <w:keepNext w:val="0"/>
              <w:keepLines w:val="0"/>
              <w:pageBreakBefore w:val="0"/>
              <w:widowControl w:val="0"/>
              <w:kinsoku/>
              <w:wordWrap/>
              <w:overflowPunct/>
              <w:topLinePunct w:val="0"/>
              <w:autoSpaceDE/>
              <w:autoSpaceDN/>
              <w:bidi w:val="0"/>
              <w:adjustRightInd/>
              <w:snapToGrid/>
              <w:spacing w:before="0" w:beforeAutospacing="0" w:after="0" w:afterAutospacing="0" w:line="300" w:lineRule="exact"/>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w:t>
            </w:r>
            <w:r>
              <w:rPr>
                <w:rFonts w:hint="eastAsia" w:ascii="宋体" w:hAnsi="宋体" w:eastAsia="宋体" w:cs="宋体"/>
                <w:color w:val="auto"/>
                <w:sz w:val="24"/>
                <w:szCs w:val="24"/>
                <w:highlight w:val="none"/>
                <w:lang w:val="en-US" w:eastAsia="zh-CN"/>
              </w:rPr>
              <w:t>得高于</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w:t>
            </w:r>
          </w:p>
        </w:tc>
        <w:tc>
          <w:tcPr>
            <w:tcW w:w="804" w:type="dxa"/>
            <w:vMerge w:val="continue"/>
            <w:noWrap/>
            <w:vAlign w:val="center"/>
          </w:tcPr>
          <w:p>
            <w:pPr>
              <w:pStyle w:val="26"/>
              <w:keepNext w:val="0"/>
              <w:keepLines w:val="0"/>
              <w:pageBreakBefore w:val="0"/>
              <w:widowControl w:val="0"/>
              <w:kinsoku/>
              <w:wordWrap/>
              <w:overflowPunct/>
              <w:topLinePunct w:val="0"/>
              <w:autoSpaceDE/>
              <w:autoSpaceDN/>
              <w:bidi w:val="0"/>
              <w:adjustRightInd/>
              <w:snapToGrid/>
              <w:spacing w:before="0" w:beforeAutospacing="0" w:after="0" w:afterAutospacing="0" w:line="300" w:lineRule="exact"/>
              <w:ind w:firstLine="0" w:firstLineChars="0"/>
              <w:jc w:val="center"/>
              <w:textAlignment w:val="auto"/>
              <w:rPr>
                <w:rFonts w:hint="eastAsia" w:ascii="宋体" w:hAnsi="宋体" w:eastAsia="宋体" w:cs="宋体"/>
                <w:color w:val="auto"/>
                <w:sz w:val="24"/>
                <w:szCs w:val="24"/>
                <w:highlight w:val="none"/>
              </w:rPr>
            </w:pPr>
          </w:p>
        </w:tc>
        <w:tc>
          <w:tcPr>
            <w:tcW w:w="1384" w:type="dxa"/>
            <w:vMerge w:val="continue"/>
            <w:noWrap/>
            <w:vAlign w:val="center"/>
          </w:tcPr>
          <w:p>
            <w:pPr>
              <w:pStyle w:val="26"/>
              <w:keepNext w:val="0"/>
              <w:keepLines w:val="0"/>
              <w:pageBreakBefore w:val="0"/>
              <w:widowControl w:val="0"/>
              <w:kinsoku/>
              <w:wordWrap/>
              <w:overflowPunct/>
              <w:topLinePunct w:val="0"/>
              <w:autoSpaceDE/>
              <w:autoSpaceDN/>
              <w:bidi w:val="0"/>
              <w:adjustRightInd/>
              <w:snapToGrid/>
              <w:spacing w:before="0" w:beforeAutospacing="0" w:after="0" w:afterAutospacing="0" w:line="300" w:lineRule="exact"/>
              <w:ind w:firstLine="0" w:firstLineChars="0"/>
              <w:jc w:val="center"/>
              <w:textAlignment w:val="auto"/>
              <w:rPr>
                <w:rFonts w:hint="eastAsia" w:ascii="宋体" w:hAnsi="宋体" w:eastAsia="宋体" w:cs="宋体"/>
                <w:color w:val="auto"/>
                <w:sz w:val="24"/>
                <w:szCs w:val="24"/>
                <w:highlight w:val="none"/>
              </w:rPr>
            </w:pPr>
          </w:p>
        </w:tc>
        <w:tc>
          <w:tcPr>
            <w:tcW w:w="1622" w:type="dxa"/>
            <w:vMerge w:val="continue"/>
            <w:noWrap/>
            <w:vAlign w:val="center"/>
          </w:tcPr>
          <w:p>
            <w:pPr>
              <w:pStyle w:val="26"/>
              <w:keepNext w:val="0"/>
              <w:keepLines w:val="0"/>
              <w:pageBreakBefore w:val="0"/>
              <w:widowControl w:val="0"/>
              <w:kinsoku/>
              <w:wordWrap/>
              <w:overflowPunct/>
              <w:topLinePunct w:val="0"/>
              <w:autoSpaceDE/>
              <w:autoSpaceDN/>
              <w:bidi w:val="0"/>
              <w:adjustRightInd/>
              <w:snapToGrid/>
              <w:spacing w:before="0" w:beforeAutospacing="0" w:after="0" w:afterAutospacing="0" w:line="300" w:lineRule="exact"/>
              <w:ind w:firstLine="0" w:firstLineChars="0"/>
              <w:jc w:val="center"/>
              <w:textAlignment w:val="auto"/>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578" w:type="dxa"/>
            <w:noWrap/>
            <w:vAlign w:val="center"/>
          </w:tcPr>
          <w:p>
            <w:pPr>
              <w:pStyle w:val="26"/>
              <w:keepNext w:val="0"/>
              <w:keepLines w:val="0"/>
              <w:pageBreakBefore w:val="0"/>
              <w:widowControl w:val="0"/>
              <w:kinsoku/>
              <w:wordWrap/>
              <w:overflowPunct/>
              <w:topLinePunct w:val="0"/>
              <w:autoSpaceDE/>
              <w:autoSpaceDN/>
              <w:bidi w:val="0"/>
              <w:adjustRightInd/>
              <w:snapToGrid/>
              <w:spacing w:before="0" w:beforeAutospacing="0" w:after="0" w:afterAutospacing="0" w:line="300" w:lineRule="exact"/>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2792" w:type="dxa"/>
            <w:noWrap/>
            <w:vAlign w:val="center"/>
          </w:tcPr>
          <w:p>
            <w:pPr>
              <w:pStyle w:val="26"/>
              <w:keepNext w:val="0"/>
              <w:keepLines w:val="0"/>
              <w:pageBreakBefore w:val="0"/>
              <w:widowControl w:val="0"/>
              <w:kinsoku/>
              <w:wordWrap/>
              <w:overflowPunct/>
              <w:topLinePunct w:val="0"/>
              <w:autoSpaceDE/>
              <w:autoSpaceDN/>
              <w:bidi w:val="0"/>
              <w:adjustRightInd/>
              <w:snapToGrid/>
              <w:spacing w:before="0" w:beforeAutospacing="0" w:after="0" w:afterAutospacing="0" w:line="300" w:lineRule="exact"/>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100000l元至5000000元</w:t>
            </w:r>
          </w:p>
        </w:tc>
        <w:tc>
          <w:tcPr>
            <w:tcW w:w="1778" w:type="dxa"/>
            <w:noWrap/>
            <w:vAlign w:val="center"/>
          </w:tcPr>
          <w:p>
            <w:pPr>
              <w:pStyle w:val="26"/>
              <w:keepNext w:val="0"/>
              <w:keepLines w:val="0"/>
              <w:pageBreakBefore w:val="0"/>
              <w:widowControl w:val="0"/>
              <w:kinsoku/>
              <w:wordWrap/>
              <w:overflowPunct/>
              <w:topLinePunct w:val="0"/>
              <w:autoSpaceDE/>
              <w:autoSpaceDN/>
              <w:bidi w:val="0"/>
              <w:adjustRightInd/>
              <w:snapToGrid/>
              <w:spacing w:before="0" w:beforeAutospacing="0" w:after="0" w:afterAutospacing="0" w:line="300" w:lineRule="exact"/>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w:t>
            </w:r>
            <w:r>
              <w:rPr>
                <w:rFonts w:hint="eastAsia" w:ascii="宋体" w:hAnsi="宋体" w:eastAsia="宋体" w:cs="宋体"/>
                <w:color w:val="auto"/>
                <w:sz w:val="24"/>
                <w:szCs w:val="24"/>
                <w:highlight w:val="none"/>
                <w:lang w:val="en-US" w:eastAsia="zh-CN"/>
              </w:rPr>
              <w:t>得高于</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w:t>
            </w:r>
          </w:p>
        </w:tc>
        <w:tc>
          <w:tcPr>
            <w:tcW w:w="804" w:type="dxa"/>
            <w:vMerge w:val="continue"/>
            <w:noWrap/>
            <w:vAlign w:val="center"/>
          </w:tcPr>
          <w:p>
            <w:pPr>
              <w:pStyle w:val="26"/>
              <w:keepNext w:val="0"/>
              <w:keepLines w:val="0"/>
              <w:pageBreakBefore w:val="0"/>
              <w:widowControl w:val="0"/>
              <w:kinsoku/>
              <w:wordWrap/>
              <w:overflowPunct/>
              <w:topLinePunct w:val="0"/>
              <w:autoSpaceDE/>
              <w:autoSpaceDN/>
              <w:bidi w:val="0"/>
              <w:adjustRightInd/>
              <w:snapToGrid/>
              <w:spacing w:before="0" w:beforeAutospacing="0" w:after="0" w:afterAutospacing="0" w:line="300" w:lineRule="exact"/>
              <w:ind w:firstLine="0" w:firstLineChars="0"/>
              <w:jc w:val="center"/>
              <w:textAlignment w:val="auto"/>
              <w:rPr>
                <w:rFonts w:hint="eastAsia" w:ascii="宋体" w:hAnsi="宋体" w:eastAsia="宋体" w:cs="宋体"/>
                <w:color w:val="auto"/>
                <w:sz w:val="24"/>
                <w:szCs w:val="24"/>
                <w:highlight w:val="none"/>
              </w:rPr>
            </w:pPr>
          </w:p>
        </w:tc>
        <w:tc>
          <w:tcPr>
            <w:tcW w:w="1384" w:type="dxa"/>
            <w:vMerge w:val="continue"/>
            <w:noWrap/>
            <w:vAlign w:val="center"/>
          </w:tcPr>
          <w:p>
            <w:pPr>
              <w:pStyle w:val="26"/>
              <w:keepNext w:val="0"/>
              <w:keepLines w:val="0"/>
              <w:pageBreakBefore w:val="0"/>
              <w:widowControl w:val="0"/>
              <w:kinsoku/>
              <w:wordWrap/>
              <w:overflowPunct/>
              <w:topLinePunct w:val="0"/>
              <w:autoSpaceDE/>
              <w:autoSpaceDN/>
              <w:bidi w:val="0"/>
              <w:adjustRightInd/>
              <w:snapToGrid/>
              <w:spacing w:before="0" w:beforeAutospacing="0" w:after="0" w:afterAutospacing="0" w:line="300" w:lineRule="exact"/>
              <w:ind w:firstLine="0" w:firstLineChars="0"/>
              <w:jc w:val="center"/>
              <w:textAlignment w:val="auto"/>
              <w:rPr>
                <w:rFonts w:hint="eastAsia" w:ascii="宋体" w:hAnsi="宋体" w:eastAsia="宋体" w:cs="宋体"/>
                <w:color w:val="auto"/>
                <w:sz w:val="24"/>
                <w:szCs w:val="24"/>
                <w:highlight w:val="none"/>
              </w:rPr>
            </w:pPr>
          </w:p>
        </w:tc>
        <w:tc>
          <w:tcPr>
            <w:tcW w:w="1622" w:type="dxa"/>
            <w:vMerge w:val="continue"/>
            <w:noWrap/>
            <w:vAlign w:val="center"/>
          </w:tcPr>
          <w:p>
            <w:pPr>
              <w:pStyle w:val="26"/>
              <w:keepNext w:val="0"/>
              <w:keepLines w:val="0"/>
              <w:pageBreakBefore w:val="0"/>
              <w:widowControl w:val="0"/>
              <w:kinsoku/>
              <w:wordWrap/>
              <w:overflowPunct/>
              <w:topLinePunct w:val="0"/>
              <w:autoSpaceDE/>
              <w:autoSpaceDN/>
              <w:bidi w:val="0"/>
              <w:adjustRightInd/>
              <w:snapToGrid/>
              <w:spacing w:before="0" w:beforeAutospacing="0" w:after="0" w:afterAutospacing="0" w:line="300" w:lineRule="exact"/>
              <w:ind w:firstLine="0" w:firstLineChars="0"/>
              <w:jc w:val="center"/>
              <w:textAlignment w:val="auto"/>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578" w:type="dxa"/>
            <w:noWrap/>
            <w:vAlign w:val="center"/>
          </w:tcPr>
          <w:p>
            <w:pPr>
              <w:pStyle w:val="26"/>
              <w:keepNext w:val="0"/>
              <w:keepLines w:val="0"/>
              <w:pageBreakBefore w:val="0"/>
              <w:widowControl w:val="0"/>
              <w:kinsoku/>
              <w:wordWrap/>
              <w:overflowPunct/>
              <w:topLinePunct w:val="0"/>
              <w:autoSpaceDE/>
              <w:autoSpaceDN/>
              <w:bidi w:val="0"/>
              <w:adjustRightInd/>
              <w:snapToGrid/>
              <w:spacing w:before="0" w:beforeAutospacing="0" w:after="0" w:afterAutospacing="0" w:line="300" w:lineRule="exact"/>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2792" w:type="dxa"/>
            <w:noWrap/>
            <w:vAlign w:val="center"/>
          </w:tcPr>
          <w:p>
            <w:pPr>
              <w:pStyle w:val="26"/>
              <w:keepNext w:val="0"/>
              <w:keepLines w:val="0"/>
              <w:pageBreakBefore w:val="0"/>
              <w:widowControl w:val="0"/>
              <w:kinsoku/>
              <w:wordWrap/>
              <w:overflowPunct/>
              <w:topLinePunct w:val="0"/>
              <w:autoSpaceDE/>
              <w:autoSpaceDN/>
              <w:bidi w:val="0"/>
              <w:adjustRightInd/>
              <w:snapToGrid/>
              <w:spacing w:before="0" w:beforeAutospacing="0" w:after="0" w:afterAutospacing="0" w:line="300" w:lineRule="exact"/>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500O00l元至10000000元</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不包括1000万元</w:t>
            </w:r>
            <w:r>
              <w:rPr>
                <w:rFonts w:hint="eastAsia" w:ascii="宋体" w:hAnsi="宋体" w:eastAsia="宋体" w:cs="宋体"/>
                <w:color w:val="auto"/>
                <w:sz w:val="24"/>
                <w:szCs w:val="24"/>
                <w:highlight w:val="none"/>
                <w:lang w:eastAsia="zh-CN"/>
              </w:rPr>
              <w:t>）</w:t>
            </w:r>
          </w:p>
        </w:tc>
        <w:tc>
          <w:tcPr>
            <w:tcW w:w="1778" w:type="dxa"/>
            <w:noWrap/>
            <w:vAlign w:val="center"/>
          </w:tcPr>
          <w:p>
            <w:pPr>
              <w:pStyle w:val="26"/>
              <w:keepNext w:val="0"/>
              <w:keepLines w:val="0"/>
              <w:pageBreakBefore w:val="0"/>
              <w:widowControl w:val="0"/>
              <w:kinsoku/>
              <w:wordWrap/>
              <w:overflowPunct/>
              <w:topLinePunct w:val="0"/>
              <w:autoSpaceDE/>
              <w:autoSpaceDN/>
              <w:bidi w:val="0"/>
              <w:adjustRightInd/>
              <w:snapToGrid/>
              <w:spacing w:before="0" w:beforeAutospacing="0" w:after="0" w:afterAutospacing="0" w:line="300" w:lineRule="exact"/>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w:t>
            </w:r>
            <w:r>
              <w:rPr>
                <w:rFonts w:hint="eastAsia" w:ascii="宋体" w:hAnsi="宋体" w:eastAsia="宋体" w:cs="宋体"/>
                <w:color w:val="auto"/>
                <w:sz w:val="24"/>
                <w:szCs w:val="24"/>
                <w:highlight w:val="none"/>
                <w:lang w:val="en-US" w:eastAsia="zh-CN"/>
              </w:rPr>
              <w:t>得高于</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w:t>
            </w:r>
          </w:p>
        </w:tc>
        <w:tc>
          <w:tcPr>
            <w:tcW w:w="804" w:type="dxa"/>
            <w:vMerge w:val="continue"/>
            <w:noWrap/>
            <w:vAlign w:val="center"/>
          </w:tcPr>
          <w:p>
            <w:pPr>
              <w:pStyle w:val="26"/>
              <w:keepNext w:val="0"/>
              <w:keepLines w:val="0"/>
              <w:pageBreakBefore w:val="0"/>
              <w:widowControl w:val="0"/>
              <w:kinsoku/>
              <w:wordWrap/>
              <w:overflowPunct/>
              <w:topLinePunct w:val="0"/>
              <w:autoSpaceDE/>
              <w:autoSpaceDN/>
              <w:bidi w:val="0"/>
              <w:adjustRightInd/>
              <w:snapToGrid/>
              <w:spacing w:before="0" w:beforeAutospacing="0" w:after="0" w:afterAutospacing="0" w:line="300" w:lineRule="exact"/>
              <w:ind w:firstLine="0" w:firstLineChars="0"/>
              <w:jc w:val="center"/>
              <w:textAlignment w:val="auto"/>
              <w:rPr>
                <w:rFonts w:hint="eastAsia" w:ascii="宋体" w:hAnsi="宋体" w:eastAsia="宋体" w:cs="宋体"/>
                <w:color w:val="auto"/>
                <w:sz w:val="24"/>
                <w:szCs w:val="24"/>
                <w:highlight w:val="none"/>
              </w:rPr>
            </w:pPr>
          </w:p>
        </w:tc>
        <w:tc>
          <w:tcPr>
            <w:tcW w:w="1384" w:type="dxa"/>
            <w:vMerge w:val="continue"/>
            <w:noWrap/>
            <w:vAlign w:val="center"/>
          </w:tcPr>
          <w:p>
            <w:pPr>
              <w:pStyle w:val="26"/>
              <w:keepNext w:val="0"/>
              <w:keepLines w:val="0"/>
              <w:pageBreakBefore w:val="0"/>
              <w:widowControl w:val="0"/>
              <w:kinsoku/>
              <w:wordWrap/>
              <w:overflowPunct/>
              <w:topLinePunct w:val="0"/>
              <w:autoSpaceDE/>
              <w:autoSpaceDN/>
              <w:bidi w:val="0"/>
              <w:adjustRightInd/>
              <w:snapToGrid/>
              <w:spacing w:before="0" w:beforeAutospacing="0" w:after="0" w:afterAutospacing="0" w:line="300" w:lineRule="exact"/>
              <w:ind w:firstLine="0" w:firstLineChars="0"/>
              <w:jc w:val="center"/>
              <w:textAlignment w:val="auto"/>
              <w:rPr>
                <w:rFonts w:hint="eastAsia" w:ascii="宋体" w:hAnsi="宋体" w:eastAsia="宋体" w:cs="宋体"/>
                <w:color w:val="auto"/>
                <w:sz w:val="24"/>
                <w:szCs w:val="24"/>
                <w:highlight w:val="none"/>
              </w:rPr>
            </w:pPr>
          </w:p>
        </w:tc>
        <w:tc>
          <w:tcPr>
            <w:tcW w:w="1622" w:type="dxa"/>
            <w:vMerge w:val="continue"/>
            <w:noWrap/>
            <w:vAlign w:val="center"/>
          </w:tcPr>
          <w:p>
            <w:pPr>
              <w:pStyle w:val="26"/>
              <w:keepNext w:val="0"/>
              <w:keepLines w:val="0"/>
              <w:pageBreakBefore w:val="0"/>
              <w:widowControl w:val="0"/>
              <w:kinsoku/>
              <w:wordWrap/>
              <w:overflowPunct/>
              <w:topLinePunct w:val="0"/>
              <w:autoSpaceDE/>
              <w:autoSpaceDN/>
              <w:bidi w:val="0"/>
              <w:adjustRightInd/>
              <w:snapToGrid/>
              <w:spacing w:before="0" w:beforeAutospacing="0" w:after="0" w:afterAutospacing="0" w:line="300" w:lineRule="exact"/>
              <w:ind w:firstLine="0" w:firstLineChars="0"/>
              <w:jc w:val="center"/>
              <w:textAlignment w:val="auto"/>
              <w:rPr>
                <w:rFonts w:hint="eastAsia" w:ascii="宋体" w:hAnsi="宋体" w:eastAsia="宋体" w:cs="宋体"/>
                <w:color w:val="auto"/>
                <w:sz w:val="24"/>
                <w:szCs w:val="24"/>
                <w:highlight w:val="none"/>
              </w:rPr>
            </w:pPr>
          </w:p>
        </w:tc>
      </w:tr>
    </w:tbl>
    <w:p>
      <w:pPr>
        <w:widowControl/>
        <w:numPr>
          <w:ilvl w:val="0"/>
          <w:numId w:val="4"/>
        </w:numPr>
        <w:adjustRightInd w:val="0"/>
        <w:snapToGrid w:val="0"/>
        <w:spacing w:line="360" w:lineRule="auto"/>
        <w:ind w:firstLine="480" w:firstLineChars="200"/>
        <w:rPr>
          <w:rFonts w:ascii="宋体" w:hAnsi="宋体" w:cs="宋体"/>
          <w:color w:val="auto"/>
          <w:kern w:val="0"/>
          <w:sz w:val="24"/>
          <w:szCs w:val="24"/>
        </w:rPr>
      </w:pPr>
      <w:r>
        <w:rPr>
          <w:rFonts w:hint="eastAsia" w:ascii="宋体" w:hAnsi="宋体" w:cs="宋体"/>
          <w:color w:val="auto"/>
          <w:kern w:val="0"/>
          <w:sz w:val="24"/>
          <w:szCs w:val="24"/>
          <w:lang w:val="en-US" w:eastAsia="zh-CN"/>
        </w:rPr>
        <w:t>诉讼法律服务实行“基础代理+风险代理”或“全风险代理”的方式，基础代理费不再进行报价，由双方在个案中进行协商处理;风险代理费由索赔到账金额的一定比例支付，投标供应商对支付比例进行报价。上表中的收费标准为收费比例的最高投标限价，合同双方根据投标报价在具体个案中单独签署代理合同进行明确(协商选择“基础代理+风险代理”或选择“全风险代理”诉讼法律服务收费均不高于每案追回金额*最高投标限价支付比例即可)。</w:t>
      </w:r>
    </w:p>
    <w:p>
      <w:pPr>
        <w:widowControl/>
        <w:numPr>
          <w:ilvl w:val="0"/>
          <w:numId w:val="0"/>
        </w:numPr>
        <w:adjustRightInd w:val="0"/>
        <w:snapToGrid w:val="0"/>
        <w:spacing w:line="360" w:lineRule="auto"/>
        <w:ind w:firstLine="480" w:firstLineChars="200"/>
        <w:rPr>
          <w:rFonts w:ascii="宋体" w:hAnsi="宋体" w:cs="宋体"/>
          <w:color w:val="auto"/>
          <w:kern w:val="0"/>
          <w:sz w:val="24"/>
          <w:szCs w:val="24"/>
        </w:rPr>
      </w:pPr>
      <w:r>
        <w:rPr>
          <w:rFonts w:hint="eastAsia" w:ascii="宋体" w:hAnsi="宋体" w:cs="宋体"/>
          <w:color w:val="auto"/>
          <w:kern w:val="0"/>
          <w:sz w:val="24"/>
          <w:szCs w:val="24"/>
          <w:lang w:val="en-US" w:eastAsia="zh-CN"/>
        </w:rPr>
        <w:t>2.针对诉讼标的为1000万元及以上的案件，采取一事一议的方式，不在上述表格中设置一审最高投标限价（折扣），此诉讼标的金额范围可由甲方根据营业授权范围进行调整。此处内容不要求供应商进行报价且不参与报价评审。</w:t>
      </w:r>
    </w:p>
    <w:p>
      <w:pPr>
        <w:widowControl/>
        <w:adjustRightInd w:val="0"/>
        <w:snapToGrid w:val="0"/>
        <w:spacing w:line="360" w:lineRule="auto"/>
        <w:rPr>
          <w:rFonts w:hint="eastAsia" w:ascii="宋体" w:hAnsi="宋体" w:cs="宋体"/>
          <w:color w:val="auto"/>
          <w:kern w:val="0"/>
          <w:sz w:val="24"/>
          <w:szCs w:val="24"/>
        </w:rPr>
      </w:pPr>
    </w:p>
    <w:p>
      <w:pPr>
        <w:widowControl/>
        <w:adjustRightInd w:val="0"/>
        <w:snapToGrid w:val="0"/>
        <w:spacing w:line="360" w:lineRule="auto"/>
        <w:rPr>
          <w:rFonts w:hint="eastAsia" w:ascii="宋体" w:hAnsi="宋体" w:cs="宋体"/>
          <w:color w:val="auto"/>
          <w:kern w:val="0"/>
          <w:sz w:val="24"/>
          <w:szCs w:val="24"/>
        </w:rPr>
      </w:pPr>
    </w:p>
    <w:p>
      <w:pPr>
        <w:widowControl/>
        <w:adjustRightInd w:val="0"/>
        <w:snapToGrid w:val="0"/>
        <w:spacing w:line="360" w:lineRule="auto"/>
        <w:rPr>
          <w:rFonts w:ascii="宋体" w:hAnsi="宋体" w:cs="宋体"/>
          <w:color w:val="auto"/>
          <w:kern w:val="0"/>
          <w:sz w:val="24"/>
          <w:szCs w:val="24"/>
        </w:rPr>
      </w:pPr>
      <w:r>
        <w:rPr>
          <w:rFonts w:hint="eastAsia" w:ascii="宋体" w:hAnsi="宋体" w:cs="宋体"/>
          <w:color w:val="auto"/>
          <w:kern w:val="0"/>
          <w:sz w:val="24"/>
          <w:szCs w:val="24"/>
        </w:rPr>
        <w:t>注：</w:t>
      </w:r>
    </w:p>
    <w:p>
      <w:pPr>
        <w:adjustRightInd w:val="0"/>
        <w:snapToGrid w:val="0"/>
        <w:spacing w:line="360" w:lineRule="auto"/>
        <w:rPr>
          <w:rFonts w:cs="Arial" w:asciiTheme="minorEastAsia" w:hAnsiTheme="minorEastAsia" w:eastAsiaTheme="minorEastAsia"/>
          <w:color w:val="auto"/>
          <w:sz w:val="24"/>
        </w:rPr>
      </w:pPr>
      <w:r>
        <w:rPr>
          <w:rFonts w:hint="eastAsia" w:cs="Arial" w:asciiTheme="minorEastAsia" w:hAnsiTheme="minorEastAsia" w:eastAsiaTheme="minorEastAsia"/>
          <w:color w:val="auto"/>
          <w:sz w:val="24"/>
        </w:rPr>
        <w:t>1、报价一览表及分项报价表一起单独密封提交。</w:t>
      </w:r>
    </w:p>
    <w:p>
      <w:pPr>
        <w:adjustRightInd w:val="0"/>
        <w:snapToGrid w:val="0"/>
        <w:spacing w:line="360" w:lineRule="auto"/>
        <w:rPr>
          <w:rFonts w:ascii="宋体" w:hAnsi="宋体" w:cs="宋体"/>
          <w:color w:val="auto"/>
          <w:sz w:val="24"/>
          <w:szCs w:val="24"/>
        </w:rPr>
      </w:pPr>
      <w:r>
        <w:rPr>
          <w:rFonts w:hint="eastAsia" w:ascii="宋体" w:hAnsi="宋体" w:cs="宋体"/>
          <w:color w:val="auto"/>
          <w:sz w:val="24"/>
          <w:szCs w:val="24"/>
          <w:lang w:bidi="ar"/>
        </w:rPr>
        <w:t>2、以上报价单位为人民币。报价总价为完成本项目规定工作所需的全部费用，包括但不限于项目开发、测试、培训、推广、维护过程中，为甲方提供技术服务人员支持以保障招标人的需求得到实现的所有费用、评估费用、税金等。</w:t>
      </w:r>
    </w:p>
    <w:p>
      <w:pPr>
        <w:adjustRightInd w:val="0"/>
        <w:snapToGrid w:val="0"/>
        <w:spacing w:line="360" w:lineRule="auto"/>
        <w:jc w:val="left"/>
        <w:textAlignment w:val="baseline"/>
        <w:rPr>
          <w:rFonts w:ascii="宋体" w:hAnsi="宋体" w:cs="宋体"/>
          <w:color w:val="auto"/>
          <w:sz w:val="24"/>
          <w:szCs w:val="24"/>
        </w:rPr>
      </w:pPr>
      <w:r>
        <w:rPr>
          <w:rFonts w:hint="eastAsia" w:ascii="宋体" w:hAnsi="宋体" w:cs="宋体"/>
          <w:color w:val="auto"/>
          <w:sz w:val="24"/>
          <w:szCs w:val="24"/>
          <w:lang w:bidi="ar"/>
        </w:rPr>
        <w:t>3、“发票类型”应注明“营业税发票”、“增值税专用发票”或“增值税普通发票”。</w:t>
      </w:r>
    </w:p>
    <w:p>
      <w:pPr>
        <w:widowControl/>
        <w:adjustRightInd w:val="0"/>
        <w:snapToGrid w:val="0"/>
        <w:spacing w:line="360" w:lineRule="auto"/>
        <w:rPr>
          <w:rFonts w:ascii="宋体" w:hAnsi="宋体" w:cs="宋体"/>
          <w:color w:val="auto"/>
          <w:sz w:val="24"/>
          <w:szCs w:val="24"/>
          <w:lang w:bidi="ar"/>
        </w:rPr>
      </w:pPr>
      <w:r>
        <w:rPr>
          <w:rFonts w:hint="eastAsia" w:ascii="宋体" w:hAnsi="宋体" w:cs="宋体"/>
          <w:color w:val="auto"/>
          <w:sz w:val="24"/>
          <w:szCs w:val="24"/>
          <w:lang w:bidi="ar"/>
        </w:rPr>
        <w:t>4、有关价格及服务声明可填入备注栏内。</w:t>
      </w:r>
    </w:p>
    <w:p>
      <w:pPr>
        <w:widowControl/>
        <w:adjustRightInd w:val="0"/>
        <w:snapToGrid w:val="0"/>
        <w:spacing w:line="360" w:lineRule="auto"/>
        <w:rPr>
          <w:rFonts w:ascii="宋体" w:hAnsi="宋体" w:cs="宋体"/>
          <w:color w:val="000000" w:themeColor="text1"/>
          <w:kern w:val="0"/>
          <w:sz w:val="24"/>
          <w:szCs w:val="24"/>
          <w14:textFill>
            <w14:solidFill>
              <w14:schemeClr w14:val="tx1"/>
            </w14:solidFill>
          </w14:textFill>
        </w:rPr>
      </w:pPr>
    </w:p>
    <w:p>
      <w:pPr>
        <w:pStyle w:val="2"/>
        <w:numPr>
          <w:ilvl w:val="1"/>
          <w:numId w:val="0"/>
        </w:numPr>
        <w:ind w:leftChars="0"/>
      </w:pPr>
    </w:p>
    <w:p>
      <w:pPr>
        <w:widowControl/>
        <w:adjustRightInd w:val="0"/>
        <w:snapToGrid w:val="0"/>
        <w:spacing w:line="360" w:lineRule="auto"/>
        <w:rPr>
          <w:rFonts w:hint="eastAsia" w:ascii="宋体" w:hAnsi="宋体" w:eastAsia="宋体" w:cs="宋体"/>
          <w:color w:val="000000" w:themeColor="text1"/>
          <w:kern w:val="0"/>
          <w:sz w:val="24"/>
          <w:szCs w:val="24"/>
          <w:u w:val="single"/>
          <w:lang w:eastAsia="zh-CN"/>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授权代表签字并加盖公章</w:t>
      </w:r>
      <w:r>
        <w:rPr>
          <w:rFonts w:hint="eastAsia" w:ascii="宋体" w:hAnsi="宋体" w:cs="宋体"/>
          <w:color w:val="000000" w:themeColor="text1"/>
          <w:kern w:val="0"/>
          <w:sz w:val="24"/>
          <w:szCs w:val="24"/>
          <w:lang w:eastAsia="zh-CN"/>
          <w14:textFill>
            <w14:solidFill>
              <w14:schemeClr w14:val="tx1"/>
            </w14:solidFill>
          </w14:textFill>
        </w:rPr>
        <w:t>：</w:t>
      </w:r>
    </w:p>
    <w:p>
      <w:pPr>
        <w:widowControl/>
        <w:adjustRightInd w:val="0"/>
        <w:snapToGrid w:val="0"/>
        <w:spacing w:line="360" w:lineRule="auto"/>
        <w:rPr>
          <w:rFonts w:ascii="宋体" w:hAnsi="宋体" w:cs="宋体"/>
          <w:color w:val="000000" w:themeColor="text1"/>
          <w:kern w:val="0"/>
          <w:sz w:val="24"/>
          <w:szCs w:val="24"/>
          <w:u w:val="single"/>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日期：</w:t>
      </w:r>
    </w:p>
    <w:p>
      <w:pPr>
        <w:pStyle w:val="2"/>
        <w:numPr>
          <w:ilvl w:val="0"/>
          <w:numId w:val="0"/>
        </w:numPr>
        <w:rPr>
          <w:sz w:val="24"/>
          <w:szCs w:val="24"/>
        </w:rPr>
      </w:pPr>
      <w:bookmarkStart w:id="8" w:name="_Toc104714659"/>
      <w:bookmarkEnd w:id="8"/>
      <w:bookmarkStart w:id="9" w:name="_Toc125183170"/>
      <w:bookmarkEnd w:id="9"/>
      <w:bookmarkStart w:id="10" w:name="_Toc127761806"/>
      <w:bookmarkEnd w:id="10"/>
      <w:r>
        <w:rPr>
          <w:rFonts w:hint="eastAsia"/>
          <w:sz w:val="24"/>
          <w:szCs w:val="24"/>
        </w:rPr>
        <w:t>附件2.</w:t>
      </w:r>
      <w:r>
        <w:rPr>
          <w:rFonts w:hint="eastAsia"/>
          <w:sz w:val="24"/>
          <w:szCs w:val="24"/>
          <w:lang w:val="en-US" w:eastAsia="zh-CN"/>
        </w:rPr>
        <w:t>5</w:t>
      </w:r>
      <w:r>
        <w:rPr>
          <w:sz w:val="24"/>
          <w:szCs w:val="24"/>
        </w:rPr>
        <w:t xml:space="preserve"> </w:t>
      </w:r>
      <w:r>
        <w:rPr>
          <w:rFonts w:hint="eastAsia"/>
          <w:sz w:val="24"/>
          <w:szCs w:val="24"/>
        </w:rPr>
        <w:t>商务偏离表格式</w:t>
      </w:r>
    </w:p>
    <w:p>
      <w:pPr>
        <w:widowControl/>
        <w:adjustRightInd w:val="0"/>
        <w:snapToGrid w:val="0"/>
        <w:spacing w:line="360" w:lineRule="auto"/>
        <w:jc w:val="left"/>
        <w:rPr>
          <w:rFonts w:ascii="宋体" w:hAnsi="宋体" w:cs="宋体"/>
          <w:kern w:val="0"/>
          <w:sz w:val="24"/>
          <w:szCs w:val="24"/>
        </w:rPr>
      </w:pPr>
    </w:p>
    <w:p>
      <w:pPr>
        <w:jc w:val="center"/>
        <w:rPr>
          <w:b/>
          <w:sz w:val="24"/>
          <w:szCs w:val="24"/>
        </w:rPr>
      </w:pPr>
      <w:r>
        <w:rPr>
          <w:rFonts w:hint="eastAsia"/>
          <w:b/>
          <w:sz w:val="24"/>
          <w:szCs w:val="24"/>
        </w:rPr>
        <w:t>商务条款偏离表</w:t>
      </w:r>
    </w:p>
    <w:p>
      <w:pPr>
        <w:widowControl/>
        <w:adjustRightInd w:val="0"/>
        <w:snapToGrid w:val="0"/>
        <w:spacing w:line="360" w:lineRule="auto"/>
        <w:ind w:hanging="119"/>
        <w:rPr>
          <w:rFonts w:ascii="宋体" w:hAnsi="宋体" w:cs="宋体"/>
          <w:kern w:val="0"/>
          <w:sz w:val="24"/>
          <w:szCs w:val="24"/>
          <w:u w:val="single"/>
        </w:rPr>
      </w:pPr>
      <w:r>
        <w:rPr>
          <w:rFonts w:hint="eastAsia" w:ascii="宋体" w:hAnsi="宋体" w:cs="宋体"/>
          <w:kern w:val="0"/>
          <w:sz w:val="24"/>
          <w:szCs w:val="24"/>
        </w:rPr>
        <w:t>供应商名称:</w:t>
      </w:r>
    </w:p>
    <w:p>
      <w:pPr>
        <w:widowControl/>
        <w:adjustRightInd w:val="0"/>
        <w:snapToGrid w:val="0"/>
        <w:spacing w:line="360" w:lineRule="auto"/>
        <w:ind w:hanging="119"/>
        <w:rPr>
          <w:rFonts w:ascii="宋体" w:hAnsi="宋体" w:cs="宋体"/>
          <w:kern w:val="0"/>
          <w:sz w:val="24"/>
          <w:szCs w:val="24"/>
          <w:u w:val="single"/>
        </w:rPr>
      </w:pPr>
      <w:r>
        <w:rPr>
          <w:rFonts w:hint="eastAsia" w:ascii="宋体" w:hAnsi="宋体" w:cs="宋体"/>
          <w:kern w:val="0"/>
          <w:sz w:val="24"/>
          <w:szCs w:val="24"/>
        </w:rPr>
        <w:t>项目名称：</w:t>
      </w:r>
    </w:p>
    <w:tbl>
      <w:tblPr>
        <w:tblStyle w:val="29"/>
        <w:tblW w:w="8774" w:type="dxa"/>
        <w:tblInd w:w="0" w:type="dxa"/>
        <w:tblLayout w:type="fixed"/>
        <w:tblCellMar>
          <w:top w:w="0" w:type="dxa"/>
          <w:left w:w="0" w:type="dxa"/>
          <w:bottom w:w="0" w:type="dxa"/>
          <w:right w:w="0" w:type="dxa"/>
        </w:tblCellMar>
      </w:tblPr>
      <w:tblGrid>
        <w:gridCol w:w="806"/>
        <w:gridCol w:w="2156"/>
        <w:gridCol w:w="2410"/>
        <w:gridCol w:w="2410"/>
        <w:gridCol w:w="992"/>
      </w:tblGrid>
      <w:tr>
        <w:tblPrEx>
          <w:tblCellMar>
            <w:top w:w="0" w:type="dxa"/>
            <w:left w:w="0" w:type="dxa"/>
            <w:bottom w:w="0" w:type="dxa"/>
            <w:right w:w="0" w:type="dxa"/>
          </w:tblCellMar>
        </w:tblPrEx>
        <w:tc>
          <w:tcPr>
            <w:tcW w:w="806" w:type="dxa"/>
            <w:tcBorders>
              <w:top w:val="single" w:color="auto" w:sz="12" w:space="0"/>
              <w:left w:val="single" w:color="auto" w:sz="12" w:space="0"/>
              <w:bottom w:val="single" w:color="auto" w:sz="8" w:space="0"/>
              <w:right w:val="single" w:color="auto" w:sz="8" w:space="0"/>
            </w:tcBorders>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序号</w:t>
            </w:r>
          </w:p>
        </w:tc>
        <w:tc>
          <w:tcPr>
            <w:tcW w:w="2156" w:type="dxa"/>
            <w:tcBorders>
              <w:top w:val="single" w:color="auto" w:sz="12" w:space="0"/>
              <w:left w:val="nil"/>
              <w:bottom w:val="single" w:color="auto" w:sz="8" w:space="0"/>
              <w:right w:val="single" w:color="auto" w:sz="8" w:space="0"/>
            </w:tcBorders>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磋商文件条款号</w:t>
            </w:r>
          </w:p>
        </w:tc>
        <w:tc>
          <w:tcPr>
            <w:tcW w:w="2410" w:type="dxa"/>
            <w:tcBorders>
              <w:top w:val="single" w:color="auto" w:sz="12" w:space="0"/>
              <w:left w:val="nil"/>
              <w:bottom w:val="single" w:color="auto" w:sz="8" w:space="0"/>
              <w:right w:val="single" w:color="auto" w:sz="8" w:space="0"/>
            </w:tcBorders>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磋商文件的合同条款</w:t>
            </w:r>
          </w:p>
        </w:tc>
        <w:tc>
          <w:tcPr>
            <w:tcW w:w="2410" w:type="dxa"/>
            <w:tcBorders>
              <w:top w:val="single" w:color="auto" w:sz="12" w:space="0"/>
              <w:left w:val="nil"/>
              <w:bottom w:val="single" w:color="auto" w:sz="8" w:space="0"/>
              <w:right w:val="single" w:color="auto" w:sz="8" w:space="0"/>
            </w:tcBorders>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响应文件的合同条款</w:t>
            </w:r>
          </w:p>
        </w:tc>
        <w:tc>
          <w:tcPr>
            <w:tcW w:w="992" w:type="dxa"/>
            <w:tcBorders>
              <w:top w:val="single" w:color="auto" w:sz="12" w:space="0"/>
              <w:left w:val="nil"/>
              <w:bottom w:val="single" w:color="auto" w:sz="8" w:space="0"/>
              <w:right w:val="single" w:color="auto" w:sz="12" w:space="0"/>
            </w:tcBorders>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说明</w:t>
            </w: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1</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2</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3</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4</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c>
          <w:tcPr>
            <w:tcW w:w="806" w:type="dxa"/>
            <w:tcBorders>
              <w:top w:val="nil"/>
              <w:left w:val="single" w:color="auto" w:sz="12" w:space="0"/>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5</w:t>
            </w:r>
          </w:p>
        </w:tc>
        <w:tc>
          <w:tcPr>
            <w:tcW w:w="2156"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992" w:type="dxa"/>
            <w:tcBorders>
              <w:top w:val="nil"/>
              <w:left w:val="nil"/>
              <w:bottom w:val="single" w:color="auto" w:sz="12"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bl>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u w:val="single"/>
        </w:rPr>
      </w:pPr>
      <w:r>
        <w:rPr>
          <w:rFonts w:hint="eastAsia" w:ascii="宋体" w:hAnsi="宋体" w:cs="宋体"/>
          <w:kern w:val="0"/>
          <w:sz w:val="24"/>
          <w:szCs w:val="24"/>
        </w:rPr>
        <w:t>授权代表签字并加盖公章：</w:t>
      </w:r>
    </w:p>
    <w:p>
      <w:pPr>
        <w:widowControl/>
        <w:adjustRightInd w:val="0"/>
        <w:snapToGrid w:val="0"/>
        <w:spacing w:line="360" w:lineRule="auto"/>
        <w:rPr>
          <w:rFonts w:ascii="宋体" w:hAnsi="宋体" w:cs="宋体"/>
          <w:kern w:val="0"/>
          <w:sz w:val="24"/>
          <w:szCs w:val="24"/>
          <w:u w:val="single"/>
        </w:rPr>
      </w:pPr>
      <w:r>
        <w:rPr>
          <w:rFonts w:hint="eastAsia" w:ascii="宋体" w:hAnsi="宋体" w:cs="宋体"/>
          <w:kern w:val="0"/>
          <w:sz w:val="24"/>
          <w:szCs w:val="24"/>
        </w:rPr>
        <w:t>日期：</w:t>
      </w:r>
    </w:p>
    <w:p>
      <w:pPr>
        <w:pStyle w:val="2"/>
        <w:numPr>
          <w:ilvl w:val="1"/>
          <w:numId w:val="0"/>
        </w:numPr>
        <w:ind w:left="0" w:firstLine="0"/>
      </w:pPr>
    </w:p>
    <w:p/>
    <w:p>
      <w:pPr>
        <w:pStyle w:val="2"/>
        <w:numPr>
          <w:ilvl w:val="1"/>
          <w:numId w:val="0"/>
        </w:numPr>
        <w:ind w:left="0" w:firstLine="0"/>
      </w:pPr>
    </w:p>
    <w:p/>
    <w:p>
      <w:pPr>
        <w:pStyle w:val="2"/>
        <w:numPr>
          <w:ilvl w:val="1"/>
          <w:numId w:val="0"/>
        </w:numPr>
        <w:ind w:left="0" w:firstLine="0"/>
      </w:pPr>
    </w:p>
    <w:p/>
    <w:p>
      <w:pPr>
        <w:rPr>
          <w:sz w:val="24"/>
          <w:szCs w:val="24"/>
        </w:rPr>
      </w:pPr>
    </w:p>
    <w:p>
      <w:pPr>
        <w:pStyle w:val="2"/>
        <w:numPr>
          <w:ilvl w:val="1"/>
          <w:numId w:val="0"/>
        </w:numPr>
        <w:ind w:left="0" w:firstLine="0"/>
      </w:pPr>
    </w:p>
    <w:p>
      <w:pPr>
        <w:widowControl/>
        <w:adjustRightInd w:val="0"/>
        <w:snapToGrid w:val="0"/>
        <w:spacing w:line="360" w:lineRule="auto"/>
        <w:rPr>
          <w:sz w:val="24"/>
          <w:szCs w:val="24"/>
        </w:rPr>
      </w:pPr>
    </w:p>
    <w:p>
      <w:pPr>
        <w:widowControl/>
        <w:adjustRightInd w:val="0"/>
        <w:snapToGrid w:val="0"/>
        <w:spacing w:line="360" w:lineRule="auto"/>
        <w:rPr>
          <w:sz w:val="24"/>
          <w:szCs w:val="24"/>
        </w:rPr>
      </w:pPr>
    </w:p>
    <w:p>
      <w:pPr>
        <w:pStyle w:val="2"/>
        <w:numPr>
          <w:ilvl w:val="0"/>
          <w:numId w:val="0"/>
        </w:numPr>
        <w:rPr>
          <w:rFonts w:ascii="宋体" w:hAnsi="宋体" w:cs="宋体"/>
          <w:kern w:val="0"/>
          <w:sz w:val="24"/>
          <w:szCs w:val="24"/>
        </w:rPr>
      </w:pPr>
      <w:r>
        <w:rPr>
          <w:rFonts w:hint="eastAsia"/>
          <w:sz w:val="24"/>
          <w:szCs w:val="24"/>
        </w:rPr>
        <w:t>附件2.</w:t>
      </w:r>
      <w:r>
        <w:rPr>
          <w:rFonts w:hint="eastAsia"/>
          <w:sz w:val="24"/>
          <w:szCs w:val="24"/>
          <w:lang w:val="en-US" w:eastAsia="zh-CN"/>
        </w:rPr>
        <w:t>6</w:t>
      </w:r>
      <w:r>
        <w:rPr>
          <w:sz w:val="24"/>
          <w:szCs w:val="24"/>
        </w:rPr>
        <w:t xml:space="preserve"> </w:t>
      </w:r>
      <w:r>
        <w:rPr>
          <w:rFonts w:hint="eastAsia"/>
          <w:sz w:val="24"/>
          <w:szCs w:val="24"/>
        </w:rPr>
        <w:t>技术偏离表格式</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ind w:hanging="119"/>
        <w:jc w:val="center"/>
        <w:rPr>
          <w:rFonts w:ascii="宋体" w:hAnsi="宋体" w:cs="宋体"/>
          <w:b/>
          <w:bCs/>
          <w:kern w:val="0"/>
          <w:sz w:val="28"/>
          <w:szCs w:val="28"/>
        </w:rPr>
      </w:pPr>
      <w:r>
        <w:rPr>
          <w:rFonts w:hint="eastAsia" w:ascii="宋体" w:hAnsi="宋体" w:cs="宋体"/>
          <w:b/>
          <w:bCs/>
          <w:kern w:val="0"/>
          <w:sz w:val="28"/>
          <w:szCs w:val="28"/>
        </w:rPr>
        <w:t>技术偏离表</w:t>
      </w:r>
    </w:p>
    <w:p>
      <w:pPr>
        <w:widowControl/>
        <w:adjustRightInd w:val="0"/>
        <w:snapToGrid w:val="0"/>
        <w:spacing w:line="360" w:lineRule="auto"/>
        <w:ind w:hanging="119"/>
        <w:rPr>
          <w:rFonts w:ascii="宋体" w:hAnsi="宋体" w:cs="宋体"/>
          <w:kern w:val="0"/>
          <w:sz w:val="24"/>
          <w:szCs w:val="24"/>
          <w:u w:val="single"/>
        </w:rPr>
      </w:pPr>
      <w:r>
        <w:rPr>
          <w:rFonts w:hint="eastAsia" w:ascii="宋体" w:hAnsi="宋体" w:cs="宋体"/>
          <w:kern w:val="0"/>
          <w:sz w:val="24"/>
          <w:szCs w:val="24"/>
        </w:rPr>
        <w:t>供应商名称：</w:t>
      </w:r>
    </w:p>
    <w:p>
      <w:pPr>
        <w:widowControl/>
        <w:adjustRightInd w:val="0"/>
        <w:snapToGrid w:val="0"/>
        <w:spacing w:line="360" w:lineRule="auto"/>
        <w:ind w:hanging="119"/>
        <w:rPr>
          <w:rFonts w:ascii="宋体" w:hAnsi="宋体" w:cs="宋体"/>
          <w:kern w:val="0"/>
          <w:sz w:val="24"/>
          <w:szCs w:val="24"/>
          <w:u w:val="single"/>
        </w:rPr>
      </w:pPr>
      <w:r>
        <w:rPr>
          <w:rFonts w:hint="eastAsia" w:ascii="宋体" w:hAnsi="宋体" w:cs="宋体"/>
          <w:kern w:val="0"/>
          <w:sz w:val="24"/>
          <w:szCs w:val="24"/>
        </w:rPr>
        <w:t>项目名称：</w:t>
      </w:r>
    </w:p>
    <w:tbl>
      <w:tblPr>
        <w:tblStyle w:val="29"/>
        <w:tblW w:w="8987" w:type="dxa"/>
        <w:tblInd w:w="0" w:type="dxa"/>
        <w:tblLayout w:type="fixed"/>
        <w:tblCellMar>
          <w:top w:w="0" w:type="dxa"/>
          <w:left w:w="0" w:type="dxa"/>
          <w:bottom w:w="0" w:type="dxa"/>
          <w:right w:w="0" w:type="dxa"/>
        </w:tblCellMar>
      </w:tblPr>
      <w:tblGrid>
        <w:gridCol w:w="850"/>
        <w:gridCol w:w="1984"/>
        <w:gridCol w:w="2555"/>
        <w:gridCol w:w="2556"/>
        <w:gridCol w:w="1042"/>
      </w:tblGrid>
      <w:tr>
        <w:tblPrEx>
          <w:tblCellMar>
            <w:top w:w="0" w:type="dxa"/>
            <w:left w:w="0" w:type="dxa"/>
            <w:bottom w:w="0" w:type="dxa"/>
            <w:right w:w="0" w:type="dxa"/>
          </w:tblCellMar>
        </w:tblPrEx>
        <w:trPr>
          <w:trHeight w:val="561" w:hRule="atLeast"/>
        </w:trPr>
        <w:tc>
          <w:tcPr>
            <w:tcW w:w="850" w:type="dxa"/>
            <w:tcBorders>
              <w:top w:val="single" w:color="auto" w:sz="12" w:space="0"/>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序号</w:t>
            </w:r>
          </w:p>
        </w:tc>
        <w:tc>
          <w:tcPr>
            <w:tcW w:w="1984" w:type="dxa"/>
            <w:tcBorders>
              <w:top w:val="single" w:color="auto" w:sz="12" w:space="0"/>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磋商文件条目号</w:t>
            </w:r>
          </w:p>
        </w:tc>
        <w:tc>
          <w:tcPr>
            <w:tcW w:w="2555" w:type="dxa"/>
            <w:tcBorders>
              <w:top w:val="single" w:color="auto" w:sz="12" w:space="0"/>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磋商文件的技术条目</w:t>
            </w:r>
          </w:p>
        </w:tc>
        <w:tc>
          <w:tcPr>
            <w:tcW w:w="2556" w:type="dxa"/>
            <w:tcBorders>
              <w:top w:val="single" w:color="auto" w:sz="12" w:space="0"/>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响应文件的技术条目</w:t>
            </w:r>
          </w:p>
        </w:tc>
        <w:tc>
          <w:tcPr>
            <w:tcW w:w="1042" w:type="dxa"/>
            <w:tcBorders>
              <w:top w:val="single" w:color="auto" w:sz="12" w:space="0"/>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说明</w:t>
            </w:r>
          </w:p>
        </w:tc>
      </w:tr>
      <w:tr>
        <w:tblPrEx>
          <w:tblCellMar>
            <w:top w:w="0" w:type="dxa"/>
            <w:left w:w="0" w:type="dxa"/>
            <w:bottom w:w="0" w:type="dxa"/>
            <w:right w:w="0" w:type="dxa"/>
          </w:tblCellMar>
        </w:tblPrEx>
        <w:trPr>
          <w:trHeight w:val="477"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1</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rPr>
          <w:trHeight w:val="465"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2</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rPr>
          <w:trHeight w:val="477"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3</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rPr>
          <w:trHeight w:val="477"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4</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rPr>
          <w:trHeight w:val="465" w:hRule="atLeast"/>
        </w:trPr>
        <w:tc>
          <w:tcPr>
            <w:tcW w:w="850" w:type="dxa"/>
            <w:tcBorders>
              <w:top w:val="nil"/>
              <w:left w:val="single" w:color="auto" w:sz="12" w:space="0"/>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5</w:t>
            </w:r>
          </w:p>
        </w:tc>
        <w:tc>
          <w:tcPr>
            <w:tcW w:w="1984"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5"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6"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1042" w:type="dxa"/>
            <w:tcBorders>
              <w:top w:val="nil"/>
              <w:left w:val="nil"/>
              <w:bottom w:val="single" w:color="auto" w:sz="12"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bl>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u w:val="single"/>
        </w:rPr>
      </w:pPr>
      <w:r>
        <w:rPr>
          <w:rFonts w:hint="eastAsia" w:ascii="宋体" w:hAnsi="宋体" w:cs="宋体"/>
          <w:kern w:val="0"/>
          <w:sz w:val="24"/>
          <w:szCs w:val="24"/>
        </w:rPr>
        <w:t>授权代表签字并加盖公章：</w:t>
      </w:r>
    </w:p>
    <w:p>
      <w:pPr>
        <w:widowControl/>
        <w:adjustRightInd w:val="0"/>
        <w:snapToGrid w:val="0"/>
        <w:spacing w:line="360" w:lineRule="auto"/>
        <w:rPr>
          <w:rFonts w:ascii="宋体" w:hAnsi="宋体" w:cs="宋体"/>
          <w:kern w:val="0"/>
          <w:sz w:val="24"/>
          <w:szCs w:val="24"/>
          <w:u w:val="single"/>
        </w:rPr>
      </w:pPr>
      <w:r>
        <w:rPr>
          <w:rFonts w:hint="eastAsia" w:ascii="宋体" w:hAnsi="宋体" w:cs="宋体"/>
          <w:kern w:val="0"/>
          <w:sz w:val="24"/>
          <w:szCs w:val="24"/>
        </w:rPr>
        <w:t>日期：</w:t>
      </w:r>
    </w:p>
    <w:p>
      <w:pPr>
        <w:widowControl/>
        <w:adjustRightInd w:val="0"/>
        <w:snapToGrid w:val="0"/>
        <w:spacing w:line="360" w:lineRule="auto"/>
        <w:rPr>
          <w:sz w:val="24"/>
          <w:szCs w:val="24"/>
        </w:rPr>
      </w:pPr>
    </w:p>
    <w:p>
      <w:pPr>
        <w:pStyle w:val="2"/>
        <w:numPr>
          <w:ilvl w:val="1"/>
          <w:numId w:val="0"/>
        </w:numPr>
        <w:ind w:left="0" w:firstLine="0"/>
      </w:pPr>
    </w:p>
    <w:p>
      <w:pPr>
        <w:rPr>
          <w:sz w:val="24"/>
          <w:szCs w:val="24"/>
        </w:rPr>
      </w:pPr>
    </w:p>
    <w:p>
      <w:pPr>
        <w:pStyle w:val="2"/>
        <w:numPr>
          <w:ilvl w:val="1"/>
          <w:numId w:val="0"/>
        </w:numPr>
        <w:ind w:left="0" w:firstLine="0"/>
      </w:pPr>
    </w:p>
    <w:p>
      <w:pPr>
        <w:rPr>
          <w:sz w:val="24"/>
          <w:szCs w:val="24"/>
        </w:rPr>
      </w:pPr>
    </w:p>
    <w:p>
      <w:pPr>
        <w:pStyle w:val="2"/>
        <w:numPr>
          <w:ilvl w:val="1"/>
          <w:numId w:val="0"/>
        </w:numPr>
        <w:ind w:left="0" w:firstLine="0"/>
      </w:pPr>
    </w:p>
    <w:p>
      <w:pPr>
        <w:rPr>
          <w:sz w:val="24"/>
          <w:szCs w:val="24"/>
        </w:rPr>
      </w:pPr>
    </w:p>
    <w:p>
      <w:pPr>
        <w:pStyle w:val="2"/>
        <w:numPr>
          <w:ilvl w:val="1"/>
          <w:numId w:val="0"/>
        </w:numPr>
        <w:ind w:left="0" w:firstLine="0"/>
      </w:pPr>
    </w:p>
    <w:p>
      <w:pPr>
        <w:rPr>
          <w:sz w:val="24"/>
          <w:szCs w:val="24"/>
        </w:rPr>
      </w:pPr>
    </w:p>
    <w:p>
      <w:pPr>
        <w:widowControl/>
        <w:adjustRightInd w:val="0"/>
        <w:snapToGrid w:val="0"/>
        <w:spacing w:line="360" w:lineRule="auto"/>
        <w:rPr>
          <w:rFonts w:hint="eastAsia"/>
          <w:sz w:val="24"/>
          <w:szCs w:val="24"/>
        </w:rPr>
      </w:pPr>
    </w:p>
    <w:p>
      <w:pPr>
        <w:widowControl/>
        <w:adjustRightInd w:val="0"/>
        <w:snapToGrid w:val="0"/>
        <w:spacing w:line="360" w:lineRule="auto"/>
        <w:rPr>
          <w:rFonts w:hint="eastAsia" w:ascii="宋体" w:hAnsi="宋体" w:eastAsia="宋体" w:cs="宋体"/>
          <w:b/>
          <w:bCs/>
          <w:sz w:val="24"/>
          <w:szCs w:val="24"/>
        </w:rPr>
      </w:pPr>
      <w:r>
        <w:rPr>
          <w:rFonts w:hint="eastAsia" w:ascii="宋体" w:hAnsi="宋体" w:eastAsia="宋体" w:cs="宋体"/>
          <w:b/>
          <w:bCs/>
          <w:sz w:val="24"/>
          <w:szCs w:val="24"/>
          <w:lang w:eastAsia="zh-CN"/>
        </w:rPr>
        <w:t>附件</w:t>
      </w:r>
      <w:r>
        <w:rPr>
          <w:rFonts w:hint="eastAsia" w:ascii="宋体" w:hAnsi="宋体" w:eastAsia="宋体" w:cs="宋体"/>
          <w:b/>
          <w:bCs/>
          <w:sz w:val="24"/>
          <w:szCs w:val="24"/>
          <w:lang w:val="en-US" w:eastAsia="zh-CN"/>
        </w:rPr>
        <w:t xml:space="preserve">2.7 </w:t>
      </w:r>
      <w:r>
        <w:rPr>
          <w:rFonts w:hint="eastAsia" w:ascii="宋体" w:hAnsi="宋体" w:eastAsia="宋体" w:cs="宋体"/>
          <w:b/>
          <w:bCs/>
          <w:sz w:val="24"/>
          <w:szCs w:val="24"/>
        </w:rPr>
        <w:t>信息安全采购要求承诺函</w:t>
      </w:r>
    </w:p>
    <w:p>
      <w:pPr>
        <w:jc w:val="center"/>
        <w:rPr>
          <w:rFonts w:hint="eastAsia"/>
          <w:b/>
          <w:sz w:val="24"/>
          <w:szCs w:val="24"/>
        </w:rPr>
      </w:pPr>
    </w:p>
    <w:p>
      <w:pPr>
        <w:jc w:val="center"/>
        <w:rPr>
          <w:b/>
        </w:rPr>
      </w:pPr>
      <w:r>
        <w:rPr>
          <w:rFonts w:hint="eastAsia"/>
          <w:b/>
          <w:sz w:val="24"/>
          <w:szCs w:val="24"/>
        </w:rPr>
        <w:t>信息安全采购要求承诺函</w:t>
      </w:r>
    </w:p>
    <w:p/>
    <w:p>
      <w:pPr>
        <w:snapToGrid w:val="0"/>
        <w:spacing w:line="360" w:lineRule="auto"/>
        <w:rPr>
          <w:rFonts w:hint="eastAsia" w:ascii="仿宋_GB2312" w:hAnsi="楷体_GB2312" w:eastAsia="仿宋_GB2312"/>
          <w:bCs/>
          <w:color w:val="000000" w:themeColor="text1"/>
          <w:sz w:val="24"/>
          <w:highlight w:val="none"/>
          <w:lang w:eastAsia="zh-CN"/>
          <w14:textFill>
            <w14:solidFill>
              <w14:schemeClr w14:val="tx1"/>
            </w14:solidFill>
          </w14:textFill>
        </w:rPr>
      </w:pPr>
      <w:r>
        <w:rPr>
          <w:rFonts w:hint="eastAsia" w:ascii="仿宋_GB2312" w:hAnsi="楷体_GB2312" w:eastAsia="仿宋_GB2312"/>
          <w:bCs/>
          <w:color w:val="000000" w:themeColor="text1"/>
          <w:sz w:val="24"/>
          <w14:textFill>
            <w14:solidFill>
              <w14:schemeClr w14:val="tx1"/>
            </w14:solidFill>
          </w14:textFill>
        </w:rPr>
        <w:t>致：</w:t>
      </w:r>
      <w:r>
        <w:rPr>
          <w:rFonts w:hint="eastAsia" w:ascii="仿宋_GB2312" w:hAnsi="楷体_GB2312" w:eastAsia="仿宋_GB2312"/>
          <w:bCs/>
          <w:color w:val="000000" w:themeColor="text1"/>
          <w:sz w:val="24"/>
          <w:highlight w:val="none"/>
          <w14:textFill>
            <w14:solidFill>
              <w14:schemeClr w14:val="tx1"/>
            </w14:solidFill>
          </w14:textFill>
        </w:rPr>
        <w:t>中国人民财产保险股份有限公司</w:t>
      </w:r>
      <w:r>
        <w:rPr>
          <w:rFonts w:hint="eastAsia" w:ascii="仿宋_GB2312" w:hAnsi="楷体_GB2312" w:eastAsia="仿宋_GB2312"/>
          <w:bCs/>
          <w:color w:val="000000" w:themeColor="text1"/>
          <w:sz w:val="24"/>
          <w:highlight w:val="none"/>
          <w:lang w:eastAsia="zh-CN"/>
          <w14:textFill>
            <w14:solidFill>
              <w14:schemeClr w14:val="tx1"/>
            </w14:solidFill>
          </w14:textFill>
        </w:rPr>
        <w:t>黔南分公司</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1.投标人向招标人提供产品或服务时，未经招标人书面许可，不会利用提供产品或服务的便利条件获取招标人任何数据，并向招标人承诺：（1）不会控制或操纵招标人系统及设备；（2）不会利用招标人对投标人产品或服务的使用，谋取任何不正当利益；（3）任何情况下（包括但不限于政治、外交等因素），都不会中断向招标人提供产品或服务。</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2.根据实际情况，投标人在A\B两项之间择一承诺</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A投标人向招标人提供的产品或服务，不需要任何外国实体提供技术支持。</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B投标人向招标人提供的产品或服务需要[（外国实体名称）]提供技术支持，投标人向招标人承诺，该[（外国实体名称）]此前从未出现过按照外国政府要求，中断对外技术支持的先例，并承诺招标人与投标人签订本合同后，该[（外国实体名称）]会按照本协议要求提供相应的技术支持。</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3.根据实际情况，投标人在A\B两项之间择一承诺</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A投标人向招标人提供的产品或服务，不涉及任何外国实体拥有或者控制的知识产权，包括但不限于专利权、软件著作权以及其他知识产权。</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B投标人向招标人提供的产品或服务，涉及[（外国实体名称）]拥有或者控制的知识产权，包括专利/软件著作权/其他知识产权等，投标人在向招标人提供的产品或服务中使用该知识产权已获得[（外国实体名称）]授权同意，授权期限自本合同签署之日起计算不少于10年（授权书附后）。</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4.投标人向招标人承诺，已经采取合理、必要的措施和手段，确保其向招标人提供的产品或服务，在设计、研发、制造、销售等各个环节，以及其与上下游供应商之间的合作，不会发生任何影响投标人履行本合同的风险。</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5.投标人向招标人承诺，所提供的产品及其部件可以从多个国家或地区获得，其中任一国家或地区拒绝向投标人供货，投标人可以从其他国家/地区获得同等质量的替代品，不会因此影响投标人向招标人履行本合同约定的义务。</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6.投标人向招标人提供的产品或服务具有运行维护以及二次开发的中文版技术资料，投标人同意向招标人提供上述技术资料。</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如投标人出现任一违反上述承诺的情况，招标人有权向投标人收取合同金额3倍的违约金，如该违约金不足以弥补招标人的损失，招标人有权要求投标人继续赔偿。</w:t>
      </w:r>
    </w:p>
    <w:p>
      <w:pPr>
        <w:spacing w:line="360" w:lineRule="auto"/>
        <w:jc w:val="left"/>
        <w:rPr>
          <w:rFonts w:ascii="仿宋_GB2312" w:hAnsi="宋体" w:eastAsia="仿宋_GB2312"/>
          <w:color w:val="000000" w:themeColor="text1"/>
          <w:sz w:val="24"/>
          <w14:textFill>
            <w14:solidFill>
              <w14:schemeClr w14:val="tx1"/>
            </w14:solidFill>
          </w14:textFill>
        </w:rPr>
      </w:pPr>
    </w:p>
    <w:p>
      <w:pPr>
        <w:spacing w:line="360" w:lineRule="auto"/>
        <w:jc w:val="left"/>
        <w:rPr>
          <w:rFonts w:ascii="仿宋_GB2312" w:hAnsi="宋体" w:eastAsia="仿宋_GB2312"/>
          <w:color w:val="000000" w:themeColor="text1"/>
          <w:sz w:val="24"/>
          <w14:textFill>
            <w14:solidFill>
              <w14:schemeClr w14:val="tx1"/>
            </w14:solidFill>
          </w14:textFill>
        </w:rPr>
      </w:pP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 xml:space="preserve">投标人名称（盖章）：                       </w:t>
      </w: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投标人授权代表(签字):</w:t>
      </w:r>
      <w:r>
        <w:rPr>
          <w:rFonts w:hint="eastAsia" w:ascii="仿宋_GB2312" w:hAnsi="宋体" w:eastAsia="仿宋_GB2312"/>
          <w:color w:val="000000" w:themeColor="text1"/>
          <w:kern w:val="0"/>
          <w:sz w:val="24"/>
          <w14:textFill>
            <w14:solidFill>
              <w14:schemeClr w14:val="tx1"/>
            </w14:solidFill>
          </w14:textFill>
        </w:rPr>
        <w:tab/>
      </w: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日期：</w:t>
      </w:r>
    </w:p>
    <w:p>
      <w:pPr>
        <w:widowControl/>
        <w:adjustRightInd w:val="0"/>
        <w:snapToGrid w:val="0"/>
        <w:spacing w:line="360" w:lineRule="auto"/>
        <w:ind w:firstLine="480" w:firstLineChars="200"/>
        <w:rPr>
          <w:rFonts w:ascii="仿宋_GB2312" w:eastAsia="仿宋_GB2312" w:cs="宋体" w:hAnsiTheme="minorEastAsia"/>
          <w:kern w:val="0"/>
          <w:sz w:val="24"/>
          <w:szCs w:val="24"/>
        </w:rPr>
      </w:pPr>
    </w:p>
    <w:p>
      <w:pPr>
        <w:adjustRightInd w:val="0"/>
        <w:snapToGrid w:val="0"/>
        <w:spacing w:line="360" w:lineRule="auto"/>
        <w:rPr>
          <w:sz w:val="24"/>
          <w:szCs w:val="24"/>
        </w:rPr>
      </w:pPr>
    </w:p>
    <w:p>
      <w:pPr>
        <w:adjustRightInd w:val="0"/>
        <w:snapToGrid w:val="0"/>
        <w:spacing w:line="360" w:lineRule="auto"/>
        <w:rPr>
          <w:rFonts w:ascii="宋体" w:hAnsi="宋体"/>
          <w:sz w:val="24"/>
          <w:szCs w:val="24"/>
        </w:rPr>
      </w:pPr>
    </w:p>
    <w:p>
      <w:pPr>
        <w:widowControl/>
        <w:adjustRightInd w:val="0"/>
        <w:snapToGrid w:val="0"/>
        <w:spacing w:line="360" w:lineRule="auto"/>
        <w:rPr>
          <w:b/>
          <w:bCs/>
          <w:kern w:val="0"/>
          <w:sz w:val="24"/>
          <w:szCs w:val="24"/>
        </w:rPr>
      </w:pPr>
    </w:p>
    <w:p>
      <w:pPr>
        <w:adjustRightInd w:val="0"/>
        <w:snapToGrid w:val="0"/>
        <w:spacing w:line="360" w:lineRule="auto"/>
      </w:pPr>
    </w:p>
    <w:p/>
    <w:p>
      <w:pPr>
        <w:widowControl/>
        <w:adjustRightInd w:val="0"/>
        <w:snapToGrid w:val="0"/>
        <w:spacing w:line="360" w:lineRule="auto"/>
        <w:rPr>
          <w:rFonts w:ascii="宋体" w:hAnsi="宋体" w:cs="宋体"/>
          <w:kern w:val="0"/>
          <w:sz w:val="24"/>
          <w:szCs w:val="24"/>
          <w:u w:val="single"/>
        </w:rPr>
      </w:pPr>
    </w:p>
    <w:p>
      <w:pPr>
        <w:pStyle w:val="3"/>
        <w:numPr>
          <w:ilvl w:val="0"/>
          <w:numId w:val="0"/>
        </w:numPr>
        <w:ind w:left="432" w:hanging="432"/>
        <w:rPr>
          <w:b w:val="0"/>
          <w:bCs w:val="0"/>
          <w:kern w:val="0"/>
          <w:sz w:val="24"/>
          <w:szCs w:val="24"/>
        </w:rPr>
      </w:pPr>
      <w:r>
        <w:rPr>
          <w:rFonts w:hint="eastAsia"/>
          <w:kern w:val="0"/>
          <w:sz w:val="28"/>
          <w:szCs w:val="28"/>
        </w:rPr>
        <w:br w:type="page"/>
      </w:r>
      <w:r>
        <w:rPr>
          <w:rFonts w:hint="eastAsia"/>
          <w:sz w:val="30"/>
          <w:szCs w:val="30"/>
        </w:rPr>
        <w:t>附件三：资格证明文件</w:t>
      </w: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b/>
          <w:bCs/>
          <w:kern w:val="0"/>
          <w:sz w:val="24"/>
          <w:szCs w:val="24"/>
        </w:rPr>
      </w:pPr>
      <w:r>
        <w:rPr>
          <w:rFonts w:hint="eastAsia" w:ascii="宋体" w:hAnsi="宋体" w:cs="宋体"/>
          <w:b/>
          <w:bCs/>
          <w:kern w:val="0"/>
          <w:sz w:val="24"/>
          <w:szCs w:val="24"/>
        </w:rPr>
        <w:t>资格证明文件</w:t>
      </w: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目 录</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附件3.1 供应商基本情况表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附件3.2 法人营业执照（复印件）</w:t>
      </w:r>
    </w:p>
    <w:p>
      <w:pPr>
        <w:widowControl/>
        <w:adjustRightInd w:val="0"/>
        <w:snapToGrid w:val="0"/>
        <w:spacing w:line="360" w:lineRule="auto"/>
        <w:ind w:right="-827" w:rightChars="-394"/>
        <w:rPr>
          <w:rFonts w:ascii="宋体" w:hAnsi="宋体" w:cs="宋体"/>
          <w:kern w:val="0"/>
          <w:sz w:val="24"/>
          <w:szCs w:val="24"/>
        </w:rPr>
      </w:pPr>
      <w:r>
        <w:rPr>
          <w:rFonts w:hint="eastAsia" w:ascii="宋体" w:hAnsi="宋体" w:cs="宋体"/>
          <w:kern w:val="0"/>
          <w:sz w:val="24"/>
          <w:szCs w:val="24"/>
        </w:rPr>
        <w:t xml:space="preserve">附件3.3 </w:t>
      </w:r>
      <w:r>
        <w:rPr>
          <w:rFonts w:hint="eastAsia" w:ascii="宋体" w:hAnsi="宋体" w:eastAsia="宋体" w:cs="宋体"/>
          <w:color w:val="auto"/>
          <w:kern w:val="0"/>
          <w:sz w:val="24"/>
          <w:highlight w:val="none"/>
          <w:lang w:val="en-US" w:eastAsia="zh-CN"/>
        </w:rPr>
        <w:t>供应商无违法违规记录承诺</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附件3.4 </w:t>
      </w:r>
      <w:r>
        <w:rPr>
          <w:rFonts w:hint="eastAsia" w:ascii="宋体" w:hAnsi="宋体" w:eastAsia="宋体" w:cs="宋体"/>
          <w:color w:val="auto"/>
          <w:kern w:val="0"/>
          <w:sz w:val="24"/>
          <w:highlight w:val="none"/>
        </w:rPr>
        <w:t>律师事务所执业许可证或律师事务所分所执业许可证</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附件3.5</w:t>
      </w:r>
      <w:r>
        <w:rPr>
          <w:rFonts w:ascii="宋体" w:hAnsi="宋体" w:cs="宋体"/>
          <w:kern w:val="0"/>
          <w:sz w:val="24"/>
          <w:szCs w:val="24"/>
        </w:rPr>
        <w:t xml:space="preserve"> </w:t>
      </w:r>
      <w:r>
        <w:rPr>
          <w:rFonts w:hint="eastAsia" w:ascii="宋体" w:hAnsi="宋体" w:cs="宋体"/>
          <w:kern w:val="0"/>
          <w:sz w:val="24"/>
          <w:szCs w:val="24"/>
          <w:lang w:val="en-US" w:eastAsia="zh-CN"/>
        </w:rPr>
        <w:t>主要律师团队简介</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w:t>
      </w:r>
      <w:r>
        <w:rPr>
          <w:rFonts w:ascii="宋体" w:hAnsi="宋体" w:cs="宋体"/>
          <w:kern w:val="0"/>
          <w:sz w:val="24"/>
          <w:szCs w:val="24"/>
        </w:rPr>
        <w:t xml:space="preserve">.6 </w:t>
      </w:r>
      <w:r>
        <w:rPr>
          <w:rFonts w:hint="eastAsia" w:ascii="宋体" w:hAnsi="宋体" w:cs="宋体"/>
          <w:kern w:val="0"/>
          <w:sz w:val="24"/>
          <w:szCs w:val="24"/>
          <w:lang w:val="en-US" w:eastAsia="zh-CN"/>
        </w:rPr>
        <w:t>团队律</w:t>
      </w:r>
      <w:r>
        <w:rPr>
          <w:rFonts w:hint="eastAsia" w:ascii="宋体" w:hAnsi="宋体" w:eastAsia="宋体" w:cs="宋体"/>
          <w:kern w:val="0"/>
          <w:sz w:val="24"/>
          <w:szCs w:val="24"/>
          <w:lang w:val="en-US" w:eastAsia="zh-CN"/>
        </w:rPr>
        <w:t>师</w:t>
      </w:r>
      <w:r>
        <w:rPr>
          <w:rFonts w:hint="eastAsia" w:ascii="宋体" w:hAnsi="宋体" w:eastAsia="宋体" w:cs="宋体"/>
          <w:kern w:val="0"/>
          <w:sz w:val="24"/>
          <w:szCs w:val="24"/>
        </w:rPr>
        <w:t>法律服务材料</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w:t>
      </w:r>
      <w:r>
        <w:rPr>
          <w:rFonts w:ascii="宋体" w:hAnsi="宋体" w:cs="宋体"/>
          <w:kern w:val="0"/>
          <w:sz w:val="24"/>
          <w:szCs w:val="24"/>
        </w:rPr>
        <w:t xml:space="preserve">.7 </w:t>
      </w:r>
      <w:r>
        <w:rPr>
          <w:rFonts w:hint="eastAsia" w:ascii="宋体" w:hAnsi="宋体" w:cs="宋体"/>
          <w:kern w:val="0"/>
          <w:sz w:val="24"/>
          <w:szCs w:val="24"/>
        </w:rPr>
        <w:t>与本次采购有关的其他资质证明文件</w:t>
      </w:r>
    </w:p>
    <w:p>
      <w:pPr>
        <w:pStyle w:val="2"/>
        <w:numPr>
          <w:ilvl w:val="0"/>
          <w:numId w:val="0"/>
        </w:numPr>
        <w:rPr>
          <w:rFonts w:ascii="宋体" w:hAnsi="宋体" w:cs="宋体"/>
          <w:kern w:val="0"/>
          <w:sz w:val="24"/>
          <w:szCs w:val="24"/>
        </w:rPr>
      </w:pPr>
      <w:r>
        <w:rPr>
          <w:rFonts w:hint="eastAsia" w:ascii="宋体" w:hAnsi="宋体" w:cs="宋体"/>
          <w:kern w:val="0"/>
          <w:sz w:val="24"/>
          <w:szCs w:val="24"/>
        </w:rPr>
        <w:br w:type="page"/>
      </w:r>
      <w:r>
        <w:rPr>
          <w:rFonts w:hint="eastAsia"/>
          <w:sz w:val="24"/>
          <w:szCs w:val="24"/>
        </w:rPr>
        <w:t>附件3.1</w:t>
      </w:r>
      <w:r>
        <w:rPr>
          <w:sz w:val="24"/>
          <w:szCs w:val="24"/>
        </w:rPr>
        <w:t xml:space="preserve"> </w:t>
      </w:r>
      <w:r>
        <w:rPr>
          <w:rFonts w:hint="eastAsia"/>
          <w:sz w:val="24"/>
          <w:szCs w:val="24"/>
        </w:rPr>
        <w:t>供应商基本情况表</w:t>
      </w:r>
    </w:p>
    <w:p>
      <w:pPr>
        <w:widowControl/>
        <w:adjustRightInd w:val="0"/>
        <w:snapToGrid w:val="0"/>
        <w:spacing w:line="360" w:lineRule="auto"/>
        <w:jc w:val="center"/>
        <w:rPr>
          <w:rFonts w:ascii="宋体" w:hAnsi="宋体" w:cs="宋体"/>
          <w:b/>
          <w:bCs/>
          <w:snapToGrid w:val="0"/>
          <w:kern w:val="0"/>
          <w:sz w:val="24"/>
          <w:szCs w:val="24"/>
        </w:rPr>
      </w:pPr>
      <w:r>
        <w:rPr>
          <w:rFonts w:hint="eastAsia" w:ascii="宋体" w:hAnsi="宋体" w:cs="宋体"/>
          <w:b/>
          <w:bCs/>
          <w:snapToGrid w:val="0"/>
          <w:kern w:val="0"/>
          <w:sz w:val="24"/>
          <w:szCs w:val="24"/>
        </w:rPr>
        <w:t>供应商情况表</w:t>
      </w:r>
    </w:p>
    <w:p>
      <w:pPr>
        <w:widowControl/>
        <w:adjustRightInd w:val="0"/>
        <w:snapToGrid w:val="0"/>
        <w:spacing w:line="360" w:lineRule="auto"/>
        <w:jc w:val="left"/>
        <w:rPr>
          <w:rFonts w:ascii="Calibri Light" w:hAnsi="Calibri Light"/>
          <w:b/>
          <w:bCs/>
          <w:sz w:val="24"/>
          <w:szCs w:val="24"/>
        </w:rPr>
      </w:pPr>
      <w:r>
        <w:rPr>
          <w:rFonts w:hint="eastAsia" w:ascii="宋体" w:hAnsi="宋体" w:cs="宋体"/>
          <w:kern w:val="0"/>
          <w:sz w:val="24"/>
          <w:szCs w:val="24"/>
        </w:rPr>
        <w:t xml:space="preserve">供应商名称：（公章） </w:t>
      </w:r>
      <w:r>
        <w:rPr>
          <w:rFonts w:hint="eastAsia" w:ascii="宋体" w:hAnsi="宋体" w:cs="宋体"/>
          <w:kern w:val="0"/>
          <w:sz w:val="24"/>
          <w:szCs w:val="24"/>
          <w:lang w:val="en-US" w:eastAsia="zh-CN"/>
        </w:rPr>
        <w:t xml:space="preserve">                                </w:t>
      </w:r>
      <w:r>
        <w:rPr>
          <w:rFonts w:hint="eastAsia" w:ascii="宋体" w:hAnsi="宋体" w:cs="宋体"/>
          <w:kern w:val="0"/>
          <w:sz w:val="24"/>
          <w:szCs w:val="24"/>
        </w:rPr>
        <w:t>填表日期：</w:t>
      </w:r>
    </w:p>
    <w:tbl>
      <w:tblPr>
        <w:tblStyle w:val="29"/>
        <w:tblW w:w="949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69"/>
        <w:gridCol w:w="2214"/>
        <w:gridCol w:w="1325"/>
        <w:gridCol w:w="8"/>
        <w:gridCol w:w="909"/>
        <w:gridCol w:w="493"/>
        <w:gridCol w:w="837"/>
        <w:gridCol w:w="18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22" w:hRule="atLeast"/>
        </w:trPr>
        <w:tc>
          <w:tcPr>
            <w:tcW w:w="1869" w:type="dxa"/>
            <w:noWrap w:val="0"/>
            <w:vAlign w:val="center"/>
          </w:tcPr>
          <w:p>
            <w:pPr>
              <w:jc w:val="distribute"/>
              <w:rPr>
                <w:rFonts w:hAnsi="宋体" w:cs="宋体"/>
                <w:sz w:val="24"/>
              </w:rPr>
            </w:pPr>
            <w:r>
              <w:rPr>
                <w:rFonts w:hint="eastAsia" w:hAnsi="宋体" w:cs="宋体"/>
                <w:sz w:val="24"/>
              </w:rPr>
              <w:t>供应商名称</w:t>
            </w:r>
          </w:p>
        </w:tc>
        <w:tc>
          <w:tcPr>
            <w:tcW w:w="7629" w:type="dxa"/>
            <w:gridSpan w:val="7"/>
            <w:noWrap w:val="0"/>
            <w:vAlign w:val="center"/>
          </w:tcPr>
          <w:p>
            <w:pPr>
              <w:rPr>
                <w:rFonts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1869" w:type="dxa"/>
            <w:noWrap w:val="0"/>
            <w:vAlign w:val="center"/>
          </w:tcPr>
          <w:p>
            <w:pPr>
              <w:jc w:val="distribute"/>
              <w:rPr>
                <w:rFonts w:hAnsi="宋体" w:cs="宋体"/>
                <w:sz w:val="24"/>
              </w:rPr>
            </w:pPr>
            <w:r>
              <w:rPr>
                <w:rFonts w:hint="eastAsia" w:hAnsi="宋体" w:cs="宋体"/>
                <w:sz w:val="24"/>
              </w:rPr>
              <w:t>注册地址</w:t>
            </w:r>
          </w:p>
        </w:tc>
        <w:tc>
          <w:tcPr>
            <w:tcW w:w="3547" w:type="dxa"/>
            <w:gridSpan w:val="3"/>
            <w:noWrap w:val="0"/>
            <w:vAlign w:val="center"/>
          </w:tcPr>
          <w:p>
            <w:pPr>
              <w:rPr>
                <w:rFonts w:hAnsi="宋体" w:cs="宋体"/>
                <w:sz w:val="24"/>
              </w:rPr>
            </w:pPr>
          </w:p>
        </w:tc>
        <w:tc>
          <w:tcPr>
            <w:tcW w:w="1402" w:type="dxa"/>
            <w:gridSpan w:val="2"/>
            <w:noWrap w:val="0"/>
            <w:vAlign w:val="center"/>
          </w:tcPr>
          <w:p>
            <w:pPr>
              <w:jc w:val="distribute"/>
              <w:rPr>
                <w:rFonts w:hAnsi="宋体" w:cs="宋体"/>
                <w:sz w:val="24"/>
              </w:rPr>
            </w:pPr>
            <w:r>
              <w:rPr>
                <w:rFonts w:hint="eastAsia" w:hAnsi="宋体" w:cs="宋体"/>
                <w:sz w:val="24"/>
              </w:rPr>
              <w:t>邮政编码</w:t>
            </w:r>
          </w:p>
        </w:tc>
        <w:tc>
          <w:tcPr>
            <w:tcW w:w="2680" w:type="dxa"/>
            <w:gridSpan w:val="2"/>
            <w:noWrap w:val="0"/>
            <w:vAlign w:val="center"/>
          </w:tcPr>
          <w:p>
            <w:pPr>
              <w:rPr>
                <w:rFonts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1869" w:type="dxa"/>
            <w:noWrap w:val="0"/>
            <w:vAlign w:val="center"/>
          </w:tcPr>
          <w:p>
            <w:pPr>
              <w:rPr>
                <w:rFonts w:hAnsi="宋体" w:cs="宋体"/>
                <w:sz w:val="24"/>
              </w:rPr>
            </w:pPr>
            <w:r>
              <w:rPr>
                <w:rFonts w:hint="eastAsia" w:hAnsi="宋体" w:cs="宋体"/>
                <w:sz w:val="24"/>
              </w:rPr>
              <w:t>联   系   人</w:t>
            </w:r>
          </w:p>
        </w:tc>
        <w:tc>
          <w:tcPr>
            <w:tcW w:w="3539" w:type="dxa"/>
            <w:gridSpan w:val="2"/>
            <w:noWrap w:val="0"/>
            <w:vAlign w:val="center"/>
          </w:tcPr>
          <w:p>
            <w:pPr>
              <w:rPr>
                <w:rFonts w:hAnsi="宋体" w:cs="宋体"/>
                <w:sz w:val="24"/>
              </w:rPr>
            </w:pPr>
          </w:p>
        </w:tc>
        <w:tc>
          <w:tcPr>
            <w:tcW w:w="1410" w:type="dxa"/>
            <w:gridSpan w:val="3"/>
            <w:noWrap w:val="0"/>
            <w:vAlign w:val="center"/>
          </w:tcPr>
          <w:p>
            <w:pPr>
              <w:jc w:val="distribute"/>
              <w:rPr>
                <w:rFonts w:hAnsi="宋体" w:cs="宋体"/>
                <w:sz w:val="24"/>
              </w:rPr>
            </w:pPr>
            <w:r>
              <w:rPr>
                <w:rFonts w:hint="eastAsia" w:hAnsi="宋体" w:cs="宋体"/>
                <w:sz w:val="24"/>
              </w:rPr>
              <w:t>电话</w:t>
            </w:r>
          </w:p>
        </w:tc>
        <w:tc>
          <w:tcPr>
            <w:tcW w:w="2680" w:type="dxa"/>
            <w:gridSpan w:val="2"/>
            <w:noWrap w:val="0"/>
            <w:vAlign w:val="center"/>
          </w:tcPr>
          <w:p>
            <w:pPr>
              <w:rPr>
                <w:rFonts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1869" w:type="dxa"/>
            <w:noWrap w:val="0"/>
            <w:vAlign w:val="center"/>
          </w:tcPr>
          <w:p>
            <w:pPr>
              <w:rPr>
                <w:rFonts w:hAnsi="宋体" w:cs="宋体"/>
                <w:sz w:val="24"/>
              </w:rPr>
            </w:pPr>
            <w:r>
              <w:rPr>
                <w:rFonts w:hint="eastAsia" w:hAnsi="宋体" w:cs="宋体"/>
                <w:sz w:val="24"/>
              </w:rPr>
              <w:t>传         真</w:t>
            </w:r>
          </w:p>
        </w:tc>
        <w:tc>
          <w:tcPr>
            <w:tcW w:w="3539" w:type="dxa"/>
            <w:gridSpan w:val="2"/>
            <w:noWrap w:val="0"/>
            <w:vAlign w:val="center"/>
          </w:tcPr>
          <w:p>
            <w:pPr>
              <w:rPr>
                <w:rFonts w:hAnsi="宋体" w:cs="宋体"/>
                <w:sz w:val="24"/>
              </w:rPr>
            </w:pPr>
          </w:p>
        </w:tc>
        <w:tc>
          <w:tcPr>
            <w:tcW w:w="1410" w:type="dxa"/>
            <w:gridSpan w:val="3"/>
            <w:noWrap w:val="0"/>
            <w:vAlign w:val="center"/>
          </w:tcPr>
          <w:p>
            <w:pPr>
              <w:jc w:val="distribute"/>
              <w:rPr>
                <w:rFonts w:hAnsi="宋体" w:cs="宋体"/>
                <w:sz w:val="24"/>
              </w:rPr>
            </w:pPr>
            <w:r>
              <w:rPr>
                <w:rFonts w:hint="eastAsia" w:hAnsi="宋体" w:cs="宋体"/>
                <w:sz w:val="24"/>
              </w:rPr>
              <w:t>邮箱</w:t>
            </w:r>
          </w:p>
        </w:tc>
        <w:tc>
          <w:tcPr>
            <w:tcW w:w="2680" w:type="dxa"/>
            <w:gridSpan w:val="2"/>
            <w:noWrap w:val="0"/>
            <w:vAlign w:val="center"/>
          </w:tcPr>
          <w:p>
            <w:pPr>
              <w:rPr>
                <w:rFonts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22" w:hRule="atLeast"/>
        </w:trPr>
        <w:tc>
          <w:tcPr>
            <w:tcW w:w="1869" w:type="dxa"/>
            <w:noWrap w:val="0"/>
            <w:vAlign w:val="center"/>
          </w:tcPr>
          <w:p>
            <w:pPr>
              <w:jc w:val="distribute"/>
              <w:rPr>
                <w:rFonts w:hAnsi="宋体" w:cs="宋体"/>
                <w:sz w:val="24"/>
              </w:rPr>
            </w:pPr>
            <w:r>
              <w:rPr>
                <w:rFonts w:hint="eastAsia" w:hAnsi="宋体" w:cs="宋体"/>
                <w:sz w:val="24"/>
              </w:rPr>
              <w:t>单位简介及机构情况</w:t>
            </w:r>
          </w:p>
        </w:tc>
        <w:tc>
          <w:tcPr>
            <w:tcW w:w="7629" w:type="dxa"/>
            <w:gridSpan w:val="7"/>
            <w:noWrap w:val="0"/>
            <w:vAlign w:val="center"/>
          </w:tcPr>
          <w:p>
            <w:pPr>
              <w:rPr>
                <w:rFonts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22" w:hRule="atLeast"/>
        </w:trPr>
        <w:tc>
          <w:tcPr>
            <w:tcW w:w="1869" w:type="dxa"/>
            <w:noWrap w:val="0"/>
            <w:vAlign w:val="center"/>
          </w:tcPr>
          <w:p>
            <w:pPr>
              <w:jc w:val="distribute"/>
              <w:rPr>
                <w:rFonts w:hAnsi="宋体" w:cs="宋体"/>
                <w:sz w:val="24"/>
              </w:rPr>
            </w:pPr>
            <w:r>
              <w:rPr>
                <w:rFonts w:hint="eastAsia" w:hAnsi="宋体" w:cs="宋体"/>
                <w:sz w:val="24"/>
              </w:rPr>
              <w:t>负责人</w:t>
            </w:r>
          </w:p>
        </w:tc>
        <w:tc>
          <w:tcPr>
            <w:tcW w:w="2214" w:type="dxa"/>
            <w:noWrap w:val="0"/>
            <w:vAlign w:val="center"/>
          </w:tcPr>
          <w:p>
            <w:pPr>
              <w:rPr>
                <w:rFonts w:hAnsi="宋体" w:cs="宋体"/>
                <w:sz w:val="24"/>
              </w:rPr>
            </w:pPr>
          </w:p>
        </w:tc>
        <w:tc>
          <w:tcPr>
            <w:tcW w:w="1325" w:type="dxa"/>
            <w:noWrap w:val="0"/>
            <w:vAlign w:val="center"/>
          </w:tcPr>
          <w:p>
            <w:pPr>
              <w:rPr>
                <w:rFonts w:hAnsi="宋体" w:cs="宋体"/>
                <w:sz w:val="24"/>
              </w:rPr>
            </w:pPr>
            <w:r>
              <w:rPr>
                <w:rFonts w:hint="eastAsia" w:hAnsi="宋体" w:cs="宋体"/>
                <w:sz w:val="24"/>
              </w:rPr>
              <w:t>技术职称</w:t>
            </w:r>
          </w:p>
        </w:tc>
        <w:tc>
          <w:tcPr>
            <w:tcW w:w="1410" w:type="dxa"/>
            <w:gridSpan w:val="3"/>
            <w:noWrap w:val="0"/>
            <w:vAlign w:val="center"/>
          </w:tcPr>
          <w:p>
            <w:pPr>
              <w:rPr>
                <w:rFonts w:hAnsi="宋体" w:cs="宋体"/>
                <w:sz w:val="24"/>
              </w:rPr>
            </w:pPr>
          </w:p>
        </w:tc>
        <w:tc>
          <w:tcPr>
            <w:tcW w:w="837" w:type="dxa"/>
            <w:noWrap w:val="0"/>
            <w:vAlign w:val="center"/>
          </w:tcPr>
          <w:p>
            <w:pPr>
              <w:rPr>
                <w:rFonts w:hAnsi="宋体" w:cs="宋体"/>
                <w:sz w:val="24"/>
              </w:rPr>
            </w:pPr>
            <w:r>
              <w:rPr>
                <w:rFonts w:hint="eastAsia" w:hAnsi="宋体" w:cs="宋体"/>
                <w:sz w:val="24"/>
              </w:rPr>
              <w:t>电话</w:t>
            </w:r>
          </w:p>
        </w:tc>
        <w:tc>
          <w:tcPr>
            <w:tcW w:w="1843" w:type="dxa"/>
            <w:noWrap w:val="0"/>
            <w:vAlign w:val="center"/>
          </w:tcPr>
          <w:p>
            <w:pPr>
              <w:rPr>
                <w:rFonts w:hAnsi="宋体" w:cs="宋体"/>
                <w:b/>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22" w:hRule="atLeast"/>
        </w:trPr>
        <w:tc>
          <w:tcPr>
            <w:tcW w:w="1869" w:type="dxa"/>
            <w:noWrap w:val="0"/>
            <w:vAlign w:val="center"/>
          </w:tcPr>
          <w:p>
            <w:pPr>
              <w:jc w:val="distribute"/>
              <w:rPr>
                <w:rFonts w:hAnsi="宋体" w:cs="宋体"/>
                <w:sz w:val="24"/>
              </w:rPr>
            </w:pPr>
            <w:r>
              <w:rPr>
                <w:rFonts w:hint="eastAsia" w:hAnsi="宋体" w:cs="宋体"/>
                <w:sz w:val="24"/>
              </w:rPr>
              <w:t>成立时间</w:t>
            </w:r>
          </w:p>
        </w:tc>
        <w:tc>
          <w:tcPr>
            <w:tcW w:w="2214" w:type="dxa"/>
            <w:noWrap w:val="0"/>
            <w:vAlign w:val="center"/>
          </w:tcPr>
          <w:p>
            <w:pPr>
              <w:rPr>
                <w:rFonts w:hAnsi="宋体" w:cs="宋体"/>
                <w:sz w:val="24"/>
              </w:rPr>
            </w:pPr>
          </w:p>
        </w:tc>
        <w:tc>
          <w:tcPr>
            <w:tcW w:w="5415" w:type="dxa"/>
            <w:gridSpan w:val="6"/>
            <w:noWrap w:val="0"/>
            <w:vAlign w:val="center"/>
          </w:tcPr>
          <w:p>
            <w:pPr>
              <w:rPr>
                <w:rFonts w:hAnsi="宋体" w:cs="宋体"/>
                <w:sz w:val="24"/>
              </w:rPr>
            </w:pPr>
            <w:r>
              <w:rPr>
                <w:rFonts w:hint="eastAsia" w:hAnsi="宋体" w:cs="宋体"/>
                <w:sz w:val="24"/>
              </w:rPr>
              <w:t>员工总人数：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22" w:hRule="atLeast"/>
        </w:trPr>
        <w:tc>
          <w:tcPr>
            <w:tcW w:w="1869" w:type="dxa"/>
            <w:noWrap w:val="0"/>
            <w:vAlign w:val="center"/>
          </w:tcPr>
          <w:p>
            <w:pPr>
              <w:jc w:val="distribute"/>
              <w:rPr>
                <w:rFonts w:hAnsi="宋体" w:cs="宋体"/>
                <w:sz w:val="24"/>
              </w:rPr>
            </w:pPr>
            <w:r>
              <w:rPr>
                <w:rFonts w:hint="eastAsia" w:hAnsi="宋体" w:cs="宋体"/>
                <w:sz w:val="24"/>
              </w:rPr>
              <w:t>企业资质等级</w:t>
            </w:r>
          </w:p>
        </w:tc>
        <w:tc>
          <w:tcPr>
            <w:tcW w:w="2214" w:type="dxa"/>
            <w:noWrap w:val="0"/>
            <w:vAlign w:val="center"/>
          </w:tcPr>
          <w:p>
            <w:pPr>
              <w:rPr>
                <w:rFonts w:hAnsi="宋体" w:cs="宋体"/>
                <w:sz w:val="24"/>
              </w:rPr>
            </w:pPr>
          </w:p>
        </w:tc>
        <w:tc>
          <w:tcPr>
            <w:tcW w:w="1325" w:type="dxa"/>
            <w:vMerge w:val="restart"/>
            <w:noWrap w:val="0"/>
            <w:vAlign w:val="center"/>
          </w:tcPr>
          <w:p>
            <w:pPr>
              <w:rPr>
                <w:rFonts w:hAnsi="宋体" w:cs="宋体"/>
                <w:sz w:val="24"/>
              </w:rPr>
            </w:pPr>
            <w:r>
              <w:rPr>
                <w:rFonts w:hint="eastAsia" w:hAnsi="宋体" w:cs="宋体"/>
                <w:sz w:val="24"/>
              </w:rPr>
              <w:t>其中</w:t>
            </w:r>
          </w:p>
        </w:tc>
        <w:tc>
          <w:tcPr>
            <w:tcW w:w="917" w:type="dxa"/>
            <w:gridSpan w:val="2"/>
            <w:noWrap w:val="0"/>
            <w:vAlign w:val="center"/>
          </w:tcPr>
          <w:p>
            <w:pPr>
              <w:rPr>
                <w:rFonts w:hAnsi="宋体" w:cs="宋体"/>
                <w:sz w:val="24"/>
              </w:rPr>
            </w:pPr>
            <w:r>
              <w:rPr>
                <w:rFonts w:hint="eastAsia" w:hAnsi="宋体" w:cs="宋体"/>
                <w:sz w:val="24"/>
              </w:rPr>
              <w:t>高级</w:t>
            </w:r>
          </w:p>
        </w:tc>
        <w:tc>
          <w:tcPr>
            <w:tcW w:w="3173" w:type="dxa"/>
            <w:gridSpan w:val="3"/>
            <w:noWrap w:val="0"/>
            <w:vAlign w:val="center"/>
          </w:tcPr>
          <w:p>
            <w:pPr>
              <w:rPr>
                <w:rFonts w:hAnsi="宋体" w:cs="宋体"/>
                <w:b/>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1869" w:type="dxa"/>
            <w:noWrap w:val="0"/>
            <w:vAlign w:val="center"/>
          </w:tcPr>
          <w:p>
            <w:pPr>
              <w:jc w:val="distribute"/>
              <w:rPr>
                <w:rFonts w:hAnsi="宋体" w:cs="宋体"/>
                <w:sz w:val="24"/>
              </w:rPr>
            </w:pPr>
            <w:r>
              <w:rPr>
                <w:rFonts w:hint="eastAsia" w:hAnsi="宋体" w:cs="宋体"/>
                <w:sz w:val="24"/>
              </w:rPr>
              <w:t>营业执照号</w:t>
            </w:r>
          </w:p>
        </w:tc>
        <w:tc>
          <w:tcPr>
            <w:tcW w:w="2214" w:type="dxa"/>
            <w:noWrap w:val="0"/>
            <w:vAlign w:val="center"/>
          </w:tcPr>
          <w:p>
            <w:pPr>
              <w:rPr>
                <w:rFonts w:hAnsi="宋体" w:cs="宋体"/>
                <w:sz w:val="24"/>
              </w:rPr>
            </w:pPr>
          </w:p>
        </w:tc>
        <w:tc>
          <w:tcPr>
            <w:tcW w:w="1325" w:type="dxa"/>
            <w:vMerge w:val="continue"/>
            <w:noWrap w:val="0"/>
            <w:vAlign w:val="center"/>
          </w:tcPr>
          <w:p>
            <w:pPr>
              <w:rPr>
                <w:rFonts w:hAnsi="宋体" w:cs="宋体"/>
                <w:sz w:val="24"/>
              </w:rPr>
            </w:pPr>
          </w:p>
        </w:tc>
        <w:tc>
          <w:tcPr>
            <w:tcW w:w="917" w:type="dxa"/>
            <w:gridSpan w:val="2"/>
            <w:noWrap w:val="0"/>
            <w:vAlign w:val="center"/>
          </w:tcPr>
          <w:p>
            <w:pPr>
              <w:rPr>
                <w:rFonts w:hAnsi="宋体" w:cs="宋体"/>
                <w:sz w:val="24"/>
              </w:rPr>
            </w:pPr>
            <w:r>
              <w:rPr>
                <w:rFonts w:hint="eastAsia" w:hAnsi="宋体" w:cs="宋体"/>
                <w:sz w:val="24"/>
              </w:rPr>
              <w:t>中级</w:t>
            </w:r>
          </w:p>
        </w:tc>
        <w:tc>
          <w:tcPr>
            <w:tcW w:w="3173" w:type="dxa"/>
            <w:gridSpan w:val="3"/>
            <w:noWrap w:val="0"/>
            <w:vAlign w:val="center"/>
          </w:tcPr>
          <w:p>
            <w:pPr>
              <w:rPr>
                <w:rFonts w:hAnsi="宋体" w:cs="宋体"/>
                <w:b/>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1869" w:type="dxa"/>
            <w:noWrap w:val="0"/>
            <w:vAlign w:val="center"/>
          </w:tcPr>
          <w:p>
            <w:pPr>
              <w:jc w:val="distribute"/>
              <w:rPr>
                <w:rFonts w:hAnsi="宋体" w:cs="宋体"/>
                <w:sz w:val="24"/>
              </w:rPr>
            </w:pPr>
            <w:r>
              <w:rPr>
                <w:rFonts w:hint="eastAsia" w:hAnsi="宋体" w:cs="宋体"/>
                <w:sz w:val="24"/>
              </w:rPr>
              <w:t>注册资金</w:t>
            </w:r>
          </w:p>
        </w:tc>
        <w:tc>
          <w:tcPr>
            <w:tcW w:w="2214" w:type="dxa"/>
            <w:noWrap w:val="0"/>
            <w:vAlign w:val="center"/>
          </w:tcPr>
          <w:p>
            <w:pPr>
              <w:rPr>
                <w:rFonts w:hAnsi="宋体" w:cs="宋体"/>
                <w:sz w:val="24"/>
              </w:rPr>
            </w:pPr>
          </w:p>
        </w:tc>
        <w:tc>
          <w:tcPr>
            <w:tcW w:w="1325" w:type="dxa"/>
            <w:vMerge w:val="continue"/>
            <w:noWrap w:val="0"/>
            <w:vAlign w:val="center"/>
          </w:tcPr>
          <w:p>
            <w:pPr>
              <w:rPr>
                <w:rFonts w:hAnsi="宋体" w:cs="宋体"/>
                <w:sz w:val="24"/>
              </w:rPr>
            </w:pPr>
          </w:p>
        </w:tc>
        <w:tc>
          <w:tcPr>
            <w:tcW w:w="917" w:type="dxa"/>
            <w:gridSpan w:val="2"/>
            <w:noWrap w:val="0"/>
            <w:vAlign w:val="center"/>
          </w:tcPr>
          <w:p>
            <w:pPr>
              <w:rPr>
                <w:rFonts w:hAnsi="宋体" w:cs="宋体"/>
                <w:sz w:val="24"/>
              </w:rPr>
            </w:pPr>
            <w:r>
              <w:rPr>
                <w:rFonts w:hint="eastAsia" w:hAnsi="宋体" w:cs="宋体"/>
                <w:sz w:val="24"/>
              </w:rPr>
              <w:t>初级</w:t>
            </w:r>
          </w:p>
        </w:tc>
        <w:tc>
          <w:tcPr>
            <w:tcW w:w="3173" w:type="dxa"/>
            <w:gridSpan w:val="3"/>
            <w:noWrap w:val="0"/>
            <w:vAlign w:val="center"/>
          </w:tcPr>
          <w:p>
            <w:pPr>
              <w:rPr>
                <w:rFonts w:hAnsi="宋体" w:cs="宋体"/>
                <w:b/>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5" w:hRule="atLeast"/>
        </w:trPr>
        <w:tc>
          <w:tcPr>
            <w:tcW w:w="1869" w:type="dxa"/>
            <w:noWrap w:val="0"/>
            <w:vAlign w:val="center"/>
          </w:tcPr>
          <w:p>
            <w:pPr>
              <w:jc w:val="center"/>
              <w:rPr>
                <w:rFonts w:hAnsi="宋体" w:cs="宋体"/>
                <w:sz w:val="24"/>
              </w:rPr>
            </w:pPr>
            <w:r>
              <w:rPr>
                <w:rFonts w:hint="eastAsia" w:hAnsi="宋体" w:cs="宋体"/>
                <w:sz w:val="24"/>
              </w:rPr>
              <w:t>声</w:t>
            </w:r>
            <w:r>
              <w:rPr>
                <w:rFonts w:hint="eastAsia" w:hAnsi="宋体" w:cs="宋体"/>
                <w:sz w:val="24"/>
                <w:lang w:val="en-US" w:eastAsia="zh-CN"/>
              </w:rPr>
              <w:t xml:space="preserve">  </w:t>
            </w:r>
            <w:r>
              <w:rPr>
                <w:rFonts w:hint="eastAsia" w:hAnsi="宋体" w:cs="宋体"/>
                <w:sz w:val="24"/>
              </w:rPr>
              <w:t>明</w:t>
            </w:r>
          </w:p>
        </w:tc>
        <w:tc>
          <w:tcPr>
            <w:tcW w:w="7629" w:type="dxa"/>
            <w:gridSpan w:val="7"/>
            <w:noWrap w:val="0"/>
            <w:vAlign w:val="center"/>
          </w:tcPr>
          <w:p>
            <w:pPr>
              <w:rPr>
                <w:rFonts w:hAnsi="宋体" w:cs="宋体"/>
                <w:b/>
                <w:bCs/>
                <w:sz w:val="24"/>
              </w:rPr>
            </w:pPr>
            <w:r>
              <w:rPr>
                <w:rFonts w:hint="eastAsia" w:hAnsi="宋体" w:cs="宋体"/>
                <w:b/>
                <w:bCs/>
                <w:sz w:val="24"/>
                <w:lang w:val="en-US" w:eastAsia="zh-CN"/>
              </w:rPr>
              <w:t>XXXX</w:t>
            </w:r>
            <w:r>
              <w:rPr>
                <w:rFonts w:hint="eastAsia" w:hAnsi="宋体" w:cs="宋体"/>
                <w:b/>
                <w:bCs/>
                <w:sz w:val="24"/>
              </w:rPr>
              <w:t>律师事务所申请参与贵单位《中国人保财险</w:t>
            </w:r>
            <w:r>
              <w:rPr>
                <w:rFonts w:hint="eastAsia" w:hAnsi="宋体" w:cs="宋体"/>
                <w:b/>
                <w:bCs/>
                <w:sz w:val="24"/>
                <w:lang w:eastAsia="zh-CN"/>
              </w:rPr>
              <w:t>黔南</w:t>
            </w:r>
            <w:r>
              <w:rPr>
                <w:rFonts w:hint="eastAsia" w:hAnsi="宋体" w:cs="宋体"/>
                <w:b/>
                <w:bCs/>
                <w:sz w:val="24"/>
              </w:rPr>
              <w:t>分公司外聘律师库采购项目》，承诺提供的报名材料真实有效。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168" w:hRule="atLeast"/>
        </w:trPr>
        <w:tc>
          <w:tcPr>
            <w:tcW w:w="1869" w:type="dxa"/>
            <w:noWrap w:val="0"/>
            <w:vAlign w:val="center"/>
          </w:tcPr>
          <w:p>
            <w:pPr>
              <w:jc w:val="center"/>
              <w:rPr>
                <w:rFonts w:hAnsi="宋体" w:cs="宋体"/>
                <w:sz w:val="24"/>
              </w:rPr>
            </w:pPr>
            <w:r>
              <w:rPr>
                <w:rFonts w:hint="eastAsia" w:hAnsi="宋体" w:cs="宋体"/>
                <w:sz w:val="24"/>
              </w:rPr>
              <w:t>备  注</w:t>
            </w:r>
          </w:p>
        </w:tc>
        <w:tc>
          <w:tcPr>
            <w:tcW w:w="7629" w:type="dxa"/>
            <w:gridSpan w:val="7"/>
            <w:noWrap w:val="0"/>
            <w:vAlign w:val="top"/>
          </w:tcPr>
          <w:p>
            <w:pPr>
              <w:rPr>
                <w:rFonts w:hAnsi="宋体" w:cs="宋体"/>
                <w:sz w:val="24"/>
              </w:rPr>
            </w:pPr>
          </w:p>
        </w:tc>
      </w:tr>
    </w:tbl>
    <w:p>
      <w:pPr>
        <w:pStyle w:val="2"/>
        <w:numPr>
          <w:ilvl w:val="0"/>
          <w:numId w:val="0"/>
        </w:numPr>
        <w:adjustRightInd w:val="0"/>
        <w:snapToGrid w:val="0"/>
        <w:spacing w:before="0" w:after="0" w:line="360" w:lineRule="auto"/>
        <w:rPr>
          <w:rFonts w:hint="eastAsia"/>
          <w:sz w:val="24"/>
          <w:szCs w:val="24"/>
        </w:rPr>
      </w:pPr>
    </w:p>
    <w:p>
      <w:pPr>
        <w:rPr>
          <w:rFonts w:hint="eastAsia"/>
          <w:sz w:val="24"/>
          <w:szCs w:val="24"/>
        </w:rPr>
      </w:pPr>
    </w:p>
    <w:p>
      <w:pPr>
        <w:pStyle w:val="2"/>
        <w:numPr>
          <w:ilvl w:val="0"/>
          <w:numId w:val="0"/>
        </w:numPr>
        <w:adjustRightInd w:val="0"/>
        <w:snapToGrid w:val="0"/>
        <w:spacing w:before="0" w:after="0" w:line="360" w:lineRule="auto"/>
        <w:rPr>
          <w:rFonts w:hint="eastAsia"/>
          <w:sz w:val="24"/>
          <w:szCs w:val="24"/>
        </w:rPr>
      </w:pPr>
    </w:p>
    <w:p>
      <w:pPr>
        <w:pStyle w:val="2"/>
        <w:numPr>
          <w:ilvl w:val="0"/>
          <w:numId w:val="0"/>
        </w:numPr>
        <w:adjustRightInd w:val="0"/>
        <w:snapToGrid w:val="0"/>
        <w:spacing w:before="0" w:after="0" w:line="360" w:lineRule="auto"/>
        <w:rPr>
          <w:sz w:val="24"/>
          <w:szCs w:val="24"/>
        </w:rPr>
      </w:pPr>
      <w:r>
        <w:rPr>
          <w:rFonts w:hint="eastAsia"/>
          <w:sz w:val="24"/>
          <w:szCs w:val="24"/>
        </w:rPr>
        <w:t>附件3.2</w:t>
      </w:r>
      <w:r>
        <w:rPr>
          <w:sz w:val="24"/>
          <w:szCs w:val="24"/>
        </w:rPr>
        <w:t xml:space="preserve"> </w:t>
      </w:r>
      <w:r>
        <w:rPr>
          <w:rFonts w:hint="eastAsia" w:ascii="宋体" w:hAnsi="宋体" w:cs="宋体"/>
          <w:kern w:val="0"/>
          <w:sz w:val="24"/>
          <w:szCs w:val="24"/>
        </w:rPr>
        <w:t>法人营业执照（复印件）</w:t>
      </w:r>
    </w:p>
    <w:p>
      <w:pPr>
        <w:pStyle w:val="2"/>
        <w:numPr>
          <w:ilvl w:val="0"/>
          <w:numId w:val="0"/>
        </w:numPr>
        <w:adjustRightInd w:val="0"/>
        <w:snapToGrid w:val="0"/>
        <w:spacing w:before="0" w:after="0" w:line="360" w:lineRule="auto"/>
        <w:rPr>
          <w:rFonts w:hint="eastAsia"/>
          <w:b w:val="0"/>
          <w:bCs w:val="0"/>
          <w:sz w:val="24"/>
          <w:szCs w:val="24"/>
        </w:rPr>
      </w:pPr>
      <w:r>
        <w:rPr>
          <w:rFonts w:hint="eastAsia"/>
          <w:b w:val="0"/>
          <w:bCs w:val="0"/>
          <w:sz w:val="24"/>
          <w:szCs w:val="24"/>
        </w:rPr>
        <w:t>具有独立承担民事责任的能力</w:t>
      </w:r>
      <w:r>
        <w:rPr>
          <w:rFonts w:hint="eastAsia"/>
          <w:b w:val="0"/>
          <w:bCs w:val="0"/>
          <w:sz w:val="24"/>
          <w:szCs w:val="24"/>
          <w:lang w:eastAsia="zh-CN"/>
        </w:rPr>
        <w:t>。需</w:t>
      </w:r>
      <w:r>
        <w:rPr>
          <w:rFonts w:hint="eastAsia"/>
          <w:b w:val="0"/>
          <w:bCs w:val="0"/>
          <w:sz w:val="24"/>
          <w:szCs w:val="24"/>
        </w:rPr>
        <w:t>提供具有独立法人的营业执照或其他组织营业执照（复印件或扫描件加盖</w:t>
      </w:r>
      <w:r>
        <w:rPr>
          <w:rFonts w:hint="eastAsia"/>
          <w:b w:val="0"/>
          <w:bCs w:val="0"/>
          <w:sz w:val="24"/>
          <w:szCs w:val="24"/>
          <w:lang w:eastAsia="zh-CN"/>
        </w:rPr>
        <w:t>供应商</w:t>
      </w:r>
      <w:r>
        <w:rPr>
          <w:rFonts w:hint="eastAsia"/>
          <w:b w:val="0"/>
          <w:bCs w:val="0"/>
          <w:sz w:val="24"/>
          <w:szCs w:val="24"/>
        </w:rPr>
        <w:t>公章）</w:t>
      </w:r>
    </w:p>
    <w:p>
      <w:pPr>
        <w:pStyle w:val="2"/>
        <w:numPr>
          <w:ilvl w:val="0"/>
          <w:numId w:val="0"/>
        </w:numPr>
        <w:adjustRightInd w:val="0"/>
        <w:snapToGrid w:val="0"/>
        <w:spacing w:before="0" w:after="0" w:line="360" w:lineRule="auto"/>
        <w:rPr>
          <w:rFonts w:hint="eastAsia"/>
          <w:sz w:val="24"/>
          <w:szCs w:val="24"/>
        </w:rPr>
      </w:pPr>
    </w:p>
    <w:p>
      <w:pPr>
        <w:pStyle w:val="2"/>
        <w:numPr>
          <w:ilvl w:val="0"/>
          <w:numId w:val="0"/>
        </w:numPr>
        <w:adjustRightInd w:val="0"/>
        <w:snapToGrid w:val="0"/>
        <w:spacing w:before="0" w:after="0" w:line="360" w:lineRule="auto"/>
        <w:rPr>
          <w:rFonts w:hint="eastAsia"/>
          <w:sz w:val="24"/>
          <w:szCs w:val="24"/>
        </w:rPr>
      </w:pPr>
    </w:p>
    <w:p>
      <w:pPr>
        <w:pStyle w:val="2"/>
        <w:numPr>
          <w:ilvl w:val="0"/>
          <w:numId w:val="0"/>
        </w:numPr>
        <w:adjustRightInd w:val="0"/>
        <w:snapToGrid w:val="0"/>
        <w:spacing w:before="0" w:after="0" w:line="360" w:lineRule="auto"/>
        <w:rPr>
          <w:rFonts w:hint="eastAsia"/>
          <w:sz w:val="24"/>
          <w:szCs w:val="24"/>
        </w:rPr>
      </w:pPr>
    </w:p>
    <w:p>
      <w:pPr>
        <w:pStyle w:val="2"/>
        <w:numPr>
          <w:ilvl w:val="0"/>
          <w:numId w:val="0"/>
        </w:numPr>
        <w:adjustRightInd w:val="0"/>
        <w:snapToGrid w:val="0"/>
        <w:spacing w:before="0" w:after="0" w:line="360" w:lineRule="auto"/>
        <w:rPr>
          <w:rFonts w:hint="eastAsia"/>
          <w:sz w:val="24"/>
          <w:szCs w:val="24"/>
        </w:rPr>
      </w:pPr>
    </w:p>
    <w:p>
      <w:pPr>
        <w:pStyle w:val="2"/>
        <w:numPr>
          <w:ilvl w:val="0"/>
          <w:numId w:val="0"/>
        </w:numPr>
        <w:adjustRightInd w:val="0"/>
        <w:snapToGrid w:val="0"/>
        <w:spacing w:before="0" w:after="0" w:line="360" w:lineRule="auto"/>
        <w:rPr>
          <w:rFonts w:hint="eastAsia"/>
          <w:sz w:val="24"/>
          <w:szCs w:val="24"/>
        </w:rPr>
      </w:pPr>
    </w:p>
    <w:p>
      <w:pPr>
        <w:pStyle w:val="2"/>
        <w:numPr>
          <w:ilvl w:val="0"/>
          <w:numId w:val="0"/>
        </w:numPr>
        <w:adjustRightInd w:val="0"/>
        <w:snapToGrid w:val="0"/>
        <w:spacing w:before="0" w:after="0" w:line="360" w:lineRule="auto"/>
        <w:rPr>
          <w:rFonts w:hint="eastAsia"/>
          <w:sz w:val="24"/>
          <w:szCs w:val="24"/>
        </w:rPr>
      </w:pPr>
    </w:p>
    <w:p>
      <w:pPr>
        <w:pStyle w:val="2"/>
        <w:numPr>
          <w:ilvl w:val="0"/>
          <w:numId w:val="0"/>
        </w:numPr>
        <w:adjustRightInd w:val="0"/>
        <w:snapToGrid w:val="0"/>
        <w:spacing w:before="0" w:after="0" w:line="360" w:lineRule="auto"/>
        <w:rPr>
          <w:rFonts w:hint="eastAsia"/>
          <w:sz w:val="24"/>
          <w:szCs w:val="24"/>
        </w:rPr>
      </w:pPr>
    </w:p>
    <w:p>
      <w:pPr>
        <w:pStyle w:val="2"/>
        <w:numPr>
          <w:ilvl w:val="0"/>
          <w:numId w:val="0"/>
        </w:numPr>
        <w:adjustRightInd w:val="0"/>
        <w:snapToGrid w:val="0"/>
        <w:spacing w:before="0" w:after="0" w:line="360" w:lineRule="auto"/>
        <w:rPr>
          <w:rFonts w:hint="eastAsia"/>
          <w:sz w:val="24"/>
          <w:szCs w:val="24"/>
        </w:rPr>
      </w:pPr>
    </w:p>
    <w:p>
      <w:pPr>
        <w:pStyle w:val="2"/>
        <w:numPr>
          <w:ilvl w:val="0"/>
          <w:numId w:val="0"/>
        </w:numPr>
        <w:adjustRightInd w:val="0"/>
        <w:snapToGrid w:val="0"/>
        <w:spacing w:before="0" w:after="0" w:line="360" w:lineRule="auto"/>
        <w:rPr>
          <w:rFonts w:hint="eastAsia"/>
          <w:sz w:val="24"/>
          <w:szCs w:val="24"/>
        </w:rPr>
      </w:pPr>
    </w:p>
    <w:p>
      <w:pPr>
        <w:pStyle w:val="2"/>
        <w:numPr>
          <w:ilvl w:val="0"/>
          <w:numId w:val="0"/>
        </w:numPr>
        <w:adjustRightInd w:val="0"/>
        <w:snapToGrid w:val="0"/>
        <w:spacing w:before="0" w:after="0" w:line="360" w:lineRule="auto"/>
        <w:rPr>
          <w:rFonts w:hint="eastAsia"/>
          <w:sz w:val="24"/>
          <w:szCs w:val="24"/>
        </w:rPr>
      </w:pPr>
    </w:p>
    <w:p>
      <w:pPr>
        <w:pStyle w:val="2"/>
        <w:numPr>
          <w:ilvl w:val="0"/>
          <w:numId w:val="0"/>
        </w:numPr>
        <w:adjustRightInd w:val="0"/>
        <w:snapToGrid w:val="0"/>
        <w:spacing w:before="0" w:after="0" w:line="360" w:lineRule="auto"/>
        <w:rPr>
          <w:rFonts w:hint="eastAsia"/>
          <w:sz w:val="24"/>
          <w:szCs w:val="24"/>
        </w:rPr>
      </w:pPr>
    </w:p>
    <w:p>
      <w:pPr>
        <w:pStyle w:val="2"/>
        <w:numPr>
          <w:ilvl w:val="0"/>
          <w:numId w:val="0"/>
        </w:numPr>
        <w:adjustRightInd w:val="0"/>
        <w:snapToGrid w:val="0"/>
        <w:spacing w:before="0" w:after="0" w:line="360" w:lineRule="auto"/>
        <w:rPr>
          <w:rFonts w:hint="eastAsia"/>
          <w:sz w:val="24"/>
          <w:szCs w:val="24"/>
        </w:rPr>
      </w:pPr>
    </w:p>
    <w:p>
      <w:pPr>
        <w:rPr>
          <w:rFonts w:hint="eastAsia"/>
          <w:sz w:val="24"/>
          <w:szCs w:val="24"/>
        </w:rPr>
      </w:pPr>
    </w:p>
    <w:p>
      <w:pPr>
        <w:pStyle w:val="2"/>
        <w:numPr>
          <w:ilvl w:val="1"/>
          <w:numId w:val="0"/>
        </w:numPr>
        <w:ind w:left="0" w:firstLine="0"/>
        <w:rPr>
          <w:rFonts w:hint="eastAsia"/>
        </w:rPr>
      </w:pPr>
    </w:p>
    <w:p>
      <w:pPr>
        <w:pStyle w:val="2"/>
        <w:numPr>
          <w:ilvl w:val="1"/>
          <w:numId w:val="0"/>
        </w:numPr>
        <w:ind w:left="0" w:firstLine="0"/>
        <w:rPr>
          <w:rFonts w:hint="eastAsia"/>
        </w:rPr>
      </w:pPr>
    </w:p>
    <w:p>
      <w:pPr>
        <w:pStyle w:val="2"/>
        <w:numPr>
          <w:ilvl w:val="1"/>
          <w:numId w:val="0"/>
        </w:numPr>
        <w:ind w:left="0" w:firstLine="0"/>
        <w:rPr>
          <w:rFonts w:hint="eastAsia" w:eastAsia="宋体"/>
          <w:lang w:eastAsia="zh-CN"/>
        </w:rPr>
      </w:pPr>
    </w:p>
    <w:p>
      <w:pPr>
        <w:rPr>
          <w:rFonts w:hint="eastAsia" w:eastAsia="宋体"/>
          <w:lang w:eastAsia="zh-CN"/>
        </w:rPr>
      </w:pPr>
    </w:p>
    <w:p>
      <w:pPr>
        <w:pStyle w:val="2"/>
        <w:numPr>
          <w:ilvl w:val="1"/>
          <w:numId w:val="0"/>
        </w:numPr>
        <w:ind w:leftChars="0"/>
        <w:rPr>
          <w:rFonts w:hint="eastAsia"/>
          <w:lang w:eastAsia="zh-CN"/>
        </w:rPr>
      </w:pPr>
    </w:p>
    <w:p>
      <w:pPr>
        <w:rPr>
          <w:rFonts w:hint="eastAsia"/>
        </w:rPr>
      </w:pPr>
    </w:p>
    <w:p>
      <w:pPr>
        <w:pStyle w:val="2"/>
        <w:numPr>
          <w:ilvl w:val="0"/>
          <w:numId w:val="0"/>
        </w:numPr>
        <w:adjustRightInd w:val="0"/>
        <w:snapToGrid w:val="0"/>
        <w:spacing w:before="0" w:after="0" w:line="360" w:lineRule="auto"/>
        <w:rPr>
          <w:rFonts w:hint="eastAsia"/>
          <w:sz w:val="24"/>
          <w:szCs w:val="24"/>
        </w:rPr>
      </w:pPr>
    </w:p>
    <w:p>
      <w:pPr>
        <w:rPr>
          <w:rFonts w:hint="eastAsia"/>
          <w:sz w:val="24"/>
          <w:szCs w:val="24"/>
        </w:rPr>
      </w:pPr>
    </w:p>
    <w:p>
      <w:pPr>
        <w:pStyle w:val="2"/>
        <w:numPr>
          <w:ilvl w:val="0"/>
          <w:numId w:val="0"/>
        </w:numPr>
        <w:adjustRightInd w:val="0"/>
        <w:snapToGrid w:val="0"/>
        <w:spacing w:before="0" w:after="0" w:line="360" w:lineRule="auto"/>
        <w:rPr>
          <w:rFonts w:hint="eastAsia"/>
          <w:sz w:val="24"/>
          <w:szCs w:val="24"/>
        </w:rPr>
      </w:pPr>
    </w:p>
    <w:p>
      <w:pPr>
        <w:pStyle w:val="2"/>
        <w:numPr>
          <w:ilvl w:val="0"/>
          <w:numId w:val="0"/>
        </w:numPr>
        <w:adjustRightInd w:val="0"/>
        <w:snapToGrid w:val="0"/>
        <w:spacing w:before="0" w:after="0" w:line="360" w:lineRule="auto"/>
        <w:rPr>
          <w:rFonts w:hint="eastAsia" w:ascii="宋体" w:hAnsi="宋体" w:eastAsia="宋体" w:cs="宋体"/>
          <w:color w:val="auto"/>
          <w:kern w:val="0"/>
          <w:sz w:val="24"/>
          <w:highlight w:val="none"/>
          <w:lang w:val="en-US" w:eastAsia="zh-CN"/>
        </w:rPr>
      </w:pPr>
      <w:r>
        <w:rPr>
          <w:rFonts w:hint="eastAsia"/>
          <w:sz w:val="24"/>
          <w:szCs w:val="24"/>
        </w:rPr>
        <w:t>附件3.</w:t>
      </w:r>
      <w:r>
        <w:rPr>
          <w:sz w:val="24"/>
          <w:szCs w:val="24"/>
        </w:rPr>
        <w:t xml:space="preserve">3 </w:t>
      </w:r>
      <w:r>
        <w:rPr>
          <w:rFonts w:hint="eastAsia" w:ascii="宋体" w:hAnsi="宋体" w:eastAsia="宋体" w:cs="宋体"/>
          <w:color w:val="auto"/>
          <w:kern w:val="0"/>
          <w:sz w:val="24"/>
          <w:highlight w:val="none"/>
          <w:lang w:val="en-US" w:eastAsia="zh-CN"/>
        </w:rPr>
        <w:t>供应商无违法违规记录承诺</w:t>
      </w:r>
    </w:p>
    <w:p>
      <w:pPr>
        <w:keepNext w:val="0"/>
        <w:keepLines w:val="0"/>
        <w:pageBreakBefore w:val="0"/>
        <w:widowControl w:val="0"/>
        <w:numPr>
          <w:ilvl w:val="0"/>
          <w:numId w:val="0"/>
        </w:numPr>
        <w:kinsoku/>
        <w:wordWrap/>
        <w:overflowPunct/>
        <w:topLinePunct w:val="0"/>
        <w:autoSpaceDE/>
        <w:autoSpaceDN/>
        <w:bidi w:val="0"/>
        <w:adjustRightInd/>
        <w:spacing w:beforeAutospacing="0" w:afterAutospacing="0" w:line="560" w:lineRule="exact"/>
        <w:textAlignment w:val="auto"/>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lang w:val="en-US" w:eastAsia="zh-CN"/>
        </w:rPr>
        <w:t>供应商须承诺：</w:t>
      </w:r>
      <w:r>
        <w:rPr>
          <w:rFonts w:hint="eastAsia" w:ascii="宋体" w:hAnsi="宋体" w:eastAsia="宋体" w:cs="宋体"/>
          <w:color w:val="auto"/>
          <w:kern w:val="0"/>
          <w:sz w:val="24"/>
          <w:highlight w:val="none"/>
        </w:rPr>
        <w:t>近三年未受过律师主管部门的行政处罚和客户投诉</w:t>
      </w:r>
      <w:r>
        <w:rPr>
          <w:rFonts w:hint="eastAsia" w:ascii="宋体" w:hAnsi="宋体" w:cs="宋体"/>
          <w:color w:val="auto"/>
          <w:kern w:val="0"/>
          <w:sz w:val="24"/>
          <w:highlight w:val="none"/>
          <w:lang w:eastAsia="zh-CN"/>
        </w:rPr>
        <w:t>，</w:t>
      </w:r>
      <w:r>
        <w:rPr>
          <w:rFonts w:hint="eastAsia" w:ascii="宋体" w:hAnsi="宋体" w:eastAsia="宋体" w:cs="宋体"/>
          <w:color w:val="auto"/>
          <w:kern w:val="0"/>
          <w:sz w:val="24"/>
          <w:highlight w:val="none"/>
        </w:rPr>
        <w:t>且提供经营活动良好</w:t>
      </w:r>
      <w:r>
        <w:rPr>
          <w:rFonts w:hint="eastAsia" w:ascii="宋体" w:hAnsi="宋体" w:eastAsia="宋体" w:cs="宋体"/>
          <w:color w:val="auto"/>
          <w:kern w:val="0"/>
          <w:sz w:val="24"/>
          <w:highlight w:val="none"/>
          <w:lang w:val="en-US" w:eastAsia="zh-CN"/>
        </w:rPr>
        <w:t>,</w:t>
      </w:r>
      <w:r>
        <w:rPr>
          <w:rFonts w:hint="eastAsia" w:ascii="宋体" w:hAnsi="宋体" w:eastAsia="宋体" w:cs="宋体"/>
          <w:color w:val="auto"/>
          <w:kern w:val="0"/>
          <w:sz w:val="24"/>
          <w:highlight w:val="none"/>
        </w:rPr>
        <w:t>近三年无违法违规记录的书面声明</w:t>
      </w:r>
      <w:r>
        <w:rPr>
          <w:rFonts w:hint="eastAsia" w:ascii="宋体" w:hAnsi="宋体" w:cs="宋体"/>
          <w:color w:val="auto"/>
          <w:kern w:val="0"/>
          <w:sz w:val="24"/>
          <w:highlight w:val="none"/>
          <w:lang w:eastAsia="zh-CN"/>
        </w:rPr>
        <w:t>。</w:t>
      </w:r>
    </w:p>
    <w:p>
      <w:pPr>
        <w:keepNext w:val="0"/>
        <w:keepLines w:val="0"/>
        <w:pageBreakBefore w:val="0"/>
        <w:widowControl w:val="0"/>
        <w:kinsoku/>
        <w:wordWrap/>
        <w:overflowPunct/>
        <w:topLinePunct w:val="0"/>
        <w:autoSpaceDE/>
        <w:autoSpaceDN/>
        <w:bidi w:val="0"/>
        <w:adjustRightInd/>
        <w:snapToGrid w:val="0"/>
        <w:spacing w:before="0" w:beforeAutospacing="0" w:line="560" w:lineRule="exact"/>
        <w:jc w:val="center"/>
        <w:textAlignment w:val="auto"/>
        <w:rPr>
          <w:rFonts w:hint="eastAsia" w:ascii="宋体" w:hAnsi="宋体" w:eastAsia="宋体" w:cs="宋体"/>
          <w:b/>
          <w:bCs/>
          <w:color w:val="auto"/>
          <w:kern w:val="0"/>
          <w:sz w:val="36"/>
          <w:szCs w:val="36"/>
          <w:highlight w:val="none"/>
        </w:rPr>
      </w:pPr>
    </w:p>
    <w:p>
      <w:pPr>
        <w:keepNext w:val="0"/>
        <w:keepLines w:val="0"/>
        <w:pageBreakBefore w:val="0"/>
        <w:widowControl w:val="0"/>
        <w:kinsoku/>
        <w:wordWrap/>
        <w:overflowPunct/>
        <w:topLinePunct w:val="0"/>
        <w:autoSpaceDE/>
        <w:autoSpaceDN/>
        <w:bidi w:val="0"/>
        <w:adjustRightInd/>
        <w:snapToGrid w:val="0"/>
        <w:spacing w:before="0" w:beforeAutospacing="0" w:line="560" w:lineRule="exact"/>
        <w:jc w:val="center"/>
        <w:textAlignment w:val="auto"/>
        <w:rPr>
          <w:rFonts w:hint="eastAsia" w:ascii="宋体" w:hAnsi="宋体" w:eastAsia="宋体" w:cs="宋体"/>
          <w:b/>
          <w:bCs/>
          <w:color w:val="auto"/>
          <w:kern w:val="0"/>
          <w:sz w:val="36"/>
          <w:szCs w:val="36"/>
          <w:highlight w:val="none"/>
        </w:rPr>
      </w:pPr>
      <w:r>
        <w:rPr>
          <w:rFonts w:hint="eastAsia" w:ascii="宋体" w:hAnsi="宋体" w:eastAsia="宋体" w:cs="宋体"/>
          <w:b/>
          <w:bCs/>
          <w:color w:val="auto"/>
          <w:kern w:val="0"/>
          <w:sz w:val="36"/>
          <w:szCs w:val="36"/>
          <w:highlight w:val="none"/>
        </w:rPr>
        <w:t>无违法违规记录的声明</w:t>
      </w:r>
    </w:p>
    <w:p>
      <w:pPr>
        <w:keepNext w:val="0"/>
        <w:keepLines w:val="0"/>
        <w:pageBreakBefore w:val="0"/>
        <w:widowControl w:val="0"/>
        <w:kinsoku/>
        <w:wordWrap/>
        <w:overflowPunct/>
        <w:topLinePunct w:val="0"/>
        <w:autoSpaceDE/>
        <w:autoSpaceDN/>
        <w:bidi w:val="0"/>
        <w:adjustRightInd/>
        <w:spacing w:line="560" w:lineRule="exact"/>
        <w:ind w:firstLine="480"/>
        <w:textAlignment w:val="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致：</w:t>
      </w:r>
      <w:r>
        <w:rPr>
          <w:rFonts w:hint="eastAsia" w:ascii="宋体" w:hAnsi="宋体" w:cs="宋体"/>
          <w:color w:val="auto"/>
          <w:sz w:val="24"/>
          <w:szCs w:val="24"/>
          <w:highlight w:val="none"/>
          <w:u w:val="single"/>
        </w:rPr>
        <w:t xml:space="preserve">   （采购人或采购代理机构）     </w:t>
      </w:r>
    </w:p>
    <w:p>
      <w:pPr>
        <w:keepNext w:val="0"/>
        <w:keepLines w:val="0"/>
        <w:pageBreakBefore w:val="0"/>
        <w:widowControl w:val="0"/>
        <w:kinsoku/>
        <w:wordWrap/>
        <w:overflowPunct/>
        <w:topLinePunct w:val="0"/>
        <w:autoSpaceDE/>
        <w:autoSpaceDN/>
        <w:bidi w:val="0"/>
        <w:adjustRightInd/>
        <w:spacing w:line="56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u w:val="single"/>
        </w:rPr>
        <w:t xml:space="preserve">      （供应商全称）            </w:t>
      </w:r>
      <w:r>
        <w:rPr>
          <w:rFonts w:hint="eastAsia" w:ascii="宋体" w:hAnsi="宋体" w:cs="宋体"/>
          <w:color w:val="auto"/>
          <w:sz w:val="24"/>
          <w:szCs w:val="24"/>
          <w:highlight w:val="none"/>
        </w:rPr>
        <w:t>，参加贵</w:t>
      </w:r>
      <w:r>
        <w:rPr>
          <w:rFonts w:hint="eastAsia" w:ascii="宋体" w:hAnsi="宋体" w:cs="宋体"/>
          <w:color w:val="auto"/>
          <w:sz w:val="24"/>
          <w:szCs w:val="24"/>
          <w:highlight w:val="none"/>
          <w:lang w:val="en-US" w:eastAsia="zh-CN"/>
        </w:rPr>
        <w:t>公司</w:t>
      </w:r>
      <w:r>
        <w:rPr>
          <w:rFonts w:hint="eastAsia" w:ascii="宋体" w:hAnsi="宋体" w:cs="宋体"/>
          <w:color w:val="auto"/>
          <w:sz w:val="24"/>
          <w:szCs w:val="24"/>
          <w:highlight w:val="none"/>
        </w:rPr>
        <w:t>组织的项目编号：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，项目名称：</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XXXXXX</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的采购活动，在此郑重声明：我</w:t>
      </w:r>
      <w:r>
        <w:rPr>
          <w:rFonts w:hint="eastAsia" w:ascii="宋体" w:hAnsi="宋体" w:cs="宋体"/>
          <w:color w:val="auto"/>
          <w:sz w:val="24"/>
          <w:szCs w:val="24"/>
          <w:highlight w:val="none"/>
          <w:lang w:val="en-US" w:eastAsia="zh-CN"/>
        </w:rPr>
        <w:t>方</w:t>
      </w:r>
      <w:r>
        <w:rPr>
          <w:rFonts w:hint="eastAsia" w:ascii="宋体" w:hAnsi="宋体" w:cs="宋体"/>
          <w:color w:val="auto"/>
          <w:sz w:val="24"/>
          <w:szCs w:val="24"/>
          <w:highlight w:val="none"/>
        </w:rPr>
        <w:t>在参加本项目采购活动</w:t>
      </w:r>
      <w:r>
        <w:rPr>
          <w:rFonts w:hint="eastAsia" w:ascii="宋体" w:hAnsi="宋体" w:eastAsia="宋体" w:cs="宋体"/>
          <w:color w:val="auto"/>
          <w:kern w:val="0"/>
          <w:sz w:val="24"/>
          <w:highlight w:val="none"/>
        </w:rPr>
        <w:t>近三年未受过律师主管部门的行政处罚和客户投诉</w:t>
      </w:r>
      <w:r>
        <w:rPr>
          <w:rFonts w:hint="eastAsia" w:ascii="宋体" w:hAnsi="宋体" w:cs="宋体"/>
          <w:color w:val="auto"/>
          <w:kern w:val="0"/>
          <w:sz w:val="24"/>
          <w:highlight w:val="none"/>
          <w:lang w:eastAsia="zh-CN"/>
        </w:rPr>
        <w:t>，</w:t>
      </w:r>
      <w:r>
        <w:rPr>
          <w:rFonts w:hint="eastAsia" w:ascii="宋体" w:hAnsi="宋体" w:cs="宋体"/>
          <w:color w:val="auto"/>
          <w:sz w:val="24"/>
          <w:szCs w:val="24"/>
          <w:highlight w:val="none"/>
        </w:rPr>
        <w:t>在经营活动中未因违法经营受到刑事处罚或者责令停产停业、吊销许可证或者执照、较大数额罚款等行政处罚</w:t>
      </w:r>
      <w:r>
        <w:rPr>
          <w:rFonts w:hint="eastAsia" w:ascii="宋体" w:hAnsi="宋体" w:cs="宋体"/>
          <w:color w:val="auto"/>
          <w:sz w:val="24"/>
          <w:szCs w:val="24"/>
          <w:highlight w:val="none"/>
          <w:lang w:eastAsia="zh-CN"/>
        </w:rPr>
        <w:t>，</w:t>
      </w:r>
      <w:r>
        <w:rPr>
          <w:rFonts w:hint="eastAsia" w:ascii="宋体" w:hAnsi="宋体" w:eastAsia="宋体" w:cs="宋体"/>
          <w:color w:val="auto"/>
          <w:kern w:val="0"/>
          <w:sz w:val="24"/>
          <w:highlight w:val="none"/>
        </w:rPr>
        <w:t>近三年无违法违规记录</w:t>
      </w:r>
      <w:r>
        <w:rPr>
          <w:rFonts w:hint="eastAsia" w:ascii="宋体" w:hAnsi="宋体" w:cs="宋体"/>
          <w:color w:val="auto"/>
          <w:sz w:val="24"/>
          <w:szCs w:val="24"/>
          <w:highlight w:val="none"/>
        </w:rPr>
        <w:t>。</w:t>
      </w:r>
    </w:p>
    <w:p>
      <w:pPr>
        <w:keepNext w:val="0"/>
        <w:keepLines w:val="0"/>
        <w:pageBreakBefore w:val="0"/>
        <w:widowControl w:val="0"/>
        <w:kinsoku/>
        <w:wordWrap/>
        <w:overflowPunct/>
        <w:topLinePunct w:val="0"/>
        <w:autoSpaceDE/>
        <w:autoSpaceDN/>
        <w:bidi w:val="0"/>
        <w:adjustRightInd/>
        <w:spacing w:line="560" w:lineRule="exact"/>
        <w:ind w:firstLine="480"/>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特此声明</w:t>
      </w:r>
    </w:p>
    <w:p>
      <w:pPr>
        <w:keepNext w:val="0"/>
        <w:keepLines w:val="0"/>
        <w:pageBreakBefore w:val="0"/>
        <w:widowControl w:val="0"/>
        <w:kinsoku/>
        <w:wordWrap/>
        <w:overflowPunct/>
        <w:topLinePunct w:val="0"/>
        <w:autoSpaceDE/>
        <w:autoSpaceDN/>
        <w:bidi w:val="0"/>
        <w:adjustRightInd/>
        <w:spacing w:line="560" w:lineRule="exact"/>
        <w:ind w:firstLine="480"/>
        <w:textAlignment w:val="auto"/>
        <w:rPr>
          <w:rFonts w:hint="eastAsia" w:ascii="宋体" w:hAnsi="宋体" w:cs="宋体"/>
          <w:color w:val="auto"/>
          <w:sz w:val="24"/>
          <w:szCs w:val="24"/>
          <w:highlight w:val="none"/>
        </w:rPr>
      </w:pPr>
    </w:p>
    <w:p>
      <w:pPr>
        <w:keepNext w:val="0"/>
        <w:keepLines w:val="0"/>
        <w:pageBreakBefore w:val="0"/>
        <w:widowControl w:val="0"/>
        <w:kinsoku/>
        <w:wordWrap/>
        <w:overflowPunct/>
        <w:topLinePunct w:val="0"/>
        <w:autoSpaceDE/>
        <w:autoSpaceDN/>
        <w:bidi w:val="0"/>
        <w:adjustRightInd/>
        <w:spacing w:line="560" w:lineRule="exact"/>
        <w:ind w:firstLine="480"/>
        <w:jc w:val="righ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投标供应商：（盖章）</w:t>
      </w:r>
    </w:p>
    <w:p>
      <w:pPr>
        <w:keepNext w:val="0"/>
        <w:keepLines w:val="0"/>
        <w:pageBreakBefore w:val="0"/>
        <w:widowControl w:val="0"/>
        <w:kinsoku/>
        <w:wordWrap/>
        <w:overflowPunct/>
        <w:topLinePunct w:val="0"/>
        <w:autoSpaceDE/>
        <w:autoSpaceDN/>
        <w:bidi w:val="0"/>
        <w:adjustRightInd/>
        <w:spacing w:line="560" w:lineRule="exact"/>
        <w:ind w:firstLine="480"/>
        <w:jc w:val="righ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日期：</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年   月   日</w:t>
      </w:r>
    </w:p>
    <w:p>
      <w:pPr>
        <w:rPr>
          <w:rFonts w:hint="eastAsia" w:ascii="宋体" w:hAnsi="宋体" w:eastAsia="宋体" w:cs="宋体"/>
          <w:color w:val="auto"/>
          <w:kern w:val="0"/>
          <w:sz w:val="24"/>
          <w:highlight w:val="none"/>
          <w:lang w:val="en-US" w:eastAsia="zh-CN"/>
        </w:rPr>
      </w:pPr>
    </w:p>
    <w:p>
      <w:pPr>
        <w:pStyle w:val="2"/>
        <w:numPr>
          <w:ilvl w:val="1"/>
          <w:numId w:val="0"/>
        </w:numPr>
        <w:ind w:leftChars="0"/>
      </w:pPr>
    </w:p>
    <w:p>
      <w:pPr>
        <w:rPr>
          <w:rFonts w:hint="eastAsia" w:ascii="宋体" w:hAnsi="宋体" w:eastAsia="宋体" w:cs="宋体"/>
          <w:color w:val="auto"/>
          <w:kern w:val="0"/>
          <w:sz w:val="24"/>
          <w:highlight w:val="none"/>
          <w:lang w:val="en-US" w:eastAsia="zh-CN"/>
        </w:rPr>
      </w:pPr>
    </w:p>
    <w:p>
      <w:pPr>
        <w:pStyle w:val="2"/>
        <w:numPr>
          <w:ilvl w:val="1"/>
          <w:numId w:val="0"/>
        </w:numPr>
        <w:ind w:left="0" w:firstLine="0"/>
        <w:rPr>
          <w:rFonts w:hint="eastAsia"/>
          <w:lang w:val="en-US" w:eastAsia="zh-CN"/>
        </w:rPr>
      </w:pPr>
    </w:p>
    <w:p>
      <w:pPr>
        <w:pStyle w:val="2"/>
        <w:numPr>
          <w:ilvl w:val="1"/>
          <w:numId w:val="0"/>
        </w:numPr>
        <w:ind w:leftChars="0"/>
      </w:pPr>
    </w:p>
    <w:p/>
    <w:p>
      <w:pPr>
        <w:pStyle w:val="2"/>
        <w:numPr>
          <w:ilvl w:val="0"/>
          <w:numId w:val="0"/>
        </w:numPr>
        <w:adjustRightInd w:val="0"/>
        <w:snapToGrid w:val="0"/>
        <w:spacing w:before="0" w:after="0" w:line="360" w:lineRule="auto"/>
        <w:rPr>
          <w:rFonts w:hint="eastAsia"/>
          <w:b w:val="0"/>
          <w:bCs w:val="0"/>
          <w:sz w:val="24"/>
          <w:szCs w:val="24"/>
          <w:lang w:eastAsia="zh-CN"/>
        </w:rPr>
      </w:pPr>
      <w:r>
        <w:rPr>
          <w:rFonts w:hint="eastAsia"/>
          <w:sz w:val="24"/>
          <w:szCs w:val="24"/>
        </w:rPr>
        <w:t>附件3</w:t>
      </w:r>
      <w:r>
        <w:rPr>
          <w:sz w:val="24"/>
          <w:szCs w:val="24"/>
        </w:rPr>
        <w:t>.</w:t>
      </w:r>
      <w:r>
        <w:rPr>
          <w:rFonts w:hint="eastAsia"/>
          <w:sz w:val="24"/>
          <w:szCs w:val="24"/>
          <w:lang w:val="en-US" w:eastAsia="zh-CN"/>
        </w:rPr>
        <w:t>4</w:t>
      </w:r>
      <w:r>
        <w:rPr>
          <w:sz w:val="24"/>
          <w:szCs w:val="24"/>
        </w:rPr>
        <w:t xml:space="preserve"> </w:t>
      </w:r>
      <w:r>
        <w:rPr>
          <w:rFonts w:hint="eastAsia" w:ascii="宋体" w:hAnsi="宋体" w:eastAsia="宋体" w:cs="宋体"/>
          <w:color w:val="auto"/>
          <w:kern w:val="0"/>
          <w:sz w:val="24"/>
          <w:highlight w:val="none"/>
        </w:rPr>
        <w:t>律师事务所执业许可证或律师事务所分所执业许可证</w:t>
      </w:r>
      <w:r>
        <w:rPr>
          <w:sz w:val="24"/>
          <w:szCs w:val="24"/>
        </w:rPr>
        <w:br w:type="textWrapping"/>
      </w:r>
      <w:r>
        <w:rPr>
          <w:rFonts w:hint="eastAsia"/>
          <w:b w:val="0"/>
          <w:bCs w:val="0"/>
          <w:sz w:val="24"/>
          <w:szCs w:val="24"/>
        </w:rPr>
        <w:t>具有</w:t>
      </w:r>
      <w:r>
        <w:rPr>
          <w:rFonts w:hint="eastAsia"/>
          <w:b w:val="0"/>
          <w:bCs w:val="0"/>
          <w:sz w:val="24"/>
          <w:szCs w:val="24"/>
          <w:lang w:val="en-US" w:eastAsia="zh-CN"/>
        </w:rPr>
        <w:t>有效的</w:t>
      </w:r>
      <w:r>
        <w:rPr>
          <w:rFonts w:hint="eastAsia"/>
          <w:b w:val="0"/>
          <w:bCs w:val="0"/>
          <w:sz w:val="24"/>
          <w:szCs w:val="24"/>
        </w:rPr>
        <w:t>律师事务所执业许可证或律师事务所分所执业许可证</w:t>
      </w:r>
      <w:r>
        <w:rPr>
          <w:rFonts w:hint="eastAsia"/>
          <w:b w:val="0"/>
          <w:bCs w:val="0"/>
          <w:sz w:val="24"/>
          <w:szCs w:val="24"/>
          <w:lang w:eastAsia="zh-CN"/>
        </w:rPr>
        <w:t>（</w:t>
      </w:r>
      <w:r>
        <w:rPr>
          <w:rFonts w:hint="eastAsia"/>
          <w:b w:val="0"/>
          <w:bCs w:val="0"/>
          <w:sz w:val="24"/>
          <w:szCs w:val="24"/>
          <w:lang w:val="en-US" w:eastAsia="zh-CN"/>
        </w:rPr>
        <w:t>复印件加盖供应商公章，律师事务所总所与分所同时参加本项目投标的，视为无效标</w:t>
      </w:r>
      <w:r>
        <w:rPr>
          <w:rFonts w:hint="eastAsia"/>
          <w:b w:val="0"/>
          <w:bCs w:val="0"/>
          <w:sz w:val="24"/>
          <w:szCs w:val="24"/>
          <w:lang w:eastAsia="zh-CN"/>
        </w:rPr>
        <w:t>）。</w:t>
      </w:r>
    </w:p>
    <w:p>
      <w:pPr>
        <w:rPr>
          <w:rFonts w:hint="eastAsia"/>
          <w:b w:val="0"/>
          <w:bCs w:val="0"/>
          <w:sz w:val="24"/>
          <w:szCs w:val="24"/>
          <w:lang w:eastAsia="zh-CN"/>
        </w:rPr>
      </w:pPr>
    </w:p>
    <w:p/>
    <w:p>
      <w:pPr>
        <w:pStyle w:val="2"/>
        <w:numPr>
          <w:ilvl w:val="1"/>
          <w:numId w:val="0"/>
        </w:numPr>
        <w:ind w:left="0" w:firstLine="0"/>
      </w:pPr>
    </w:p>
    <w:p/>
    <w:p>
      <w:pPr>
        <w:pStyle w:val="2"/>
        <w:numPr>
          <w:ilvl w:val="1"/>
          <w:numId w:val="0"/>
        </w:numPr>
        <w:ind w:left="0" w:firstLine="0"/>
      </w:pPr>
    </w:p>
    <w:p/>
    <w:p>
      <w:pPr>
        <w:pStyle w:val="2"/>
        <w:numPr>
          <w:ilvl w:val="1"/>
          <w:numId w:val="0"/>
        </w:numPr>
        <w:ind w:left="0" w:firstLine="0"/>
      </w:pPr>
    </w:p>
    <w:p/>
    <w:p>
      <w:pPr>
        <w:pStyle w:val="2"/>
        <w:numPr>
          <w:ilvl w:val="1"/>
          <w:numId w:val="0"/>
        </w:numPr>
        <w:ind w:left="0" w:firstLine="0"/>
      </w:pPr>
    </w:p>
    <w:p/>
    <w:p>
      <w:pPr>
        <w:pStyle w:val="2"/>
        <w:numPr>
          <w:ilvl w:val="1"/>
          <w:numId w:val="0"/>
        </w:numPr>
        <w:ind w:left="0" w:firstLine="0"/>
      </w:pPr>
    </w:p>
    <w:p/>
    <w:p>
      <w:pPr>
        <w:pStyle w:val="2"/>
        <w:numPr>
          <w:ilvl w:val="1"/>
          <w:numId w:val="0"/>
        </w:numPr>
        <w:ind w:left="0" w:firstLine="0"/>
      </w:pPr>
    </w:p>
    <w:p/>
    <w:p>
      <w:pPr>
        <w:pStyle w:val="2"/>
        <w:numPr>
          <w:ilvl w:val="1"/>
          <w:numId w:val="0"/>
        </w:numPr>
        <w:ind w:left="0" w:firstLine="0"/>
      </w:pPr>
    </w:p>
    <w:p/>
    <w:p>
      <w:pPr>
        <w:pStyle w:val="2"/>
        <w:numPr>
          <w:ilvl w:val="0"/>
          <w:numId w:val="0"/>
        </w:numPr>
        <w:adjustRightInd w:val="0"/>
        <w:snapToGrid w:val="0"/>
        <w:spacing w:before="0" w:after="0" w:line="360" w:lineRule="auto"/>
        <w:rPr>
          <w:sz w:val="24"/>
          <w:szCs w:val="24"/>
        </w:rPr>
      </w:pPr>
      <w:r>
        <w:rPr>
          <w:rFonts w:hint="eastAsia"/>
          <w:sz w:val="24"/>
          <w:szCs w:val="24"/>
        </w:rPr>
        <w:t>附件3</w:t>
      </w:r>
      <w:r>
        <w:rPr>
          <w:sz w:val="24"/>
          <w:szCs w:val="24"/>
        </w:rPr>
        <w:t>.</w:t>
      </w:r>
      <w:r>
        <w:rPr>
          <w:rFonts w:hint="eastAsia"/>
          <w:sz w:val="24"/>
          <w:szCs w:val="24"/>
          <w:lang w:val="en-US" w:eastAsia="zh-CN"/>
        </w:rPr>
        <w:t>5</w:t>
      </w:r>
      <w:r>
        <w:rPr>
          <w:sz w:val="24"/>
          <w:szCs w:val="24"/>
        </w:rPr>
        <w:t xml:space="preserve"> </w:t>
      </w:r>
      <w:r>
        <w:rPr>
          <w:rFonts w:hint="eastAsia" w:ascii="宋体" w:hAnsi="宋体" w:cs="宋体"/>
          <w:kern w:val="0"/>
          <w:sz w:val="24"/>
          <w:szCs w:val="24"/>
          <w:lang w:val="en-US" w:eastAsia="zh-CN"/>
        </w:rPr>
        <w:t>主要律师团队简介</w:t>
      </w:r>
    </w:p>
    <w:p>
      <w:pPr>
        <w:pStyle w:val="2"/>
        <w:numPr>
          <w:ilvl w:val="0"/>
          <w:numId w:val="0"/>
        </w:numPr>
        <w:adjustRightInd w:val="0"/>
        <w:snapToGrid w:val="0"/>
        <w:spacing w:before="0" w:after="0" w:line="360" w:lineRule="auto"/>
        <w:rPr>
          <w:rFonts w:hint="eastAsia"/>
          <w:sz w:val="24"/>
          <w:szCs w:val="24"/>
        </w:rPr>
      </w:pPr>
    </w:p>
    <w:p>
      <w:pPr>
        <w:pStyle w:val="2"/>
        <w:numPr>
          <w:ilvl w:val="0"/>
          <w:numId w:val="0"/>
        </w:numPr>
        <w:adjustRightInd w:val="0"/>
        <w:snapToGrid w:val="0"/>
        <w:spacing w:before="0" w:after="0" w:line="360" w:lineRule="auto"/>
        <w:rPr>
          <w:rFonts w:hint="eastAsia"/>
          <w:sz w:val="24"/>
          <w:szCs w:val="24"/>
        </w:rPr>
      </w:pPr>
    </w:p>
    <w:p>
      <w:pPr>
        <w:pStyle w:val="2"/>
        <w:numPr>
          <w:ilvl w:val="0"/>
          <w:numId w:val="0"/>
        </w:numPr>
        <w:adjustRightInd w:val="0"/>
        <w:snapToGrid w:val="0"/>
        <w:spacing w:before="0" w:after="0" w:line="360" w:lineRule="auto"/>
        <w:rPr>
          <w:rFonts w:hint="eastAsia"/>
          <w:sz w:val="24"/>
          <w:szCs w:val="24"/>
        </w:rPr>
      </w:pPr>
    </w:p>
    <w:p>
      <w:pPr>
        <w:pStyle w:val="2"/>
        <w:numPr>
          <w:ilvl w:val="0"/>
          <w:numId w:val="0"/>
        </w:numPr>
        <w:adjustRightInd w:val="0"/>
        <w:snapToGrid w:val="0"/>
        <w:spacing w:before="0" w:after="0" w:line="360" w:lineRule="auto"/>
        <w:rPr>
          <w:rFonts w:hint="eastAsia"/>
          <w:sz w:val="24"/>
          <w:szCs w:val="24"/>
        </w:rPr>
      </w:pPr>
    </w:p>
    <w:p>
      <w:pPr>
        <w:pStyle w:val="2"/>
        <w:numPr>
          <w:ilvl w:val="0"/>
          <w:numId w:val="0"/>
        </w:numPr>
        <w:adjustRightInd w:val="0"/>
        <w:snapToGrid w:val="0"/>
        <w:spacing w:before="0" w:after="0" w:line="360" w:lineRule="auto"/>
        <w:rPr>
          <w:rFonts w:hint="eastAsia"/>
          <w:sz w:val="24"/>
          <w:szCs w:val="24"/>
        </w:rPr>
      </w:pPr>
    </w:p>
    <w:p>
      <w:pPr>
        <w:pStyle w:val="2"/>
        <w:numPr>
          <w:ilvl w:val="0"/>
          <w:numId w:val="0"/>
        </w:numPr>
        <w:adjustRightInd w:val="0"/>
        <w:snapToGrid w:val="0"/>
        <w:spacing w:before="0" w:after="0" w:line="360" w:lineRule="auto"/>
        <w:rPr>
          <w:rFonts w:hint="eastAsia"/>
          <w:sz w:val="24"/>
          <w:szCs w:val="24"/>
        </w:rPr>
      </w:pPr>
    </w:p>
    <w:p>
      <w:pPr>
        <w:pStyle w:val="2"/>
        <w:numPr>
          <w:ilvl w:val="0"/>
          <w:numId w:val="0"/>
        </w:numPr>
        <w:adjustRightInd w:val="0"/>
        <w:snapToGrid w:val="0"/>
        <w:spacing w:before="0" w:after="0" w:line="360" w:lineRule="auto"/>
        <w:rPr>
          <w:rFonts w:hint="eastAsia"/>
          <w:sz w:val="24"/>
          <w:szCs w:val="24"/>
        </w:rPr>
      </w:pPr>
    </w:p>
    <w:p>
      <w:pPr>
        <w:pStyle w:val="2"/>
        <w:numPr>
          <w:ilvl w:val="0"/>
          <w:numId w:val="0"/>
        </w:numPr>
        <w:adjustRightInd w:val="0"/>
        <w:snapToGrid w:val="0"/>
        <w:spacing w:before="0" w:after="0" w:line="360" w:lineRule="auto"/>
        <w:rPr>
          <w:rFonts w:hint="eastAsia"/>
          <w:sz w:val="24"/>
          <w:szCs w:val="24"/>
        </w:rPr>
      </w:pPr>
    </w:p>
    <w:p>
      <w:pPr>
        <w:pStyle w:val="2"/>
        <w:numPr>
          <w:ilvl w:val="0"/>
          <w:numId w:val="0"/>
        </w:numPr>
        <w:adjustRightInd w:val="0"/>
        <w:snapToGrid w:val="0"/>
        <w:spacing w:before="0" w:after="0" w:line="360" w:lineRule="auto"/>
        <w:rPr>
          <w:rFonts w:hint="eastAsia"/>
          <w:sz w:val="24"/>
          <w:szCs w:val="24"/>
        </w:rPr>
      </w:pPr>
    </w:p>
    <w:p>
      <w:pPr>
        <w:pStyle w:val="2"/>
        <w:numPr>
          <w:ilvl w:val="0"/>
          <w:numId w:val="0"/>
        </w:numPr>
        <w:adjustRightInd w:val="0"/>
        <w:snapToGrid w:val="0"/>
        <w:spacing w:before="0" w:after="0" w:line="360" w:lineRule="auto"/>
        <w:rPr>
          <w:rFonts w:hint="eastAsia"/>
          <w:sz w:val="24"/>
          <w:szCs w:val="24"/>
        </w:rPr>
      </w:pPr>
    </w:p>
    <w:p>
      <w:pPr>
        <w:pStyle w:val="2"/>
        <w:numPr>
          <w:ilvl w:val="0"/>
          <w:numId w:val="0"/>
        </w:numPr>
        <w:adjustRightInd w:val="0"/>
        <w:snapToGrid w:val="0"/>
        <w:spacing w:before="0" w:after="0" w:line="360" w:lineRule="auto"/>
        <w:rPr>
          <w:rFonts w:hint="eastAsia"/>
          <w:sz w:val="24"/>
          <w:szCs w:val="24"/>
        </w:rPr>
      </w:pPr>
    </w:p>
    <w:p>
      <w:pPr>
        <w:pStyle w:val="2"/>
        <w:numPr>
          <w:ilvl w:val="0"/>
          <w:numId w:val="0"/>
        </w:numPr>
        <w:adjustRightInd w:val="0"/>
        <w:snapToGrid w:val="0"/>
        <w:spacing w:before="0" w:after="0" w:line="360" w:lineRule="auto"/>
        <w:rPr>
          <w:rFonts w:hint="eastAsia"/>
          <w:sz w:val="24"/>
          <w:szCs w:val="24"/>
        </w:rPr>
      </w:pPr>
    </w:p>
    <w:p>
      <w:pPr>
        <w:pStyle w:val="2"/>
        <w:numPr>
          <w:ilvl w:val="0"/>
          <w:numId w:val="0"/>
        </w:numPr>
        <w:adjustRightInd w:val="0"/>
        <w:snapToGrid w:val="0"/>
        <w:spacing w:before="0" w:after="0" w:line="360" w:lineRule="auto"/>
        <w:rPr>
          <w:rFonts w:hint="eastAsia"/>
          <w:sz w:val="24"/>
          <w:szCs w:val="24"/>
        </w:rPr>
      </w:pPr>
    </w:p>
    <w:p>
      <w:pPr>
        <w:pStyle w:val="2"/>
        <w:numPr>
          <w:ilvl w:val="0"/>
          <w:numId w:val="0"/>
        </w:numPr>
        <w:adjustRightInd w:val="0"/>
        <w:snapToGrid w:val="0"/>
        <w:spacing w:before="0" w:after="0" w:line="360" w:lineRule="auto"/>
        <w:rPr>
          <w:rFonts w:hint="eastAsia"/>
          <w:sz w:val="24"/>
          <w:szCs w:val="24"/>
        </w:rPr>
      </w:pPr>
    </w:p>
    <w:p>
      <w:pPr>
        <w:pStyle w:val="2"/>
        <w:numPr>
          <w:ilvl w:val="0"/>
          <w:numId w:val="0"/>
        </w:numPr>
        <w:adjustRightInd w:val="0"/>
        <w:snapToGrid w:val="0"/>
        <w:spacing w:before="0" w:after="0" w:line="360" w:lineRule="auto"/>
        <w:rPr>
          <w:rFonts w:hint="eastAsia"/>
          <w:sz w:val="24"/>
          <w:szCs w:val="24"/>
        </w:rPr>
      </w:pPr>
    </w:p>
    <w:p>
      <w:pPr>
        <w:pStyle w:val="2"/>
        <w:numPr>
          <w:ilvl w:val="0"/>
          <w:numId w:val="0"/>
        </w:numPr>
        <w:adjustRightInd w:val="0"/>
        <w:snapToGrid w:val="0"/>
        <w:spacing w:before="0" w:after="0" w:line="360" w:lineRule="auto"/>
        <w:rPr>
          <w:rFonts w:hint="eastAsia"/>
          <w:sz w:val="24"/>
          <w:szCs w:val="24"/>
        </w:rPr>
      </w:pPr>
    </w:p>
    <w:p>
      <w:pPr>
        <w:pStyle w:val="2"/>
        <w:numPr>
          <w:ilvl w:val="0"/>
          <w:numId w:val="0"/>
        </w:numPr>
        <w:adjustRightInd w:val="0"/>
        <w:snapToGrid w:val="0"/>
        <w:spacing w:before="0" w:after="0" w:line="360" w:lineRule="auto"/>
        <w:rPr>
          <w:rFonts w:hint="eastAsia"/>
          <w:sz w:val="24"/>
          <w:szCs w:val="24"/>
        </w:rPr>
      </w:pPr>
    </w:p>
    <w:p>
      <w:pPr>
        <w:pStyle w:val="2"/>
        <w:numPr>
          <w:ilvl w:val="0"/>
          <w:numId w:val="0"/>
        </w:numPr>
        <w:adjustRightInd w:val="0"/>
        <w:snapToGrid w:val="0"/>
        <w:spacing w:before="0" w:after="0" w:line="360" w:lineRule="auto"/>
        <w:rPr>
          <w:rFonts w:hint="eastAsia"/>
          <w:sz w:val="24"/>
          <w:szCs w:val="24"/>
        </w:rPr>
      </w:pPr>
    </w:p>
    <w:p>
      <w:pPr>
        <w:pStyle w:val="2"/>
        <w:numPr>
          <w:ilvl w:val="0"/>
          <w:numId w:val="0"/>
        </w:numPr>
        <w:adjustRightInd w:val="0"/>
        <w:snapToGrid w:val="0"/>
        <w:spacing w:before="0" w:after="0" w:line="360" w:lineRule="auto"/>
        <w:rPr>
          <w:rFonts w:hint="eastAsia"/>
          <w:sz w:val="24"/>
          <w:szCs w:val="24"/>
        </w:rPr>
      </w:pPr>
    </w:p>
    <w:p>
      <w:pPr>
        <w:pStyle w:val="2"/>
        <w:numPr>
          <w:ilvl w:val="0"/>
          <w:numId w:val="0"/>
        </w:numPr>
        <w:adjustRightInd w:val="0"/>
        <w:snapToGrid w:val="0"/>
        <w:spacing w:before="0" w:after="0" w:line="360" w:lineRule="auto"/>
        <w:rPr>
          <w:rFonts w:hint="eastAsia"/>
          <w:sz w:val="24"/>
          <w:szCs w:val="24"/>
        </w:rPr>
      </w:pPr>
    </w:p>
    <w:p>
      <w:pPr>
        <w:pStyle w:val="2"/>
        <w:numPr>
          <w:ilvl w:val="0"/>
          <w:numId w:val="0"/>
        </w:numPr>
        <w:adjustRightInd w:val="0"/>
        <w:snapToGrid w:val="0"/>
        <w:spacing w:before="0" w:after="0" w:line="360" w:lineRule="auto"/>
        <w:rPr>
          <w:rFonts w:hint="eastAsia"/>
          <w:sz w:val="24"/>
          <w:szCs w:val="24"/>
        </w:rPr>
      </w:pPr>
    </w:p>
    <w:p>
      <w:pPr>
        <w:pStyle w:val="2"/>
        <w:numPr>
          <w:ilvl w:val="0"/>
          <w:numId w:val="0"/>
        </w:numPr>
        <w:adjustRightInd w:val="0"/>
        <w:snapToGrid w:val="0"/>
        <w:spacing w:before="0" w:after="0" w:line="360" w:lineRule="auto"/>
        <w:rPr>
          <w:rFonts w:hint="eastAsia"/>
          <w:sz w:val="24"/>
          <w:szCs w:val="24"/>
        </w:rPr>
      </w:pPr>
    </w:p>
    <w:p>
      <w:pPr>
        <w:pStyle w:val="2"/>
        <w:numPr>
          <w:ilvl w:val="0"/>
          <w:numId w:val="0"/>
        </w:numPr>
        <w:adjustRightInd w:val="0"/>
        <w:snapToGrid w:val="0"/>
        <w:spacing w:before="0" w:after="0" w:line="360" w:lineRule="auto"/>
        <w:rPr>
          <w:rFonts w:hint="eastAsia"/>
          <w:sz w:val="24"/>
          <w:szCs w:val="24"/>
        </w:rPr>
      </w:pPr>
    </w:p>
    <w:p>
      <w:pPr>
        <w:pStyle w:val="2"/>
        <w:numPr>
          <w:ilvl w:val="0"/>
          <w:numId w:val="0"/>
        </w:numPr>
        <w:adjustRightInd w:val="0"/>
        <w:snapToGrid w:val="0"/>
        <w:spacing w:before="0" w:after="0" w:line="360" w:lineRule="auto"/>
        <w:rPr>
          <w:rFonts w:hint="eastAsia"/>
          <w:sz w:val="24"/>
          <w:szCs w:val="24"/>
        </w:rPr>
      </w:pPr>
    </w:p>
    <w:p>
      <w:pPr>
        <w:pStyle w:val="2"/>
        <w:numPr>
          <w:ilvl w:val="0"/>
          <w:numId w:val="0"/>
        </w:numPr>
        <w:adjustRightInd w:val="0"/>
        <w:snapToGrid w:val="0"/>
        <w:spacing w:before="0" w:after="0" w:line="360" w:lineRule="auto"/>
        <w:rPr>
          <w:rFonts w:hint="eastAsia"/>
          <w:sz w:val="24"/>
          <w:szCs w:val="24"/>
        </w:rPr>
      </w:pPr>
    </w:p>
    <w:p>
      <w:pPr>
        <w:pStyle w:val="2"/>
        <w:numPr>
          <w:ilvl w:val="0"/>
          <w:numId w:val="0"/>
        </w:numPr>
        <w:adjustRightInd w:val="0"/>
        <w:snapToGrid w:val="0"/>
        <w:spacing w:before="0" w:after="0" w:line="360" w:lineRule="auto"/>
        <w:rPr>
          <w:rFonts w:hint="eastAsia"/>
          <w:sz w:val="24"/>
          <w:szCs w:val="24"/>
        </w:rPr>
      </w:pPr>
    </w:p>
    <w:p>
      <w:pPr>
        <w:pStyle w:val="2"/>
        <w:numPr>
          <w:ilvl w:val="0"/>
          <w:numId w:val="0"/>
        </w:numPr>
        <w:adjustRightInd w:val="0"/>
        <w:snapToGrid w:val="0"/>
        <w:spacing w:before="0" w:after="0" w:line="360" w:lineRule="auto"/>
        <w:rPr>
          <w:rFonts w:hint="eastAsia"/>
          <w:sz w:val="24"/>
          <w:szCs w:val="24"/>
        </w:rPr>
      </w:pPr>
    </w:p>
    <w:p>
      <w:pPr>
        <w:pStyle w:val="2"/>
        <w:numPr>
          <w:ilvl w:val="0"/>
          <w:numId w:val="0"/>
        </w:numPr>
        <w:adjustRightInd w:val="0"/>
        <w:snapToGrid w:val="0"/>
        <w:spacing w:before="0" w:after="0" w:line="360" w:lineRule="auto"/>
        <w:rPr>
          <w:rFonts w:hint="eastAsia"/>
          <w:sz w:val="24"/>
          <w:szCs w:val="24"/>
        </w:rPr>
      </w:pPr>
    </w:p>
    <w:p>
      <w:pPr>
        <w:pStyle w:val="2"/>
        <w:numPr>
          <w:ilvl w:val="0"/>
          <w:numId w:val="0"/>
        </w:numPr>
        <w:adjustRightInd w:val="0"/>
        <w:snapToGrid w:val="0"/>
        <w:spacing w:before="0" w:after="0" w:line="360" w:lineRule="auto"/>
        <w:rPr>
          <w:rFonts w:hint="eastAsia"/>
          <w:sz w:val="24"/>
          <w:szCs w:val="24"/>
        </w:rPr>
      </w:pPr>
    </w:p>
    <w:p>
      <w:pPr>
        <w:pStyle w:val="2"/>
        <w:numPr>
          <w:ilvl w:val="0"/>
          <w:numId w:val="0"/>
        </w:numPr>
        <w:adjustRightInd w:val="0"/>
        <w:snapToGrid w:val="0"/>
        <w:spacing w:before="0" w:after="0" w:line="360" w:lineRule="auto"/>
        <w:rPr>
          <w:rFonts w:hint="eastAsia"/>
          <w:sz w:val="24"/>
          <w:szCs w:val="24"/>
        </w:rPr>
      </w:pPr>
    </w:p>
    <w:p>
      <w:pPr>
        <w:pStyle w:val="2"/>
        <w:numPr>
          <w:ilvl w:val="0"/>
          <w:numId w:val="0"/>
        </w:numPr>
        <w:adjustRightInd w:val="0"/>
        <w:snapToGrid w:val="0"/>
        <w:spacing w:before="0" w:after="0" w:line="360" w:lineRule="auto"/>
        <w:rPr>
          <w:rFonts w:hint="eastAsia"/>
          <w:sz w:val="24"/>
          <w:szCs w:val="24"/>
        </w:rPr>
      </w:pPr>
      <w:r>
        <w:rPr>
          <w:rFonts w:hint="eastAsia"/>
          <w:sz w:val="24"/>
          <w:szCs w:val="24"/>
        </w:rPr>
        <w:t>附件3.</w:t>
      </w:r>
      <w:r>
        <w:rPr>
          <w:rFonts w:hint="eastAsia"/>
          <w:sz w:val="24"/>
          <w:szCs w:val="24"/>
          <w:lang w:val="en-US" w:eastAsia="zh-CN"/>
        </w:rPr>
        <w:t>6</w:t>
      </w:r>
      <w:r>
        <w:rPr>
          <w:rFonts w:hint="eastAsia"/>
          <w:sz w:val="24"/>
          <w:szCs w:val="24"/>
        </w:rPr>
        <w:t xml:space="preserve"> </w:t>
      </w:r>
      <w:r>
        <w:rPr>
          <w:rFonts w:hint="eastAsia"/>
          <w:sz w:val="24"/>
          <w:szCs w:val="24"/>
          <w:lang w:val="en-US" w:eastAsia="zh-CN"/>
        </w:rPr>
        <w:t>团队律师</w:t>
      </w:r>
      <w:r>
        <w:rPr>
          <w:rFonts w:hint="eastAsia"/>
          <w:sz w:val="24"/>
          <w:szCs w:val="24"/>
        </w:rPr>
        <w:t>法律服务材料</w:t>
      </w:r>
    </w:p>
    <w:p>
      <w:pPr>
        <w:pStyle w:val="2"/>
        <w:numPr>
          <w:ilvl w:val="1"/>
          <w:numId w:val="0"/>
        </w:numPr>
        <w:ind w:leftChars="0"/>
        <w:rPr>
          <w:rFonts w:hint="eastAsia"/>
          <w:sz w:val="24"/>
          <w:szCs w:val="24"/>
        </w:rPr>
      </w:pPr>
    </w:p>
    <w:p>
      <w:pPr>
        <w:rPr>
          <w:rFonts w:hint="eastAsia"/>
          <w:sz w:val="24"/>
          <w:szCs w:val="24"/>
        </w:rPr>
      </w:pPr>
    </w:p>
    <w:p>
      <w:pPr>
        <w:pStyle w:val="2"/>
        <w:numPr>
          <w:ilvl w:val="1"/>
          <w:numId w:val="0"/>
        </w:numPr>
        <w:ind w:leftChars="0"/>
        <w:rPr>
          <w:rFonts w:hint="eastAsia"/>
          <w:lang w:eastAsia="zh-CN"/>
        </w:rPr>
      </w:pPr>
    </w:p>
    <w:p>
      <w:pPr>
        <w:rPr>
          <w:rFonts w:hint="eastAsia"/>
        </w:rPr>
      </w:pPr>
    </w:p>
    <w:p>
      <w:pPr>
        <w:pStyle w:val="2"/>
        <w:numPr>
          <w:ilvl w:val="0"/>
          <w:numId w:val="0"/>
        </w:numPr>
        <w:adjustRightInd w:val="0"/>
        <w:snapToGrid w:val="0"/>
        <w:spacing w:before="0" w:after="0" w:line="360" w:lineRule="auto"/>
        <w:rPr>
          <w:rFonts w:hint="eastAsia"/>
          <w:sz w:val="24"/>
          <w:szCs w:val="24"/>
        </w:rPr>
      </w:pPr>
    </w:p>
    <w:p>
      <w:pPr>
        <w:pStyle w:val="2"/>
        <w:numPr>
          <w:ilvl w:val="0"/>
          <w:numId w:val="0"/>
        </w:numPr>
        <w:adjustRightInd w:val="0"/>
        <w:snapToGrid w:val="0"/>
        <w:spacing w:before="0" w:after="0" w:line="360" w:lineRule="auto"/>
        <w:rPr>
          <w:rFonts w:hint="eastAsia"/>
          <w:sz w:val="24"/>
          <w:szCs w:val="24"/>
        </w:rPr>
      </w:pPr>
    </w:p>
    <w:p>
      <w:pPr>
        <w:pStyle w:val="2"/>
        <w:numPr>
          <w:ilvl w:val="0"/>
          <w:numId w:val="0"/>
        </w:numPr>
        <w:adjustRightInd w:val="0"/>
        <w:snapToGrid w:val="0"/>
        <w:spacing w:before="0" w:after="0" w:line="360" w:lineRule="auto"/>
        <w:rPr>
          <w:rFonts w:hint="eastAsia"/>
          <w:sz w:val="24"/>
          <w:szCs w:val="24"/>
        </w:rPr>
      </w:pPr>
    </w:p>
    <w:p>
      <w:pPr>
        <w:pStyle w:val="2"/>
        <w:numPr>
          <w:ilvl w:val="0"/>
          <w:numId w:val="0"/>
        </w:numPr>
        <w:adjustRightInd w:val="0"/>
        <w:snapToGrid w:val="0"/>
        <w:spacing w:before="0" w:after="0" w:line="360" w:lineRule="auto"/>
        <w:rPr>
          <w:rFonts w:hint="eastAsia"/>
          <w:sz w:val="24"/>
          <w:szCs w:val="24"/>
        </w:rPr>
      </w:pPr>
    </w:p>
    <w:p>
      <w:pPr>
        <w:pStyle w:val="2"/>
        <w:numPr>
          <w:ilvl w:val="0"/>
          <w:numId w:val="0"/>
        </w:numPr>
        <w:adjustRightInd w:val="0"/>
        <w:snapToGrid w:val="0"/>
        <w:spacing w:before="0" w:after="0" w:line="360" w:lineRule="auto"/>
        <w:rPr>
          <w:rFonts w:hint="eastAsia"/>
          <w:sz w:val="24"/>
          <w:szCs w:val="24"/>
        </w:rPr>
      </w:pPr>
    </w:p>
    <w:p>
      <w:pPr>
        <w:pStyle w:val="2"/>
        <w:numPr>
          <w:ilvl w:val="0"/>
          <w:numId w:val="0"/>
        </w:numPr>
        <w:adjustRightInd w:val="0"/>
        <w:snapToGrid w:val="0"/>
        <w:spacing w:before="0" w:after="0" w:line="360" w:lineRule="auto"/>
        <w:rPr>
          <w:rFonts w:hint="eastAsia"/>
          <w:sz w:val="24"/>
          <w:szCs w:val="24"/>
        </w:rPr>
      </w:pPr>
    </w:p>
    <w:p>
      <w:pPr>
        <w:pStyle w:val="2"/>
        <w:numPr>
          <w:ilvl w:val="0"/>
          <w:numId w:val="0"/>
        </w:numPr>
        <w:adjustRightInd w:val="0"/>
        <w:snapToGrid w:val="0"/>
        <w:spacing w:before="0" w:after="0" w:line="360" w:lineRule="auto"/>
        <w:rPr>
          <w:rFonts w:hint="eastAsia"/>
          <w:sz w:val="24"/>
          <w:szCs w:val="24"/>
        </w:rPr>
      </w:pPr>
    </w:p>
    <w:p>
      <w:pPr>
        <w:pStyle w:val="2"/>
        <w:numPr>
          <w:ilvl w:val="0"/>
          <w:numId w:val="0"/>
        </w:numPr>
        <w:adjustRightInd w:val="0"/>
        <w:snapToGrid w:val="0"/>
        <w:spacing w:before="0" w:after="0" w:line="360" w:lineRule="auto"/>
        <w:rPr>
          <w:rFonts w:hint="eastAsia"/>
          <w:sz w:val="24"/>
          <w:szCs w:val="24"/>
        </w:rPr>
      </w:pPr>
    </w:p>
    <w:p>
      <w:pPr>
        <w:pStyle w:val="2"/>
        <w:numPr>
          <w:ilvl w:val="0"/>
          <w:numId w:val="0"/>
        </w:numPr>
        <w:adjustRightInd w:val="0"/>
        <w:snapToGrid w:val="0"/>
        <w:spacing w:before="0" w:after="0" w:line="360" w:lineRule="auto"/>
        <w:rPr>
          <w:rFonts w:hint="eastAsia"/>
          <w:sz w:val="24"/>
          <w:szCs w:val="24"/>
        </w:rPr>
      </w:pPr>
    </w:p>
    <w:p>
      <w:pPr>
        <w:rPr>
          <w:rFonts w:hint="eastAsia"/>
        </w:rPr>
      </w:pPr>
    </w:p>
    <w:p>
      <w:pPr>
        <w:pStyle w:val="2"/>
        <w:numPr>
          <w:ilvl w:val="0"/>
          <w:numId w:val="0"/>
        </w:numPr>
        <w:adjustRightInd w:val="0"/>
        <w:snapToGrid w:val="0"/>
        <w:spacing w:before="0" w:after="0" w:line="360" w:lineRule="auto"/>
        <w:rPr>
          <w:rFonts w:hint="eastAsia"/>
          <w:sz w:val="24"/>
          <w:szCs w:val="24"/>
        </w:rPr>
      </w:pPr>
    </w:p>
    <w:p>
      <w:pPr>
        <w:pStyle w:val="2"/>
        <w:numPr>
          <w:ilvl w:val="0"/>
          <w:numId w:val="0"/>
        </w:numPr>
        <w:adjustRightInd w:val="0"/>
        <w:snapToGrid w:val="0"/>
        <w:spacing w:before="0" w:after="0" w:line="360" w:lineRule="auto"/>
        <w:rPr>
          <w:rFonts w:hint="eastAsia"/>
          <w:sz w:val="24"/>
          <w:szCs w:val="24"/>
        </w:rPr>
      </w:pPr>
    </w:p>
    <w:p>
      <w:pPr>
        <w:pStyle w:val="2"/>
        <w:numPr>
          <w:ilvl w:val="0"/>
          <w:numId w:val="0"/>
        </w:numPr>
        <w:adjustRightInd w:val="0"/>
        <w:snapToGrid w:val="0"/>
        <w:spacing w:before="0" w:after="0" w:line="360" w:lineRule="auto"/>
        <w:rPr>
          <w:rFonts w:hint="eastAsia"/>
          <w:sz w:val="24"/>
          <w:szCs w:val="24"/>
        </w:rPr>
      </w:pPr>
    </w:p>
    <w:p>
      <w:pPr>
        <w:pStyle w:val="2"/>
        <w:numPr>
          <w:ilvl w:val="0"/>
          <w:numId w:val="0"/>
        </w:numPr>
        <w:adjustRightInd w:val="0"/>
        <w:snapToGrid w:val="0"/>
        <w:spacing w:before="0" w:after="0" w:line="360" w:lineRule="auto"/>
        <w:rPr>
          <w:rFonts w:hint="eastAsia"/>
          <w:sz w:val="24"/>
          <w:szCs w:val="24"/>
        </w:rPr>
      </w:pPr>
    </w:p>
    <w:p>
      <w:pPr>
        <w:pStyle w:val="2"/>
        <w:numPr>
          <w:ilvl w:val="0"/>
          <w:numId w:val="0"/>
        </w:numPr>
        <w:adjustRightInd w:val="0"/>
        <w:snapToGrid w:val="0"/>
        <w:spacing w:before="0" w:after="0" w:line="360" w:lineRule="auto"/>
        <w:rPr>
          <w:rFonts w:hint="eastAsia"/>
          <w:sz w:val="24"/>
          <w:szCs w:val="24"/>
        </w:rPr>
      </w:pPr>
    </w:p>
    <w:p>
      <w:pPr>
        <w:pStyle w:val="2"/>
        <w:numPr>
          <w:ilvl w:val="0"/>
          <w:numId w:val="0"/>
        </w:numPr>
        <w:adjustRightInd w:val="0"/>
        <w:snapToGrid w:val="0"/>
        <w:spacing w:before="0" w:after="0" w:line="360" w:lineRule="auto"/>
        <w:rPr>
          <w:rFonts w:hint="eastAsia"/>
          <w:sz w:val="24"/>
          <w:szCs w:val="24"/>
        </w:rPr>
      </w:pPr>
    </w:p>
    <w:p>
      <w:pPr>
        <w:pStyle w:val="2"/>
        <w:numPr>
          <w:ilvl w:val="0"/>
          <w:numId w:val="0"/>
        </w:numPr>
        <w:adjustRightInd w:val="0"/>
        <w:snapToGrid w:val="0"/>
        <w:spacing w:before="0" w:after="0" w:line="360" w:lineRule="auto"/>
        <w:rPr>
          <w:rFonts w:hint="eastAsia"/>
          <w:sz w:val="24"/>
          <w:szCs w:val="24"/>
        </w:rPr>
      </w:pPr>
    </w:p>
    <w:p>
      <w:pPr>
        <w:rPr>
          <w:rFonts w:hint="eastAsia"/>
          <w:sz w:val="24"/>
          <w:szCs w:val="24"/>
        </w:rPr>
      </w:pPr>
    </w:p>
    <w:p>
      <w:pPr>
        <w:pStyle w:val="2"/>
        <w:numPr>
          <w:ilvl w:val="1"/>
          <w:numId w:val="0"/>
        </w:numPr>
        <w:ind w:left="0" w:firstLine="0"/>
        <w:rPr>
          <w:rFonts w:hint="eastAsia"/>
        </w:rPr>
      </w:pPr>
    </w:p>
    <w:p>
      <w:pPr>
        <w:rPr>
          <w:rFonts w:hint="eastAsia"/>
        </w:rPr>
      </w:pPr>
    </w:p>
    <w:p>
      <w:pPr>
        <w:pStyle w:val="2"/>
        <w:numPr>
          <w:ilvl w:val="1"/>
          <w:numId w:val="0"/>
        </w:numPr>
        <w:ind w:leftChars="0"/>
        <w:rPr>
          <w:rFonts w:hint="eastAsia"/>
        </w:rPr>
      </w:pPr>
    </w:p>
    <w:p>
      <w:pPr>
        <w:rPr>
          <w:rFonts w:hint="eastAsia"/>
        </w:rPr>
      </w:pPr>
    </w:p>
    <w:p>
      <w:pPr>
        <w:rPr>
          <w:rFonts w:hint="eastAsia"/>
        </w:rPr>
      </w:pPr>
    </w:p>
    <w:p>
      <w:pPr>
        <w:pStyle w:val="2"/>
        <w:numPr>
          <w:ilvl w:val="0"/>
          <w:numId w:val="0"/>
        </w:numPr>
        <w:spacing w:line="240" w:lineRule="auto"/>
        <w:rPr>
          <w:rFonts w:hint="eastAsia"/>
          <w:sz w:val="24"/>
          <w:szCs w:val="24"/>
        </w:rPr>
      </w:pPr>
    </w:p>
    <w:p>
      <w:pPr>
        <w:pStyle w:val="2"/>
        <w:numPr>
          <w:ilvl w:val="0"/>
          <w:numId w:val="0"/>
        </w:numPr>
        <w:spacing w:line="240" w:lineRule="auto"/>
        <w:rPr>
          <w:kern w:val="0"/>
          <w:sz w:val="24"/>
          <w:szCs w:val="24"/>
        </w:rPr>
      </w:pPr>
      <w:r>
        <w:rPr>
          <w:rFonts w:hint="eastAsia"/>
          <w:sz w:val="24"/>
          <w:szCs w:val="24"/>
        </w:rPr>
        <w:t>附件3</w:t>
      </w:r>
      <w:r>
        <w:rPr>
          <w:sz w:val="24"/>
          <w:szCs w:val="24"/>
        </w:rPr>
        <w:t>.</w:t>
      </w:r>
      <w:r>
        <w:rPr>
          <w:rFonts w:hint="eastAsia"/>
          <w:sz w:val="24"/>
          <w:szCs w:val="24"/>
          <w:lang w:val="en-US" w:eastAsia="zh-CN"/>
        </w:rPr>
        <w:t>7</w:t>
      </w:r>
      <w:r>
        <w:rPr>
          <w:sz w:val="24"/>
          <w:szCs w:val="24"/>
        </w:rPr>
        <w:t xml:space="preserve"> </w:t>
      </w:r>
      <w:r>
        <w:rPr>
          <w:rFonts w:hint="eastAsia"/>
          <w:sz w:val="24"/>
          <w:szCs w:val="24"/>
        </w:rPr>
        <w:t>与本次采购有关的其他资质证明文件</w:t>
      </w:r>
      <w:r>
        <w:rPr>
          <w:rFonts w:hint="eastAsia"/>
          <w:kern w:val="0"/>
          <w:sz w:val="24"/>
          <w:szCs w:val="24"/>
        </w:rPr>
        <w:br w:type="page"/>
      </w:r>
    </w:p>
    <w:p>
      <w:pPr>
        <w:pStyle w:val="3"/>
        <w:numPr>
          <w:ilvl w:val="0"/>
          <w:numId w:val="0"/>
        </w:numPr>
        <w:adjustRightInd w:val="0"/>
        <w:snapToGrid w:val="0"/>
        <w:ind w:left="432" w:hanging="432"/>
        <w:rPr>
          <w:sz w:val="30"/>
          <w:szCs w:val="30"/>
        </w:rPr>
      </w:pPr>
      <w:r>
        <w:rPr>
          <w:rFonts w:hint="eastAsia"/>
          <w:sz w:val="30"/>
          <w:szCs w:val="30"/>
        </w:rPr>
        <w:t>附件四：项目采购需求</w:t>
      </w:r>
      <w:bookmarkStart w:id="11" w:name="_Toc137965307"/>
      <w:bookmarkEnd w:id="11"/>
      <w:bookmarkStart w:id="12" w:name="_Toc125183171"/>
      <w:bookmarkEnd w:id="12"/>
      <w:bookmarkStart w:id="13" w:name="_Toc190852156"/>
      <w:bookmarkEnd w:id="13"/>
      <w:r>
        <w:rPr>
          <w:rFonts w:hint="eastAsia"/>
          <w:sz w:val="30"/>
          <w:szCs w:val="30"/>
        </w:rPr>
        <w:t>及服务要求</w:t>
      </w:r>
    </w:p>
    <w:p>
      <w:pPr>
        <w:pStyle w:val="2"/>
        <w:numPr>
          <w:ilvl w:val="0"/>
          <w:numId w:val="0"/>
        </w:numPr>
        <w:adjustRightInd w:val="0"/>
        <w:snapToGrid w:val="0"/>
        <w:spacing w:before="0" w:after="0" w:line="360" w:lineRule="auto"/>
        <w:rPr>
          <w:sz w:val="24"/>
          <w:szCs w:val="24"/>
        </w:rPr>
      </w:pPr>
      <w:r>
        <w:rPr>
          <w:rFonts w:hint="eastAsia"/>
          <w:sz w:val="24"/>
          <w:szCs w:val="24"/>
        </w:rPr>
        <w:t>附件4.</w:t>
      </w:r>
      <w:bookmarkStart w:id="14" w:name="_Toc104714603"/>
      <w:bookmarkStart w:id="15" w:name="_Toc169079576"/>
      <w:r>
        <w:rPr>
          <w:rFonts w:hint="eastAsia"/>
          <w:sz w:val="24"/>
          <w:szCs w:val="24"/>
        </w:rPr>
        <w:t>1</w:t>
      </w:r>
      <w:r>
        <w:rPr>
          <w:sz w:val="24"/>
          <w:szCs w:val="24"/>
        </w:rPr>
        <w:t xml:space="preserve"> </w:t>
      </w:r>
      <w:r>
        <w:rPr>
          <w:rFonts w:hint="eastAsia"/>
          <w:sz w:val="24"/>
          <w:szCs w:val="24"/>
        </w:rPr>
        <w:t>合同条款</w:t>
      </w:r>
    </w:p>
    <w:p>
      <w:pPr>
        <w:pageBreakBefore w:val="0"/>
        <w:kinsoku/>
        <w:wordWrap/>
        <w:overflowPunct/>
        <w:topLinePunct w:val="0"/>
        <w:autoSpaceDE/>
        <w:autoSpaceDN/>
        <w:bidi w:val="0"/>
        <w:spacing w:line="360" w:lineRule="auto"/>
        <w:jc w:val="center"/>
        <w:textAlignment w:val="auto"/>
        <w:rPr>
          <w:rFonts w:hint="eastAsia" w:ascii="宋体" w:hAnsi="宋体" w:eastAsia="宋体" w:cs="宋体"/>
          <w:b/>
          <w:color w:val="auto"/>
          <w:sz w:val="24"/>
          <w:szCs w:val="24"/>
          <w:highlight w:val="none"/>
        </w:rPr>
      </w:pPr>
      <w:bookmarkStart w:id="16" w:name="_Toc68615221"/>
      <w:r>
        <w:rPr>
          <w:rFonts w:hint="eastAsia" w:ascii="宋体" w:hAnsi="宋体" w:eastAsia="宋体" w:cs="宋体"/>
          <w:b/>
          <w:color w:val="auto"/>
          <w:sz w:val="24"/>
          <w:szCs w:val="24"/>
          <w:highlight w:val="none"/>
        </w:rPr>
        <w:t>中国人民财产保险股份有限公司</w:t>
      </w:r>
      <w:r>
        <w:rPr>
          <w:rFonts w:hint="eastAsia" w:ascii="宋体" w:hAnsi="宋体" w:cs="宋体"/>
          <w:b/>
          <w:color w:val="auto"/>
          <w:sz w:val="24"/>
          <w:szCs w:val="24"/>
          <w:highlight w:val="none"/>
          <w:lang w:eastAsia="zh-CN"/>
        </w:rPr>
        <w:t>黔南</w:t>
      </w:r>
      <w:r>
        <w:rPr>
          <w:rFonts w:hint="eastAsia" w:ascii="宋体" w:hAnsi="宋体" w:eastAsia="宋体" w:cs="宋体"/>
          <w:b/>
          <w:color w:val="auto"/>
          <w:sz w:val="24"/>
          <w:szCs w:val="24"/>
          <w:highlight w:val="none"/>
        </w:rPr>
        <w:t>分公司</w:t>
      </w:r>
    </w:p>
    <w:p>
      <w:pPr>
        <w:pageBreakBefore w:val="0"/>
        <w:kinsoku/>
        <w:wordWrap/>
        <w:overflowPunct/>
        <w:topLinePunct w:val="0"/>
        <w:autoSpaceDE/>
        <w:autoSpaceDN/>
        <w:bidi w:val="0"/>
        <w:spacing w:line="360" w:lineRule="auto"/>
        <w:jc w:val="center"/>
        <w:textAlignment w:val="auto"/>
        <w:rPr>
          <w:rFonts w:hint="eastAsia" w:ascii="宋体" w:hAnsi="宋体" w:eastAsia="宋体" w:cs="宋体"/>
          <w:b/>
          <w:color w:val="auto"/>
          <w:sz w:val="24"/>
          <w:szCs w:val="24"/>
          <w:highlight w:val="none"/>
        </w:rPr>
      </w:pPr>
    </w:p>
    <w:p>
      <w:pPr>
        <w:pageBreakBefore w:val="0"/>
        <w:kinsoku/>
        <w:wordWrap/>
        <w:overflowPunct/>
        <w:topLinePunct w:val="0"/>
        <w:autoSpaceDE/>
        <w:autoSpaceDN/>
        <w:bidi w:val="0"/>
        <w:spacing w:line="360" w:lineRule="auto"/>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法律服务</w:t>
      </w:r>
    </w:p>
    <w:p>
      <w:pPr>
        <w:pageBreakBefore w:val="0"/>
        <w:kinsoku/>
        <w:wordWrap/>
        <w:overflowPunct/>
        <w:topLinePunct w:val="0"/>
        <w:autoSpaceDE/>
        <w:autoSpaceDN/>
        <w:bidi w:val="0"/>
        <w:spacing w:line="360" w:lineRule="auto"/>
        <w:jc w:val="center"/>
        <w:textAlignment w:val="auto"/>
        <w:rPr>
          <w:rFonts w:hint="eastAsia" w:ascii="宋体" w:hAnsi="宋体" w:eastAsia="宋体" w:cs="宋体"/>
          <w:b/>
          <w:color w:val="auto"/>
          <w:sz w:val="24"/>
          <w:szCs w:val="24"/>
          <w:highlight w:val="none"/>
        </w:rPr>
      </w:pPr>
    </w:p>
    <w:p>
      <w:pPr>
        <w:pageBreakBefore w:val="0"/>
        <w:kinsoku/>
        <w:wordWrap/>
        <w:overflowPunct/>
        <w:topLinePunct w:val="0"/>
        <w:autoSpaceDE/>
        <w:autoSpaceDN/>
        <w:bidi w:val="0"/>
        <w:spacing w:line="360" w:lineRule="auto"/>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律师库合同</w:t>
      </w:r>
    </w:p>
    <w:p>
      <w:pPr>
        <w:keepNext w:val="0"/>
        <w:keepLines w:val="0"/>
        <w:widowControl/>
        <w:suppressLineNumbers w:val="0"/>
        <w:spacing w:after="240" w:afterAutospacing="0"/>
        <w:jc w:val="left"/>
      </w:pPr>
    </w:p>
    <w:p>
      <w:pPr>
        <w:spacing w:line="600" w:lineRule="atLeast"/>
        <w:jc w:val="left"/>
        <w:rPr>
          <w:rFonts w:hint="default" w:ascii="仿宋_GB2312" w:hAnsi="Calibri" w:eastAsia="仿宋_GB2312" w:cs="仿宋_GB2312"/>
          <w:kern w:val="0"/>
          <w:sz w:val="32"/>
          <w:szCs w:val="32"/>
        </w:rPr>
      </w:pPr>
      <w:r>
        <w:rPr>
          <w:rFonts w:hint="default" w:ascii="仿宋_GB2312" w:hAnsi="Calibri" w:eastAsia="仿宋_GB2312" w:cs="仿宋_GB2312"/>
          <w:kern w:val="0"/>
          <w:sz w:val="32"/>
          <w:szCs w:val="32"/>
        </w:rPr>
        <w:t>甲方：中国人民财产保险股份有限公司</w:t>
      </w:r>
      <w:r>
        <w:rPr>
          <w:rFonts w:hint="eastAsia" w:ascii="仿宋_GB2312" w:hAnsi="Calibri" w:eastAsia="仿宋_GB2312" w:cs="仿宋_GB2312"/>
          <w:kern w:val="0"/>
          <w:sz w:val="32"/>
          <w:szCs w:val="32"/>
          <w:lang w:eastAsia="zh-CN"/>
        </w:rPr>
        <w:t>黔南</w:t>
      </w:r>
      <w:r>
        <w:rPr>
          <w:rFonts w:hint="default" w:ascii="仿宋_GB2312" w:hAnsi="Calibri" w:eastAsia="仿宋_GB2312" w:cs="仿宋_GB2312"/>
          <w:kern w:val="0"/>
          <w:sz w:val="32"/>
          <w:szCs w:val="32"/>
        </w:rPr>
        <w:t>分公司</w:t>
      </w:r>
    </w:p>
    <w:p>
      <w:pPr>
        <w:spacing w:line="600" w:lineRule="atLeast"/>
        <w:jc w:val="left"/>
        <w:rPr>
          <w:rFonts w:hint="default" w:ascii="仿宋_GB2312" w:hAnsi="Calibri" w:eastAsia="仿宋_GB2312" w:cs="仿宋_GB2312"/>
          <w:kern w:val="0"/>
          <w:sz w:val="32"/>
          <w:szCs w:val="32"/>
          <w:lang w:eastAsia="zh-CN"/>
        </w:rPr>
      </w:pPr>
      <w:r>
        <w:rPr>
          <w:rFonts w:hint="default" w:ascii="仿宋_GB2312" w:hAnsi="Calibri" w:eastAsia="仿宋_GB2312" w:cs="仿宋_GB2312"/>
          <w:kern w:val="0"/>
          <w:sz w:val="32"/>
          <w:szCs w:val="32"/>
        </w:rPr>
        <w:t>地址：</w:t>
      </w:r>
      <w:r>
        <w:rPr>
          <w:rFonts w:hint="default" w:ascii="仿宋_GB2312" w:hAnsi="Calibri" w:eastAsia="仿宋_GB2312" w:cs="仿宋_GB2312"/>
          <w:kern w:val="0"/>
          <w:sz w:val="32"/>
          <w:szCs w:val="32"/>
          <w:lang w:val="en-US" w:eastAsia="zh-CN"/>
        </w:rPr>
        <w:t>贵州省黔南布依族苗族自治州都匀市环东南路</w:t>
      </w:r>
      <w:r>
        <w:rPr>
          <w:rFonts w:hint="eastAsia" w:ascii="仿宋_GB2312" w:hAnsi="Calibri" w:eastAsia="仿宋_GB2312" w:cs="仿宋_GB2312"/>
          <w:kern w:val="0"/>
          <w:sz w:val="32"/>
          <w:szCs w:val="32"/>
          <w:lang w:val="en-US" w:eastAsia="zh-CN"/>
        </w:rPr>
        <w:t>庆云宫</w:t>
      </w:r>
    </w:p>
    <w:p>
      <w:pPr>
        <w:keepNext w:val="0"/>
        <w:keepLines w:val="0"/>
        <w:widowControl/>
        <w:suppressLineNumbers w:val="0"/>
        <w:jc w:val="left"/>
        <w:rPr>
          <w:rFonts w:hint="default" w:ascii="Calibri" w:hAnsi="Calibri" w:eastAsia="宋体" w:cs="Calibri"/>
          <w:kern w:val="0"/>
          <w:sz w:val="21"/>
          <w:szCs w:val="21"/>
        </w:rPr>
      </w:pPr>
    </w:p>
    <w:p>
      <w:pPr>
        <w:pStyle w:val="2"/>
        <w:numPr>
          <w:ilvl w:val="1"/>
          <w:numId w:val="0"/>
        </w:numPr>
        <w:ind w:left="0" w:firstLine="0"/>
        <w:rPr>
          <w:rFonts w:hint="default"/>
        </w:rPr>
      </w:pPr>
    </w:p>
    <w:p>
      <w:pPr>
        <w:spacing w:line="600" w:lineRule="atLeast"/>
        <w:jc w:val="left"/>
        <w:rPr>
          <w:rFonts w:hint="default" w:ascii="仿宋_GB2312" w:hAnsi="Calibri" w:eastAsia="仿宋_GB2312" w:cs="仿宋_GB2312"/>
          <w:kern w:val="0"/>
          <w:sz w:val="32"/>
          <w:szCs w:val="32"/>
        </w:rPr>
      </w:pPr>
      <w:r>
        <w:rPr>
          <w:rFonts w:hint="default" w:ascii="仿宋_GB2312" w:hAnsi="Calibri" w:eastAsia="仿宋_GB2312" w:cs="仿宋_GB2312"/>
          <w:kern w:val="0"/>
          <w:sz w:val="32"/>
          <w:szCs w:val="32"/>
        </w:rPr>
        <w:t xml:space="preserve">乙方：   </w:t>
      </w:r>
    </w:p>
    <w:p>
      <w:pPr>
        <w:spacing w:line="600" w:lineRule="atLeast"/>
        <w:jc w:val="left"/>
        <w:rPr>
          <w:rFonts w:hint="eastAsia" w:ascii="仿宋_GB2312" w:eastAsia="仿宋_GB2312" w:cs="仿宋_GB2312"/>
          <w:sz w:val="32"/>
          <w:szCs w:val="32"/>
        </w:rPr>
      </w:pPr>
      <w:r>
        <w:rPr>
          <w:rFonts w:hint="default" w:ascii="仿宋_GB2312" w:hAnsi="Calibri" w:eastAsia="仿宋_GB2312" w:cs="仿宋_GB2312"/>
          <w:kern w:val="0"/>
          <w:sz w:val="32"/>
          <w:szCs w:val="32"/>
        </w:rPr>
        <w:t xml:space="preserve">地址：   </w:t>
      </w:r>
      <w:r>
        <w:rPr>
          <w:rFonts w:hint="eastAsia" w:ascii="宋体" w:hAnsi="宋体" w:eastAsia="宋体" w:cs="宋体"/>
          <w:kern w:val="0"/>
          <w:sz w:val="24"/>
          <w:szCs w:val="24"/>
        </w:rPr>
        <w:br w:type="textWrapping"/>
      </w:r>
      <w:r>
        <w:rPr>
          <w:rFonts w:hint="eastAsia" w:ascii="宋体" w:hAnsi="宋体" w:eastAsia="宋体" w:cs="宋体"/>
          <w:kern w:val="0"/>
          <w:sz w:val="24"/>
          <w:szCs w:val="24"/>
        </w:rPr>
        <w:br w:type="page"/>
      </w:r>
      <w:r>
        <w:rPr>
          <w:rFonts w:hint="default" w:ascii="仿宋_GB2312" w:hAnsi="宋体" w:eastAsia="仿宋_GB2312" w:cs="仿宋_GB2312"/>
          <w:b/>
          <w:bCs/>
          <w:kern w:val="0"/>
          <w:sz w:val="32"/>
          <w:szCs w:val="32"/>
        </w:rPr>
        <w:t>鉴于：</w:t>
      </w:r>
      <w:r>
        <w:rPr>
          <w:rFonts w:hint="default" w:ascii="仿宋_GB2312" w:hAnsi="宋体" w:eastAsia="仿宋_GB2312" w:cs="仿宋_GB2312"/>
          <w:kern w:val="0"/>
          <w:sz w:val="32"/>
          <w:szCs w:val="32"/>
        </w:rPr>
        <w:br w:type="textWrapping"/>
      </w:r>
      <w:r>
        <w:rPr>
          <w:rFonts w:hint="default" w:ascii="仿宋_GB2312" w:eastAsia="仿宋_GB2312" w:cs="仿宋_GB2312"/>
          <w:sz w:val="32"/>
          <w:szCs w:val="32"/>
        </w:rPr>
        <w:t xml:space="preserve">   </w:t>
      </w:r>
      <w:r>
        <w:rPr>
          <w:rFonts w:hint="eastAsia" w:ascii="仿宋_GB2312" w:eastAsia="仿宋_GB2312" w:cs="仿宋_GB2312"/>
          <w:sz w:val="32"/>
          <w:szCs w:val="32"/>
        </w:rPr>
        <w:t xml:space="preserve">本合同双方当事人（1）均为依照中华人民共和国法律成立并有效存续的法人或企业，（2）并且已经获得签署本合同的相应授权，（3）具备履行本合同所必须的资质和条件。   </w:t>
      </w:r>
    </w:p>
    <w:p>
      <w:pPr>
        <w:keepNext w:val="0"/>
        <w:keepLines w:val="0"/>
        <w:widowControl/>
        <w:suppressLineNumbers w:val="0"/>
        <w:spacing w:before="0" w:beforeAutospacing="1" w:after="0" w:afterAutospacing="1" w:line="600" w:lineRule="exact"/>
        <w:ind w:left="0" w:right="0" w:firstLine="640" w:firstLineChars="200"/>
        <w:jc w:val="left"/>
        <w:rPr>
          <w:rFonts w:hint="eastAsia" w:ascii="仿宋_GB2312" w:eastAsia="仿宋_GB2312" w:cs="仿宋_GB2312"/>
          <w:sz w:val="32"/>
          <w:szCs w:val="32"/>
        </w:rPr>
      </w:pPr>
      <w:r>
        <w:rPr>
          <w:rFonts w:hint="eastAsia" w:ascii="仿宋_GB2312" w:eastAsia="仿宋_GB2312" w:cs="仿宋_GB2312"/>
          <w:sz w:val="32"/>
          <w:szCs w:val="32"/>
        </w:rPr>
        <w:t>为保障双方的合法权益，根据《中华人民共和国</w:t>
      </w:r>
      <w:r>
        <w:rPr>
          <w:rFonts w:hint="eastAsia" w:ascii="仿宋_GB2312" w:eastAsia="仿宋_GB2312" w:cs="仿宋_GB2312"/>
          <w:sz w:val="32"/>
          <w:szCs w:val="32"/>
          <w:lang w:val="en-US" w:eastAsia="zh-CN"/>
        </w:rPr>
        <w:t>民法典</w:t>
      </w:r>
      <w:r>
        <w:rPr>
          <w:rFonts w:hint="eastAsia" w:ascii="仿宋_GB2312" w:eastAsia="仿宋_GB2312" w:cs="仿宋_GB2312"/>
          <w:sz w:val="32"/>
          <w:szCs w:val="32"/>
        </w:rPr>
        <w:t>》、《中华人民共和国律师法》及相关法律法规的规定,甲、乙双方在平等互利、协商一致的基础上，就法律服务律师库事宜订立合同如下：</w:t>
      </w:r>
    </w:p>
    <w:p>
      <w:pPr>
        <w:keepNext w:val="0"/>
        <w:keepLines w:val="0"/>
        <w:widowControl/>
        <w:suppressLineNumbers w:val="0"/>
        <w:spacing w:after="240" w:afterAutospacing="0"/>
        <w:jc w:val="left"/>
        <w:rPr>
          <w:rFonts w:hint="default" w:ascii="Calibri" w:hAnsi="Calibri" w:eastAsia="宋体" w:cs="Calibri"/>
          <w:kern w:val="0"/>
          <w:sz w:val="21"/>
          <w:szCs w:val="21"/>
        </w:rPr>
      </w:pPr>
    </w:p>
    <w:p>
      <w:pPr>
        <w:keepNext w:val="0"/>
        <w:keepLines w:val="0"/>
        <w:widowControl/>
        <w:suppressLineNumbers w:val="0"/>
        <w:spacing w:before="0" w:beforeAutospacing="1" w:after="0" w:afterAutospacing="1" w:line="600" w:lineRule="exact"/>
        <w:ind w:left="0" w:right="0"/>
        <w:jc w:val="center"/>
      </w:pPr>
      <w:r>
        <w:rPr>
          <w:rFonts w:ascii="仿宋_GB2312" w:eastAsia="仿宋_GB2312" w:cs="仿宋_GB2312"/>
          <w:b/>
          <w:bCs/>
          <w:sz w:val="32"/>
          <w:szCs w:val="32"/>
        </w:rPr>
        <w:t>商务部分</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b/>
          <w:bCs w:val="0"/>
          <w:sz w:val="32"/>
          <w:szCs w:val="32"/>
          <w:lang w:val="en-US" w:eastAsia="zh-CN"/>
        </w:rPr>
        <w:t xml:space="preserve">    </w:t>
      </w:r>
      <w:r>
        <w:rPr>
          <w:rFonts w:hint="eastAsia" w:ascii="仿宋_GB2312" w:eastAsia="仿宋_GB2312" w:cs="仿宋_GB2312"/>
          <w:b/>
          <w:bCs w:val="0"/>
          <w:sz w:val="32"/>
          <w:szCs w:val="32"/>
        </w:rPr>
        <w:t>第一条</w:t>
      </w:r>
      <w:r>
        <w:rPr>
          <w:rFonts w:hint="eastAsia" w:ascii="仿宋_GB2312" w:eastAsia="仿宋_GB2312" w:cs="仿宋_GB2312"/>
          <w:sz w:val="32"/>
          <w:szCs w:val="32"/>
        </w:rPr>
        <w:t xml:space="preserve"> </w:t>
      </w:r>
      <w:r>
        <w:rPr>
          <w:rFonts w:hint="eastAsia" w:ascii="仿宋_GB2312" w:eastAsia="仿宋_GB2312" w:cs="仿宋_GB2312"/>
          <w:b/>
          <w:bCs/>
          <w:sz w:val="32"/>
          <w:szCs w:val="32"/>
        </w:rPr>
        <w:t>律所入库</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sz w:val="32"/>
          <w:szCs w:val="32"/>
        </w:rPr>
        <w:t xml:space="preserve">   （一）双方确认：乙方通过中国人民财产保险股份有限公司_______分公司外聘律师库采购，进入甲方的法律服务律师库。</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sz w:val="32"/>
          <w:szCs w:val="32"/>
        </w:rPr>
        <w:t xml:space="preserve">   （二）双方确认：乙方入库，仅是获得了在合作期限内向甲方提供法律服务的资格，甲方有权在合作期限内就其个案法律服务采取竞争谈判、综合询价及其他合适的方式确定个案供应商。</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sz w:val="32"/>
          <w:szCs w:val="32"/>
        </w:rPr>
        <w:t xml:space="preserve">   （三）组成本合同的文件包括：</w:t>
      </w:r>
      <w:r>
        <w:rPr>
          <w:rFonts w:hint="eastAsia" w:ascii="仿宋_GB2312" w:eastAsia="仿宋_GB2312" w:cs="仿宋_GB2312"/>
          <w:sz w:val="32"/>
          <w:szCs w:val="32"/>
        </w:rPr>
        <w:br w:type="textWrapping"/>
      </w:r>
      <w:r>
        <w:rPr>
          <w:rFonts w:hint="eastAsia" w:ascii="仿宋_GB2312" w:eastAsia="仿宋_GB2312" w:cs="仿宋_GB2312"/>
          <w:sz w:val="32"/>
          <w:szCs w:val="32"/>
        </w:rPr>
        <w:t>（1）本合同协议书</w:t>
      </w:r>
      <w:r>
        <w:rPr>
          <w:rFonts w:hint="eastAsia" w:ascii="仿宋_GB2312" w:eastAsia="仿宋_GB2312" w:cs="仿宋_GB2312"/>
          <w:sz w:val="32"/>
          <w:szCs w:val="32"/>
        </w:rPr>
        <w:br w:type="textWrapping"/>
      </w:r>
      <w:r>
        <w:rPr>
          <w:rFonts w:hint="eastAsia" w:ascii="仿宋_GB2312" w:eastAsia="仿宋_GB2312" w:cs="仿宋_GB2312"/>
          <w:sz w:val="32"/>
          <w:szCs w:val="32"/>
        </w:rPr>
        <w:t>（2）本合同附件</w:t>
      </w:r>
      <w:r>
        <w:rPr>
          <w:rFonts w:hint="eastAsia" w:ascii="仿宋_GB2312" w:eastAsia="仿宋_GB2312" w:cs="仿宋_GB2312"/>
          <w:sz w:val="32"/>
          <w:szCs w:val="32"/>
        </w:rPr>
        <w:br w:type="textWrapping"/>
      </w:r>
      <w:r>
        <w:rPr>
          <w:rFonts w:hint="eastAsia" w:ascii="仿宋_GB2312" w:eastAsia="仿宋_GB2312" w:cs="仿宋_GB2312"/>
          <w:sz w:val="32"/>
          <w:szCs w:val="32"/>
        </w:rPr>
        <w:t>（3）竞争性磋商文件</w:t>
      </w:r>
      <w:r>
        <w:rPr>
          <w:rFonts w:hint="eastAsia" w:ascii="仿宋_GB2312" w:eastAsia="仿宋_GB2312" w:cs="仿宋_GB2312"/>
          <w:sz w:val="32"/>
          <w:szCs w:val="32"/>
        </w:rPr>
        <w:br w:type="textWrapping"/>
      </w:r>
      <w:r>
        <w:rPr>
          <w:rFonts w:hint="eastAsia" w:ascii="仿宋_GB2312" w:eastAsia="仿宋_GB2312" w:cs="仿宋_GB2312"/>
          <w:sz w:val="32"/>
          <w:szCs w:val="32"/>
        </w:rPr>
        <w:t>（4）乙方磋商响应文件及承诺</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b/>
          <w:bCs w:val="0"/>
          <w:sz w:val="32"/>
          <w:szCs w:val="32"/>
          <w:lang w:val="en-US" w:eastAsia="zh-CN"/>
        </w:rPr>
        <w:t xml:space="preserve">    </w:t>
      </w:r>
      <w:r>
        <w:rPr>
          <w:rFonts w:hint="eastAsia" w:ascii="仿宋_GB2312" w:eastAsia="仿宋_GB2312" w:cs="仿宋_GB2312"/>
          <w:b/>
          <w:bCs w:val="0"/>
          <w:sz w:val="32"/>
          <w:szCs w:val="32"/>
        </w:rPr>
        <w:t>第二条</w:t>
      </w:r>
      <w:r>
        <w:rPr>
          <w:rFonts w:hint="eastAsia" w:ascii="仿宋_GB2312" w:eastAsia="仿宋_GB2312" w:cs="仿宋_GB2312"/>
          <w:sz w:val="32"/>
          <w:szCs w:val="32"/>
        </w:rPr>
        <w:t xml:space="preserve"> </w:t>
      </w:r>
      <w:r>
        <w:rPr>
          <w:rFonts w:hint="eastAsia" w:ascii="仿宋_GB2312" w:eastAsia="仿宋_GB2312" w:cs="仿宋_GB2312"/>
          <w:b/>
          <w:bCs/>
          <w:sz w:val="32"/>
          <w:szCs w:val="32"/>
        </w:rPr>
        <w:t>服务范围</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sz w:val="32"/>
          <w:szCs w:val="32"/>
        </w:rPr>
        <w:t xml:space="preserve">   （一）保险类案件律师服务：提供车险和非车险案件的诉讼（追偿）及非诉代理服务；</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sz w:val="32"/>
          <w:szCs w:val="32"/>
        </w:rPr>
        <w:t xml:space="preserve">   （二） 其他律师服务：提供非保险业务类（与保险合同无关的法律事务）法律服务，包括但不限于专项法律调查、劳动争议纠纷、民商事纠纷案件类的法律服务。</w:t>
      </w:r>
    </w:p>
    <w:p>
      <w:pPr>
        <w:keepNext w:val="0"/>
        <w:keepLines w:val="0"/>
        <w:widowControl/>
        <w:suppressLineNumbers w:val="0"/>
        <w:spacing w:before="0" w:beforeAutospacing="1" w:after="0" w:afterAutospacing="1" w:line="600" w:lineRule="exact"/>
        <w:ind w:left="0" w:right="0" w:firstLine="643" w:firstLineChars="200"/>
        <w:jc w:val="left"/>
      </w:pPr>
      <w:r>
        <w:rPr>
          <w:rFonts w:hint="eastAsia" w:ascii="仿宋_GB2312" w:eastAsia="仿宋_GB2312" w:cs="仿宋_GB2312"/>
          <w:b/>
          <w:bCs w:val="0"/>
          <w:sz w:val="32"/>
          <w:szCs w:val="32"/>
        </w:rPr>
        <w:t>第三条</w:t>
      </w:r>
      <w:r>
        <w:rPr>
          <w:rFonts w:hint="eastAsia" w:ascii="仿宋_GB2312" w:eastAsia="仿宋_GB2312" w:cs="仿宋_GB2312"/>
          <w:sz w:val="32"/>
          <w:szCs w:val="32"/>
        </w:rPr>
        <w:t xml:space="preserve"> </w:t>
      </w:r>
      <w:r>
        <w:rPr>
          <w:rFonts w:hint="eastAsia" w:ascii="仿宋_GB2312" w:eastAsia="仿宋_GB2312" w:cs="仿宋_GB2312"/>
          <w:b/>
          <w:bCs/>
          <w:sz w:val="32"/>
          <w:szCs w:val="32"/>
        </w:rPr>
        <w:t>服务价格</w:t>
      </w:r>
    </w:p>
    <w:p>
      <w:pPr>
        <w:keepNext w:val="0"/>
        <w:keepLines w:val="0"/>
        <w:widowControl/>
        <w:suppressLineNumbers w:val="0"/>
        <w:spacing w:before="0" w:beforeAutospacing="1" w:after="0" w:afterAutospacing="1" w:line="600" w:lineRule="exact"/>
        <w:ind w:left="0" w:right="0"/>
        <w:jc w:val="left"/>
        <w:rPr>
          <w:rFonts w:hint="eastAsia" w:eastAsia="仿宋_GB2312"/>
          <w:lang w:eastAsia="zh-CN"/>
        </w:rPr>
      </w:pPr>
      <w:r>
        <w:rPr>
          <w:rFonts w:hint="eastAsia" w:ascii="仿宋_GB2312" w:eastAsia="仿宋_GB2312" w:cs="仿宋_GB2312"/>
          <w:sz w:val="32"/>
          <w:szCs w:val="32"/>
        </w:rPr>
        <w:t xml:space="preserve">   （一） 服务价格：以个案另行签署的代理合同为准</w:t>
      </w:r>
      <w:r>
        <w:rPr>
          <w:rFonts w:hint="eastAsia" w:ascii="仿宋_GB2312" w:eastAsia="仿宋_GB2312" w:cs="仿宋_GB2312"/>
          <w:sz w:val="32"/>
          <w:szCs w:val="32"/>
          <w:lang w:eastAsia="zh-CN"/>
        </w:rPr>
        <w:t>。</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sz w:val="32"/>
          <w:szCs w:val="32"/>
        </w:rPr>
        <w:t xml:space="preserve">   （二） 案件收费标准：详见附件</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b/>
          <w:bCs w:val="0"/>
          <w:sz w:val="32"/>
          <w:szCs w:val="32"/>
          <w:lang w:val="en-US" w:eastAsia="zh-CN"/>
        </w:rPr>
        <w:t xml:space="preserve">    </w:t>
      </w:r>
      <w:r>
        <w:rPr>
          <w:rFonts w:hint="eastAsia" w:ascii="仿宋_GB2312" w:eastAsia="仿宋_GB2312" w:cs="仿宋_GB2312"/>
          <w:b/>
          <w:bCs w:val="0"/>
          <w:sz w:val="32"/>
          <w:szCs w:val="32"/>
        </w:rPr>
        <w:t>第四条</w:t>
      </w:r>
      <w:r>
        <w:rPr>
          <w:rFonts w:hint="eastAsia" w:ascii="仿宋_GB2312" w:eastAsia="仿宋_GB2312" w:cs="仿宋_GB2312"/>
          <w:sz w:val="32"/>
          <w:szCs w:val="32"/>
        </w:rPr>
        <w:t xml:space="preserve"> </w:t>
      </w:r>
      <w:r>
        <w:rPr>
          <w:rFonts w:hint="eastAsia" w:ascii="仿宋_GB2312" w:eastAsia="仿宋_GB2312" w:cs="仿宋_GB2312"/>
          <w:b/>
          <w:bCs/>
          <w:sz w:val="32"/>
          <w:szCs w:val="32"/>
        </w:rPr>
        <w:t>乙方的工作团队</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sz w:val="32"/>
          <w:szCs w:val="32"/>
        </w:rPr>
        <w:t xml:space="preserve">   （一）乙方组成专门的律师团队提供法律服务，所有团队成员均取得司法管理部门颁发的律师执业证，并有不少于_______年的律师执业经历。工作团队为_______人，由律所的_______律师担任牵头人，其他团队成员为：_______。</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b/>
          <w:bCs w:val="0"/>
          <w:sz w:val="32"/>
          <w:szCs w:val="32"/>
          <w:lang w:val="en-US" w:eastAsia="zh-CN"/>
        </w:rPr>
        <w:t xml:space="preserve">    </w:t>
      </w:r>
      <w:r>
        <w:rPr>
          <w:rFonts w:hint="eastAsia" w:ascii="仿宋_GB2312" w:eastAsia="仿宋_GB2312" w:cs="仿宋_GB2312"/>
          <w:b/>
          <w:bCs w:val="0"/>
          <w:sz w:val="32"/>
          <w:szCs w:val="32"/>
        </w:rPr>
        <w:t>第五条</w:t>
      </w:r>
      <w:r>
        <w:rPr>
          <w:rFonts w:hint="eastAsia" w:ascii="仿宋_GB2312" w:eastAsia="仿宋_GB2312" w:cs="仿宋_GB2312"/>
          <w:sz w:val="32"/>
          <w:szCs w:val="32"/>
        </w:rPr>
        <w:t xml:space="preserve"> </w:t>
      </w:r>
      <w:r>
        <w:rPr>
          <w:rFonts w:hint="eastAsia" w:ascii="仿宋_GB2312" w:eastAsia="仿宋_GB2312" w:cs="仿宋_GB2312"/>
          <w:b/>
          <w:bCs/>
          <w:sz w:val="32"/>
          <w:szCs w:val="32"/>
        </w:rPr>
        <w:t>服务期限</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sz w:val="32"/>
          <w:szCs w:val="32"/>
        </w:rPr>
        <w:t xml:space="preserve">   （一） 乙方提供的上述法律服务的期间为_______年，即自_______年_______月_______日起，至_______年_______月_______日止。</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b/>
          <w:bCs w:val="0"/>
          <w:sz w:val="32"/>
          <w:szCs w:val="32"/>
          <w:lang w:val="en-US" w:eastAsia="zh-CN"/>
        </w:rPr>
        <w:t xml:space="preserve">    </w:t>
      </w:r>
      <w:r>
        <w:rPr>
          <w:rFonts w:hint="eastAsia" w:ascii="仿宋_GB2312" w:eastAsia="仿宋_GB2312" w:cs="仿宋_GB2312"/>
          <w:b/>
          <w:bCs w:val="0"/>
          <w:sz w:val="32"/>
          <w:szCs w:val="32"/>
        </w:rPr>
        <w:t>第六条</w:t>
      </w:r>
      <w:r>
        <w:rPr>
          <w:rFonts w:hint="eastAsia" w:ascii="仿宋_GB2312" w:eastAsia="仿宋_GB2312" w:cs="仿宋_GB2312"/>
          <w:sz w:val="32"/>
          <w:szCs w:val="32"/>
        </w:rPr>
        <w:t xml:space="preserve"> </w:t>
      </w:r>
      <w:r>
        <w:rPr>
          <w:rFonts w:hint="eastAsia" w:ascii="仿宋_GB2312" w:eastAsia="仿宋_GB2312" w:cs="仿宋_GB2312"/>
          <w:b/>
          <w:bCs/>
          <w:sz w:val="32"/>
          <w:szCs w:val="32"/>
        </w:rPr>
        <w:t>甲方义务</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sz w:val="32"/>
          <w:szCs w:val="32"/>
        </w:rPr>
        <w:t xml:space="preserve">   （一）甲方应当全面、客观和及时地向乙方提供或通报与法律事务有关的各种情况、文件及资料，并及时答复或处理乙方就提供法律服务事项过程中所遇到的具体问题；</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sz w:val="32"/>
          <w:szCs w:val="32"/>
        </w:rPr>
        <w:t xml:space="preserve">   （二）甲方对乙方负有诚实信用义务。甲方不得要求乙方出具虚假或有重大遗漏的文件，不得向乙方提供虚假或明知有重大遗漏的信息和资料，不得要求乙方从事违法活动或利用乙方提供的服务从事违法活动；</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sz w:val="32"/>
          <w:szCs w:val="32"/>
        </w:rPr>
        <w:t xml:space="preserve">   （三）甲方依据本合同要求乙方提供法律服务时，应给予乙方合理的工作时间，并为乙方办理法律事务提供便利，包括但不限于按时提供相关文件资料；</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sz w:val="32"/>
          <w:szCs w:val="32"/>
        </w:rPr>
        <w:t xml:space="preserve">   （四）按照本合同约定向乙方支付服务费用；</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sz w:val="32"/>
          <w:szCs w:val="32"/>
        </w:rPr>
        <w:t xml:space="preserve">   （五）甲方有责任对委托事项做出独立的判断、决策，甲方根据乙方律师提供的意见、建议、方案所做出的决定而导致的损失，非因乙方律师错误运用法律等失职行为造成的，由甲方自行承担。</w:t>
      </w:r>
    </w:p>
    <w:p>
      <w:pPr>
        <w:keepNext w:val="0"/>
        <w:keepLines w:val="0"/>
        <w:widowControl/>
        <w:suppressLineNumbers w:val="0"/>
        <w:spacing w:before="0" w:beforeAutospacing="1" w:after="0" w:afterAutospacing="1" w:line="600" w:lineRule="exact"/>
        <w:ind w:left="0" w:right="0" w:firstLine="643" w:firstLineChars="200"/>
        <w:jc w:val="left"/>
      </w:pPr>
      <w:r>
        <w:rPr>
          <w:rFonts w:hint="eastAsia" w:ascii="仿宋_GB2312" w:eastAsia="仿宋_GB2312" w:cs="仿宋_GB2312"/>
          <w:b/>
          <w:bCs w:val="0"/>
          <w:sz w:val="32"/>
          <w:szCs w:val="32"/>
        </w:rPr>
        <w:t>第七条</w:t>
      </w:r>
      <w:r>
        <w:rPr>
          <w:rFonts w:hint="eastAsia" w:ascii="仿宋_GB2312" w:eastAsia="仿宋_GB2312" w:cs="仿宋_GB2312"/>
          <w:sz w:val="32"/>
          <w:szCs w:val="32"/>
        </w:rPr>
        <w:t xml:space="preserve"> </w:t>
      </w:r>
      <w:r>
        <w:rPr>
          <w:rFonts w:hint="eastAsia" w:ascii="仿宋_GB2312" w:eastAsia="仿宋_GB2312" w:cs="仿宋_GB2312"/>
          <w:b/>
          <w:bCs/>
          <w:sz w:val="32"/>
          <w:szCs w:val="32"/>
        </w:rPr>
        <w:t>乙方义务</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sz w:val="32"/>
          <w:szCs w:val="32"/>
        </w:rPr>
        <w:t xml:space="preserve">   （一）乙方将按照律师行业公认的业务标准、道德规范和勤勉尽责精神，向甲方提供具备执业水准的、符合其中标标书承诺标准的法律服务。乙方在提供法律服务过程中，应当以其依据法律做出的判断，向甲方进行法律风险提示，尽最大努力维护甲方合法权益；</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sz w:val="32"/>
          <w:szCs w:val="32"/>
        </w:rPr>
        <w:t xml:space="preserve">   （二）乙方应当在正式提供法律服务前进行利益冲突检索。乙方律师应当在取得甲方提供的文件资料后，在工作计划列明的合理期限内及时完成委托事项，并应甲方要求通报工作进展情况；</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sz w:val="32"/>
          <w:szCs w:val="32"/>
        </w:rPr>
        <w:t xml:space="preserve">   （三）乙方律师对其获知的甲方商业秘密和与本项目有关的非公开的信息、资料负有保密责任，非由法律规定或者甲方同意，不得向任何第三方披露；</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sz w:val="32"/>
          <w:szCs w:val="32"/>
        </w:rPr>
        <w:t xml:space="preserve">   （四）乙方对甲方业务应单独建档，应当保存完整的工作记录，对涉及甲方的原始证据、实物或法律文件应当妥善保管并归还甲方；</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sz w:val="32"/>
          <w:szCs w:val="32"/>
        </w:rPr>
        <w:t xml:space="preserve">   （五）乙方调解案件约定的履行期为1个月以上；</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sz w:val="32"/>
          <w:szCs w:val="32"/>
        </w:rPr>
        <w:t xml:space="preserve">   （六）需上诉或申请鉴定案件，上诉费或鉴定费金额为3000元以内的由乙方先行垫付；</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sz w:val="32"/>
          <w:szCs w:val="32"/>
        </w:rPr>
        <w:t xml:space="preserve">   （七）乙方应于每季度最后一日向甲方提交当季度已结诉讼案件的分析；</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sz w:val="32"/>
          <w:szCs w:val="32"/>
        </w:rPr>
        <w:t xml:space="preserve">   （八）风险代理案件一审需至少在开庭前3天提出，二审在收到一审判决书3天内提出。二审案件甲方仅负责上诉状盖章和缴纳上诉费，其他工作由接案律师负责完成；</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sz w:val="32"/>
          <w:szCs w:val="32"/>
        </w:rPr>
        <w:t xml:space="preserve">   （九）甲方系统内其他公司诉讼案件收费标准参照甲方标准执行。除本合同约定的利益外，乙方承诺不会通过提供本合同项下的服务来谋取任何不正当利益。</w:t>
      </w:r>
    </w:p>
    <w:p>
      <w:pPr>
        <w:keepNext w:val="0"/>
        <w:keepLines w:val="0"/>
        <w:widowControl/>
        <w:suppressLineNumbers w:val="0"/>
        <w:spacing w:before="0" w:beforeAutospacing="1" w:after="0" w:afterAutospacing="1" w:line="600" w:lineRule="exact"/>
        <w:ind w:left="0" w:right="0" w:firstLine="643" w:firstLineChars="200"/>
        <w:jc w:val="left"/>
      </w:pPr>
      <w:r>
        <w:rPr>
          <w:rFonts w:hint="eastAsia" w:ascii="仿宋_GB2312" w:eastAsia="仿宋_GB2312" w:cs="仿宋_GB2312"/>
          <w:b/>
          <w:bCs w:val="0"/>
          <w:sz w:val="32"/>
          <w:szCs w:val="32"/>
        </w:rPr>
        <w:t>第八条</w:t>
      </w:r>
      <w:r>
        <w:rPr>
          <w:rFonts w:hint="eastAsia" w:ascii="仿宋_GB2312" w:eastAsia="仿宋_GB2312" w:cs="仿宋_GB2312"/>
          <w:sz w:val="32"/>
          <w:szCs w:val="32"/>
        </w:rPr>
        <w:t xml:space="preserve"> </w:t>
      </w:r>
      <w:r>
        <w:rPr>
          <w:rFonts w:hint="eastAsia" w:ascii="仿宋_GB2312" w:eastAsia="仿宋_GB2312" w:cs="仿宋_GB2312"/>
          <w:b/>
          <w:bCs/>
          <w:sz w:val="32"/>
          <w:szCs w:val="32"/>
        </w:rPr>
        <w:t>费用及支付方式</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sz w:val="32"/>
          <w:szCs w:val="32"/>
        </w:rPr>
        <w:t xml:space="preserve">   （一）案件律师费自乙方完成委托事项、提交案件报告及按照附件规定提交相应金额合法有效的增值税专用发票后_______个工作日内支付。乙方收取法律服务费指定账户以乙方开具的发票信息为准。</w:t>
      </w:r>
    </w:p>
    <w:p>
      <w:pPr>
        <w:keepNext w:val="0"/>
        <w:keepLines w:val="0"/>
        <w:widowControl/>
        <w:suppressLineNumbers w:val="0"/>
        <w:spacing w:before="0" w:beforeAutospacing="1" w:after="0" w:afterAutospacing="1" w:line="600" w:lineRule="exact"/>
        <w:ind w:left="0" w:right="0" w:firstLine="643" w:firstLineChars="200"/>
        <w:jc w:val="left"/>
      </w:pPr>
      <w:r>
        <w:rPr>
          <w:rFonts w:hint="eastAsia" w:ascii="仿宋_GB2312" w:eastAsia="仿宋_GB2312" w:cs="仿宋_GB2312"/>
          <w:b/>
          <w:bCs w:val="0"/>
          <w:sz w:val="32"/>
          <w:szCs w:val="32"/>
        </w:rPr>
        <w:t>第九条</w:t>
      </w:r>
      <w:r>
        <w:rPr>
          <w:rFonts w:hint="eastAsia" w:ascii="仿宋_GB2312" w:eastAsia="仿宋_GB2312" w:cs="仿宋_GB2312"/>
          <w:sz w:val="32"/>
          <w:szCs w:val="32"/>
        </w:rPr>
        <w:t xml:space="preserve"> </w:t>
      </w:r>
      <w:r>
        <w:rPr>
          <w:rFonts w:hint="eastAsia" w:ascii="仿宋_GB2312" w:eastAsia="仿宋_GB2312" w:cs="仿宋_GB2312"/>
          <w:b/>
          <w:bCs/>
          <w:sz w:val="32"/>
          <w:szCs w:val="32"/>
        </w:rPr>
        <w:t>合同的变更和解除</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sz w:val="32"/>
          <w:szCs w:val="32"/>
        </w:rPr>
        <w:t xml:space="preserve">   （一）双方经协商同意，可以变更或解除本合同。</w:t>
      </w:r>
    </w:p>
    <w:p>
      <w:pPr>
        <w:keepNext w:val="0"/>
        <w:keepLines w:val="0"/>
        <w:widowControl/>
        <w:suppressLineNumbers w:val="0"/>
        <w:spacing w:before="0" w:beforeAutospacing="1" w:after="0" w:afterAutospacing="1" w:line="600" w:lineRule="exact"/>
        <w:ind w:left="0" w:right="0"/>
        <w:jc w:val="left"/>
        <w:rPr>
          <w:rFonts w:hint="eastAsia" w:ascii="仿宋_GB2312" w:eastAsia="仿宋_GB2312" w:cs="仿宋_GB2312"/>
          <w:sz w:val="32"/>
          <w:szCs w:val="32"/>
        </w:rPr>
      </w:pPr>
      <w:r>
        <w:rPr>
          <w:rFonts w:hint="eastAsia" w:ascii="仿宋_GB2312" w:eastAsia="仿宋_GB2312" w:cs="仿宋_GB2312"/>
          <w:sz w:val="32"/>
          <w:szCs w:val="32"/>
        </w:rPr>
        <w:t xml:space="preserve">   （二）乙方有下列情形之一的，甲方有权解除本合同：</w:t>
      </w:r>
    </w:p>
    <w:p>
      <w:pPr>
        <w:keepNext w:val="0"/>
        <w:keepLines w:val="0"/>
        <w:widowControl/>
        <w:suppressLineNumbers w:val="0"/>
        <w:spacing w:before="0" w:beforeAutospacing="1" w:after="0" w:afterAutospacing="1" w:line="600" w:lineRule="exact"/>
        <w:ind w:left="0" w:right="0" w:firstLine="640" w:firstLineChars="200"/>
        <w:jc w:val="left"/>
        <w:rPr>
          <w:rFonts w:hint="eastAsia" w:ascii="仿宋_GB2312" w:eastAsia="仿宋_GB2312" w:cs="仿宋_GB2312"/>
          <w:sz w:val="32"/>
          <w:szCs w:val="32"/>
        </w:rPr>
      </w:pPr>
      <w:r>
        <w:rPr>
          <w:rFonts w:hint="eastAsia" w:ascii="仿宋_GB2312" w:eastAsia="仿宋_GB2312" w:cs="仿宋_GB2312"/>
          <w:sz w:val="32"/>
          <w:szCs w:val="32"/>
        </w:rPr>
        <w:t>（1）因乙方律师工作延误、失职、失误导致甲方蒙受损失的；</w:t>
      </w:r>
    </w:p>
    <w:p>
      <w:pPr>
        <w:keepNext w:val="0"/>
        <w:keepLines w:val="0"/>
        <w:widowControl/>
        <w:suppressLineNumbers w:val="0"/>
        <w:spacing w:before="0" w:beforeAutospacing="1" w:after="0" w:afterAutospacing="1" w:line="600" w:lineRule="exact"/>
        <w:ind w:left="0" w:right="0" w:firstLine="640" w:firstLineChars="200"/>
        <w:jc w:val="left"/>
        <w:rPr>
          <w:rFonts w:hint="eastAsia" w:ascii="仿宋_GB2312" w:eastAsia="仿宋_GB2312" w:cs="仿宋_GB2312"/>
          <w:sz w:val="32"/>
          <w:szCs w:val="32"/>
        </w:rPr>
      </w:pPr>
      <w:r>
        <w:rPr>
          <w:rFonts w:hint="eastAsia" w:ascii="仿宋_GB2312" w:eastAsia="仿宋_GB2312" w:cs="仿宋_GB2312"/>
          <w:sz w:val="32"/>
          <w:szCs w:val="32"/>
        </w:rPr>
        <w:t>（2）乙方入库律师团队未亲自参与诉讼，非经甲方认可，安排非入库律师团队替代出庭；</w:t>
      </w:r>
    </w:p>
    <w:p>
      <w:pPr>
        <w:keepNext w:val="0"/>
        <w:keepLines w:val="0"/>
        <w:widowControl/>
        <w:suppressLineNumbers w:val="0"/>
        <w:spacing w:before="0" w:beforeAutospacing="1" w:after="0" w:afterAutospacing="1" w:line="600" w:lineRule="exact"/>
        <w:ind w:left="0" w:right="0" w:firstLine="640" w:firstLineChars="200"/>
        <w:jc w:val="left"/>
        <w:rPr>
          <w:rFonts w:hint="eastAsia" w:ascii="仿宋_GB2312" w:eastAsia="仿宋_GB2312" w:cs="仿宋_GB2312"/>
          <w:sz w:val="32"/>
          <w:szCs w:val="32"/>
        </w:rPr>
      </w:pPr>
      <w:r>
        <w:rPr>
          <w:rFonts w:hint="eastAsia" w:ascii="仿宋_GB2312" w:eastAsia="仿宋_GB2312" w:cs="仿宋_GB2312"/>
          <w:sz w:val="32"/>
          <w:szCs w:val="32"/>
        </w:rPr>
        <w:t>（3）甲方有权在合作期内，对乙方服务情况进行评价与考核，具体评价与考核指标由双方商议决定。甲方可根据年度评价与考核结果对乙方进行综合评价，乙方年度评价或考核为不称职或不合格的，甲方有权单方面提前解除本合同。</w:t>
      </w:r>
    </w:p>
    <w:p>
      <w:pPr>
        <w:keepNext w:val="0"/>
        <w:keepLines w:val="0"/>
        <w:widowControl/>
        <w:suppressLineNumbers w:val="0"/>
        <w:spacing w:before="0" w:beforeAutospacing="1" w:after="0" w:afterAutospacing="1" w:line="600" w:lineRule="exact"/>
        <w:ind w:left="0" w:right="0" w:firstLine="640" w:firstLineChars="200"/>
        <w:jc w:val="left"/>
      </w:pPr>
      <w:r>
        <w:rPr>
          <w:rFonts w:hint="eastAsia" w:ascii="仿宋_GB2312" w:eastAsia="仿宋_GB2312" w:cs="仿宋_GB2312"/>
          <w:sz w:val="32"/>
          <w:szCs w:val="32"/>
        </w:rPr>
        <w:t>（4）违反本合同约定的其他义务的。</w:t>
      </w:r>
    </w:p>
    <w:p>
      <w:pPr>
        <w:keepNext w:val="0"/>
        <w:keepLines w:val="0"/>
        <w:widowControl/>
        <w:suppressLineNumbers w:val="0"/>
        <w:spacing w:before="0" w:beforeAutospacing="1" w:after="0" w:afterAutospacing="1" w:line="600" w:lineRule="exact"/>
        <w:ind w:left="0" w:right="0"/>
        <w:jc w:val="left"/>
        <w:rPr>
          <w:rFonts w:hint="eastAsia" w:ascii="仿宋_GB2312" w:eastAsia="仿宋_GB2312" w:cs="仿宋_GB2312"/>
          <w:sz w:val="32"/>
          <w:szCs w:val="32"/>
        </w:rPr>
      </w:pPr>
      <w:r>
        <w:rPr>
          <w:rFonts w:hint="eastAsia" w:ascii="仿宋_GB2312" w:eastAsia="仿宋_GB2312" w:cs="仿宋_GB2312"/>
          <w:sz w:val="32"/>
          <w:szCs w:val="32"/>
        </w:rPr>
        <w:t xml:space="preserve">   （三）甲方有下列情况之一的，乙方有权解除本合同：</w:t>
      </w:r>
    </w:p>
    <w:p>
      <w:pPr>
        <w:keepNext w:val="0"/>
        <w:keepLines w:val="0"/>
        <w:widowControl/>
        <w:suppressLineNumbers w:val="0"/>
        <w:spacing w:before="0" w:beforeAutospacing="1" w:after="0" w:afterAutospacing="1" w:line="600" w:lineRule="exact"/>
        <w:ind w:left="0" w:right="0" w:firstLine="640" w:firstLineChars="200"/>
        <w:jc w:val="left"/>
        <w:rPr>
          <w:rFonts w:hint="eastAsia" w:ascii="仿宋_GB2312" w:eastAsia="仿宋_GB2312" w:cs="仿宋_GB2312"/>
          <w:sz w:val="32"/>
          <w:szCs w:val="32"/>
        </w:rPr>
      </w:pPr>
      <w:r>
        <w:rPr>
          <w:rFonts w:hint="eastAsia" w:ascii="仿宋_GB2312" w:eastAsia="仿宋_GB2312" w:cs="仿宋_GB2312"/>
          <w:sz w:val="32"/>
          <w:szCs w:val="32"/>
        </w:rPr>
        <w:t>（1）甲方委托的事项违反法律、法规或者违反律师执业规范的；</w:t>
      </w:r>
    </w:p>
    <w:p>
      <w:pPr>
        <w:keepNext w:val="0"/>
        <w:keepLines w:val="0"/>
        <w:widowControl/>
        <w:suppressLineNumbers w:val="0"/>
        <w:spacing w:before="0" w:beforeAutospacing="1" w:after="0" w:afterAutospacing="1" w:line="600" w:lineRule="exact"/>
        <w:ind w:left="0" w:right="0" w:firstLine="640" w:firstLineChars="200"/>
        <w:jc w:val="left"/>
        <w:rPr>
          <w:rFonts w:hint="eastAsia" w:ascii="仿宋_GB2312" w:eastAsia="仿宋_GB2312" w:cs="仿宋_GB2312"/>
          <w:sz w:val="32"/>
          <w:szCs w:val="32"/>
        </w:rPr>
      </w:pPr>
      <w:r>
        <w:rPr>
          <w:rFonts w:hint="eastAsia" w:ascii="仿宋_GB2312" w:eastAsia="仿宋_GB2312" w:cs="仿宋_GB2312"/>
          <w:sz w:val="32"/>
          <w:szCs w:val="32"/>
        </w:rPr>
        <w:t>（2）甲方有捏造事实、伪造证据或者隐瞒重要情节等情形，致使乙方律师不能提供有效的法律服务的；</w:t>
      </w:r>
    </w:p>
    <w:p>
      <w:pPr>
        <w:keepNext w:val="0"/>
        <w:keepLines w:val="0"/>
        <w:widowControl/>
        <w:suppressLineNumbers w:val="0"/>
        <w:spacing w:before="0" w:beforeAutospacing="1" w:after="0" w:afterAutospacing="1" w:line="600" w:lineRule="exact"/>
        <w:ind w:left="0" w:right="0" w:firstLine="640" w:firstLineChars="200"/>
        <w:jc w:val="left"/>
      </w:pPr>
      <w:r>
        <w:rPr>
          <w:rFonts w:hint="eastAsia" w:ascii="仿宋_GB2312" w:eastAsia="仿宋_GB2312" w:cs="仿宋_GB2312"/>
          <w:sz w:val="32"/>
          <w:szCs w:val="32"/>
        </w:rPr>
        <w:t>（3）甲方逾期三十天仍不向乙方支付法律服务费的,但因乙方原因导致逾期的除外。</w:t>
      </w:r>
    </w:p>
    <w:p>
      <w:pPr>
        <w:keepNext w:val="0"/>
        <w:keepLines w:val="0"/>
        <w:widowControl/>
        <w:suppressLineNumbers w:val="0"/>
        <w:spacing w:before="0" w:beforeAutospacing="1" w:after="0" w:afterAutospacing="1" w:line="600" w:lineRule="exact"/>
        <w:ind w:left="0" w:right="0" w:firstLine="643" w:firstLineChars="200"/>
        <w:jc w:val="left"/>
      </w:pPr>
      <w:r>
        <w:rPr>
          <w:rFonts w:hint="eastAsia" w:ascii="仿宋_GB2312" w:eastAsia="仿宋_GB2312" w:cs="仿宋_GB2312"/>
          <w:b/>
          <w:bCs w:val="0"/>
          <w:sz w:val="32"/>
          <w:szCs w:val="32"/>
        </w:rPr>
        <w:t>第十条</w:t>
      </w:r>
      <w:r>
        <w:rPr>
          <w:rFonts w:hint="eastAsia" w:ascii="仿宋_GB2312" w:eastAsia="仿宋_GB2312" w:cs="仿宋_GB2312"/>
          <w:sz w:val="32"/>
          <w:szCs w:val="32"/>
        </w:rPr>
        <w:t xml:space="preserve"> </w:t>
      </w:r>
      <w:r>
        <w:rPr>
          <w:rFonts w:hint="eastAsia" w:ascii="仿宋_GB2312" w:eastAsia="仿宋_GB2312" w:cs="仿宋_GB2312"/>
          <w:b/>
          <w:bCs/>
          <w:sz w:val="32"/>
          <w:szCs w:val="32"/>
        </w:rPr>
        <w:t>保密义务</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sz w:val="32"/>
          <w:szCs w:val="32"/>
        </w:rPr>
        <w:t xml:space="preserve">   （一）乙方应保证对在为甲方提供法律服务过程中所获知的各种甲方的具有保密性质的信息（包括但不限于经营、管理、商务、技术、营销、发展规划、客户信息等）负有保密义务，未经甲方事前书面许可，不得将上述信息用于本合同目的之外的其它用途；除为履行其职责而确有必要知悉保密资料的乙方工作人员或其他第三方外，乙方不向其他任何人披露上述信息，且乙方应确保上述人员承担与本合同约定同等严格的保密义务。</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sz w:val="32"/>
          <w:szCs w:val="32"/>
        </w:rPr>
        <w:t xml:space="preserve">   （二）乙方在为甲方提供法律服务过程中所受领的保密信息应及时返还甲方或在甲方监督下予以销毁。乙方擅自留存备份信息，视为违反保密约定。</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sz w:val="32"/>
          <w:szCs w:val="32"/>
        </w:rPr>
        <w:t xml:space="preserve">   （三）无论本合同因何种原因终止，本保密条款依然有效。</w:t>
      </w:r>
    </w:p>
    <w:p>
      <w:pPr>
        <w:keepNext w:val="0"/>
        <w:keepLines w:val="0"/>
        <w:widowControl/>
        <w:suppressLineNumbers w:val="0"/>
        <w:spacing w:before="0" w:beforeAutospacing="1" w:after="0" w:afterAutospacing="1" w:line="600" w:lineRule="exact"/>
        <w:ind w:left="0" w:right="0" w:firstLine="643" w:firstLineChars="200"/>
        <w:jc w:val="left"/>
      </w:pPr>
      <w:r>
        <w:rPr>
          <w:rFonts w:hint="eastAsia" w:ascii="仿宋_GB2312" w:eastAsia="仿宋_GB2312" w:cs="仿宋_GB2312"/>
          <w:b/>
          <w:bCs w:val="0"/>
          <w:sz w:val="32"/>
          <w:szCs w:val="32"/>
        </w:rPr>
        <w:t>第十一条</w:t>
      </w:r>
      <w:r>
        <w:rPr>
          <w:rFonts w:hint="eastAsia" w:ascii="仿宋_GB2312" w:eastAsia="仿宋_GB2312" w:cs="仿宋_GB2312"/>
          <w:sz w:val="32"/>
          <w:szCs w:val="32"/>
        </w:rPr>
        <w:t xml:space="preserve"> </w:t>
      </w:r>
      <w:r>
        <w:rPr>
          <w:rFonts w:hint="eastAsia" w:ascii="仿宋_GB2312" w:eastAsia="仿宋_GB2312" w:cs="仿宋_GB2312"/>
          <w:b/>
          <w:bCs/>
          <w:sz w:val="32"/>
          <w:szCs w:val="32"/>
        </w:rPr>
        <w:t>利益冲突</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sz w:val="32"/>
          <w:szCs w:val="32"/>
        </w:rPr>
        <w:t xml:space="preserve">   （一）乙方应采取适当的措施，建立防火墙，将甲方及新客户的数据、信息加以隔离及保密。</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sz w:val="32"/>
          <w:szCs w:val="32"/>
        </w:rPr>
        <w:t xml:space="preserve">   （二）若甲方和乙方已就项目或案件情况进行过沟通或讨论，甲方最终又决定委托其他律师事务所来办理的项目或案件，除非得到甲方的许可，否则乙方不会代理与甲方有利益冲突的对方当事人的项目或案件。</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sz w:val="32"/>
          <w:szCs w:val="32"/>
        </w:rPr>
        <w:t xml:space="preserve">   （三）如果存在同时为与甲方有利益冲突的当事人提供法律服务的情况，乙方应当在发现之时如实向甲方披露。在发生利益冲突的情况下，甲方有权选择继续签订、履行合同或解除合同。</w:t>
      </w:r>
    </w:p>
    <w:p>
      <w:pPr>
        <w:keepNext w:val="0"/>
        <w:keepLines w:val="0"/>
        <w:widowControl/>
        <w:suppressLineNumbers w:val="0"/>
        <w:spacing w:before="0" w:beforeAutospacing="1" w:after="0" w:afterAutospacing="1" w:line="600" w:lineRule="exact"/>
        <w:ind w:left="0" w:right="0" w:firstLine="643" w:firstLineChars="200"/>
        <w:jc w:val="left"/>
      </w:pPr>
      <w:r>
        <w:rPr>
          <w:rFonts w:hint="eastAsia" w:ascii="仿宋_GB2312" w:eastAsia="仿宋_GB2312" w:cs="仿宋_GB2312"/>
          <w:b/>
          <w:bCs w:val="0"/>
          <w:sz w:val="32"/>
          <w:szCs w:val="32"/>
        </w:rPr>
        <w:t>第十二条</w:t>
      </w:r>
      <w:r>
        <w:rPr>
          <w:rFonts w:hint="eastAsia" w:ascii="仿宋_GB2312" w:eastAsia="仿宋_GB2312" w:cs="仿宋_GB2312"/>
          <w:sz w:val="32"/>
          <w:szCs w:val="32"/>
        </w:rPr>
        <w:t xml:space="preserve"> </w:t>
      </w:r>
      <w:r>
        <w:rPr>
          <w:rFonts w:hint="eastAsia" w:ascii="仿宋_GB2312" w:eastAsia="仿宋_GB2312" w:cs="仿宋_GB2312"/>
          <w:b/>
          <w:bCs/>
          <w:sz w:val="32"/>
          <w:szCs w:val="32"/>
        </w:rPr>
        <w:t>不可抗力</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sz w:val="32"/>
          <w:szCs w:val="32"/>
        </w:rPr>
        <w:t xml:space="preserve">   （一）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sz w:val="32"/>
          <w:szCs w:val="32"/>
        </w:rPr>
        <w:t xml:space="preserve">   （二）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sz w:val="32"/>
          <w:szCs w:val="32"/>
        </w:rPr>
        <w:t xml:space="preserve">   （三）合同一方迟延履行后发生不可抗力的，不能免除其责任。</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sz w:val="32"/>
          <w:szCs w:val="32"/>
        </w:rPr>
        <w:t xml:space="preserve">   （四）不可抗力因素消除后，双方应立即进行磋商，就不可抗力所造成影响程度甲方有权决定是否继续履行或者终止本合同。如果甲方决定终止合同，如甲方已经付款，乙方应将已交付但未履行部分的款项在5日内向甲方返还。</w:t>
      </w:r>
    </w:p>
    <w:p>
      <w:pPr>
        <w:keepNext w:val="0"/>
        <w:keepLines w:val="0"/>
        <w:widowControl/>
        <w:suppressLineNumbers w:val="0"/>
        <w:spacing w:before="0" w:beforeAutospacing="1" w:after="0" w:afterAutospacing="1" w:line="600" w:lineRule="exact"/>
        <w:ind w:left="0" w:right="0" w:firstLine="643" w:firstLineChars="200"/>
        <w:jc w:val="left"/>
      </w:pPr>
      <w:r>
        <w:rPr>
          <w:rFonts w:hint="eastAsia" w:ascii="仿宋_GB2312" w:eastAsia="仿宋_GB2312" w:cs="仿宋_GB2312"/>
          <w:b/>
          <w:bCs w:val="0"/>
          <w:sz w:val="32"/>
          <w:szCs w:val="32"/>
        </w:rPr>
        <w:t>第十三条</w:t>
      </w:r>
      <w:r>
        <w:rPr>
          <w:rFonts w:hint="eastAsia" w:ascii="仿宋_GB2312" w:eastAsia="仿宋_GB2312" w:cs="仿宋_GB2312"/>
          <w:sz w:val="32"/>
          <w:szCs w:val="32"/>
        </w:rPr>
        <w:t xml:space="preserve"> </w:t>
      </w:r>
      <w:r>
        <w:rPr>
          <w:rFonts w:hint="eastAsia" w:ascii="仿宋_GB2312" w:eastAsia="仿宋_GB2312" w:cs="仿宋_GB2312"/>
          <w:b/>
          <w:bCs/>
          <w:sz w:val="32"/>
          <w:szCs w:val="32"/>
        </w:rPr>
        <w:t>违约责任</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sz w:val="32"/>
          <w:szCs w:val="32"/>
        </w:rPr>
        <w:t xml:space="preserve">   （一）在本合同有效期内，因乙方律师重大过失或违反本合同之规定导致甲方重大损失的，甲方有权以书面方式通知乙方并即时解除本合同，乙方对甲方因此遭受的损失承担赔偿责任。</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sz w:val="32"/>
          <w:szCs w:val="32"/>
        </w:rPr>
        <w:t xml:space="preserve">   （二）如甲方向乙方提供的资料不真实、不完整或故意向乙方提供虚假或明知有重大遗漏的信息和资料而造成乙方损失的，乙方有权以书面方式通知甲方并即时解除本合同，甲方对乙方因此遭受的直接损失承担赔偿责任。</w:t>
      </w:r>
    </w:p>
    <w:p>
      <w:pPr>
        <w:keepNext w:val="0"/>
        <w:keepLines w:val="0"/>
        <w:widowControl/>
        <w:suppressLineNumbers w:val="0"/>
        <w:spacing w:before="0" w:beforeAutospacing="1" w:after="0" w:afterAutospacing="1" w:line="600" w:lineRule="exact"/>
        <w:ind w:left="0" w:right="0" w:firstLine="643" w:firstLineChars="200"/>
        <w:jc w:val="left"/>
      </w:pPr>
      <w:r>
        <w:rPr>
          <w:rFonts w:hint="eastAsia" w:ascii="仿宋_GB2312" w:eastAsia="仿宋_GB2312" w:cs="仿宋_GB2312"/>
          <w:b/>
          <w:bCs w:val="0"/>
          <w:sz w:val="32"/>
          <w:szCs w:val="32"/>
        </w:rPr>
        <w:t>第十四条</w:t>
      </w:r>
      <w:r>
        <w:rPr>
          <w:rFonts w:hint="eastAsia" w:ascii="仿宋_GB2312" w:eastAsia="仿宋_GB2312" w:cs="仿宋_GB2312"/>
          <w:sz w:val="32"/>
          <w:szCs w:val="32"/>
        </w:rPr>
        <w:t xml:space="preserve"> </w:t>
      </w:r>
      <w:r>
        <w:rPr>
          <w:rFonts w:hint="eastAsia" w:ascii="仿宋_GB2312" w:eastAsia="仿宋_GB2312" w:cs="仿宋_GB2312"/>
          <w:b/>
          <w:bCs/>
          <w:sz w:val="32"/>
          <w:szCs w:val="32"/>
        </w:rPr>
        <w:t>法律适用与争议解决</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sz w:val="32"/>
          <w:szCs w:val="32"/>
        </w:rPr>
        <w:t xml:space="preserve">   （一）本合同的订立、效力、解释、履行和争议的解决均适用中华人民共和国法律（不包括港澳台地区法律），合同未尽事宜，甲乙双方协商处理。</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sz w:val="32"/>
          <w:szCs w:val="32"/>
        </w:rPr>
        <w:t xml:space="preserve">   （二）如合同双方发生争议，甲、乙双方友好协商解决，无法协商一致的，可向甲方所在地人民法院提起诉讼。</w:t>
      </w:r>
    </w:p>
    <w:p>
      <w:pPr>
        <w:keepNext w:val="0"/>
        <w:keepLines w:val="0"/>
        <w:widowControl/>
        <w:suppressLineNumbers w:val="0"/>
        <w:spacing w:before="0" w:beforeAutospacing="1" w:after="0" w:afterAutospacing="1" w:line="600" w:lineRule="exact"/>
        <w:ind w:left="0" w:right="0" w:firstLine="643" w:firstLineChars="200"/>
        <w:jc w:val="left"/>
      </w:pPr>
      <w:r>
        <w:rPr>
          <w:rFonts w:hint="eastAsia" w:ascii="仿宋_GB2312" w:eastAsia="仿宋_GB2312" w:cs="仿宋_GB2312"/>
          <w:b/>
          <w:bCs w:val="0"/>
          <w:sz w:val="32"/>
          <w:szCs w:val="32"/>
        </w:rPr>
        <w:t>第十五条</w:t>
      </w:r>
      <w:r>
        <w:rPr>
          <w:rFonts w:hint="eastAsia" w:ascii="仿宋_GB2312" w:eastAsia="仿宋_GB2312" w:cs="仿宋_GB2312"/>
          <w:sz w:val="32"/>
          <w:szCs w:val="32"/>
        </w:rPr>
        <w:t xml:space="preserve"> </w:t>
      </w:r>
      <w:r>
        <w:rPr>
          <w:rFonts w:hint="eastAsia" w:ascii="仿宋_GB2312" w:eastAsia="仿宋_GB2312" w:cs="仿宋_GB2312"/>
          <w:b/>
          <w:bCs/>
          <w:sz w:val="32"/>
          <w:szCs w:val="32"/>
        </w:rPr>
        <w:t>合同生效及其他</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sz w:val="32"/>
          <w:szCs w:val="32"/>
        </w:rPr>
        <w:t xml:space="preserve">   （一）本合同经甲乙双方法定代表人或授权代表签字并加盖公章后生效。</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sz w:val="32"/>
          <w:szCs w:val="32"/>
        </w:rPr>
        <w:t xml:space="preserve">   （二）由于法律和法规、政策而导致本协议任何条款无效或无法执行，则该条款无效，但不影响剩余其他条款的效力。</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sz w:val="32"/>
          <w:szCs w:val="32"/>
        </w:rPr>
        <w:t xml:space="preserve">   （三）对本合同的任何变更或补充，须经甲乙双方协商一致，并另行签订书面补充协议。</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sz w:val="32"/>
          <w:szCs w:val="32"/>
        </w:rPr>
        <w:t xml:space="preserve">   （四）无论本合同是否有相反约定，本合同附件（如有）作为本合同的组成部分，与本合同具有同等法律效力，当附件条款与本合同条款发生冲突时，以本合同条款为准。</w:t>
      </w:r>
    </w:p>
    <w:p>
      <w:pPr>
        <w:keepNext w:val="0"/>
        <w:keepLines w:val="0"/>
        <w:widowControl/>
        <w:suppressLineNumbers w:val="0"/>
        <w:spacing w:before="0" w:beforeAutospacing="1" w:after="0" w:afterAutospacing="1" w:line="600" w:lineRule="exact"/>
        <w:ind w:left="0" w:right="0"/>
        <w:jc w:val="left"/>
        <w:rPr>
          <w:rFonts w:hint="eastAsia" w:ascii="仿宋_GB2312" w:eastAsia="仿宋_GB2312" w:cs="仿宋_GB2312"/>
          <w:sz w:val="32"/>
          <w:szCs w:val="32"/>
        </w:rPr>
      </w:pPr>
      <w:r>
        <w:rPr>
          <w:rFonts w:hint="eastAsia" w:ascii="仿宋_GB2312" w:eastAsia="仿宋_GB2312" w:cs="仿宋_GB2312"/>
          <w:sz w:val="32"/>
          <w:szCs w:val="32"/>
        </w:rPr>
        <w:t xml:space="preserve">   （五）本合同一式_______份，其中正本_______份，副本_______份。甲方执_______份正本，_______份副本；乙方执_______份正本，_______份副本。</w:t>
      </w:r>
    </w:p>
    <w:p>
      <w:pPr>
        <w:keepNext w:val="0"/>
        <w:keepLines w:val="0"/>
        <w:widowControl/>
        <w:suppressLineNumbers w:val="0"/>
        <w:spacing w:before="0" w:beforeAutospacing="1" w:after="0" w:afterAutospacing="1" w:line="600" w:lineRule="exact"/>
        <w:ind w:left="0" w:right="0" w:firstLine="640" w:firstLineChars="200"/>
        <w:jc w:val="left"/>
        <w:rPr>
          <w:rFonts w:hint="eastAsia" w:ascii="宋体" w:hAnsi="宋体" w:eastAsia="宋体" w:cs="宋体"/>
          <w:b/>
          <w:color w:val="auto"/>
          <w:sz w:val="24"/>
          <w:szCs w:val="24"/>
          <w:highlight w:val="none"/>
        </w:rPr>
      </w:pPr>
      <w:r>
        <w:rPr>
          <w:rFonts w:hint="default" w:ascii="仿宋_GB2312" w:hAnsi="宋体" w:eastAsia="仿宋_GB2312" w:cs="仿宋_GB2312"/>
          <w:kern w:val="0"/>
          <w:sz w:val="32"/>
          <w:szCs w:val="32"/>
        </w:rPr>
        <w:t>兹证明，各方于</w:t>
      </w:r>
      <w:r>
        <w:rPr>
          <w:rFonts w:hint="default" w:ascii="仿宋_GB2312" w:hAnsi="宋体" w:eastAsia="仿宋_GB2312" w:cs="仿宋_GB2312"/>
          <w:kern w:val="0"/>
          <w:sz w:val="32"/>
          <w:szCs w:val="32"/>
          <w:u w:val="single"/>
        </w:rPr>
        <w:t xml:space="preserve">      </w:t>
      </w:r>
      <w:r>
        <w:rPr>
          <w:rFonts w:hint="default" w:ascii="仿宋_GB2312" w:hAnsi="宋体" w:eastAsia="仿宋_GB2312" w:cs="仿宋_GB2312"/>
          <w:kern w:val="0"/>
          <w:sz w:val="32"/>
          <w:szCs w:val="32"/>
        </w:rPr>
        <w:t xml:space="preserve">年 </w:t>
      </w:r>
      <w:r>
        <w:rPr>
          <w:rFonts w:hint="default" w:ascii="仿宋_GB2312" w:hAnsi="宋体" w:eastAsia="仿宋_GB2312" w:cs="仿宋_GB2312"/>
          <w:kern w:val="0"/>
          <w:sz w:val="32"/>
          <w:szCs w:val="32"/>
          <w:u w:val="single"/>
        </w:rPr>
        <w:t xml:space="preserve">      </w:t>
      </w:r>
      <w:r>
        <w:rPr>
          <w:rFonts w:hint="default" w:ascii="仿宋_GB2312" w:hAnsi="宋体" w:eastAsia="仿宋_GB2312" w:cs="仿宋_GB2312"/>
          <w:kern w:val="0"/>
          <w:sz w:val="32"/>
          <w:szCs w:val="32"/>
        </w:rPr>
        <w:t xml:space="preserve">月 </w:t>
      </w:r>
      <w:r>
        <w:rPr>
          <w:rFonts w:hint="default" w:ascii="仿宋_GB2312" w:hAnsi="宋体" w:eastAsia="仿宋_GB2312" w:cs="仿宋_GB2312"/>
          <w:kern w:val="0"/>
          <w:sz w:val="32"/>
          <w:szCs w:val="32"/>
          <w:u w:val="single"/>
        </w:rPr>
        <w:t xml:space="preserve">      </w:t>
      </w:r>
      <w:r>
        <w:rPr>
          <w:rFonts w:hint="default" w:ascii="仿宋_GB2312" w:hAnsi="宋体" w:eastAsia="仿宋_GB2312" w:cs="仿宋_GB2312"/>
          <w:kern w:val="0"/>
          <w:sz w:val="32"/>
          <w:szCs w:val="32"/>
        </w:rPr>
        <w:t>日签订本合同</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br w:type="textWrapping"/>
      </w:r>
      <w:r>
        <w:rPr>
          <w:rFonts w:hint="eastAsia" w:ascii="宋体" w:hAnsi="宋体" w:eastAsia="宋体" w:cs="宋体"/>
          <w:b/>
          <w:color w:val="auto"/>
          <w:sz w:val="24"/>
          <w:szCs w:val="24"/>
          <w:highlight w:val="none"/>
        </w:rPr>
        <w:t>本合同附件：</w:t>
      </w:r>
    </w:p>
    <w:p>
      <w:pPr>
        <w:pageBreakBefore w:val="0"/>
        <w:tabs>
          <w:tab w:val="left" w:pos="1080"/>
        </w:tabs>
        <w:kinsoku/>
        <w:wordWrap/>
        <w:overflowPunct/>
        <w:topLinePunct w:val="0"/>
        <w:autoSpaceDE/>
        <w:autoSpaceDN/>
        <w:bidi w:val="0"/>
        <w:snapToGrid w:val="0"/>
        <w:spacing w:before="0" w:beforeAutospacing="0" w:after="0" w:afterAutospacing="0" w:line="360" w:lineRule="auto"/>
        <w:ind w:firstLine="480" w:firstLineChars="200"/>
        <w:textAlignment w:val="auto"/>
        <w:rPr>
          <w:rFonts w:hint="eastAsia" w:ascii="宋体" w:hAnsi="宋体" w:eastAsia="宋体" w:cs="宋体"/>
          <w:bCs/>
          <w:color w:val="auto"/>
          <w:kern w:val="44"/>
          <w:sz w:val="24"/>
          <w:szCs w:val="24"/>
          <w:highlight w:val="none"/>
        </w:rPr>
      </w:pPr>
      <w:r>
        <w:rPr>
          <w:rFonts w:hint="eastAsia" w:ascii="宋体" w:hAnsi="宋体" w:eastAsia="宋体" w:cs="宋体"/>
          <w:bCs/>
          <w:color w:val="auto"/>
          <w:kern w:val="44"/>
          <w:sz w:val="24"/>
          <w:szCs w:val="24"/>
          <w:highlight w:val="none"/>
        </w:rPr>
        <w:t>附件一：</w:t>
      </w:r>
      <w:r>
        <w:rPr>
          <w:rFonts w:hint="eastAsia" w:ascii="宋体" w:hAnsi="宋体" w:eastAsia="宋体" w:cs="宋体"/>
          <w:bCs/>
          <w:color w:val="auto"/>
          <w:kern w:val="44"/>
          <w:sz w:val="24"/>
          <w:szCs w:val="24"/>
          <w:highlight w:val="none"/>
          <w:lang w:eastAsia="ja-JP"/>
        </w:rPr>
        <w:t>增值税专用发票的相关约定</w:t>
      </w:r>
    </w:p>
    <w:p>
      <w:pPr>
        <w:pageBreakBefore w:val="0"/>
        <w:tabs>
          <w:tab w:val="left" w:pos="1080"/>
        </w:tabs>
        <w:kinsoku/>
        <w:wordWrap/>
        <w:overflowPunct/>
        <w:topLinePunct w:val="0"/>
        <w:autoSpaceDE/>
        <w:autoSpaceDN/>
        <w:bidi w:val="0"/>
        <w:snapToGrid w:val="0"/>
        <w:spacing w:before="0" w:beforeAutospacing="0" w:after="0" w:afterAutospacing="0" w:line="360" w:lineRule="auto"/>
        <w:ind w:firstLine="480" w:firstLineChars="200"/>
        <w:textAlignment w:val="auto"/>
        <w:rPr>
          <w:rFonts w:hint="eastAsia" w:ascii="宋体" w:hAnsi="宋体" w:eastAsia="宋体" w:cs="宋体"/>
          <w:bCs/>
          <w:color w:val="auto"/>
          <w:kern w:val="44"/>
          <w:sz w:val="24"/>
          <w:szCs w:val="24"/>
          <w:highlight w:val="none"/>
        </w:rPr>
      </w:pPr>
      <w:r>
        <w:rPr>
          <w:rFonts w:hint="eastAsia" w:ascii="宋体" w:hAnsi="宋体" w:eastAsia="宋体" w:cs="宋体"/>
          <w:bCs/>
          <w:color w:val="auto"/>
          <w:kern w:val="44"/>
          <w:sz w:val="24"/>
          <w:szCs w:val="24"/>
          <w:highlight w:val="none"/>
          <w:lang w:eastAsia="ja-JP"/>
        </w:rPr>
        <w:t>附件二</w:t>
      </w:r>
      <w:r>
        <w:rPr>
          <w:rFonts w:hint="eastAsia" w:ascii="宋体" w:hAnsi="宋体" w:eastAsia="宋体" w:cs="宋体"/>
          <w:bCs/>
          <w:color w:val="auto"/>
          <w:kern w:val="44"/>
          <w:sz w:val="24"/>
          <w:szCs w:val="24"/>
          <w:highlight w:val="none"/>
        </w:rPr>
        <w:t>：</w:t>
      </w:r>
      <w:r>
        <w:rPr>
          <w:rFonts w:hint="eastAsia" w:ascii="宋体" w:hAnsi="宋体" w:eastAsia="宋体" w:cs="宋体"/>
          <w:bCs/>
          <w:color w:val="auto"/>
          <w:kern w:val="44"/>
          <w:sz w:val="24"/>
          <w:szCs w:val="24"/>
          <w:highlight w:val="none"/>
          <w:lang w:eastAsia="ja-JP"/>
        </w:rPr>
        <w:t>案件收费</w:t>
      </w:r>
      <w:r>
        <w:rPr>
          <w:rFonts w:hint="eastAsia" w:ascii="宋体" w:hAnsi="宋体" w:eastAsia="宋体" w:cs="宋体"/>
          <w:bCs/>
          <w:color w:val="auto"/>
          <w:kern w:val="44"/>
          <w:sz w:val="24"/>
          <w:szCs w:val="24"/>
          <w:highlight w:val="none"/>
        </w:rPr>
        <w:t>标准</w:t>
      </w:r>
    </w:p>
    <w:p>
      <w:pPr>
        <w:pageBreakBefore w:val="0"/>
        <w:tabs>
          <w:tab w:val="left" w:pos="1080"/>
        </w:tabs>
        <w:kinsoku/>
        <w:wordWrap/>
        <w:overflowPunct/>
        <w:topLinePunct w:val="0"/>
        <w:autoSpaceDE/>
        <w:autoSpaceDN/>
        <w:bidi w:val="0"/>
        <w:snapToGrid w:val="0"/>
        <w:spacing w:before="0" w:beforeAutospacing="0" w:after="0" w:afterAutospacing="0" w:line="360" w:lineRule="auto"/>
        <w:ind w:firstLine="480" w:firstLineChars="200"/>
        <w:textAlignment w:val="auto"/>
        <w:rPr>
          <w:rFonts w:hint="eastAsia"/>
          <w:lang w:eastAsia="zh-CN"/>
        </w:rPr>
      </w:pPr>
      <w:r>
        <w:rPr>
          <w:rFonts w:hint="eastAsia" w:ascii="宋体" w:hAnsi="宋体" w:cs="宋体"/>
          <w:bCs/>
          <w:color w:val="auto"/>
          <w:kern w:val="44"/>
          <w:sz w:val="24"/>
          <w:szCs w:val="24"/>
          <w:highlight w:val="none"/>
          <w:lang w:eastAsia="zh-CN"/>
        </w:rPr>
        <w:t>附件三：合同续签事项</w:t>
      </w:r>
    </w:p>
    <w:p>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甲方（盖章）：</w:t>
      </w:r>
      <w:r>
        <w:rPr>
          <w:rFonts w:hint="default" w:ascii="仿宋_GB2312" w:hAnsi="宋体" w:eastAsia="仿宋_GB2312" w:cs="仿宋_GB2312"/>
          <w:kern w:val="0"/>
          <w:sz w:val="32"/>
          <w:szCs w:val="32"/>
          <w:u w:val="single"/>
        </w:rPr>
        <w:t xml:space="preserve">      </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法定代表人/授权代表（签字）：</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乙方（盖章）：</w:t>
      </w:r>
      <w:r>
        <w:rPr>
          <w:rFonts w:hint="default" w:ascii="仿宋_GB2312" w:hAnsi="宋体" w:eastAsia="仿宋_GB2312" w:cs="仿宋_GB2312"/>
          <w:kern w:val="0"/>
          <w:sz w:val="32"/>
          <w:szCs w:val="32"/>
          <w:u w:val="single"/>
        </w:rPr>
        <w:t xml:space="preserve">      </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法定代表人/授权代表（签字）：</w:t>
      </w:r>
    </w:p>
    <w:p>
      <w:pPr>
        <w:spacing w:before="100" w:beforeAutospacing="1" w:after="100" w:afterAutospacing="1"/>
        <w:rPr>
          <w:color w:val="3A3A3A"/>
        </w:rPr>
      </w:pPr>
    </w:p>
    <w:p>
      <w:pPr>
        <w:spacing w:before="100" w:beforeAutospacing="1" w:after="100" w:afterAutospacing="1"/>
        <w:rPr>
          <w:color w:val="3A3A3A"/>
        </w:rPr>
      </w:pPr>
    </w:p>
    <w:p>
      <w:pPr>
        <w:widowControl/>
        <w:jc w:val="left"/>
        <w:rPr>
          <w:b/>
          <w:bCs/>
          <w:kern w:val="0"/>
          <w:sz w:val="32"/>
          <w:szCs w:val="32"/>
        </w:rPr>
      </w:pPr>
      <w:r>
        <w:br w:type="page"/>
      </w:r>
    </w:p>
    <w:p>
      <w:pPr>
        <w:snapToGrid w:val="0"/>
        <w:spacing w:line="360" w:lineRule="auto"/>
        <w:rPr>
          <w:rFonts w:hint="eastAsia" w:ascii="仿宋_GB2312" w:hAnsi="仿宋_GB2312" w:eastAsia="仿宋_GB2312" w:cs="仿宋_GB2312"/>
          <w:bCs/>
          <w:sz w:val="32"/>
          <w:szCs w:val="32"/>
        </w:rPr>
      </w:pPr>
      <w:r>
        <w:rPr>
          <w:rFonts w:hint="eastAsia" w:ascii="仿宋_GB2312" w:hAnsi="仿宋_GB2312" w:eastAsia="仿宋_GB2312" w:cs="仿宋_GB2312"/>
          <w:b/>
          <w:bCs/>
          <w:kern w:val="44"/>
          <w:sz w:val="32"/>
          <w:szCs w:val="32"/>
          <w:lang w:eastAsia="ja-JP"/>
        </w:rPr>
        <w:t>附件</w:t>
      </w:r>
      <w:r>
        <w:rPr>
          <w:rFonts w:hint="eastAsia" w:ascii="仿宋_GB2312" w:hAnsi="仿宋_GB2312" w:eastAsia="仿宋_GB2312" w:cs="仿宋_GB2312"/>
          <w:b/>
          <w:bCs/>
          <w:kern w:val="44"/>
          <w:sz w:val="32"/>
          <w:szCs w:val="32"/>
        </w:rPr>
        <w:t>一</w:t>
      </w:r>
      <w:r>
        <w:rPr>
          <w:rFonts w:hint="eastAsia" w:ascii="仿宋_GB2312" w:hAnsi="仿宋_GB2312" w:eastAsia="仿宋_GB2312" w:cs="仿宋_GB2312"/>
          <w:b/>
          <w:bCs/>
          <w:kern w:val="44"/>
          <w:sz w:val="32"/>
          <w:szCs w:val="32"/>
          <w:lang w:val="en-US" w:eastAsia="zh-CN"/>
        </w:rPr>
        <w:t xml:space="preserve">  </w:t>
      </w:r>
      <w:r>
        <w:rPr>
          <w:rFonts w:hint="eastAsia" w:ascii="仿宋_GB2312" w:hAnsi="仿宋_GB2312" w:eastAsia="仿宋_GB2312" w:cs="仿宋_GB2312"/>
          <w:b/>
          <w:bCs/>
          <w:kern w:val="44"/>
          <w:sz w:val="32"/>
          <w:szCs w:val="32"/>
          <w:lang w:eastAsia="ja-JP"/>
        </w:rPr>
        <w:t>增值税专用发票的相关约定</w:t>
      </w:r>
    </w:p>
    <w:p>
      <w:pPr>
        <w:snapToGrid w:val="0"/>
        <w:spacing w:line="360" w:lineRule="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1.乙方应向甲方开具增值税专用发票，甲方开票信息如下： </w:t>
      </w:r>
    </w:p>
    <w:p>
      <w:pPr>
        <w:snapToGrid w:val="0"/>
        <w:spacing w:line="360" w:lineRule="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公司名称：</w:t>
      </w:r>
    </w:p>
    <w:p>
      <w:pPr>
        <w:snapToGrid w:val="0"/>
        <w:spacing w:line="360" w:lineRule="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纳税识别号：</w:t>
      </w:r>
    </w:p>
    <w:p>
      <w:pPr>
        <w:snapToGrid w:val="0"/>
        <w:spacing w:line="360" w:lineRule="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开户银行：</w:t>
      </w:r>
    </w:p>
    <w:p>
      <w:pPr>
        <w:snapToGrid w:val="0"/>
        <w:spacing w:line="360" w:lineRule="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银行账号：</w:t>
      </w:r>
    </w:p>
    <w:p>
      <w:pPr>
        <w:snapToGrid w:val="0"/>
        <w:spacing w:line="360" w:lineRule="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开票地址：</w:t>
      </w:r>
    </w:p>
    <w:p>
      <w:pPr>
        <w:snapToGrid w:val="0"/>
        <w:spacing w:line="360" w:lineRule="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开票电话：</w:t>
      </w:r>
    </w:p>
    <w:p>
      <w:pPr>
        <w:snapToGrid w:val="0"/>
        <w:spacing w:line="360" w:lineRule="auto"/>
        <w:rPr>
          <w:rFonts w:hint="eastAsia" w:ascii="仿宋_GB2312" w:hAnsi="仿宋_GB2312" w:eastAsia="仿宋_GB2312" w:cs="仿宋_GB2312"/>
          <w:b/>
          <w:sz w:val="32"/>
          <w:szCs w:val="32"/>
        </w:rPr>
      </w:pPr>
      <w:r>
        <w:rPr>
          <w:rFonts w:hint="eastAsia" w:ascii="仿宋_GB2312" w:hAnsi="仿宋_GB2312" w:eastAsia="仿宋_GB2312" w:cs="仿宋_GB2312"/>
          <w:b/>
          <w:sz w:val="32"/>
          <w:szCs w:val="32"/>
        </w:rPr>
        <w:t>注意：</w:t>
      </w:r>
    </w:p>
    <w:p>
      <w:pPr>
        <w:snapToGrid w:val="0"/>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1.上述信息如有调整的，甲方会提前告知，乙方需按照调整后的信息开票。</w:t>
      </w:r>
    </w:p>
    <w:p>
      <w:pPr>
        <w:snapToGrid w:val="0"/>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color w:val="000000"/>
          <w:sz w:val="32"/>
          <w:szCs w:val="32"/>
        </w:rPr>
        <w:t>2.律师费发票按一案一票进行开具，在移交案件相关资料时一并提供，但同一事故同天开庭处理的，可以只开具一张发票。</w:t>
      </w:r>
    </w:p>
    <w:p>
      <w:pPr>
        <w:snapToGrid w:val="0"/>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3.乙方同时向甲方公司及其分支机构提供产品及服务的，双方应在合同中约定甲方的分支机构和对应的价款。乙方应分别对清单中的费用承担方开具相应金额的增值税专用发票；</w:t>
      </w:r>
    </w:p>
    <w:p>
      <w:pPr>
        <w:snapToGrid w:val="0"/>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乙方应在每次增值税专用发票开具后即向甲方提交相应增值税专用发票，如超过30个自然日，甲方有权拒收发票。乙方开具并提交甲方的增值税专用发票的价税合计金额不得低于（即必须大于或等于）甲方已经支付的价税合计款项；</w:t>
      </w:r>
    </w:p>
    <w:p>
      <w:pPr>
        <w:snapToGrid w:val="0"/>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乙方必须严格遵照相关税收法规和文件，开具合法的增值税专用发票。因乙方开具的增值税专用发票不符合税收法规与税务机关相关规定而给甲方造成经济损失的，乙方负责赔偿。即乙方如不能提供增值税专用发票，则采购对应的进项税额由乙方承担；如提供的票面税率与承诺不一致，则差额由乙方承担；</w:t>
      </w:r>
    </w:p>
    <w:p>
      <w:pPr>
        <w:snapToGrid w:val="0"/>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6.乙方开具的增值税专用发票在送达甲方前如发生丢失、灭失或被盗等情况，导致相应票据未能顺利送达甲方的，乙方应负责按相关税收法律法规的规定提供相应资料，以保证甲方顺利获得抵扣，否则甲方因此遭受的经济损失由乙方负责赔偿；</w:t>
      </w:r>
    </w:p>
    <w:p>
      <w:pPr>
        <w:snapToGrid w:val="0"/>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7.为保证取得的发票可以及时并成功获得抵扣，乙方开具的增值税专用发票送达并经甲方签收后，若发生丢失，乙方应积极协助甲方，按照相关税收法规和文件的规定提供相应资料，并确保甲方顺利获得抵扣；</w:t>
      </w:r>
    </w:p>
    <w:p>
      <w:pPr>
        <w:snapToGrid w:val="0"/>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8.本合同项下的业务发生销售折让、销售退回或其它按照国家规定需要开具红字发票或重新开票的情况，乙方有义务按照国家税收规定向甲方开具红字发票或重新开票。如果乙方需要甲方提供开具红字发票或重新开票的有关资料，甲方应视具体情况予以提供。</w:t>
      </w:r>
    </w:p>
    <w:p>
      <w:pPr>
        <w:pStyle w:val="2"/>
        <w:numPr>
          <w:ilvl w:val="1"/>
          <w:numId w:val="0"/>
        </w:numPr>
        <w:ind w:leftChars="0"/>
        <w:rPr>
          <w:rFonts w:hint="eastAsia" w:ascii="仿宋_GB2312" w:hAnsi="仿宋_GB2312" w:eastAsia="仿宋_GB2312" w:cs="仿宋_GB2312"/>
          <w:sz w:val="32"/>
          <w:szCs w:val="32"/>
        </w:rPr>
      </w:pPr>
    </w:p>
    <w:p>
      <w:pPr>
        <w:rPr>
          <w:rFonts w:hint="eastAsia" w:ascii="仿宋_GB2312" w:hAnsi="仿宋_GB2312" w:eastAsia="仿宋_GB2312" w:cs="仿宋_GB2312"/>
          <w:sz w:val="32"/>
          <w:szCs w:val="32"/>
        </w:rPr>
      </w:pPr>
    </w:p>
    <w:p>
      <w:pPr>
        <w:pStyle w:val="2"/>
        <w:numPr>
          <w:ilvl w:val="1"/>
          <w:numId w:val="0"/>
        </w:numPr>
        <w:ind w:left="0" w:firstLine="0"/>
        <w:rPr>
          <w:rFonts w:hint="eastAsia"/>
        </w:rPr>
      </w:pPr>
    </w:p>
    <w:p>
      <w:pPr>
        <w:spacing w:line="360" w:lineRule="auto"/>
        <w:rPr>
          <w:rFonts w:hint="eastAsia" w:ascii="仿宋_GB2312" w:hAnsi="仿宋_GB2312" w:eastAsia="仿宋_GB2312" w:cs="仿宋_GB2312"/>
          <w:b/>
          <w:sz w:val="32"/>
          <w:szCs w:val="32"/>
        </w:rPr>
      </w:pPr>
    </w:p>
    <w:p>
      <w:pPr>
        <w:spacing w:line="360" w:lineRule="auto"/>
        <w:rPr>
          <w:rFonts w:hint="eastAsia" w:ascii="仿宋_GB2312" w:hAnsi="仿宋_GB2312" w:eastAsia="仿宋_GB2312" w:cs="仿宋_GB2312"/>
          <w:b/>
          <w:sz w:val="32"/>
          <w:szCs w:val="32"/>
        </w:rPr>
      </w:pPr>
    </w:p>
    <w:p>
      <w:pPr>
        <w:spacing w:line="360" w:lineRule="auto"/>
        <w:rPr>
          <w:rFonts w:hint="eastAsia" w:ascii="仿宋_GB2312" w:hAnsi="仿宋_GB2312" w:eastAsia="仿宋_GB2312" w:cs="仿宋_GB2312"/>
          <w:b/>
          <w:sz w:val="32"/>
          <w:szCs w:val="32"/>
        </w:rPr>
      </w:pPr>
      <w:r>
        <w:rPr>
          <w:rFonts w:hint="eastAsia" w:ascii="仿宋_GB2312" w:hAnsi="仿宋_GB2312" w:eastAsia="仿宋_GB2312" w:cs="仿宋_GB2312"/>
          <w:b/>
          <w:sz w:val="32"/>
          <w:szCs w:val="32"/>
        </w:rPr>
        <w:t>附件二</w:t>
      </w:r>
      <w:r>
        <w:rPr>
          <w:rFonts w:hint="eastAsia" w:ascii="仿宋_GB2312" w:hAnsi="仿宋_GB2312" w:eastAsia="仿宋_GB2312" w:cs="仿宋_GB2312"/>
          <w:b/>
          <w:sz w:val="32"/>
          <w:szCs w:val="32"/>
          <w:lang w:val="en-US" w:eastAsia="zh-CN"/>
        </w:rPr>
        <w:t xml:space="preserve">  </w:t>
      </w:r>
      <w:r>
        <w:rPr>
          <w:rFonts w:hint="eastAsia" w:ascii="仿宋_GB2312" w:hAnsi="仿宋_GB2312" w:eastAsia="仿宋_GB2312" w:cs="仿宋_GB2312"/>
          <w:b/>
          <w:sz w:val="32"/>
          <w:szCs w:val="32"/>
        </w:rPr>
        <w:t>案件收费标准</w:t>
      </w:r>
    </w:p>
    <w:p>
      <w:pPr>
        <w:spacing w:line="360" w:lineRule="auto"/>
        <w:ind w:firstLine="42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（1）二审案件按一审案件减半收取。</w:t>
      </w:r>
    </w:p>
    <w:p>
      <w:pPr>
        <w:spacing w:line="360" w:lineRule="auto"/>
        <w:ind w:firstLine="42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（2）撤诉案件：参与庭审后撤诉的，按固定收费标准减半支付；未参与庭审撤诉的，不予支付费用，特殊情况双方另行协商。</w:t>
      </w:r>
    </w:p>
    <w:p>
      <w:pPr>
        <w:spacing w:line="360" w:lineRule="auto"/>
        <w:ind w:firstLine="42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（3）同一交通事故不同原告分别提起诉讼，但同天开庭的，按案件数乘</w:t>
      </w:r>
      <w:r>
        <w:rPr>
          <w:rFonts w:hint="eastAsia" w:ascii="仿宋_GB2312" w:hAnsi="仿宋_GB2312" w:eastAsia="仿宋_GB2312" w:cs="仿宋_GB2312"/>
          <w:color w:val="000000"/>
          <w:sz w:val="32"/>
          <w:szCs w:val="32"/>
        </w:rPr>
        <w:t>以60%计</w:t>
      </w:r>
      <w:r>
        <w:rPr>
          <w:rFonts w:hint="eastAsia" w:ascii="仿宋_GB2312" w:hAnsi="仿宋_GB2312" w:eastAsia="仿宋_GB2312" w:cs="仿宋_GB2312"/>
          <w:sz w:val="32"/>
          <w:szCs w:val="32"/>
        </w:rPr>
        <w:t>算。</w:t>
      </w:r>
    </w:p>
    <w:p>
      <w:pPr>
        <w:spacing w:line="360" w:lineRule="auto"/>
        <w:ind w:firstLine="42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（4）因重新鉴定、质证等原因导致案件多次开庭的，不另行增加代理费。</w:t>
      </w:r>
    </w:p>
    <w:p>
      <w:pPr>
        <w:spacing w:line="360" w:lineRule="auto"/>
        <w:ind w:firstLine="420"/>
        <w:rPr>
          <w:rFonts w:hint="eastAsia" w:ascii="仿宋_GB2312" w:hAnsi="仿宋_GB2312" w:eastAsia="仿宋_GB2312" w:cs="仿宋_GB2312"/>
          <w:b/>
          <w:sz w:val="32"/>
          <w:szCs w:val="32"/>
        </w:rPr>
      </w:pPr>
      <w:r>
        <w:rPr>
          <w:rFonts w:hint="eastAsia" w:ascii="仿宋_GB2312" w:hAnsi="仿宋_GB2312" w:eastAsia="仿宋_GB2312" w:cs="仿宋_GB2312"/>
          <w:color w:val="000000"/>
          <w:sz w:val="32"/>
          <w:szCs w:val="32"/>
          <w:lang w:val="en-US" w:eastAsia="zh-CN"/>
        </w:rPr>
        <w:t>（5）以上个案服务中乙方律师及工作人员加班餐费、交通住宿费、通信费、速递费等为提供本合同项下服务支出的各项杂费和相关税费以及中国境内的差旅费由乙方自行承担。</w:t>
      </w:r>
    </w:p>
    <w:p>
      <w:pPr>
        <w:snapToGrid w:val="0"/>
        <w:spacing w:line="360" w:lineRule="auto"/>
        <w:ind w:firstLine="643" w:firstLineChars="200"/>
        <w:jc w:val="center"/>
        <w:rPr>
          <w:rFonts w:hint="eastAsia" w:ascii="仿宋_GB2312" w:hAnsi="仿宋_GB2312" w:eastAsia="仿宋_GB2312" w:cs="仿宋_GB2312"/>
          <w:sz w:val="32"/>
          <w:szCs w:val="32"/>
        </w:rPr>
      </w:pPr>
      <w:r>
        <w:rPr>
          <w:rFonts w:hint="eastAsia" w:ascii="仿宋_GB2312" w:hAnsi="仿宋_GB2312" w:eastAsia="仿宋_GB2312" w:cs="仿宋_GB2312"/>
          <w:b/>
          <w:sz w:val="32"/>
          <w:szCs w:val="32"/>
        </w:rPr>
        <w:t>案件收费表</w:t>
      </w:r>
    </w:p>
    <w:p>
      <w:pPr>
        <w:pStyle w:val="52"/>
        <w:adjustRightInd w:val="0"/>
        <w:snapToGrid w:val="0"/>
        <w:spacing w:line="360" w:lineRule="auto"/>
        <w:ind w:firstLine="560"/>
        <w:rPr>
          <w:rFonts w:hint="eastAsia" w:ascii="仿宋_GB2312" w:hAnsi="仿宋_GB2312" w:eastAsia="仿宋_GB2312" w:cs="仿宋_GB2312"/>
          <w:b/>
          <w:bCs/>
          <w:color w:val="auto"/>
          <w:sz w:val="32"/>
          <w:szCs w:val="32"/>
          <w:highlight w:val="none"/>
          <w:lang w:val="en-US" w:eastAsia="zh-CN"/>
        </w:rPr>
      </w:pPr>
      <w:r>
        <w:rPr>
          <w:rFonts w:hint="eastAsia" w:ascii="仿宋_GB2312" w:hAnsi="仿宋_GB2312" w:eastAsia="仿宋_GB2312" w:cs="仿宋_GB2312"/>
          <w:b/>
          <w:bCs/>
          <w:color w:val="auto"/>
          <w:sz w:val="32"/>
          <w:szCs w:val="32"/>
          <w:highlight w:val="none"/>
          <w:lang w:val="en-US" w:eastAsia="zh-CN"/>
        </w:rPr>
        <w:t>（一）</w:t>
      </w:r>
      <w:r>
        <w:rPr>
          <w:rFonts w:hint="eastAsia" w:ascii="仿宋_GB2312" w:hAnsi="仿宋_GB2312" w:eastAsia="仿宋_GB2312" w:cs="仿宋_GB2312"/>
          <w:b/>
          <w:bCs/>
          <w:color w:val="auto"/>
          <w:sz w:val="32"/>
          <w:szCs w:val="32"/>
          <w:highlight w:val="none"/>
        </w:rPr>
        <w:t>法律追偿</w:t>
      </w:r>
      <w:r>
        <w:rPr>
          <w:rFonts w:hint="eastAsia" w:ascii="仿宋_GB2312" w:hAnsi="仿宋_GB2312" w:eastAsia="仿宋_GB2312" w:cs="仿宋_GB2312"/>
          <w:b/>
          <w:bCs/>
          <w:color w:val="auto"/>
          <w:sz w:val="32"/>
          <w:szCs w:val="32"/>
          <w:highlight w:val="none"/>
          <w:lang w:val="en-US" w:eastAsia="zh-CN"/>
        </w:rPr>
        <w:t>服务最高投标限价</w:t>
      </w:r>
      <w:r>
        <w:rPr>
          <w:rFonts w:hint="eastAsia" w:ascii="仿宋_GB2312" w:hAnsi="仿宋_GB2312" w:eastAsia="仿宋_GB2312" w:cs="仿宋_GB2312"/>
          <w:b/>
          <w:bCs/>
          <w:color w:val="auto"/>
          <w:sz w:val="32"/>
          <w:szCs w:val="32"/>
          <w:highlight w:val="none"/>
          <w:lang w:eastAsia="zh-CN"/>
        </w:rPr>
        <w:t>：</w:t>
      </w:r>
    </w:p>
    <w:tbl>
      <w:tblPr>
        <w:tblStyle w:val="29"/>
        <w:tblW w:w="8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2"/>
        <w:gridCol w:w="4754"/>
        <w:gridCol w:w="29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1122" w:type="dxa"/>
            <w:noWrap/>
            <w:vAlign w:val="center"/>
          </w:tcPr>
          <w:p>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0" w:firstLineChars="0"/>
              <w:jc w:val="center"/>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sz w:val="24"/>
                <w:szCs w:val="24"/>
                <w:highlight w:val="none"/>
              </w:rPr>
              <w:t>序号</w:t>
            </w:r>
          </w:p>
        </w:tc>
        <w:tc>
          <w:tcPr>
            <w:tcW w:w="4754" w:type="dxa"/>
            <w:noWrap/>
            <w:vAlign w:val="center"/>
          </w:tcPr>
          <w:p>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0" w:firstLineChars="0"/>
              <w:jc w:val="center"/>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sz w:val="24"/>
                <w:szCs w:val="24"/>
                <w:highlight w:val="none"/>
              </w:rPr>
              <w:t>追回金额（每案）</w:t>
            </w:r>
          </w:p>
        </w:tc>
        <w:tc>
          <w:tcPr>
            <w:tcW w:w="2982" w:type="dxa"/>
            <w:noWrap/>
            <w:vAlign w:val="center"/>
          </w:tcPr>
          <w:p>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0" w:firstLineChars="0"/>
              <w:jc w:val="center"/>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sz w:val="24"/>
                <w:szCs w:val="24"/>
                <w:highlight w:val="none"/>
                <w:lang w:val="en-US" w:eastAsia="zh-CN"/>
              </w:rPr>
              <w:t>最高投标限价（支付比例）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1122" w:type="dxa"/>
            <w:noWrap/>
            <w:vAlign w:val="center"/>
          </w:tcPr>
          <w:p>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0" w:firstLineChars="0"/>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1</w:t>
            </w:r>
          </w:p>
        </w:tc>
        <w:tc>
          <w:tcPr>
            <w:tcW w:w="4754" w:type="dxa"/>
            <w:noWrap/>
            <w:vAlign w:val="center"/>
          </w:tcPr>
          <w:p>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0" w:firstLineChars="0"/>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50万元以内</w:t>
            </w:r>
          </w:p>
        </w:tc>
        <w:tc>
          <w:tcPr>
            <w:tcW w:w="2982" w:type="dxa"/>
            <w:noWrap/>
            <w:vAlign w:val="center"/>
          </w:tcPr>
          <w:p>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0" w:firstLineChars="0"/>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不</w:t>
            </w:r>
            <w:r>
              <w:rPr>
                <w:rFonts w:hint="eastAsia" w:ascii="宋体" w:hAnsi="宋体" w:eastAsia="宋体" w:cs="宋体"/>
                <w:color w:val="auto"/>
                <w:sz w:val="24"/>
                <w:szCs w:val="24"/>
                <w:highlight w:val="none"/>
                <w:lang w:val="en-US" w:eastAsia="zh-CN"/>
              </w:rPr>
              <w:t>得高于</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1122" w:type="dxa"/>
            <w:noWrap/>
            <w:vAlign w:val="center"/>
          </w:tcPr>
          <w:p>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0" w:firstLineChars="0"/>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2</w:t>
            </w:r>
          </w:p>
        </w:tc>
        <w:tc>
          <w:tcPr>
            <w:tcW w:w="4754" w:type="dxa"/>
            <w:noWrap/>
            <w:vAlign w:val="center"/>
          </w:tcPr>
          <w:p>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0" w:firstLineChars="0"/>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50万-100万（不包括100万）</w:t>
            </w:r>
          </w:p>
        </w:tc>
        <w:tc>
          <w:tcPr>
            <w:tcW w:w="2982" w:type="dxa"/>
            <w:noWrap/>
            <w:vAlign w:val="center"/>
          </w:tcPr>
          <w:p>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0" w:firstLineChars="0"/>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不</w:t>
            </w:r>
            <w:r>
              <w:rPr>
                <w:rFonts w:hint="eastAsia" w:ascii="宋体" w:hAnsi="宋体" w:eastAsia="宋体" w:cs="宋体"/>
                <w:color w:val="auto"/>
                <w:sz w:val="24"/>
                <w:szCs w:val="24"/>
                <w:highlight w:val="none"/>
                <w:lang w:val="en-US" w:eastAsia="zh-CN"/>
              </w:rPr>
              <w:t>得高于</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1122" w:type="dxa"/>
            <w:noWrap/>
            <w:vAlign w:val="center"/>
          </w:tcPr>
          <w:p>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0" w:firstLineChars="0"/>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3</w:t>
            </w:r>
          </w:p>
        </w:tc>
        <w:tc>
          <w:tcPr>
            <w:tcW w:w="4754" w:type="dxa"/>
            <w:noWrap/>
            <w:vAlign w:val="center"/>
          </w:tcPr>
          <w:p>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0" w:firstLineChars="0"/>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100万-</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00万（不包括</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00万）</w:t>
            </w:r>
          </w:p>
        </w:tc>
        <w:tc>
          <w:tcPr>
            <w:tcW w:w="2982" w:type="dxa"/>
            <w:noWrap/>
            <w:vAlign w:val="center"/>
          </w:tcPr>
          <w:p>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0" w:firstLineChars="0"/>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不</w:t>
            </w:r>
            <w:r>
              <w:rPr>
                <w:rFonts w:hint="eastAsia" w:ascii="宋体" w:hAnsi="宋体" w:eastAsia="宋体" w:cs="宋体"/>
                <w:color w:val="auto"/>
                <w:sz w:val="24"/>
                <w:szCs w:val="24"/>
                <w:highlight w:val="none"/>
                <w:lang w:val="en-US" w:eastAsia="zh-CN"/>
              </w:rPr>
              <w:t>得高于</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1122" w:type="dxa"/>
            <w:noWrap/>
            <w:vAlign w:val="center"/>
          </w:tcPr>
          <w:p>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0" w:firstLineChars="0"/>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4</w:t>
            </w:r>
          </w:p>
        </w:tc>
        <w:tc>
          <w:tcPr>
            <w:tcW w:w="4754" w:type="dxa"/>
            <w:noWrap/>
            <w:vAlign w:val="center"/>
          </w:tcPr>
          <w:p>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0" w:firstLineChars="0"/>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500万-1000万（不包括1000万）</w:t>
            </w:r>
          </w:p>
        </w:tc>
        <w:tc>
          <w:tcPr>
            <w:tcW w:w="2982" w:type="dxa"/>
            <w:noWrap/>
            <w:vAlign w:val="center"/>
          </w:tcPr>
          <w:p>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0" w:firstLineChars="0"/>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不</w:t>
            </w:r>
            <w:r>
              <w:rPr>
                <w:rFonts w:hint="eastAsia" w:ascii="宋体" w:hAnsi="宋体" w:eastAsia="宋体" w:cs="宋体"/>
                <w:color w:val="auto"/>
                <w:sz w:val="24"/>
                <w:szCs w:val="24"/>
                <w:highlight w:val="none"/>
                <w:lang w:val="en-US" w:eastAsia="zh-CN"/>
              </w:rPr>
              <w:t>得高于</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w:t>
            </w:r>
          </w:p>
        </w:tc>
      </w:tr>
    </w:tbl>
    <w:p>
      <w:pPr>
        <w:pStyle w:val="26"/>
        <w:spacing w:before="0" w:beforeAutospacing="0" w:after="0" w:afterAutospacing="0" w:line="360" w:lineRule="auto"/>
        <w:ind w:firstLine="562" w:firstLineChars="200"/>
        <w:rPr>
          <w:rFonts w:hint="eastAsia" w:ascii="仿宋_GB2312" w:hAnsi="仿宋_GB2312" w:eastAsia="仿宋_GB2312" w:cs="仿宋_GB2312"/>
          <w:b/>
          <w:bCs/>
          <w:color w:val="auto"/>
          <w:sz w:val="32"/>
          <w:szCs w:val="32"/>
          <w:highlight w:val="none"/>
          <w:lang w:val="en-US" w:eastAsia="zh-CN"/>
        </w:rPr>
      </w:pPr>
      <w:r>
        <w:rPr>
          <w:rFonts w:hint="eastAsia" w:ascii="仿宋_GB2312" w:hAnsi="仿宋_GB2312" w:eastAsia="仿宋_GB2312" w:cs="仿宋_GB2312"/>
          <w:b/>
          <w:bCs/>
          <w:color w:val="auto"/>
          <w:sz w:val="28"/>
          <w:szCs w:val="28"/>
          <w:highlight w:val="none"/>
          <w:lang w:eastAsia="zh-CN"/>
        </w:rPr>
        <w:t>（二）</w:t>
      </w:r>
      <w:r>
        <w:rPr>
          <w:rFonts w:hint="eastAsia" w:ascii="仿宋_GB2312" w:hAnsi="仿宋_GB2312" w:eastAsia="仿宋_GB2312" w:cs="仿宋_GB2312"/>
          <w:b/>
          <w:bCs/>
          <w:color w:val="auto"/>
          <w:sz w:val="28"/>
          <w:szCs w:val="28"/>
          <w:highlight w:val="none"/>
        </w:rPr>
        <w:t>诉讼法律服务</w:t>
      </w:r>
      <w:r>
        <w:rPr>
          <w:rFonts w:hint="eastAsia" w:ascii="仿宋_GB2312" w:hAnsi="仿宋_GB2312" w:eastAsia="仿宋_GB2312" w:cs="仿宋_GB2312"/>
          <w:b/>
          <w:bCs/>
          <w:color w:val="auto"/>
          <w:sz w:val="28"/>
          <w:szCs w:val="28"/>
          <w:highlight w:val="none"/>
          <w:lang w:val="en-US" w:eastAsia="zh-CN"/>
        </w:rPr>
        <w:t>最高投标限价：</w:t>
      </w:r>
    </w:p>
    <w:tbl>
      <w:tblPr>
        <w:tblStyle w:val="29"/>
        <w:tblW w:w="8844" w:type="dxa"/>
        <w:tblInd w:w="1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1"/>
        <w:gridCol w:w="4809"/>
        <w:gridCol w:w="29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00" w:hRule="atLeast"/>
        </w:trPr>
        <w:tc>
          <w:tcPr>
            <w:tcW w:w="1071" w:type="dxa"/>
            <w:noWrap/>
            <w:vAlign w:val="center"/>
          </w:tcPr>
          <w:p>
            <w:pPr>
              <w:pStyle w:val="26"/>
              <w:keepNext w:val="0"/>
              <w:keepLines w:val="0"/>
              <w:pageBreakBefore w:val="0"/>
              <w:widowControl w:val="0"/>
              <w:kinsoku/>
              <w:wordWrap/>
              <w:overflowPunct/>
              <w:topLinePunct w:val="0"/>
              <w:autoSpaceDE/>
              <w:autoSpaceDN/>
              <w:bidi w:val="0"/>
              <w:adjustRightInd/>
              <w:snapToGrid/>
              <w:spacing w:before="0" w:beforeAutospacing="0" w:after="0" w:afterAutospacing="0" w:line="300" w:lineRule="exact"/>
              <w:ind w:firstLine="0" w:firstLineChars="0"/>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序号</w:t>
            </w:r>
          </w:p>
        </w:tc>
        <w:tc>
          <w:tcPr>
            <w:tcW w:w="4809" w:type="dxa"/>
            <w:noWrap/>
            <w:vAlign w:val="center"/>
          </w:tcPr>
          <w:p>
            <w:pPr>
              <w:pStyle w:val="26"/>
              <w:keepNext w:val="0"/>
              <w:keepLines w:val="0"/>
              <w:pageBreakBefore w:val="0"/>
              <w:widowControl w:val="0"/>
              <w:kinsoku/>
              <w:wordWrap/>
              <w:overflowPunct/>
              <w:topLinePunct w:val="0"/>
              <w:autoSpaceDE/>
              <w:autoSpaceDN/>
              <w:bidi w:val="0"/>
              <w:adjustRightInd/>
              <w:snapToGrid/>
              <w:spacing w:before="0" w:beforeAutospacing="0" w:after="0" w:afterAutospacing="0" w:line="300" w:lineRule="exact"/>
              <w:ind w:firstLine="0" w:firstLineChars="0"/>
              <w:jc w:val="center"/>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争议标的（每案）</w:t>
            </w:r>
          </w:p>
        </w:tc>
        <w:tc>
          <w:tcPr>
            <w:tcW w:w="2964" w:type="dxa"/>
            <w:noWrap/>
            <w:vAlign w:val="center"/>
          </w:tcPr>
          <w:p>
            <w:pPr>
              <w:keepNext w:val="0"/>
              <w:keepLines w:val="0"/>
              <w:pageBreakBefore w:val="0"/>
              <w:widowControl w:val="0"/>
              <w:kinsoku/>
              <w:wordWrap/>
              <w:overflowPunct/>
              <w:topLinePunct w:val="0"/>
              <w:autoSpaceDE/>
              <w:autoSpaceDN/>
              <w:bidi w:val="0"/>
              <w:adjustRightInd/>
              <w:snapToGrid/>
              <w:spacing w:before="0" w:beforeAutospacing="0" w:after="0" w:afterAutospacing="0" w:line="300" w:lineRule="exact"/>
              <w:ind w:firstLine="0" w:firstLineChars="0"/>
              <w:jc w:val="center"/>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sz w:val="24"/>
                <w:szCs w:val="24"/>
                <w:highlight w:val="none"/>
                <w:lang w:val="en-US" w:eastAsia="zh-CN"/>
              </w:rPr>
              <w:t>最高投标限价（支付比例）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071" w:type="dxa"/>
            <w:noWrap/>
            <w:vAlign w:val="center"/>
          </w:tcPr>
          <w:p>
            <w:pPr>
              <w:pStyle w:val="26"/>
              <w:keepNext w:val="0"/>
              <w:keepLines w:val="0"/>
              <w:pageBreakBefore w:val="0"/>
              <w:widowControl w:val="0"/>
              <w:kinsoku/>
              <w:wordWrap/>
              <w:overflowPunct/>
              <w:topLinePunct w:val="0"/>
              <w:autoSpaceDE/>
              <w:autoSpaceDN/>
              <w:bidi w:val="0"/>
              <w:adjustRightInd/>
              <w:snapToGrid/>
              <w:spacing w:before="0" w:beforeAutospacing="0" w:after="0" w:afterAutospacing="0" w:line="300" w:lineRule="exact"/>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4809" w:type="dxa"/>
            <w:noWrap/>
            <w:vAlign w:val="center"/>
          </w:tcPr>
          <w:p>
            <w:pPr>
              <w:pStyle w:val="26"/>
              <w:keepNext w:val="0"/>
              <w:keepLines w:val="0"/>
              <w:pageBreakBefore w:val="0"/>
              <w:widowControl w:val="0"/>
              <w:kinsoku/>
              <w:wordWrap/>
              <w:overflowPunct/>
              <w:topLinePunct w:val="0"/>
              <w:autoSpaceDE/>
              <w:autoSpaceDN/>
              <w:bidi w:val="0"/>
              <w:adjustRightInd/>
              <w:snapToGrid/>
              <w:spacing w:before="0" w:beforeAutospacing="0" w:after="0" w:afterAutospacing="0" w:line="300" w:lineRule="exact"/>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0000元</w:t>
            </w:r>
            <w:r>
              <w:rPr>
                <w:rFonts w:hint="eastAsia" w:ascii="宋体" w:hAnsi="宋体" w:eastAsia="宋体" w:cs="宋体"/>
                <w:color w:val="auto"/>
                <w:sz w:val="24"/>
                <w:szCs w:val="24"/>
                <w:highlight w:val="none"/>
              </w:rPr>
              <w:t>以下</w:t>
            </w:r>
          </w:p>
        </w:tc>
        <w:tc>
          <w:tcPr>
            <w:tcW w:w="2964" w:type="dxa"/>
            <w:noWrap/>
            <w:vAlign w:val="center"/>
          </w:tcPr>
          <w:p>
            <w:pPr>
              <w:pStyle w:val="26"/>
              <w:keepNext w:val="0"/>
              <w:keepLines w:val="0"/>
              <w:pageBreakBefore w:val="0"/>
              <w:widowControl w:val="0"/>
              <w:kinsoku/>
              <w:wordWrap/>
              <w:overflowPunct/>
              <w:topLinePunct w:val="0"/>
              <w:autoSpaceDE/>
              <w:autoSpaceDN/>
              <w:bidi w:val="0"/>
              <w:adjustRightInd/>
              <w:snapToGrid/>
              <w:spacing w:before="0" w:beforeAutospacing="0" w:after="0" w:afterAutospacing="0" w:line="300" w:lineRule="exact"/>
              <w:ind w:firstLine="0" w:firstLineChars="0"/>
              <w:jc w:val="center"/>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不</w:t>
            </w:r>
            <w:r>
              <w:rPr>
                <w:rFonts w:hint="eastAsia" w:ascii="宋体" w:hAnsi="宋体" w:eastAsia="宋体" w:cs="宋体"/>
                <w:color w:val="auto"/>
                <w:sz w:val="24"/>
                <w:szCs w:val="24"/>
                <w:highlight w:val="none"/>
                <w:lang w:val="en-US" w:eastAsia="zh-CN"/>
              </w:rPr>
              <w:t>得高于</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00" w:hRule="atLeast"/>
        </w:trPr>
        <w:tc>
          <w:tcPr>
            <w:tcW w:w="1071" w:type="dxa"/>
            <w:noWrap/>
            <w:vAlign w:val="center"/>
          </w:tcPr>
          <w:p>
            <w:pPr>
              <w:pStyle w:val="26"/>
              <w:keepNext w:val="0"/>
              <w:keepLines w:val="0"/>
              <w:pageBreakBefore w:val="0"/>
              <w:widowControl w:val="0"/>
              <w:kinsoku/>
              <w:wordWrap/>
              <w:overflowPunct/>
              <w:topLinePunct w:val="0"/>
              <w:autoSpaceDE/>
              <w:autoSpaceDN/>
              <w:bidi w:val="0"/>
              <w:adjustRightInd/>
              <w:snapToGrid/>
              <w:spacing w:before="0" w:beforeAutospacing="0" w:after="0" w:afterAutospacing="0" w:line="300" w:lineRule="exact"/>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4809" w:type="dxa"/>
            <w:noWrap/>
            <w:vAlign w:val="center"/>
          </w:tcPr>
          <w:p>
            <w:pPr>
              <w:pStyle w:val="26"/>
              <w:keepNext w:val="0"/>
              <w:keepLines w:val="0"/>
              <w:pageBreakBefore w:val="0"/>
              <w:widowControl w:val="0"/>
              <w:kinsoku/>
              <w:wordWrap/>
              <w:overflowPunct/>
              <w:topLinePunct w:val="0"/>
              <w:autoSpaceDE/>
              <w:autoSpaceDN/>
              <w:bidi w:val="0"/>
              <w:adjustRightInd/>
              <w:snapToGrid/>
              <w:spacing w:before="0" w:beforeAutospacing="0" w:after="0" w:afterAutospacing="0" w:line="300" w:lineRule="exact"/>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10001元至100000元</w:t>
            </w:r>
          </w:p>
        </w:tc>
        <w:tc>
          <w:tcPr>
            <w:tcW w:w="2964" w:type="dxa"/>
            <w:noWrap/>
            <w:vAlign w:val="center"/>
          </w:tcPr>
          <w:p>
            <w:pPr>
              <w:pStyle w:val="26"/>
              <w:keepNext w:val="0"/>
              <w:keepLines w:val="0"/>
              <w:pageBreakBefore w:val="0"/>
              <w:widowControl w:val="0"/>
              <w:kinsoku/>
              <w:wordWrap/>
              <w:overflowPunct/>
              <w:topLinePunct w:val="0"/>
              <w:autoSpaceDE/>
              <w:autoSpaceDN/>
              <w:bidi w:val="0"/>
              <w:adjustRightInd/>
              <w:snapToGrid/>
              <w:spacing w:before="0" w:beforeAutospacing="0" w:after="0" w:afterAutospacing="0" w:line="300" w:lineRule="exact"/>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w:t>
            </w:r>
            <w:r>
              <w:rPr>
                <w:rFonts w:hint="eastAsia" w:ascii="宋体" w:hAnsi="宋体" w:eastAsia="宋体" w:cs="宋体"/>
                <w:color w:val="auto"/>
                <w:sz w:val="24"/>
                <w:szCs w:val="24"/>
                <w:highlight w:val="none"/>
                <w:lang w:val="en-US" w:eastAsia="zh-CN"/>
              </w:rPr>
              <w:t>得高于</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00" w:hRule="atLeast"/>
        </w:trPr>
        <w:tc>
          <w:tcPr>
            <w:tcW w:w="1071" w:type="dxa"/>
            <w:noWrap/>
            <w:vAlign w:val="center"/>
          </w:tcPr>
          <w:p>
            <w:pPr>
              <w:pStyle w:val="26"/>
              <w:keepNext w:val="0"/>
              <w:keepLines w:val="0"/>
              <w:pageBreakBefore w:val="0"/>
              <w:widowControl w:val="0"/>
              <w:kinsoku/>
              <w:wordWrap/>
              <w:overflowPunct/>
              <w:topLinePunct w:val="0"/>
              <w:autoSpaceDE/>
              <w:autoSpaceDN/>
              <w:bidi w:val="0"/>
              <w:adjustRightInd/>
              <w:snapToGrid/>
              <w:spacing w:before="0" w:beforeAutospacing="0" w:after="0" w:afterAutospacing="0" w:line="300" w:lineRule="exact"/>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4809" w:type="dxa"/>
            <w:noWrap/>
            <w:vAlign w:val="center"/>
          </w:tcPr>
          <w:p>
            <w:pPr>
              <w:pStyle w:val="26"/>
              <w:keepNext w:val="0"/>
              <w:keepLines w:val="0"/>
              <w:pageBreakBefore w:val="0"/>
              <w:widowControl w:val="0"/>
              <w:kinsoku/>
              <w:wordWrap/>
              <w:overflowPunct/>
              <w:topLinePunct w:val="0"/>
              <w:autoSpaceDE/>
              <w:autoSpaceDN/>
              <w:bidi w:val="0"/>
              <w:adjustRightInd/>
              <w:snapToGrid/>
              <w:spacing w:before="0" w:beforeAutospacing="0" w:after="0" w:afterAutospacing="0" w:line="300" w:lineRule="exact"/>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100001元至500000元</w:t>
            </w:r>
          </w:p>
        </w:tc>
        <w:tc>
          <w:tcPr>
            <w:tcW w:w="2964" w:type="dxa"/>
            <w:noWrap/>
            <w:vAlign w:val="center"/>
          </w:tcPr>
          <w:p>
            <w:pPr>
              <w:pStyle w:val="26"/>
              <w:keepNext w:val="0"/>
              <w:keepLines w:val="0"/>
              <w:pageBreakBefore w:val="0"/>
              <w:widowControl w:val="0"/>
              <w:kinsoku/>
              <w:wordWrap/>
              <w:overflowPunct/>
              <w:topLinePunct w:val="0"/>
              <w:autoSpaceDE/>
              <w:autoSpaceDN/>
              <w:bidi w:val="0"/>
              <w:adjustRightInd/>
              <w:snapToGrid/>
              <w:spacing w:before="0" w:beforeAutospacing="0" w:after="0" w:afterAutospacing="0" w:line="300" w:lineRule="exact"/>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w:t>
            </w:r>
            <w:r>
              <w:rPr>
                <w:rFonts w:hint="eastAsia" w:ascii="宋体" w:hAnsi="宋体" w:eastAsia="宋体" w:cs="宋体"/>
                <w:color w:val="auto"/>
                <w:sz w:val="24"/>
                <w:szCs w:val="24"/>
                <w:highlight w:val="none"/>
                <w:lang w:val="en-US" w:eastAsia="zh-CN"/>
              </w:rPr>
              <w:t>得高于</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00" w:hRule="atLeast"/>
        </w:trPr>
        <w:tc>
          <w:tcPr>
            <w:tcW w:w="1071" w:type="dxa"/>
            <w:noWrap/>
            <w:vAlign w:val="center"/>
          </w:tcPr>
          <w:p>
            <w:pPr>
              <w:pStyle w:val="26"/>
              <w:keepNext w:val="0"/>
              <w:keepLines w:val="0"/>
              <w:pageBreakBefore w:val="0"/>
              <w:widowControl w:val="0"/>
              <w:kinsoku/>
              <w:wordWrap/>
              <w:overflowPunct/>
              <w:topLinePunct w:val="0"/>
              <w:autoSpaceDE/>
              <w:autoSpaceDN/>
              <w:bidi w:val="0"/>
              <w:adjustRightInd/>
              <w:snapToGrid/>
              <w:spacing w:before="0" w:beforeAutospacing="0" w:after="0" w:afterAutospacing="0" w:line="300" w:lineRule="exact"/>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4809" w:type="dxa"/>
            <w:noWrap/>
            <w:vAlign w:val="center"/>
          </w:tcPr>
          <w:p>
            <w:pPr>
              <w:pStyle w:val="26"/>
              <w:keepNext w:val="0"/>
              <w:keepLines w:val="0"/>
              <w:pageBreakBefore w:val="0"/>
              <w:widowControl w:val="0"/>
              <w:kinsoku/>
              <w:wordWrap/>
              <w:overflowPunct/>
              <w:topLinePunct w:val="0"/>
              <w:autoSpaceDE/>
              <w:autoSpaceDN/>
              <w:bidi w:val="0"/>
              <w:adjustRightInd/>
              <w:snapToGrid/>
              <w:spacing w:before="0" w:beforeAutospacing="0" w:after="0" w:afterAutospacing="0" w:line="300" w:lineRule="exact"/>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500001元至1000000元</w:t>
            </w:r>
          </w:p>
        </w:tc>
        <w:tc>
          <w:tcPr>
            <w:tcW w:w="2964" w:type="dxa"/>
            <w:noWrap/>
            <w:vAlign w:val="center"/>
          </w:tcPr>
          <w:p>
            <w:pPr>
              <w:pStyle w:val="26"/>
              <w:keepNext w:val="0"/>
              <w:keepLines w:val="0"/>
              <w:pageBreakBefore w:val="0"/>
              <w:widowControl w:val="0"/>
              <w:kinsoku/>
              <w:wordWrap/>
              <w:overflowPunct/>
              <w:topLinePunct w:val="0"/>
              <w:autoSpaceDE/>
              <w:autoSpaceDN/>
              <w:bidi w:val="0"/>
              <w:adjustRightInd/>
              <w:snapToGrid/>
              <w:spacing w:before="0" w:beforeAutospacing="0" w:after="0" w:afterAutospacing="0" w:line="300" w:lineRule="exact"/>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w:t>
            </w:r>
            <w:r>
              <w:rPr>
                <w:rFonts w:hint="eastAsia" w:ascii="宋体" w:hAnsi="宋体" w:eastAsia="宋体" w:cs="宋体"/>
                <w:color w:val="auto"/>
                <w:sz w:val="24"/>
                <w:szCs w:val="24"/>
                <w:highlight w:val="none"/>
                <w:lang w:val="en-US" w:eastAsia="zh-CN"/>
              </w:rPr>
              <w:t>得高于</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00" w:hRule="atLeast"/>
        </w:trPr>
        <w:tc>
          <w:tcPr>
            <w:tcW w:w="1071" w:type="dxa"/>
            <w:noWrap/>
            <w:vAlign w:val="center"/>
          </w:tcPr>
          <w:p>
            <w:pPr>
              <w:pStyle w:val="26"/>
              <w:keepNext w:val="0"/>
              <w:keepLines w:val="0"/>
              <w:pageBreakBefore w:val="0"/>
              <w:widowControl w:val="0"/>
              <w:kinsoku/>
              <w:wordWrap/>
              <w:overflowPunct/>
              <w:topLinePunct w:val="0"/>
              <w:autoSpaceDE/>
              <w:autoSpaceDN/>
              <w:bidi w:val="0"/>
              <w:adjustRightInd/>
              <w:snapToGrid/>
              <w:spacing w:before="0" w:beforeAutospacing="0" w:after="0" w:afterAutospacing="0" w:line="300" w:lineRule="exact"/>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4809" w:type="dxa"/>
            <w:noWrap/>
            <w:vAlign w:val="center"/>
          </w:tcPr>
          <w:p>
            <w:pPr>
              <w:pStyle w:val="26"/>
              <w:keepNext w:val="0"/>
              <w:keepLines w:val="0"/>
              <w:pageBreakBefore w:val="0"/>
              <w:widowControl w:val="0"/>
              <w:kinsoku/>
              <w:wordWrap/>
              <w:overflowPunct/>
              <w:topLinePunct w:val="0"/>
              <w:autoSpaceDE/>
              <w:autoSpaceDN/>
              <w:bidi w:val="0"/>
              <w:adjustRightInd/>
              <w:snapToGrid/>
              <w:spacing w:before="0" w:beforeAutospacing="0" w:after="0" w:afterAutospacing="0" w:line="300" w:lineRule="exact"/>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100000l元至5000000元</w:t>
            </w:r>
          </w:p>
        </w:tc>
        <w:tc>
          <w:tcPr>
            <w:tcW w:w="2964" w:type="dxa"/>
            <w:noWrap/>
            <w:vAlign w:val="center"/>
          </w:tcPr>
          <w:p>
            <w:pPr>
              <w:pStyle w:val="26"/>
              <w:keepNext w:val="0"/>
              <w:keepLines w:val="0"/>
              <w:pageBreakBefore w:val="0"/>
              <w:widowControl w:val="0"/>
              <w:kinsoku/>
              <w:wordWrap/>
              <w:overflowPunct/>
              <w:topLinePunct w:val="0"/>
              <w:autoSpaceDE/>
              <w:autoSpaceDN/>
              <w:bidi w:val="0"/>
              <w:adjustRightInd/>
              <w:snapToGrid/>
              <w:spacing w:before="0" w:beforeAutospacing="0" w:after="0" w:afterAutospacing="0" w:line="300" w:lineRule="exact"/>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w:t>
            </w:r>
            <w:r>
              <w:rPr>
                <w:rFonts w:hint="eastAsia" w:ascii="宋体" w:hAnsi="宋体" w:eastAsia="宋体" w:cs="宋体"/>
                <w:color w:val="auto"/>
                <w:sz w:val="24"/>
                <w:szCs w:val="24"/>
                <w:highlight w:val="none"/>
                <w:lang w:val="en-US" w:eastAsia="zh-CN"/>
              </w:rPr>
              <w:t>得高于</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00" w:hRule="atLeast"/>
        </w:trPr>
        <w:tc>
          <w:tcPr>
            <w:tcW w:w="1071" w:type="dxa"/>
            <w:noWrap/>
            <w:vAlign w:val="center"/>
          </w:tcPr>
          <w:p>
            <w:pPr>
              <w:pStyle w:val="26"/>
              <w:keepNext w:val="0"/>
              <w:keepLines w:val="0"/>
              <w:pageBreakBefore w:val="0"/>
              <w:widowControl w:val="0"/>
              <w:kinsoku/>
              <w:wordWrap/>
              <w:overflowPunct/>
              <w:topLinePunct w:val="0"/>
              <w:autoSpaceDE/>
              <w:autoSpaceDN/>
              <w:bidi w:val="0"/>
              <w:adjustRightInd/>
              <w:snapToGrid/>
              <w:spacing w:before="0" w:beforeAutospacing="0" w:after="0" w:afterAutospacing="0" w:line="300" w:lineRule="exact"/>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4809" w:type="dxa"/>
            <w:noWrap/>
            <w:vAlign w:val="center"/>
          </w:tcPr>
          <w:p>
            <w:pPr>
              <w:pStyle w:val="26"/>
              <w:keepNext w:val="0"/>
              <w:keepLines w:val="0"/>
              <w:pageBreakBefore w:val="0"/>
              <w:widowControl w:val="0"/>
              <w:kinsoku/>
              <w:wordWrap/>
              <w:overflowPunct/>
              <w:topLinePunct w:val="0"/>
              <w:autoSpaceDE/>
              <w:autoSpaceDN/>
              <w:bidi w:val="0"/>
              <w:adjustRightInd/>
              <w:snapToGrid/>
              <w:spacing w:before="0" w:beforeAutospacing="0" w:after="0" w:afterAutospacing="0" w:line="300" w:lineRule="exact"/>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500O00l元至10000000元</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不包括1000万元</w:t>
            </w:r>
            <w:r>
              <w:rPr>
                <w:rFonts w:hint="eastAsia" w:ascii="宋体" w:hAnsi="宋体" w:eastAsia="宋体" w:cs="宋体"/>
                <w:color w:val="auto"/>
                <w:sz w:val="24"/>
                <w:szCs w:val="24"/>
                <w:highlight w:val="none"/>
                <w:lang w:eastAsia="zh-CN"/>
              </w:rPr>
              <w:t>）</w:t>
            </w:r>
          </w:p>
        </w:tc>
        <w:tc>
          <w:tcPr>
            <w:tcW w:w="2964" w:type="dxa"/>
            <w:noWrap/>
            <w:vAlign w:val="center"/>
          </w:tcPr>
          <w:p>
            <w:pPr>
              <w:pStyle w:val="26"/>
              <w:keepNext w:val="0"/>
              <w:keepLines w:val="0"/>
              <w:pageBreakBefore w:val="0"/>
              <w:widowControl w:val="0"/>
              <w:kinsoku/>
              <w:wordWrap/>
              <w:overflowPunct/>
              <w:topLinePunct w:val="0"/>
              <w:autoSpaceDE/>
              <w:autoSpaceDN/>
              <w:bidi w:val="0"/>
              <w:adjustRightInd/>
              <w:snapToGrid/>
              <w:spacing w:before="0" w:beforeAutospacing="0" w:after="0" w:afterAutospacing="0" w:line="300" w:lineRule="exact"/>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w:t>
            </w:r>
            <w:r>
              <w:rPr>
                <w:rFonts w:hint="eastAsia" w:ascii="宋体" w:hAnsi="宋体" w:eastAsia="宋体" w:cs="宋体"/>
                <w:color w:val="auto"/>
                <w:sz w:val="24"/>
                <w:szCs w:val="24"/>
                <w:highlight w:val="none"/>
                <w:lang w:val="en-US" w:eastAsia="zh-CN"/>
              </w:rPr>
              <w:t>得高于</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w:t>
            </w:r>
          </w:p>
        </w:tc>
      </w:tr>
    </w:tbl>
    <w:p>
      <w:pPr>
        <w:pStyle w:val="4"/>
        <w:numPr>
          <w:ilvl w:val="0"/>
          <w:numId w:val="0"/>
        </w:numPr>
        <w:jc w:val="both"/>
        <w:rPr>
          <w:rFonts w:hint="eastAsia" w:ascii="仿宋" w:hAnsi="仿宋" w:eastAsia="仿宋"/>
          <w:sz w:val="30"/>
          <w:szCs w:val="30"/>
        </w:rPr>
      </w:pPr>
      <w:r>
        <w:rPr>
          <w:rFonts w:hint="eastAsia" w:ascii="仿宋" w:hAnsi="仿宋" w:eastAsia="仿宋"/>
          <w:b/>
          <w:sz w:val="30"/>
          <w:szCs w:val="30"/>
        </w:rPr>
        <w:t>注：</w:t>
      </w:r>
      <w:r>
        <w:rPr>
          <w:rFonts w:hint="eastAsia" w:ascii="仿宋" w:hAnsi="仿宋" w:eastAsia="仿宋"/>
          <w:sz w:val="30"/>
          <w:szCs w:val="30"/>
        </w:rPr>
        <w:t>上表中的收费标准为最高限价，合同双方应在具体个案中单独签署代理合同进行明确。具体代理合同费用价格原则上不得高于最高限价。</w:t>
      </w:r>
    </w:p>
    <w:p>
      <w:pPr>
        <w:pStyle w:val="2"/>
        <w:numPr>
          <w:ilvl w:val="1"/>
          <w:numId w:val="0"/>
        </w:numPr>
        <w:ind w:leftChars="0"/>
        <w:rPr>
          <w:rFonts w:hint="eastAsia"/>
          <w:lang w:eastAsia="zh-CN"/>
        </w:rPr>
      </w:pPr>
    </w:p>
    <w:p>
      <w:pPr>
        <w:spacing w:line="360" w:lineRule="auto"/>
        <w:ind w:firstLine="420"/>
        <w:rPr>
          <w:rFonts w:hint="eastAsia" w:ascii="仿宋_GB2312" w:hAnsi="仿宋_GB2312" w:eastAsia="仿宋_GB2312" w:cs="仿宋_GB2312"/>
          <w:b/>
          <w:bCs/>
          <w:sz w:val="32"/>
          <w:szCs w:val="32"/>
          <w:lang w:eastAsia="zh-CN"/>
        </w:rPr>
      </w:pPr>
    </w:p>
    <w:p>
      <w:pPr>
        <w:spacing w:line="360" w:lineRule="auto"/>
        <w:ind w:firstLine="420"/>
        <w:rPr>
          <w:rFonts w:hint="eastAsia" w:ascii="仿宋_GB2312" w:hAnsi="仿宋_GB2312" w:eastAsia="仿宋_GB2312" w:cs="仿宋_GB2312"/>
          <w:b/>
          <w:bCs/>
          <w:sz w:val="32"/>
          <w:szCs w:val="32"/>
          <w:lang w:eastAsia="zh-CN"/>
        </w:rPr>
      </w:pPr>
      <w:r>
        <w:rPr>
          <w:rFonts w:hint="eastAsia" w:ascii="仿宋_GB2312" w:hAnsi="仿宋_GB2312" w:eastAsia="仿宋_GB2312" w:cs="仿宋_GB2312"/>
          <w:b/>
          <w:bCs/>
          <w:sz w:val="32"/>
          <w:szCs w:val="32"/>
          <w:lang w:eastAsia="zh-CN"/>
        </w:rPr>
        <w:t>附件三</w:t>
      </w:r>
      <w:r>
        <w:rPr>
          <w:rFonts w:hint="eastAsia" w:ascii="仿宋_GB2312" w:hAnsi="仿宋_GB2312" w:eastAsia="仿宋_GB2312" w:cs="仿宋_GB2312"/>
          <w:b/>
          <w:bCs/>
          <w:sz w:val="32"/>
          <w:szCs w:val="32"/>
          <w:lang w:val="en-US" w:eastAsia="zh-CN"/>
        </w:rPr>
        <w:t xml:space="preserve">  </w:t>
      </w:r>
      <w:r>
        <w:rPr>
          <w:rFonts w:hint="eastAsia" w:ascii="仿宋_GB2312" w:hAnsi="仿宋_GB2312" w:eastAsia="仿宋_GB2312" w:cs="仿宋_GB2312"/>
          <w:b/>
          <w:bCs/>
          <w:sz w:val="32"/>
          <w:szCs w:val="32"/>
          <w:lang w:eastAsia="zh-CN"/>
        </w:rPr>
        <w:t>合同续签事项</w:t>
      </w:r>
    </w:p>
    <w:p>
      <w:pPr>
        <w:spacing w:line="360" w:lineRule="auto"/>
        <w:ind w:firstLine="42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val="en-US" w:eastAsia="zh-CN"/>
        </w:rPr>
        <w:t>在满足合同内容、金额等未发生实质性变化、市场价格未发生不利变化的，到期后可申请续签合同，续签年限为1年，续约期限与原合同期限总计不得超过3年。（案件诉讼服务及其他专项法律服务供应商合同一年一签，合同期间开展法律服务管理和监督，确保法律服务时效及质量，年度考核为不称职的不再进行续约）</w:t>
      </w:r>
    </w:p>
    <w:p>
      <w:pPr>
        <w:rPr>
          <w:rFonts w:hint="eastAsia"/>
        </w:rPr>
      </w:pPr>
    </w:p>
    <w:p>
      <w:pPr>
        <w:pStyle w:val="4"/>
        <w:numPr>
          <w:ilvl w:val="0"/>
          <w:numId w:val="0"/>
        </w:numPr>
        <w:ind w:left="141"/>
        <w:jc w:val="center"/>
        <w:rPr>
          <w:rFonts w:hint="eastAsia"/>
        </w:rPr>
      </w:pPr>
    </w:p>
    <w:p>
      <w:pPr>
        <w:pStyle w:val="4"/>
        <w:numPr>
          <w:ilvl w:val="0"/>
          <w:numId w:val="0"/>
        </w:numPr>
        <w:ind w:left="141"/>
        <w:jc w:val="center"/>
        <w:rPr>
          <w:rFonts w:hint="eastAsia"/>
        </w:rPr>
      </w:pPr>
    </w:p>
    <w:p>
      <w:pPr>
        <w:pStyle w:val="4"/>
        <w:numPr>
          <w:ilvl w:val="0"/>
          <w:numId w:val="0"/>
        </w:numPr>
        <w:ind w:left="141"/>
        <w:jc w:val="center"/>
        <w:rPr>
          <w:rFonts w:hint="eastAsia"/>
        </w:rPr>
      </w:pPr>
    </w:p>
    <w:p>
      <w:pPr>
        <w:pStyle w:val="4"/>
        <w:numPr>
          <w:ilvl w:val="0"/>
          <w:numId w:val="0"/>
        </w:numPr>
        <w:ind w:left="141"/>
        <w:jc w:val="center"/>
        <w:rPr>
          <w:rFonts w:hint="eastAsia"/>
        </w:rPr>
      </w:pPr>
    </w:p>
    <w:bookmarkEnd w:id="14"/>
    <w:bookmarkEnd w:id="15"/>
    <w:bookmarkEnd w:id="16"/>
    <w:p>
      <w:pPr>
        <w:widowControl/>
        <w:jc w:val="left"/>
        <w:rPr>
          <w:rFonts w:hint="eastAsia"/>
          <w:sz w:val="24"/>
          <w:szCs w:val="24"/>
        </w:rPr>
      </w:pPr>
    </w:p>
    <w:p>
      <w:pPr>
        <w:widowControl/>
        <w:jc w:val="left"/>
        <w:rPr>
          <w:rFonts w:hint="eastAsia"/>
          <w:sz w:val="24"/>
          <w:szCs w:val="24"/>
        </w:rPr>
      </w:pPr>
    </w:p>
    <w:p>
      <w:pPr>
        <w:widowControl/>
        <w:jc w:val="left"/>
        <w:rPr>
          <w:rFonts w:hint="eastAsia"/>
          <w:sz w:val="24"/>
          <w:szCs w:val="24"/>
        </w:rPr>
      </w:pPr>
    </w:p>
    <w:p>
      <w:pPr>
        <w:widowControl/>
        <w:jc w:val="left"/>
        <w:rPr>
          <w:rFonts w:hint="eastAsia"/>
          <w:sz w:val="24"/>
          <w:szCs w:val="24"/>
        </w:rPr>
      </w:pPr>
    </w:p>
    <w:p>
      <w:pPr>
        <w:widowControl/>
        <w:jc w:val="left"/>
        <w:rPr>
          <w:rFonts w:hint="eastAsia" w:ascii="仿宋_GB2312" w:hAnsi="仿宋_GB2312" w:eastAsia="仿宋_GB2312" w:cs="仿宋_GB2312"/>
          <w:b w:val="0"/>
          <w:bCs w:val="0"/>
          <w:color w:val="auto"/>
          <w:sz w:val="32"/>
          <w:szCs w:val="32"/>
          <w:lang w:val="en-US" w:eastAsia="zh-CN"/>
        </w:rPr>
      </w:pPr>
      <w:r>
        <w:rPr>
          <w:rFonts w:hint="eastAsia"/>
          <w:b/>
          <w:bCs/>
          <w:sz w:val="24"/>
          <w:szCs w:val="24"/>
        </w:rPr>
        <w:t>附件4.2 采购需求及技术服务要求</w:t>
      </w:r>
    </w:p>
    <w:p>
      <w:pPr>
        <w:pStyle w:val="52"/>
        <w:adjustRightInd w:val="0"/>
        <w:snapToGrid w:val="0"/>
        <w:spacing w:line="360" w:lineRule="auto"/>
        <w:ind w:firstLine="560"/>
        <w:rPr>
          <w:rFonts w:hint="eastAsia" w:ascii="仿宋_GB2312" w:hAnsi="仿宋_GB2312" w:eastAsia="仿宋_GB2312" w:cs="仿宋_GB2312"/>
          <w:b w:val="0"/>
          <w:bCs w:val="0"/>
          <w:color w:val="auto"/>
          <w:sz w:val="32"/>
          <w:szCs w:val="32"/>
          <w:lang w:val="en-US" w:eastAsia="zh-CN"/>
        </w:rPr>
      </w:pPr>
    </w:p>
    <w:p>
      <w:pPr>
        <w:pStyle w:val="52"/>
        <w:adjustRightInd w:val="0"/>
        <w:snapToGrid w:val="0"/>
        <w:spacing w:line="360" w:lineRule="auto"/>
        <w:ind w:firstLine="560"/>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本次计划采购3家供应商为人保财险黔南分公司提供法律服务，服务期限为1年。服务范围：包括但不仅限于专项法律调查，参与代位追偿，民事、经济诉讼或仲裁案件代理等。具体项目及价格如下：</w:t>
      </w:r>
    </w:p>
    <w:p>
      <w:pPr>
        <w:pStyle w:val="52"/>
        <w:adjustRightInd w:val="0"/>
        <w:snapToGrid w:val="0"/>
        <w:spacing w:line="360" w:lineRule="auto"/>
        <w:ind w:firstLine="560"/>
        <w:rPr>
          <w:rFonts w:hint="eastAsia" w:ascii="仿宋_GB2312" w:hAnsi="仿宋_GB2312" w:eastAsia="仿宋_GB2312" w:cs="仿宋_GB2312"/>
          <w:b/>
          <w:bCs/>
          <w:color w:val="auto"/>
          <w:sz w:val="32"/>
          <w:szCs w:val="32"/>
          <w:highlight w:val="none"/>
          <w:lang w:val="en-US" w:eastAsia="zh-CN"/>
        </w:rPr>
      </w:pPr>
      <w:r>
        <w:rPr>
          <w:rFonts w:hint="eastAsia" w:ascii="仿宋_GB2312" w:hAnsi="仿宋_GB2312" w:eastAsia="仿宋_GB2312" w:cs="仿宋_GB2312"/>
          <w:b/>
          <w:bCs/>
          <w:color w:val="auto"/>
          <w:sz w:val="32"/>
          <w:szCs w:val="32"/>
          <w:lang w:eastAsia="zh-CN"/>
        </w:rPr>
        <w:t>（一）</w:t>
      </w:r>
      <w:r>
        <w:rPr>
          <w:rFonts w:hint="eastAsia" w:ascii="仿宋_GB2312" w:hAnsi="仿宋_GB2312" w:eastAsia="仿宋_GB2312" w:cs="仿宋_GB2312"/>
          <w:b/>
          <w:bCs/>
          <w:color w:val="auto"/>
          <w:sz w:val="32"/>
          <w:szCs w:val="32"/>
          <w:highlight w:val="none"/>
        </w:rPr>
        <w:t>法律追偿</w:t>
      </w:r>
      <w:r>
        <w:rPr>
          <w:rFonts w:hint="eastAsia" w:ascii="仿宋_GB2312" w:hAnsi="仿宋_GB2312" w:eastAsia="仿宋_GB2312" w:cs="仿宋_GB2312"/>
          <w:b/>
          <w:bCs/>
          <w:color w:val="auto"/>
          <w:sz w:val="32"/>
          <w:szCs w:val="32"/>
          <w:highlight w:val="none"/>
          <w:lang w:val="en-US" w:eastAsia="zh-CN"/>
        </w:rPr>
        <w:t>服务最高投标限价</w:t>
      </w:r>
      <w:r>
        <w:rPr>
          <w:rFonts w:hint="eastAsia" w:ascii="仿宋_GB2312" w:hAnsi="仿宋_GB2312" w:eastAsia="仿宋_GB2312" w:cs="仿宋_GB2312"/>
          <w:b/>
          <w:bCs/>
          <w:color w:val="auto"/>
          <w:sz w:val="32"/>
          <w:szCs w:val="32"/>
          <w:highlight w:val="none"/>
          <w:lang w:eastAsia="zh-CN"/>
        </w:rPr>
        <w:t>：</w:t>
      </w:r>
    </w:p>
    <w:tbl>
      <w:tblPr>
        <w:tblStyle w:val="29"/>
        <w:tblW w:w="8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2"/>
        <w:gridCol w:w="4754"/>
        <w:gridCol w:w="29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1122" w:type="dxa"/>
            <w:noWrap/>
            <w:vAlign w:val="center"/>
          </w:tcPr>
          <w:p>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0" w:firstLineChars="0"/>
              <w:jc w:val="center"/>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sz w:val="24"/>
                <w:szCs w:val="24"/>
                <w:highlight w:val="none"/>
              </w:rPr>
              <w:t>序号</w:t>
            </w:r>
          </w:p>
        </w:tc>
        <w:tc>
          <w:tcPr>
            <w:tcW w:w="4754" w:type="dxa"/>
            <w:noWrap/>
            <w:vAlign w:val="center"/>
          </w:tcPr>
          <w:p>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0" w:firstLineChars="0"/>
              <w:jc w:val="center"/>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sz w:val="24"/>
                <w:szCs w:val="24"/>
                <w:highlight w:val="none"/>
              </w:rPr>
              <w:t>追回金额（每案）</w:t>
            </w:r>
          </w:p>
        </w:tc>
        <w:tc>
          <w:tcPr>
            <w:tcW w:w="2982" w:type="dxa"/>
            <w:noWrap/>
            <w:vAlign w:val="center"/>
          </w:tcPr>
          <w:p>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0" w:firstLineChars="0"/>
              <w:jc w:val="center"/>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sz w:val="24"/>
                <w:szCs w:val="24"/>
                <w:highlight w:val="none"/>
                <w:lang w:val="en-US" w:eastAsia="zh-CN"/>
              </w:rPr>
              <w:t>最高投标限价（支付比例）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1122" w:type="dxa"/>
            <w:noWrap/>
            <w:vAlign w:val="center"/>
          </w:tcPr>
          <w:p>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0" w:firstLineChars="0"/>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1</w:t>
            </w:r>
          </w:p>
        </w:tc>
        <w:tc>
          <w:tcPr>
            <w:tcW w:w="4754" w:type="dxa"/>
            <w:noWrap/>
            <w:vAlign w:val="center"/>
          </w:tcPr>
          <w:p>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0" w:firstLineChars="0"/>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50万元以内</w:t>
            </w:r>
          </w:p>
        </w:tc>
        <w:tc>
          <w:tcPr>
            <w:tcW w:w="2982" w:type="dxa"/>
            <w:noWrap/>
            <w:vAlign w:val="center"/>
          </w:tcPr>
          <w:p>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0" w:firstLineChars="0"/>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不</w:t>
            </w:r>
            <w:r>
              <w:rPr>
                <w:rFonts w:hint="eastAsia" w:ascii="宋体" w:hAnsi="宋体" w:eastAsia="宋体" w:cs="宋体"/>
                <w:color w:val="auto"/>
                <w:sz w:val="24"/>
                <w:szCs w:val="24"/>
                <w:highlight w:val="none"/>
                <w:lang w:val="en-US" w:eastAsia="zh-CN"/>
              </w:rPr>
              <w:t>得高于</w:t>
            </w:r>
            <w:r>
              <w:rPr>
                <w:rFonts w:hint="eastAsia" w:ascii="宋体" w:hAnsi="宋体" w:eastAsia="宋体" w:cs="宋体"/>
                <w:color w:val="auto"/>
                <w:sz w:val="24"/>
                <w:szCs w:val="24"/>
                <w:highlight w:val="none"/>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1122" w:type="dxa"/>
            <w:noWrap/>
            <w:vAlign w:val="center"/>
          </w:tcPr>
          <w:p>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0" w:firstLineChars="0"/>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2</w:t>
            </w:r>
          </w:p>
        </w:tc>
        <w:tc>
          <w:tcPr>
            <w:tcW w:w="4754" w:type="dxa"/>
            <w:noWrap/>
            <w:vAlign w:val="center"/>
          </w:tcPr>
          <w:p>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0" w:firstLineChars="0"/>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50万-100万（不包括100万）</w:t>
            </w:r>
          </w:p>
        </w:tc>
        <w:tc>
          <w:tcPr>
            <w:tcW w:w="2982" w:type="dxa"/>
            <w:noWrap/>
            <w:vAlign w:val="center"/>
          </w:tcPr>
          <w:p>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0" w:firstLineChars="0"/>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不</w:t>
            </w:r>
            <w:r>
              <w:rPr>
                <w:rFonts w:hint="eastAsia" w:ascii="宋体" w:hAnsi="宋体" w:eastAsia="宋体" w:cs="宋体"/>
                <w:color w:val="auto"/>
                <w:sz w:val="24"/>
                <w:szCs w:val="24"/>
                <w:highlight w:val="none"/>
                <w:lang w:val="en-US" w:eastAsia="zh-CN"/>
              </w:rPr>
              <w:t>得高于</w:t>
            </w:r>
            <w:r>
              <w:rPr>
                <w:rFonts w:hint="eastAsia" w:ascii="宋体" w:hAnsi="宋体" w:eastAsia="宋体" w:cs="宋体"/>
                <w:color w:val="auto"/>
                <w:sz w:val="24"/>
                <w:szCs w:val="24"/>
                <w:highlight w:val="none"/>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1122" w:type="dxa"/>
            <w:noWrap/>
            <w:vAlign w:val="center"/>
          </w:tcPr>
          <w:p>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0" w:firstLineChars="0"/>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3</w:t>
            </w:r>
          </w:p>
        </w:tc>
        <w:tc>
          <w:tcPr>
            <w:tcW w:w="4754" w:type="dxa"/>
            <w:noWrap/>
            <w:vAlign w:val="center"/>
          </w:tcPr>
          <w:p>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0" w:firstLineChars="0"/>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100万-</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00万（不包括</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00万）</w:t>
            </w:r>
          </w:p>
        </w:tc>
        <w:tc>
          <w:tcPr>
            <w:tcW w:w="2982" w:type="dxa"/>
            <w:noWrap/>
            <w:vAlign w:val="center"/>
          </w:tcPr>
          <w:p>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0" w:firstLineChars="0"/>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不</w:t>
            </w:r>
            <w:r>
              <w:rPr>
                <w:rFonts w:hint="eastAsia" w:ascii="宋体" w:hAnsi="宋体" w:eastAsia="宋体" w:cs="宋体"/>
                <w:color w:val="auto"/>
                <w:sz w:val="24"/>
                <w:szCs w:val="24"/>
                <w:highlight w:val="none"/>
                <w:lang w:val="en-US" w:eastAsia="zh-CN"/>
              </w:rPr>
              <w:t>得高于8</w:t>
            </w:r>
            <w:r>
              <w:rPr>
                <w:rFonts w:hint="eastAsia" w:ascii="宋体" w:hAnsi="宋体" w:eastAsia="宋体" w:cs="宋体"/>
                <w:color w:val="auto"/>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1122" w:type="dxa"/>
            <w:noWrap/>
            <w:vAlign w:val="center"/>
          </w:tcPr>
          <w:p>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0" w:firstLineChars="0"/>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4</w:t>
            </w:r>
          </w:p>
        </w:tc>
        <w:tc>
          <w:tcPr>
            <w:tcW w:w="4754" w:type="dxa"/>
            <w:noWrap/>
            <w:vAlign w:val="center"/>
          </w:tcPr>
          <w:p>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0" w:firstLineChars="0"/>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500万-1000万（不包括1000万）</w:t>
            </w:r>
          </w:p>
        </w:tc>
        <w:tc>
          <w:tcPr>
            <w:tcW w:w="2982" w:type="dxa"/>
            <w:noWrap/>
            <w:vAlign w:val="center"/>
          </w:tcPr>
          <w:p>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0" w:firstLineChars="0"/>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不</w:t>
            </w:r>
            <w:r>
              <w:rPr>
                <w:rFonts w:hint="eastAsia" w:ascii="宋体" w:hAnsi="宋体" w:eastAsia="宋体" w:cs="宋体"/>
                <w:color w:val="auto"/>
                <w:sz w:val="24"/>
                <w:szCs w:val="24"/>
                <w:highlight w:val="none"/>
                <w:lang w:val="en-US" w:eastAsia="zh-CN"/>
              </w:rPr>
              <w:t>得高于</w:t>
            </w:r>
            <w:r>
              <w:rPr>
                <w:rFonts w:hint="eastAsia" w:ascii="宋体" w:hAnsi="宋体" w:eastAsia="宋体" w:cs="宋体"/>
                <w:color w:val="auto"/>
                <w:sz w:val="24"/>
                <w:szCs w:val="24"/>
                <w:highlight w:val="none"/>
              </w:rPr>
              <w:t>5%</w:t>
            </w:r>
          </w:p>
        </w:tc>
      </w:tr>
    </w:tbl>
    <w:p>
      <w:pPr>
        <w:pStyle w:val="26"/>
        <w:spacing w:before="0" w:beforeAutospacing="0" w:after="0" w:afterAutospacing="0" w:line="360" w:lineRule="auto"/>
        <w:ind w:firstLine="643" w:firstLineChars="200"/>
        <w:rPr>
          <w:rFonts w:hint="eastAsia" w:ascii="仿宋_GB2312" w:hAnsi="仿宋_GB2312" w:eastAsia="仿宋_GB2312" w:cs="仿宋_GB2312"/>
          <w:b w:val="0"/>
          <w:bCs w:val="0"/>
          <w:color w:val="auto"/>
          <w:sz w:val="32"/>
          <w:szCs w:val="32"/>
          <w:highlight w:val="none"/>
          <w:lang w:val="en-US" w:eastAsia="zh-CN"/>
        </w:rPr>
      </w:pPr>
      <w:r>
        <w:rPr>
          <w:rFonts w:hint="eastAsia" w:ascii="仿宋_GB2312" w:hAnsi="仿宋_GB2312" w:eastAsia="仿宋_GB2312" w:cs="仿宋_GB2312"/>
          <w:b/>
          <w:bCs/>
          <w:color w:val="auto"/>
          <w:sz w:val="32"/>
          <w:szCs w:val="32"/>
          <w:highlight w:val="none"/>
          <w:lang w:val="en-US" w:eastAsia="zh-CN"/>
        </w:rPr>
        <w:t>注：</w:t>
      </w:r>
      <w:r>
        <w:rPr>
          <w:rFonts w:hint="eastAsia" w:ascii="仿宋_GB2312" w:hAnsi="仿宋_GB2312" w:eastAsia="仿宋_GB2312" w:cs="仿宋_GB2312"/>
          <w:b w:val="0"/>
          <w:bCs w:val="0"/>
          <w:color w:val="auto"/>
          <w:sz w:val="32"/>
          <w:szCs w:val="32"/>
          <w:highlight w:val="none"/>
          <w:lang w:val="en-US" w:eastAsia="zh-CN"/>
        </w:rPr>
        <w:t>1.法律追偿实行“基础代理+风险代理”或“全风险代理”的方式，基础代理费不再进行报价，由双方在个案中进行协商处理;风险代理费由索赔到账金额的一定比例支付，投标供应商对支付比例进行报价。上表中的收费标准为收费比例的最高投标限价，合同双方根据投标报价在具体个案中单独签署代理合同进行明确(协商选择“基础代理+风险代理”或选择“全风险代理”法律追偿服务收费均不高于每案追回金额*最高投标限价支付比例即可)。</w:t>
      </w:r>
    </w:p>
    <w:p>
      <w:pPr>
        <w:pStyle w:val="26"/>
        <w:spacing w:before="0" w:beforeAutospacing="0" w:after="0" w:afterAutospacing="0" w:line="360" w:lineRule="auto"/>
        <w:ind w:firstLine="640" w:firstLineChars="200"/>
        <w:rPr>
          <w:rFonts w:hint="eastAsia" w:ascii="仿宋_GB2312" w:hAnsi="仿宋_GB2312" w:eastAsia="仿宋_GB2312" w:cs="仿宋_GB2312"/>
          <w:b/>
          <w:bCs/>
          <w:color w:val="auto"/>
          <w:sz w:val="32"/>
          <w:szCs w:val="32"/>
          <w:highlight w:val="none"/>
          <w:lang w:val="en-US" w:eastAsia="zh-CN"/>
        </w:rPr>
      </w:pPr>
      <w:r>
        <w:rPr>
          <w:rFonts w:hint="eastAsia" w:ascii="仿宋_GB2312" w:hAnsi="仿宋_GB2312" w:eastAsia="仿宋_GB2312" w:cs="仿宋_GB2312"/>
          <w:b w:val="0"/>
          <w:bCs w:val="0"/>
          <w:color w:val="auto"/>
          <w:sz w:val="32"/>
          <w:szCs w:val="32"/>
          <w:highlight w:val="none"/>
          <w:lang w:val="en-US" w:eastAsia="zh-CN"/>
        </w:rPr>
        <w:t>2.针对诉讼标的为1000万元及以上的案件，采取一事一议的方式，不在上述表格中设置最高投标限价，此诉讼标的金额范围可由甲方根据营业授权范围进行调整。</w:t>
      </w:r>
      <w:r>
        <w:rPr>
          <w:rFonts w:hint="eastAsia" w:ascii="仿宋_GB2312" w:hAnsi="仿宋_GB2312" w:eastAsia="仿宋_GB2312" w:cs="仿宋_GB2312"/>
          <w:b/>
          <w:bCs/>
          <w:color w:val="auto"/>
          <w:sz w:val="32"/>
          <w:szCs w:val="32"/>
          <w:highlight w:val="none"/>
          <w:lang w:val="en-US" w:eastAsia="zh-CN"/>
        </w:rPr>
        <w:t>此处内容不要求供应商进行报价且不参与报价评审。</w:t>
      </w:r>
    </w:p>
    <w:p>
      <w:pPr>
        <w:pStyle w:val="26"/>
        <w:spacing w:before="0" w:beforeAutospacing="0" w:after="0" w:afterAutospacing="0" w:line="360" w:lineRule="auto"/>
        <w:ind w:firstLine="643" w:firstLineChars="200"/>
        <w:rPr>
          <w:rFonts w:hint="eastAsia" w:ascii="仿宋_GB2312" w:hAnsi="仿宋_GB2312" w:eastAsia="仿宋_GB2312" w:cs="仿宋_GB2312"/>
          <w:b/>
          <w:bCs/>
          <w:color w:val="auto"/>
          <w:sz w:val="32"/>
          <w:szCs w:val="32"/>
          <w:highlight w:val="none"/>
          <w:lang w:val="en-US" w:eastAsia="zh-CN"/>
        </w:rPr>
      </w:pPr>
      <w:r>
        <w:rPr>
          <w:rFonts w:hint="eastAsia" w:ascii="仿宋_GB2312" w:hAnsi="仿宋_GB2312" w:eastAsia="仿宋_GB2312" w:cs="仿宋_GB2312"/>
          <w:b/>
          <w:bCs/>
          <w:color w:val="auto"/>
          <w:sz w:val="32"/>
          <w:szCs w:val="32"/>
          <w:highlight w:val="none"/>
          <w:lang w:val="en-US" w:eastAsia="zh-CN"/>
        </w:rPr>
        <w:t>（二）</w:t>
      </w:r>
      <w:r>
        <w:rPr>
          <w:rFonts w:hint="eastAsia" w:ascii="仿宋_GB2312" w:hAnsi="仿宋_GB2312" w:eastAsia="仿宋_GB2312" w:cs="仿宋_GB2312"/>
          <w:b/>
          <w:bCs/>
          <w:color w:val="auto"/>
          <w:sz w:val="32"/>
          <w:szCs w:val="32"/>
          <w:highlight w:val="none"/>
        </w:rPr>
        <w:t>诉讼法律服务</w:t>
      </w:r>
      <w:r>
        <w:rPr>
          <w:rFonts w:hint="eastAsia" w:ascii="仿宋_GB2312" w:hAnsi="仿宋_GB2312" w:eastAsia="仿宋_GB2312" w:cs="仿宋_GB2312"/>
          <w:b/>
          <w:bCs/>
          <w:color w:val="auto"/>
          <w:sz w:val="32"/>
          <w:szCs w:val="32"/>
          <w:highlight w:val="none"/>
          <w:lang w:val="en-US" w:eastAsia="zh-CN"/>
        </w:rPr>
        <w:t>最高投标限价：</w:t>
      </w:r>
    </w:p>
    <w:tbl>
      <w:tblPr>
        <w:tblStyle w:val="29"/>
        <w:tblW w:w="89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3"/>
        <w:gridCol w:w="5271"/>
        <w:gridCol w:w="25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183" w:type="dxa"/>
            <w:noWrap/>
            <w:vAlign w:val="center"/>
          </w:tcPr>
          <w:p>
            <w:pPr>
              <w:pStyle w:val="26"/>
              <w:keepNext w:val="0"/>
              <w:keepLines w:val="0"/>
              <w:pageBreakBefore w:val="0"/>
              <w:widowControl w:val="0"/>
              <w:kinsoku/>
              <w:wordWrap/>
              <w:overflowPunct/>
              <w:topLinePunct w:val="0"/>
              <w:autoSpaceDE/>
              <w:autoSpaceDN/>
              <w:bidi w:val="0"/>
              <w:adjustRightInd/>
              <w:snapToGrid/>
              <w:spacing w:before="0" w:beforeAutospacing="0" w:after="0" w:afterAutospacing="0" w:line="300" w:lineRule="exact"/>
              <w:ind w:firstLine="0" w:firstLineChars="0"/>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序号</w:t>
            </w:r>
          </w:p>
        </w:tc>
        <w:tc>
          <w:tcPr>
            <w:tcW w:w="5271" w:type="dxa"/>
            <w:noWrap/>
            <w:vAlign w:val="center"/>
          </w:tcPr>
          <w:p>
            <w:pPr>
              <w:pStyle w:val="26"/>
              <w:keepNext w:val="0"/>
              <w:keepLines w:val="0"/>
              <w:pageBreakBefore w:val="0"/>
              <w:widowControl w:val="0"/>
              <w:kinsoku/>
              <w:wordWrap/>
              <w:overflowPunct/>
              <w:topLinePunct w:val="0"/>
              <w:autoSpaceDE/>
              <w:autoSpaceDN/>
              <w:bidi w:val="0"/>
              <w:adjustRightInd/>
              <w:snapToGrid/>
              <w:spacing w:before="0" w:beforeAutospacing="0" w:after="0" w:afterAutospacing="0" w:line="300" w:lineRule="exact"/>
              <w:ind w:firstLine="0" w:firstLineChars="0"/>
              <w:jc w:val="center"/>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争议标的（每案）</w:t>
            </w:r>
          </w:p>
        </w:tc>
        <w:tc>
          <w:tcPr>
            <w:tcW w:w="2502" w:type="dxa"/>
            <w:noWrap/>
            <w:vAlign w:val="center"/>
          </w:tcPr>
          <w:p>
            <w:pPr>
              <w:keepNext w:val="0"/>
              <w:keepLines w:val="0"/>
              <w:pageBreakBefore w:val="0"/>
              <w:widowControl w:val="0"/>
              <w:kinsoku/>
              <w:wordWrap/>
              <w:overflowPunct/>
              <w:topLinePunct w:val="0"/>
              <w:autoSpaceDE/>
              <w:autoSpaceDN/>
              <w:bidi w:val="0"/>
              <w:adjustRightInd/>
              <w:snapToGrid/>
              <w:spacing w:before="0" w:beforeAutospacing="0" w:after="0" w:afterAutospacing="0" w:line="300" w:lineRule="exact"/>
              <w:ind w:firstLine="0" w:firstLineChars="0"/>
              <w:jc w:val="center"/>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sz w:val="24"/>
                <w:szCs w:val="24"/>
                <w:highlight w:val="none"/>
                <w:lang w:val="en-US" w:eastAsia="zh-CN"/>
              </w:rPr>
              <w:t>最高投标限价（支付比例）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183" w:type="dxa"/>
            <w:noWrap/>
            <w:vAlign w:val="center"/>
          </w:tcPr>
          <w:p>
            <w:pPr>
              <w:pStyle w:val="26"/>
              <w:keepNext w:val="0"/>
              <w:keepLines w:val="0"/>
              <w:pageBreakBefore w:val="0"/>
              <w:widowControl w:val="0"/>
              <w:kinsoku/>
              <w:wordWrap/>
              <w:overflowPunct/>
              <w:topLinePunct w:val="0"/>
              <w:autoSpaceDE/>
              <w:autoSpaceDN/>
              <w:bidi w:val="0"/>
              <w:adjustRightInd/>
              <w:snapToGrid/>
              <w:spacing w:before="0" w:beforeAutospacing="0" w:after="0" w:afterAutospacing="0" w:line="300" w:lineRule="exact"/>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5271" w:type="dxa"/>
            <w:noWrap/>
            <w:vAlign w:val="center"/>
          </w:tcPr>
          <w:p>
            <w:pPr>
              <w:pStyle w:val="26"/>
              <w:keepNext w:val="0"/>
              <w:keepLines w:val="0"/>
              <w:pageBreakBefore w:val="0"/>
              <w:widowControl w:val="0"/>
              <w:kinsoku/>
              <w:wordWrap/>
              <w:overflowPunct/>
              <w:topLinePunct w:val="0"/>
              <w:autoSpaceDE/>
              <w:autoSpaceDN/>
              <w:bidi w:val="0"/>
              <w:adjustRightInd/>
              <w:snapToGrid/>
              <w:spacing w:before="0" w:beforeAutospacing="0" w:after="0" w:afterAutospacing="0" w:line="300" w:lineRule="exact"/>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0000元</w:t>
            </w:r>
            <w:r>
              <w:rPr>
                <w:rFonts w:hint="eastAsia" w:ascii="宋体" w:hAnsi="宋体" w:eastAsia="宋体" w:cs="宋体"/>
                <w:color w:val="auto"/>
                <w:sz w:val="24"/>
                <w:szCs w:val="24"/>
                <w:highlight w:val="none"/>
              </w:rPr>
              <w:t>以下</w:t>
            </w:r>
          </w:p>
        </w:tc>
        <w:tc>
          <w:tcPr>
            <w:tcW w:w="2502" w:type="dxa"/>
            <w:noWrap/>
            <w:vAlign w:val="center"/>
          </w:tcPr>
          <w:p>
            <w:pPr>
              <w:pStyle w:val="26"/>
              <w:keepNext w:val="0"/>
              <w:keepLines w:val="0"/>
              <w:pageBreakBefore w:val="0"/>
              <w:widowControl w:val="0"/>
              <w:kinsoku/>
              <w:wordWrap/>
              <w:overflowPunct/>
              <w:topLinePunct w:val="0"/>
              <w:autoSpaceDE/>
              <w:autoSpaceDN/>
              <w:bidi w:val="0"/>
              <w:adjustRightInd/>
              <w:snapToGrid/>
              <w:spacing w:before="0" w:beforeAutospacing="0" w:after="0" w:afterAutospacing="0" w:line="300" w:lineRule="exact"/>
              <w:ind w:firstLine="0" w:firstLineChars="0"/>
              <w:jc w:val="center"/>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不</w:t>
            </w:r>
            <w:r>
              <w:rPr>
                <w:rFonts w:hint="eastAsia" w:ascii="宋体" w:hAnsi="宋体" w:eastAsia="宋体" w:cs="宋体"/>
                <w:color w:val="auto"/>
                <w:sz w:val="24"/>
                <w:szCs w:val="24"/>
                <w:highlight w:val="none"/>
                <w:lang w:val="en-US" w:eastAsia="zh-CN"/>
              </w:rPr>
              <w:t>得高于</w:t>
            </w:r>
            <w:r>
              <w:rPr>
                <w:rFonts w:hint="eastAsia" w:ascii="宋体" w:hAnsi="宋体" w:cs="宋体"/>
                <w:color w:val="auto"/>
                <w:sz w:val="24"/>
                <w:szCs w:val="24"/>
                <w:highlight w:val="none"/>
                <w:lang w:val="en-US" w:eastAsia="zh-CN"/>
              </w:rPr>
              <w:t>15</w:t>
            </w:r>
            <w:r>
              <w:rPr>
                <w:rFonts w:hint="eastAsia" w:ascii="宋体" w:hAnsi="宋体" w:eastAsia="宋体" w:cs="宋体"/>
                <w:color w:val="auto"/>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183" w:type="dxa"/>
            <w:noWrap/>
            <w:vAlign w:val="center"/>
          </w:tcPr>
          <w:p>
            <w:pPr>
              <w:pStyle w:val="26"/>
              <w:keepNext w:val="0"/>
              <w:keepLines w:val="0"/>
              <w:pageBreakBefore w:val="0"/>
              <w:widowControl w:val="0"/>
              <w:kinsoku/>
              <w:wordWrap/>
              <w:overflowPunct/>
              <w:topLinePunct w:val="0"/>
              <w:autoSpaceDE/>
              <w:autoSpaceDN/>
              <w:bidi w:val="0"/>
              <w:adjustRightInd/>
              <w:snapToGrid/>
              <w:spacing w:before="0" w:beforeAutospacing="0" w:after="0" w:afterAutospacing="0" w:line="300" w:lineRule="exact"/>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5271" w:type="dxa"/>
            <w:noWrap/>
            <w:vAlign w:val="center"/>
          </w:tcPr>
          <w:p>
            <w:pPr>
              <w:pStyle w:val="26"/>
              <w:keepNext w:val="0"/>
              <w:keepLines w:val="0"/>
              <w:pageBreakBefore w:val="0"/>
              <w:widowControl w:val="0"/>
              <w:kinsoku/>
              <w:wordWrap/>
              <w:overflowPunct/>
              <w:topLinePunct w:val="0"/>
              <w:autoSpaceDE/>
              <w:autoSpaceDN/>
              <w:bidi w:val="0"/>
              <w:adjustRightInd/>
              <w:snapToGrid/>
              <w:spacing w:before="0" w:beforeAutospacing="0" w:after="0" w:afterAutospacing="0" w:line="300" w:lineRule="exact"/>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10001元至100000元</w:t>
            </w:r>
          </w:p>
        </w:tc>
        <w:tc>
          <w:tcPr>
            <w:tcW w:w="2502" w:type="dxa"/>
            <w:noWrap/>
            <w:vAlign w:val="center"/>
          </w:tcPr>
          <w:p>
            <w:pPr>
              <w:pStyle w:val="26"/>
              <w:keepNext w:val="0"/>
              <w:keepLines w:val="0"/>
              <w:pageBreakBefore w:val="0"/>
              <w:widowControl w:val="0"/>
              <w:kinsoku/>
              <w:wordWrap/>
              <w:overflowPunct/>
              <w:topLinePunct w:val="0"/>
              <w:autoSpaceDE/>
              <w:autoSpaceDN/>
              <w:bidi w:val="0"/>
              <w:adjustRightInd/>
              <w:snapToGrid/>
              <w:spacing w:before="0" w:beforeAutospacing="0" w:after="0" w:afterAutospacing="0" w:line="300" w:lineRule="exact"/>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w:t>
            </w:r>
            <w:r>
              <w:rPr>
                <w:rFonts w:hint="eastAsia" w:ascii="宋体" w:hAnsi="宋体" w:eastAsia="宋体" w:cs="宋体"/>
                <w:color w:val="auto"/>
                <w:sz w:val="24"/>
                <w:szCs w:val="24"/>
                <w:highlight w:val="none"/>
                <w:lang w:val="en-US" w:eastAsia="zh-CN"/>
              </w:rPr>
              <w:t>得高于</w:t>
            </w: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183" w:type="dxa"/>
            <w:noWrap/>
            <w:vAlign w:val="center"/>
          </w:tcPr>
          <w:p>
            <w:pPr>
              <w:pStyle w:val="26"/>
              <w:keepNext w:val="0"/>
              <w:keepLines w:val="0"/>
              <w:pageBreakBefore w:val="0"/>
              <w:widowControl w:val="0"/>
              <w:kinsoku/>
              <w:wordWrap/>
              <w:overflowPunct/>
              <w:topLinePunct w:val="0"/>
              <w:autoSpaceDE/>
              <w:autoSpaceDN/>
              <w:bidi w:val="0"/>
              <w:adjustRightInd/>
              <w:snapToGrid/>
              <w:spacing w:before="0" w:beforeAutospacing="0" w:after="0" w:afterAutospacing="0" w:line="300" w:lineRule="exact"/>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5271" w:type="dxa"/>
            <w:noWrap/>
            <w:vAlign w:val="center"/>
          </w:tcPr>
          <w:p>
            <w:pPr>
              <w:pStyle w:val="26"/>
              <w:keepNext w:val="0"/>
              <w:keepLines w:val="0"/>
              <w:pageBreakBefore w:val="0"/>
              <w:widowControl w:val="0"/>
              <w:kinsoku/>
              <w:wordWrap/>
              <w:overflowPunct/>
              <w:topLinePunct w:val="0"/>
              <w:autoSpaceDE/>
              <w:autoSpaceDN/>
              <w:bidi w:val="0"/>
              <w:adjustRightInd/>
              <w:snapToGrid/>
              <w:spacing w:before="0" w:beforeAutospacing="0" w:after="0" w:afterAutospacing="0" w:line="300" w:lineRule="exact"/>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100001元至500000元</w:t>
            </w:r>
          </w:p>
        </w:tc>
        <w:tc>
          <w:tcPr>
            <w:tcW w:w="2502" w:type="dxa"/>
            <w:noWrap/>
            <w:vAlign w:val="center"/>
          </w:tcPr>
          <w:p>
            <w:pPr>
              <w:pStyle w:val="26"/>
              <w:keepNext w:val="0"/>
              <w:keepLines w:val="0"/>
              <w:pageBreakBefore w:val="0"/>
              <w:widowControl w:val="0"/>
              <w:kinsoku/>
              <w:wordWrap/>
              <w:overflowPunct/>
              <w:topLinePunct w:val="0"/>
              <w:autoSpaceDE/>
              <w:autoSpaceDN/>
              <w:bidi w:val="0"/>
              <w:adjustRightInd/>
              <w:snapToGrid/>
              <w:spacing w:before="0" w:beforeAutospacing="0" w:after="0" w:afterAutospacing="0" w:line="300" w:lineRule="exact"/>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w:t>
            </w:r>
            <w:r>
              <w:rPr>
                <w:rFonts w:hint="eastAsia" w:ascii="宋体" w:hAnsi="宋体" w:eastAsia="宋体" w:cs="宋体"/>
                <w:color w:val="auto"/>
                <w:sz w:val="24"/>
                <w:szCs w:val="24"/>
                <w:highlight w:val="none"/>
                <w:lang w:val="en-US" w:eastAsia="zh-CN"/>
              </w:rPr>
              <w:t>得高于</w:t>
            </w: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183" w:type="dxa"/>
            <w:noWrap/>
            <w:vAlign w:val="center"/>
          </w:tcPr>
          <w:p>
            <w:pPr>
              <w:pStyle w:val="26"/>
              <w:keepNext w:val="0"/>
              <w:keepLines w:val="0"/>
              <w:pageBreakBefore w:val="0"/>
              <w:widowControl w:val="0"/>
              <w:kinsoku/>
              <w:wordWrap/>
              <w:overflowPunct/>
              <w:topLinePunct w:val="0"/>
              <w:autoSpaceDE/>
              <w:autoSpaceDN/>
              <w:bidi w:val="0"/>
              <w:adjustRightInd/>
              <w:snapToGrid/>
              <w:spacing w:before="0" w:beforeAutospacing="0" w:after="0" w:afterAutospacing="0" w:line="300" w:lineRule="exact"/>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5271" w:type="dxa"/>
            <w:noWrap/>
            <w:vAlign w:val="center"/>
          </w:tcPr>
          <w:p>
            <w:pPr>
              <w:pStyle w:val="26"/>
              <w:keepNext w:val="0"/>
              <w:keepLines w:val="0"/>
              <w:pageBreakBefore w:val="0"/>
              <w:widowControl w:val="0"/>
              <w:kinsoku/>
              <w:wordWrap/>
              <w:overflowPunct/>
              <w:topLinePunct w:val="0"/>
              <w:autoSpaceDE/>
              <w:autoSpaceDN/>
              <w:bidi w:val="0"/>
              <w:adjustRightInd/>
              <w:snapToGrid/>
              <w:spacing w:before="0" w:beforeAutospacing="0" w:after="0" w:afterAutospacing="0" w:line="300" w:lineRule="exact"/>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500001元至 1000000元</w:t>
            </w:r>
          </w:p>
        </w:tc>
        <w:tc>
          <w:tcPr>
            <w:tcW w:w="2502" w:type="dxa"/>
            <w:noWrap/>
            <w:vAlign w:val="center"/>
          </w:tcPr>
          <w:p>
            <w:pPr>
              <w:pStyle w:val="26"/>
              <w:keepNext w:val="0"/>
              <w:keepLines w:val="0"/>
              <w:pageBreakBefore w:val="0"/>
              <w:widowControl w:val="0"/>
              <w:kinsoku/>
              <w:wordWrap/>
              <w:overflowPunct/>
              <w:topLinePunct w:val="0"/>
              <w:autoSpaceDE/>
              <w:autoSpaceDN/>
              <w:bidi w:val="0"/>
              <w:adjustRightInd/>
              <w:snapToGrid/>
              <w:spacing w:before="0" w:beforeAutospacing="0" w:after="0" w:afterAutospacing="0" w:line="300" w:lineRule="exact"/>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w:t>
            </w:r>
            <w:r>
              <w:rPr>
                <w:rFonts w:hint="eastAsia" w:ascii="宋体" w:hAnsi="宋体" w:eastAsia="宋体" w:cs="宋体"/>
                <w:color w:val="auto"/>
                <w:sz w:val="24"/>
                <w:szCs w:val="24"/>
                <w:highlight w:val="none"/>
                <w:lang w:val="en-US" w:eastAsia="zh-CN"/>
              </w:rPr>
              <w:t>得高于</w:t>
            </w: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183" w:type="dxa"/>
            <w:noWrap/>
            <w:vAlign w:val="center"/>
          </w:tcPr>
          <w:p>
            <w:pPr>
              <w:pStyle w:val="26"/>
              <w:keepNext w:val="0"/>
              <w:keepLines w:val="0"/>
              <w:pageBreakBefore w:val="0"/>
              <w:widowControl w:val="0"/>
              <w:kinsoku/>
              <w:wordWrap/>
              <w:overflowPunct/>
              <w:topLinePunct w:val="0"/>
              <w:autoSpaceDE/>
              <w:autoSpaceDN/>
              <w:bidi w:val="0"/>
              <w:adjustRightInd/>
              <w:snapToGrid/>
              <w:spacing w:before="0" w:beforeAutospacing="0" w:after="0" w:afterAutospacing="0" w:line="300" w:lineRule="exact"/>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5271" w:type="dxa"/>
            <w:noWrap/>
            <w:vAlign w:val="center"/>
          </w:tcPr>
          <w:p>
            <w:pPr>
              <w:pStyle w:val="26"/>
              <w:keepNext w:val="0"/>
              <w:keepLines w:val="0"/>
              <w:pageBreakBefore w:val="0"/>
              <w:widowControl w:val="0"/>
              <w:kinsoku/>
              <w:wordWrap/>
              <w:overflowPunct/>
              <w:topLinePunct w:val="0"/>
              <w:autoSpaceDE/>
              <w:autoSpaceDN/>
              <w:bidi w:val="0"/>
              <w:adjustRightInd/>
              <w:snapToGrid/>
              <w:spacing w:before="0" w:beforeAutospacing="0" w:after="0" w:afterAutospacing="0" w:line="300" w:lineRule="exact"/>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100000l元至5000000元</w:t>
            </w:r>
          </w:p>
        </w:tc>
        <w:tc>
          <w:tcPr>
            <w:tcW w:w="2502" w:type="dxa"/>
            <w:noWrap/>
            <w:vAlign w:val="center"/>
          </w:tcPr>
          <w:p>
            <w:pPr>
              <w:pStyle w:val="26"/>
              <w:keepNext w:val="0"/>
              <w:keepLines w:val="0"/>
              <w:pageBreakBefore w:val="0"/>
              <w:widowControl w:val="0"/>
              <w:kinsoku/>
              <w:wordWrap/>
              <w:overflowPunct/>
              <w:topLinePunct w:val="0"/>
              <w:autoSpaceDE/>
              <w:autoSpaceDN/>
              <w:bidi w:val="0"/>
              <w:adjustRightInd/>
              <w:snapToGrid/>
              <w:spacing w:before="0" w:beforeAutospacing="0" w:after="0" w:afterAutospacing="0" w:line="300" w:lineRule="exact"/>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w:t>
            </w:r>
            <w:r>
              <w:rPr>
                <w:rFonts w:hint="eastAsia" w:ascii="宋体" w:hAnsi="宋体" w:eastAsia="宋体" w:cs="宋体"/>
                <w:color w:val="auto"/>
                <w:sz w:val="24"/>
                <w:szCs w:val="24"/>
                <w:highlight w:val="none"/>
                <w:lang w:val="en-US" w:eastAsia="zh-CN"/>
              </w:rPr>
              <w:t>得高于</w:t>
            </w:r>
            <w:r>
              <w:rPr>
                <w:rFonts w:hint="eastAsia" w:ascii="宋体" w:hAnsi="宋体" w:eastAsia="宋体" w:cs="宋体"/>
                <w:color w:val="auto"/>
                <w:sz w:val="24"/>
                <w:szCs w:val="24"/>
                <w:highlight w:val="none"/>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183" w:type="dxa"/>
            <w:noWrap/>
            <w:vAlign w:val="center"/>
          </w:tcPr>
          <w:p>
            <w:pPr>
              <w:pStyle w:val="26"/>
              <w:keepNext w:val="0"/>
              <w:keepLines w:val="0"/>
              <w:pageBreakBefore w:val="0"/>
              <w:widowControl w:val="0"/>
              <w:kinsoku/>
              <w:wordWrap/>
              <w:overflowPunct/>
              <w:topLinePunct w:val="0"/>
              <w:autoSpaceDE/>
              <w:autoSpaceDN/>
              <w:bidi w:val="0"/>
              <w:adjustRightInd/>
              <w:snapToGrid/>
              <w:spacing w:before="0" w:beforeAutospacing="0" w:after="0" w:afterAutospacing="0" w:line="300" w:lineRule="exact"/>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5271" w:type="dxa"/>
            <w:noWrap/>
            <w:vAlign w:val="center"/>
          </w:tcPr>
          <w:p>
            <w:pPr>
              <w:pStyle w:val="26"/>
              <w:keepNext w:val="0"/>
              <w:keepLines w:val="0"/>
              <w:pageBreakBefore w:val="0"/>
              <w:widowControl w:val="0"/>
              <w:kinsoku/>
              <w:wordWrap/>
              <w:overflowPunct/>
              <w:topLinePunct w:val="0"/>
              <w:autoSpaceDE/>
              <w:autoSpaceDN/>
              <w:bidi w:val="0"/>
              <w:adjustRightInd/>
              <w:snapToGrid/>
              <w:spacing w:before="0" w:beforeAutospacing="0" w:after="0" w:afterAutospacing="0" w:line="300" w:lineRule="exact"/>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500O00l元至10000000元</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不包括1000万元</w:t>
            </w:r>
            <w:r>
              <w:rPr>
                <w:rFonts w:hint="eastAsia" w:ascii="宋体" w:hAnsi="宋体" w:eastAsia="宋体" w:cs="宋体"/>
                <w:color w:val="auto"/>
                <w:sz w:val="24"/>
                <w:szCs w:val="24"/>
                <w:highlight w:val="none"/>
                <w:lang w:eastAsia="zh-CN"/>
              </w:rPr>
              <w:t>）</w:t>
            </w:r>
          </w:p>
        </w:tc>
        <w:tc>
          <w:tcPr>
            <w:tcW w:w="2502" w:type="dxa"/>
            <w:noWrap/>
            <w:vAlign w:val="center"/>
          </w:tcPr>
          <w:p>
            <w:pPr>
              <w:pStyle w:val="26"/>
              <w:keepNext w:val="0"/>
              <w:keepLines w:val="0"/>
              <w:pageBreakBefore w:val="0"/>
              <w:widowControl w:val="0"/>
              <w:kinsoku/>
              <w:wordWrap/>
              <w:overflowPunct/>
              <w:topLinePunct w:val="0"/>
              <w:autoSpaceDE/>
              <w:autoSpaceDN/>
              <w:bidi w:val="0"/>
              <w:adjustRightInd/>
              <w:snapToGrid/>
              <w:spacing w:before="0" w:beforeAutospacing="0" w:after="0" w:afterAutospacing="0" w:line="300" w:lineRule="exact"/>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w:t>
            </w:r>
            <w:r>
              <w:rPr>
                <w:rFonts w:hint="eastAsia" w:ascii="宋体" w:hAnsi="宋体" w:eastAsia="宋体" w:cs="宋体"/>
                <w:color w:val="auto"/>
                <w:sz w:val="24"/>
                <w:szCs w:val="24"/>
                <w:highlight w:val="none"/>
                <w:lang w:val="en-US" w:eastAsia="zh-CN"/>
              </w:rPr>
              <w:t>得高于</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w:t>
            </w:r>
          </w:p>
        </w:tc>
      </w:tr>
    </w:tbl>
    <w:p>
      <w:pPr>
        <w:pStyle w:val="26"/>
        <w:spacing w:before="0" w:beforeAutospacing="0" w:after="0" w:afterAutospacing="0" w:line="360" w:lineRule="auto"/>
        <w:ind w:firstLine="643" w:firstLineChars="200"/>
        <w:rPr>
          <w:rFonts w:hint="eastAsia" w:ascii="仿宋_GB2312" w:hAnsi="仿宋_GB2312" w:eastAsia="仿宋_GB2312" w:cs="仿宋_GB2312"/>
          <w:b w:val="0"/>
          <w:bCs w:val="0"/>
          <w:color w:val="auto"/>
          <w:sz w:val="32"/>
          <w:szCs w:val="32"/>
          <w:lang w:eastAsia="zh-CN"/>
        </w:rPr>
      </w:pPr>
      <w:r>
        <w:rPr>
          <w:rFonts w:hint="eastAsia" w:ascii="仿宋_GB2312" w:hAnsi="仿宋_GB2312" w:eastAsia="仿宋_GB2312" w:cs="仿宋_GB2312"/>
          <w:b/>
          <w:bCs/>
          <w:color w:val="auto"/>
          <w:sz w:val="32"/>
          <w:szCs w:val="32"/>
          <w:lang w:val="en-US" w:eastAsia="zh-CN"/>
        </w:rPr>
        <w:t>注：</w:t>
      </w:r>
      <w:r>
        <w:rPr>
          <w:rFonts w:hint="eastAsia" w:ascii="仿宋_GB2312" w:hAnsi="仿宋_GB2312" w:eastAsia="仿宋_GB2312" w:cs="仿宋_GB2312"/>
          <w:b w:val="0"/>
          <w:bCs w:val="0"/>
          <w:color w:val="auto"/>
          <w:sz w:val="32"/>
          <w:szCs w:val="32"/>
          <w:lang w:val="en-US" w:eastAsia="zh-CN"/>
        </w:rPr>
        <w:t>1.</w:t>
      </w:r>
      <w:r>
        <w:rPr>
          <w:rFonts w:hint="eastAsia" w:ascii="仿宋_GB2312" w:hAnsi="仿宋_GB2312" w:eastAsia="仿宋_GB2312" w:cs="仿宋_GB2312"/>
          <w:b w:val="0"/>
          <w:bCs w:val="0"/>
          <w:color w:val="auto"/>
          <w:sz w:val="32"/>
          <w:szCs w:val="32"/>
          <w:highlight w:val="none"/>
          <w:lang w:val="en-US" w:eastAsia="zh-CN"/>
        </w:rPr>
        <w:t>诉讼法律服务实行“基础代理+风险代理”或“全风险代理”的方式，基础代理费不再进行报价，由双方在个案中进行协商处理;风险代理费由索赔到账金额的一定比例支付，投标供应商对支付比例进行报价。上表中的收费标准为收费比例的最高投标限价，合同双方根据投标报价在具体个案中单独签署代理合同进行明确(协商选择“基础代理+风险代理”或选择“全风险代理”诉讼法律服务收费均不高于每案追回金额*最高投标限价支付比例即可)。</w:t>
      </w:r>
    </w:p>
    <w:p>
      <w:pPr>
        <w:pStyle w:val="52"/>
        <w:adjustRightInd w:val="0"/>
        <w:snapToGrid w:val="0"/>
        <w:spacing w:line="360" w:lineRule="auto"/>
        <w:ind w:firstLine="640" w:firstLineChars="200"/>
        <w:rPr>
          <w:rFonts w:hint="eastAsia" w:ascii="仿宋_GB2312" w:hAnsi="仿宋_GB2312" w:eastAsia="仿宋_GB2312" w:cs="仿宋_GB2312"/>
          <w:b w:val="0"/>
          <w:bCs w:val="0"/>
          <w:color w:val="auto"/>
          <w:sz w:val="32"/>
          <w:szCs w:val="32"/>
          <w:lang w:eastAsia="zh-CN"/>
        </w:rPr>
      </w:pPr>
      <w:r>
        <w:rPr>
          <w:rFonts w:hint="eastAsia" w:ascii="仿宋_GB2312" w:hAnsi="仿宋_GB2312" w:eastAsia="仿宋_GB2312" w:cs="仿宋_GB2312"/>
          <w:b w:val="0"/>
          <w:bCs w:val="0"/>
          <w:color w:val="auto"/>
          <w:sz w:val="32"/>
          <w:szCs w:val="32"/>
          <w:lang w:val="en-US" w:eastAsia="zh-CN"/>
        </w:rPr>
        <w:t>2.针对诉讼标的为1000万元及以上的案件，采取一事一议的方式，不在上述表格中设置一审最高投标限价（折扣），此诉讼标的金额范围可由甲方根据营业授权范围进行调整。</w:t>
      </w:r>
      <w:r>
        <w:rPr>
          <w:rFonts w:hint="eastAsia" w:ascii="仿宋_GB2312" w:hAnsi="仿宋_GB2312" w:eastAsia="仿宋_GB2312" w:cs="仿宋_GB2312"/>
          <w:b/>
          <w:bCs/>
          <w:color w:val="auto"/>
          <w:sz w:val="32"/>
          <w:szCs w:val="32"/>
          <w:lang w:val="en-US" w:eastAsia="zh-CN"/>
        </w:rPr>
        <w:t>此处内容不要求供应商进行报价且不参与报价评审。</w:t>
      </w:r>
    </w:p>
    <w:p>
      <w:pPr>
        <w:pStyle w:val="52"/>
        <w:adjustRightInd w:val="0"/>
        <w:snapToGrid w:val="0"/>
        <w:spacing w:line="360" w:lineRule="auto"/>
        <w:ind w:firstLine="560"/>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bCs/>
          <w:color w:val="auto"/>
          <w:sz w:val="32"/>
          <w:szCs w:val="32"/>
          <w:lang w:eastAsia="zh-CN"/>
        </w:rPr>
        <w:t>（四）</w:t>
      </w:r>
      <w:r>
        <w:rPr>
          <w:rFonts w:hint="eastAsia" w:ascii="仿宋_GB2312" w:hAnsi="仿宋_GB2312" w:eastAsia="仿宋_GB2312" w:cs="仿宋_GB2312"/>
          <w:b/>
          <w:bCs/>
          <w:color w:val="auto"/>
          <w:sz w:val="32"/>
          <w:szCs w:val="32"/>
          <w:lang w:val="en-US" w:eastAsia="zh-CN"/>
        </w:rPr>
        <w:t>其他说明：</w:t>
      </w:r>
    </w:p>
    <w:p>
      <w:pPr>
        <w:pStyle w:val="52"/>
        <w:adjustRightInd w:val="0"/>
        <w:snapToGrid w:val="0"/>
        <w:spacing w:line="360" w:lineRule="auto"/>
        <w:ind w:firstLine="560"/>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1.以上项目未涉及但又需要单独收费的法律服务，采用一案一议的方式，在双方协商下完成，此项内容不要求供应商进行报价且不参与报价评审。</w:t>
      </w:r>
    </w:p>
    <w:p>
      <w:pPr>
        <w:pStyle w:val="52"/>
        <w:adjustRightInd w:val="0"/>
        <w:snapToGrid w:val="0"/>
        <w:spacing w:line="360" w:lineRule="auto"/>
        <w:ind w:firstLine="560"/>
        <w:rPr>
          <w:rFonts w:hint="eastAsia" w:ascii="仿宋_GB2312" w:hAnsi="仿宋_GB2312" w:eastAsia="仿宋_GB2312" w:cs="仿宋_GB2312"/>
          <w:b w:val="0"/>
          <w:bCs w:val="0"/>
          <w:color w:val="auto"/>
          <w:sz w:val="32"/>
          <w:szCs w:val="32"/>
          <w:lang w:eastAsia="zh-CN"/>
        </w:rPr>
      </w:pPr>
      <w:r>
        <w:rPr>
          <w:rFonts w:hint="eastAsia" w:ascii="仿宋_GB2312" w:hAnsi="仿宋_GB2312" w:eastAsia="仿宋_GB2312" w:cs="仿宋_GB2312"/>
          <w:b w:val="0"/>
          <w:bCs w:val="0"/>
          <w:color w:val="auto"/>
          <w:sz w:val="32"/>
          <w:szCs w:val="32"/>
          <w:lang w:val="en-US" w:eastAsia="zh-CN"/>
        </w:rPr>
        <w:t>2.针对上述第（一）（二）项服务，</w:t>
      </w:r>
      <w:r>
        <w:rPr>
          <w:rFonts w:hint="eastAsia" w:ascii="仿宋_GB2312" w:hAnsi="仿宋_GB2312" w:eastAsia="仿宋_GB2312" w:cs="仿宋_GB2312"/>
          <w:b w:val="0"/>
          <w:bCs w:val="0"/>
          <w:color w:val="auto"/>
          <w:sz w:val="32"/>
          <w:szCs w:val="32"/>
          <w:lang w:eastAsia="zh-CN"/>
        </w:rPr>
        <w:t>具体代理合同费用价格原则上不得高于最高投标限价，</w:t>
      </w:r>
      <w:r>
        <w:rPr>
          <w:rFonts w:hint="eastAsia" w:ascii="仿宋_GB2312" w:hAnsi="仿宋_GB2312" w:eastAsia="仿宋_GB2312" w:cs="仿宋_GB2312"/>
          <w:b w:val="0"/>
          <w:bCs w:val="0"/>
          <w:color w:val="auto"/>
          <w:sz w:val="32"/>
          <w:szCs w:val="32"/>
          <w:lang w:val="en-US" w:eastAsia="zh-CN"/>
        </w:rPr>
        <w:t>如有特殊情况，合同费用价格由双方协商完成。</w:t>
      </w:r>
    </w:p>
    <w:p>
      <w:pPr>
        <w:pStyle w:val="52"/>
        <w:adjustRightInd w:val="0"/>
        <w:snapToGrid w:val="0"/>
        <w:spacing w:line="360" w:lineRule="auto"/>
        <w:ind w:firstLine="560"/>
        <w:rPr>
          <w:rFonts w:hint="eastAsia" w:ascii="仿宋_GB2312" w:hAnsi="仿宋_GB2312" w:eastAsia="仿宋_GB2312" w:cs="仿宋_GB2312"/>
          <w:b/>
          <w:bCs/>
          <w:color w:val="auto"/>
          <w:sz w:val="32"/>
          <w:szCs w:val="32"/>
          <w:lang w:val="en-US" w:eastAsia="zh-CN"/>
        </w:rPr>
      </w:pPr>
      <w:r>
        <w:rPr>
          <w:rFonts w:hint="eastAsia" w:ascii="仿宋_GB2312" w:hAnsi="仿宋_GB2312" w:eastAsia="仿宋_GB2312" w:cs="仿宋_GB2312"/>
          <w:b/>
          <w:bCs/>
          <w:color w:val="auto"/>
          <w:sz w:val="32"/>
          <w:szCs w:val="32"/>
          <w:lang w:val="en-US" w:eastAsia="zh-CN"/>
        </w:rPr>
        <w:t>（五）对于法律追偿服务以及诉讼法律服务的补充说明（以下内容为合同约定条款，不参与报价评审）：</w:t>
      </w:r>
    </w:p>
    <w:p>
      <w:pPr>
        <w:pStyle w:val="52"/>
        <w:adjustRightInd w:val="0"/>
        <w:snapToGrid w:val="0"/>
        <w:spacing w:line="360" w:lineRule="auto"/>
        <w:ind w:firstLine="560"/>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1.个案合同采取包干价的形式，二审、再审、发回重审以及判决执行阶段不再另行收费，如有特殊情况，由双方协商决定；</w:t>
      </w:r>
    </w:p>
    <w:p>
      <w:pPr>
        <w:pStyle w:val="52"/>
        <w:adjustRightInd w:val="0"/>
        <w:snapToGrid w:val="0"/>
        <w:spacing w:line="360" w:lineRule="auto"/>
        <w:ind w:firstLine="560"/>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2.撤诉案件：参与庭审后撤诉的，以上收费标准减半支付；未参与庭审撤诉的，不予支付费用，特殊情况双方另行协商。</w:t>
      </w:r>
    </w:p>
    <w:p>
      <w:pPr>
        <w:pStyle w:val="52"/>
        <w:adjustRightInd w:val="0"/>
        <w:snapToGrid w:val="0"/>
        <w:spacing w:line="360" w:lineRule="auto"/>
        <w:ind w:firstLine="560"/>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3.同一交通事故不同原告分别提起诉讼，但在同一天开庭的，按案件数乘以的6折计算。</w:t>
      </w:r>
    </w:p>
    <w:p>
      <w:pPr>
        <w:pStyle w:val="52"/>
        <w:adjustRightInd w:val="0"/>
        <w:snapToGrid w:val="0"/>
        <w:spacing w:line="360" w:lineRule="auto"/>
        <w:ind w:firstLine="560"/>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4.因重新鉴定、质证等原因导致案件多次开庭的，不另行增加代理费。</w:t>
      </w:r>
    </w:p>
    <w:p>
      <w:pPr>
        <w:pStyle w:val="52"/>
        <w:adjustRightInd w:val="0"/>
        <w:snapToGrid w:val="0"/>
        <w:spacing w:line="360" w:lineRule="auto"/>
        <w:ind w:firstLine="560"/>
        <w:rPr>
          <w:rFonts w:hint="eastAsia" w:ascii="仿宋_GB2312" w:hAnsi="仿宋_GB2312" w:eastAsia="仿宋_GB2312" w:cs="仿宋_GB2312"/>
          <w:b w:val="0"/>
          <w:bCs w:val="0"/>
          <w:color w:val="auto"/>
          <w:sz w:val="32"/>
          <w:szCs w:val="32"/>
          <w:lang w:eastAsia="zh-CN"/>
        </w:rPr>
      </w:pPr>
      <w:r>
        <w:rPr>
          <w:rFonts w:hint="eastAsia" w:ascii="仿宋_GB2312" w:hAnsi="仿宋_GB2312" w:eastAsia="仿宋_GB2312" w:cs="仿宋_GB2312"/>
          <w:b w:val="0"/>
          <w:bCs w:val="0"/>
          <w:color w:val="auto"/>
          <w:sz w:val="32"/>
          <w:szCs w:val="32"/>
          <w:lang w:val="en-US" w:eastAsia="zh-CN"/>
        </w:rPr>
        <w:t>5.以上个案服务中乙方律师及工作人员加班餐费、交通住宿费、通信费、速递费等为提供本合同项下服务支出的各项杂费和相关税费以及中国境内的差旅费由乙方自行承担。</w:t>
      </w:r>
    </w:p>
    <w:p>
      <w:pPr>
        <w:pStyle w:val="9"/>
        <w:ind w:left="0" w:leftChars="0" w:firstLine="480" w:firstLineChars="200"/>
        <w:jc w:val="both"/>
        <w:rPr>
          <w:rFonts w:hint="eastAsia"/>
          <w:color w:val="auto"/>
          <w:highlight w:val="none"/>
          <w:lang w:val="en-US" w:eastAsia="zh-CN"/>
        </w:rPr>
      </w:pPr>
    </w:p>
    <w:p>
      <w:pPr>
        <w:pStyle w:val="2"/>
        <w:numPr>
          <w:ilvl w:val="0"/>
          <w:numId w:val="0"/>
        </w:numPr>
        <w:spacing w:line="240" w:lineRule="auto"/>
        <w:rPr>
          <w:rFonts w:hint="eastAsia"/>
          <w:sz w:val="24"/>
          <w:szCs w:val="24"/>
        </w:rPr>
      </w:pPr>
    </w:p>
    <w:p>
      <w:pPr>
        <w:rPr>
          <w:rFonts w:hint="eastAsia"/>
          <w:sz w:val="24"/>
          <w:szCs w:val="24"/>
        </w:rPr>
      </w:pPr>
    </w:p>
    <w:p>
      <w:pPr>
        <w:pStyle w:val="2"/>
        <w:numPr>
          <w:ilvl w:val="0"/>
          <w:numId w:val="0"/>
        </w:numPr>
        <w:spacing w:line="240" w:lineRule="auto"/>
        <w:rPr>
          <w:sz w:val="24"/>
          <w:szCs w:val="24"/>
        </w:rPr>
      </w:pPr>
      <w:r>
        <w:rPr>
          <w:rFonts w:hint="eastAsia"/>
          <w:sz w:val="24"/>
          <w:szCs w:val="24"/>
        </w:rPr>
        <w:t>附件4.3 供应商技术响应文件</w:t>
      </w:r>
    </w:p>
    <w:p>
      <w:pPr>
        <w:adjustRightInd w:val="0"/>
        <w:snapToGrid w:val="0"/>
        <w:spacing w:line="360" w:lineRule="auto"/>
        <w:jc w:val="center"/>
        <w:rPr>
          <w:rFonts w:ascii="宋体" w:hAnsi="宋体"/>
          <w:sz w:val="24"/>
          <w:szCs w:val="24"/>
        </w:rPr>
      </w:pPr>
    </w:p>
    <w:p>
      <w:pPr>
        <w:adjustRightInd w:val="0"/>
        <w:snapToGrid w:val="0"/>
        <w:spacing w:line="360" w:lineRule="auto"/>
        <w:jc w:val="center"/>
        <w:rPr>
          <w:rFonts w:ascii="宋体" w:hAnsi="宋体"/>
          <w:b/>
          <w:sz w:val="24"/>
          <w:szCs w:val="24"/>
        </w:rPr>
      </w:pPr>
      <w:r>
        <w:rPr>
          <w:rFonts w:hint="eastAsia" w:ascii="宋体" w:hAnsi="宋体"/>
          <w:b/>
          <w:sz w:val="24"/>
          <w:szCs w:val="24"/>
        </w:rPr>
        <w:t>供应商技术响应文件</w:t>
      </w:r>
    </w:p>
    <w:p>
      <w:pPr>
        <w:adjustRightInd w:val="0"/>
        <w:snapToGrid w:val="0"/>
        <w:spacing w:line="360" w:lineRule="auto"/>
        <w:ind w:firstLine="564"/>
        <w:rPr>
          <w:rFonts w:ascii="宋体" w:hAnsi="宋体"/>
          <w:sz w:val="24"/>
          <w:szCs w:val="24"/>
        </w:rPr>
      </w:pPr>
      <w:r>
        <w:rPr>
          <w:rFonts w:hint="eastAsia" w:ascii="宋体" w:hAnsi="宋体"/>
          <w:sz w:val="24"/>
          <w:szCs w:val="24"/>
        </w:rPr>
        <w:t>供应商按技术服务要求编写响应文件。供应商必须充分理解服务要求中的内容，对服务要求中所提各项需求必须明确说明是否满足或部分满足，并简要说明如何满足以及相关内容，该说明应与需求说明采用相同的顺序。</w:t>
      </w:r>
    </w:p>
    <w:p>
      <w:pPr>
        <w:widowControl/>
        <w:jc w:val="left"/>
        <w:rPr>
          <w:rFonts w:ascii="宋体" w:hAnsi="宋体"/>
          <w:sz w:val="24"/>
          <w:szCs w:val="24"/>
        </w:rPr>
      </w:pPr>
    </w:p>
    <w:sectPr>
      <w:footerReference r:id="rId3" w:type="default"/>
      <w:footerReference r:id="rId4" w:type="even"/>
      <w:pgSz w:w="11906" w:h="16838"/>
      <w:pgMar w:top="1440" w:right="1274" w:bottom="1440" w:left="1797"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Cambria">
    <w:panose1 w:val="02040503050406030204"/>
    <w:charset w:val="00"/>
    <w:family w:val="roman"/>
    <w:pitch w:val="default"/>
    <w:sig w:usb0="E00002FF" w:usb1="400004FF" w:usb2="00000000" w:usb3="00000000" w:csb0="2000019F" w:csb1="00000000"/>
  </w:font>
  <w:font w:name="楷体">
    <w:panose1 w:val="02010609060101010101"/>
    <w:charset w:val="86"/>
    <w:family w:val="modern"/>
    <w:pitch w:val="default"/>
    <w:sig w:usb0="800002BF" w:usb1="38CF7CFA" w:usb2="00000016" w:usb3="00000000" w:csb0="00040001" w:csb1="00000000"/>
  </w:font>
  <w:font w:name="Microsoft YaHei UI">
    <w:panose1 w:val="020B0503020204020204"/>
    <w:charset w:val="86"/>
    <w:family w:val="swiss"/>
    <w:pitch w:val="default"/>
    <w:sig w:usb0="80000287" w:usb1="28CF3C52"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font-weight : 400">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Futura Bk">
    <w:altName w:val="Segoe Print"/>
    <w:panose1 w:val="00000000000000000000"/>
    <w:charset w:val="00"/>
    <w:family w:val="auto"/>
    <w:pitch w:val="default"/>
    <w:sig w:usb0="00000000" w:usb1="00000000" w:usb2="00000000" w:usb3="00000000" w:csb0="000001FB"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framePr w:wrap="around" w:vAnchor="text" w:hAnchor="margin" w:xAlign="center" w:y="1"/>
      <w:rPr>
        <w:rStyle w:val="32"/>
      </w:rPr>
    </w:pPr>
    <w:r>
      <w:fldChar w:fldCharType="begin"/>
    </w:r>
    <w:r>
      <w:rPr>
        <w:rStyle w:val="32"/>
      </w:rPr>
      <w:instrText xml:space="preserve">PAGE  </w:instrText>
    </w:r>
    <w:r>
      <w:fldChar w:fldCharType="separate"/>
    </w:r>
    <w:r>
      <w:rPr>
        <w:rStyle w:val="32"/>
      </w:rPr>
      <w:t>21</w:t>
    </w:r>
    <w:r>
      <w:fldChar w:fldCharType="end"/>
    </w:r>
  </w:p>
  <w:p>
    <w:pPr>
      <w:pStyle w:val="1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framePr w:wrap="around" w:vAnchor="text" w:hAnchor="margin" w:xAlign="center" w:y="1"/>
      <w:rPr>
        <w:rStyle w:val="32"/>
      </w:rPr>
    </w:pPr>
    <w:r>
      <w:fldChar w:fldCharType="begin"/>
    </w:r>
    <w:r>
      <w:rPr>
        <w:rStyle w:val="32"/>
      </w:rPr>
      <w:instrText xml:space="preserve">PAGE  </w:instrText>
    </w:r>
    <w:r>
      <w:fldChar w:fldCharType="end"/>
    </w:r>
  </w:p>
  <w:p>
    <w:pPr>
      <w:pStyle w:val="18"/>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F0C9208"/>
    <w:multiLevelType w:val="singleLevel"/>
    <w:tmpl w:val="1F0C9208"/>
    <w:lvl w:ilvl="0" w:tentative="0">
      <w:start w:val="1"/>
      <w:numFmt w:val="decimal"/>
      <w:lvlText w:val="%1."/>
      <w:lvlJc w:val="left"/>
      <w:pPr>
        <w:tabs>
          <w:tab w:val="left" w:pos="312"/>
        </w:tabs>
      </w:pPr>
    </w:lvl>
  </w:abstractNum>
  <w:abstractNum w:abstractNumId="1">
    <w:nsid w:val="23790ACF"/>
    <w:multiLevelType w:val="singleLevel"/>
    <w:tmpl w:val="23790ACF"/>
    <w:lvl w:ilvl="0" w:tentative="0">
      <w:start w:val="1"/>
      <w:numFmt w:val="decimal"/>
      <w:lvlText w:val="%1."/>
      <w:lvlJc w:val="left"/>
      <w:pPr>
        <w:tabs>
          <w:tab w:val="left" w:pos="705"/>
        </w:tabs>
        <w:ind w:left="705" w:hanging="285"/>
      </w:pPr>
    </w:lvl>
  </w:abstractNum>
  <w:abstractNum w:abstractNumId="2">
    <w:nsid w:val="2B9A6384"/>
    <w:multiLevelType w:val="multilevel"/>
    <w:tmpl w:val="2B9A6384"/>
    <w:lvl w:ilvl="0" w:tentative="0">
      <w:start w:val="1"/>
      <w:numFmt w:val="chineseCountingThousand"/>
      <w:pStyle w:val="3"/>
      <w:suff w:val="space"/>
      <w:lvlText w:val="%1、"/>
      <w:lvlJc w:val="left"/>
      <w:pPr>
        <w:ind w:left="0" w:firstLine="0"/>
      </w:pPr>
      <w:rPr>
        <w:rFonts w:hint="eastAsia"/>
        <w:b/>
        <w:i w:val="0"/>
      </w:rPr>
    </w:lvl>
    <w:lvl w:ilvl="1" w:tentative="0">
      <w:start w:val="1"/>
      <w:numFmt w:val="decimal"/>
      <w:pStyle w:val="2"/>
      <w:suff w:val="space"/>
      <w:lvlText w:val="%2."/>
      <w:lvlJc w:val="left"/>
      <w:pPr>
        <w:ind w:left="0" w:firstLine="0"/>
      </w:pPr>
      <w:rPr>
        <w:rFonts w:hint="eastAsia"/>
        <w:b/>
        <w:i w:val="0"/>
      </w:rPr>
    </w:lvl>
    <w:lvl w:ilvl="2" w:tentative="0">
      <w:start w:val="1"/>
      <w:numFmt w:val="decimal"/>
      <w:pStyle w:val="4"/>
      <w:suff w:val="space"/>
      <w:lvlText w:val="%2.%3"/>
      <w:lvlJc w:val="left"/>
      <w:pPr>
        <w:ind w:left="141" w:firstLine="0"/>
      </w:pPr>
      <w:rPr>
        <w:rFonts w:hint="eastAsia"/>
        <w:b/>
        <w:i w:val="0"/>
      </w:rPr>
    </w:lvl>
    <w:lvl w:ilvl="3" w:tentative="0">
      <w:start w:val="1"/>
      <w:numFmt w:val="decimal"/>
      <w:pStyle w:val="5"/>
      <w:suff w:val="space"/>
      <w:lvlText w:val="%2.%3.%4"/>
      <w:lvlJc w:val="left"/>
      <w:pPr>
        <w:ind w:left="284" w:firstLine="0"/>
      </w:pPr>
      <w:rPr>
        <w:b/>
        <w:bCs w:val="0"/>
        <w:i w:val="0"/>
        <w:iCs w:val="0"/>
        <w:caps w:val="0"/>
        <w:smallCaps w:val="0"/>
        <w:strike w:val="0"/>
        <w:dstrike w:val="0"/>
        <w:outline w:val="0"/>
        <w:shadow w:val="0"/>
        <w:emboss w:val="0"/>
        <w:imprint w:val="0"/>
        <w:vanish w:val="0"/>
        <w:spacing w:val="0"/>
        <w:position w:val="0"/>
        <w:u w:val="none"/>
        <w:vertAlign w:val="baseline"/>
      </w:rPr>
    </w:lvl>
    <w:lvl w:ilvl="4" w:tentative="0">
      <w:start w:val="1"/>
      <w:numFmt w:val="decimal"/>
      <w:pStyle w:val="6"/>
      <w:suff w:val="space"/>
      <w:lvlText w:val="%2.%3.%4.%5"/>
      <w:lvlJc w:val="left"/>
      <w:pPr>
        <w:ind w:left="0" w:firstLine="0"/>
      </w:pPr>
      <w:rPr>
        <w:rFonts w:hint="eastAsia"/>
        <w:b/>
        <w:i w:val="0"/>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3">
    <w:nsid w:val="412748DE"/>
    <w:multiLevelType w:val="multilevel"/>
    <w:tmpl w:val="412748DE"/>
    <w:lvl w:ilvl="0" w:tentative="0">
      <w:start w:val="1"/>
      <w:numFmt w:val="decimal"/>
      <w:pStyle w:val="131"/>
      <w:lvlText w:val="%1、"/>
      <w:lvlJc w:val="left"/>
      <w:pPr>
        <w:ind w:left="987" w:hanging="420"/>
      </w:pPr>
      <w:rPr>
        <w:b w:val="0"/>
        <w:color w:val="auto"/>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num w:numId="1">
    <w:abstractNumId w:val="2"/>
  </w:num>
  <w:num w:numId="2">
    <w:abstractNumId w:val="3"/>
  </w:num>
  <w:num w:numId="3">
    <w:abstractNumId w:val="1"/>
    <w:lvlOverride w:ilvl="0">
      <w:startOverride w:val="1"/>
    </w:lvlOverride>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194E"/>
    <w:rsid w:val="00074965"/>
    <w:rsid w:val="00084483"/>
    <w:rsid w:val="000A0712"/>
    <w:rsid w:val="000B43B5"/>
    <w:rsid w:val="000D279A"/>
    <w:rsid w:val="000D7EF0"/>
    <w:rsid w:val="0010194E"/>
    <w:rsid w:val="0015151B"/>
    <w:rsid w:val="001625D8"/>
    <w:rsid w:val="00186E9E"/>
    <w:rsid w:val="00210606"/>
    <w:rsid w:val="00214709"/>
    <w:rsid w:val="0021720C"/>
    <w:rsid w:val="00222914"/>
    <w:rsid w:val="00233734"/>
    <w:rsid w:val="00241EC7"/>
    <w:rsid w:val="0025712A"/>
    <w:rsid w:val="00280EAE"/>
    <w:rsid w:val="002A4B48"/>
    <w:rsid w:val="002A7874"/>
    <w:rsid w:val="002D1A6B"/>
    <w:rsid w:val="002D5CCE"/>
    <w:rsid w:val="002F10DB"/>
    <w:rsid w:val="003C1136"/>
    <w:rsid w:val="00427205"/>
    <w:rsid w:val="0043011B"/>
    <w:rsid w:val="004330AA"/>
    <w:rsid w:val="00434A13"/>
    <w:rsid w:val="0044531E"/>
    <w:rsid w:val="00451950"/>
    <w:rsid w:val="004609B9"/>
    <w:rsid w:val="00464CFD"/>
    <w:rsid w:val="00487547"/>
    <w:rsid w:val="00494055"/>
    <w:rsid w:val="004A5678"/>
    <w:rsid w:val="004B3084"/>
    <w:rsid w:val="004C78FB"/>
    <w:rsid w:val="004C79BD"/>
    <w:rsid w:val="004E5B1F"/>
    <w:rsid w:val="004E7FC4"/>
    <w:rsid w:val="0051242C"/>
    <w:rsid w:val="005245BC"/>
    <w:rsid w:val="00525130"/>
    <w:rsid w:val="00542A58"/>
    <w:rsid w:val="005526E8"/>
    <w:rsid w:val="00575DFB"/>
    <w:rsid w:val="0062276F"/>
    <w:rsid w:val="00622CAC"/>
    <w:rsid w:val="00623C4C"/>
    <w:rsid w:val="00632995"/>
    <w:rsid w:val="006526B3"/>
    <w:rsid w:val="00652D2D"/>
    <w:rsid w:val="006635E7"/>
    <w:rsid w:val="00682F7E"/>
    <w:rsid w:val="006B4A68"/>
    <w:rsid w:val="006B5F94"/>
    <w:rsid w:val="006C1522"/>
    <w:rsid w:val="006D104A"/>
    <w:rsid w:val="006F0B75"/>
    <w:rsid w:val="007239AE"/>
    <w:rsid w:val="007329B0"/>
    <w:rsid w:val="00770549"/>
    <w:rsid w:val="00775E29"/>
    <w:rsid w:val="00791F9A"/>
    <w:rsid w:val="007B1080"/>
    <w:rsid w:val="007C2948"/>
    <w:rsid w:val="007E0A6F"/>
    <w:rsid w:val="007F6A6F"/>
    <w:rsid w:val="008061A3"/>
    <w:rsid w:val="008341AC"/>
    <w:rsid w:val="008425CC"/>
    <w:rsid w:val="008461F6"/>
    <w:rsid w:val="00874FB3"/>
    <w:rsid w:val="00876F15"/>
    <w:rsid w:val="008A271B"/>
    <w:rsid w:val="008B4F25"/>
    <w:rsid w:val="008B560E"/>
    <w:rsid w:val="008D509E"/>
    <w:rsid w:val="008E2C73"/>
    <w:rsid w:val="00902A82"/>
    <w:rsid w:val="00997DAB"/>
    <w:rsid w:val="009A216D"/>
    <w:rsid w:val="009B71C3"/>
    <w:rsid w:val="009D729F"/>
    <w:rsid w:val="009F5367"/>
    <w:rsid w:val="00A17F44"/>
    <w:rsid w:val="00A32CC5"/>
    <w:rsid w:val="00A50132"/>
    <w:rsid w:val="00A62F01"/>
    <w:rsid w:val="00A75554"/>
    <w:rsid w:val="00A75800"/>
    <w:rsid w:val="00AB58D9"/>
    <w:rsid w:val="00AD5E5A"/>
    <w:rsid w:val="00AD620A"/>
    <w:rsid w:val="00B17014"/>
    <w:rsid w:val="00B22219"/>
    <w:rsid w:val="00B357A0"/>
    <w:rsid w:val="00B56DB5"/>
    <w:rsid w:val="00B8795A"/>
    <w:rsid w:val="00BA2C31"/>
    <w:rsid w:val="00BA42EB"/>
    <w:rsid w:val="00BB5FEA"/>
    <w:rsid w:val="00BB755D"/>
    <w:rsid w:val="00BD21FA"/>
    <w:rsid w:val="00BD426B"/>
    <w:rsid w:val="00BF76A9"/>
    <w:rsid w:val="00C025C7"/>
    <w:rsid w:val="00C47653"/>
    <w:rsid w:val="00C528F3"/>
    <w:rsid w:val="00C54E9B"/>
    <w:rsid w:val="00C85E16"/>
    <w:rsid w:val="00CA299C"/>
    <w:rsid w:val="00CD62C1"/>
    <w:rsid w:val="00CF5BA9"/>
    <w:rsid w:val="00D01829"/>
    <w:rsid w:val="00D23B0E"/>
    <w:rsid w:val="00D32F50"/>
    <w:rsid w:val="00D533B9"/>
    <w:rsid w:val="00D56FFA"/>
    <w:rsid w:val="00D62AE5"/>
    <w:rsid w:val="00D93E74"/>
    <w:rsid w:val="00DA7A02"/>
    <w:rsid w:val="00DB359C"/>
    <w:rsid w:val="00DB5AB5"/>
    <w:rsid w:val="00DD2DD3"/>
    <w:rsid w:val="00DE7F4D"/>
    <w:rsid w:val="00E0229C"/>
    <w:rsid w:val="00E15396"/>
    <w:rsid w:val="00E57C38"/>
    <w:rsid w:val="00E73E83"/>
    <w:rsid w:val="00EA2E20"/>
    <w:rsid w:val="00EA46BC"/>
    <w:rsid w:val="00EA5817"/>
    <w:rsid w:val="00EC2B70"/>
    <w:rsid w:val="00ED0907"/>
    <w:rsid w:val="00ED2A5D"/>
    <w:rsid w:val="00EF0383"/>
    <w:rsid w:val="00EF66F3"/>
    <w:rsid w:val="00F420AF"/>
    <w:rsid w:val="00F92C64"/>
    <w:rsid w:val="00FC669B"/>
    <w:rsid w:val="027C0D50"/>
    <w:rsid w:val="02B4083C"/>
    <w:rsid w:val="03C84189"/>
    <w:rsid w:val="03E93D97"/>
    <w:rsid w:val="0D486637"/>
    <w:rsid w:val="0D67039B"/>
    <w:rsid w:val="0EF70C31"/>
    <w:rsid w:val="10177748"/>
    <w:rsid w:val="104424E5"/>
    <w:rsid w:val="15E61C39"/>
    <w:rsid w:val="17487240"/>
    <w:rsid w:val="176E5F6F"/>
    <w:rsid w:val="18FA6A3B"/>
    <w:rsid w:val="19AA1036"/>
    <w:rsid w:val="1A924917"/>
    <w:rsid w:val="1C583530"/>
    <w:rsid w:val="1D34206D"/>
    <w:rsid w:val="1E133EF0"/>
    <w:rsid w:val="207A7F24"/>
    <w:rsid w:val="20966A1A"/>
    <w:rsid w:val="24684952"/>
    <w:rsid w:val="246E7FC6"/>
    <w:rsid w:val="268F3E7A"/>
    <w:rsid w:val="27D81448"/>
    <w:rsid w:val="28A35356"/>
    <w:rsid w:val="29EE7EF6"/>
    <w:rsid w:val="2AE83B98"/>
    <w:rsid w:val="2CEA7D05"/>
    <w:rsid w:val="2DD74CD8"/>
    <w:rsid w:val="325F5873"/>
    <w:rsid w:val="32AC7836"/>
    <w:rsid w:val="334E11D5"/>
    <w:rsid w:val="372B29EB"/>
    <w:rsid w:val="382C1C8D"/>
    <w:rsid w:val="3BF079D9"/>
    <w:rsid w:val="3CA408E8"/>
    <w:rsid w:val="3CAB1C76"/>
    <w:rsid w:val="3DFA4905"/>
    <w:rsid w:val="3E847A33"/>
    <w:rsid w:val="4240275A"/>
    <w:rsid w:val="45A81885"/>
    <w:rsid w:val="471B1137"/>
    <w:rsid w:val="472B5277"/>
    <w:rsid w:val="47656525"/>
    <w:rsid w:val="4C673568"/>
    <w:rsid w:val="4D8A2264"/>
    <w:rsid w:val="51D75A0A"/>
    <w:rsid w:val="523F1387"/>
    <w:rsid w:val="54005B5D"/>
    <w:rsid w:val="558A05F4"/>
    <w:rsid w:val="56D70536"/>
    <w:rsid w:val="5779383A"/>
    <w:rsid w:val="5A845B89"/>
    <w:rsid w:val="5CAD6822"/>
    <w:rsid w:val="607109A5"/>
    <w:rsid w:val="637827B6"/>
    <w:rsid w:val="652A591E"/>
    <w:rsid w:val="67350B09"/>
    <w:rsid w:val="67530B8A"/>
    <w:rsid w:val="6CB34B3B"/>
    <w:rsid w:val="6F113CB7"/>
    <w:rsid w:val="6FB678FF"/>
    <w:rsid w:val="6FD137CA"/>
    <w:rsid w:val="71E86596"/>
    <w:rsid w:val="768A7247"/>
    <w:rsid w:val="77220C5B"/>
    <w:rsid w:val="7A695C13"/>
    <w:rsid w:val="7AD82D7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nhideWhenUsed="0" w:uiPriority="9" w:semiHidden="0" w:name="heading 3"/>
    <w:lsdException w:qFormat="1" w:uiPriority="9" w:semiHidden="0" w:name="heading 4"/>
    <w:lsdException w:qFormat="1" w:uiPriority="9" w:semiHidden="0" w:name="heading 5"/>
    <w:lsdException w:qFormat="1" w:unhideWhenUsed="0" w:uiPriority="9"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99"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0"/>
      <w:lang w:val="en-US" w:eastAsia="zh-CN" w:bidi="ar-SA"/>
    </w:rPr>
  </w:style>
  <w:style w:type="paragraph" w:styleId="3">
    <w:name w:val="heading 1"/>
    <w:basedOn w:val="1"/>
    <w:next w:val="1"/>
    <w:link w:val="38"/>
    <w:qFormat/>
    <w:uiPriority w:val="9"/>
    <w:pPr>
      <w:keepNext/>
      <w:widowControl/>
      <w:numPr>
        <w:ilvl w:val="0"/>
        <w:numId w:val="1"/>
      </w:numPr>
      <w:spacing w:line="360" w:lineRule="auto"/>
      <w:outlineLvl w:val="0"/>
    </w:pPr>
    <w:rPr>
      <w:rFonts w:ascii="宋体" w:hAnsi="宋体" w:cs="宋体"/>
      <w:b/>
      <w:bCs/>
      <w:kern w:val="36"/>
      <w:szCs w:val="21"/>
    </w:rPr>
  </w:style>
  <w:style w:type="paragraph" w:styleId="2">
    <w:name w:val="heading 2"/>
    <w:basedOn w:val="1"/>
    <w:next w:val="1"/>
    <w:link w:val="39"/>
    <w:unhideWhenUsed/>
    <w:qFormat/>
    <w:uiPriority w:val="9"/>
    <w:pPr>
      <w:keepNext/>
      <w:keepLines/>
      <w:numPr>
        <w:ilvl w:val="1"/>
        <w:numId w:val="1"/>
      </w:numPr>
      <w:spacing w:before="260" w:after="260" w:line="416" w:lineRule="auto"/>
      <w:outlineLvl w:val="1"/>
    </w:pPr>
    <w:rPr>
      <w:rFonts w:ascii="Calibri Light" w:hAnsi="Calibri Light"/>
      <w:b/>
      <w:bCs/>
      <w:sz w:val="32"/>
      <w:szCs w:val="32"/>
    </w:rPr>
  </w:style>
  <w:style w:type="paragraph" w:styleId="4">
    <w:name w:val="heading 3"/>
    <w:basedOn w:val="1"/>
    <w:next w:val="1"/>
    <w:link w:val="40"/>
    <w:qFormat/>
    <w:uiPriority w:val="9"/>
    <w:pPr>
      <w:keepNext/>
      <w:widowControl/>
      <w:numPr>
        <w:ilvl w:val="2"/>
        <w:numId w:val="1"/>
      </w:numPr>
      <w:spacing w:before="260" w:after="260" w:line="416" w:lineRule="atLeast"/>
      <w:ind w:left="0"/>
      <w:jc w:val="left"/>
      <w:outlineLvl w:val="2"/>
    </w:pPr>
    <w:rPr>
      <w:b/>
      <w:bCs/>
      <w:kern w:val="0"/>
      <w:sz w:val="32"/>
      <w:szCs w:val="32"/>
    </w:rPr>
  </w:style>
  <w:style w:type="paragraph" w:styleId="5">
    <w:name w:val="heading 4"/>
    <w:basedOn w:val="1"/>
    <w:next w:val="1"/>
    <w:link w:val="41"/>
    <w:unhideWhenUsed/>
    <w:qFormat/>
    <w:uiPriority w:val="9"/>
    <w:pPr>
      <w:keepNext/>
      <w:keepLines/>
      <w:numPr>
        <w:ilvl w:val="3"/>
        <w:numId w:val="1"/>
      </w:numPr>
      <w:spacing w:before="280" w:after="290" w:line="376" w:lineRule="auto"/>
      <w:ind w:left="0"/>
      <w:outlineLvl w:val="3"/>
    </w:pPr>
    <w:rPr>
      <w:rFonts w:ascii="Calibri Light" w:hAnsi="Calibri Light"/>
      <w:b/>
      <w:bCs/>
      <w:sz w:val="28"/>
      <w:szCs w:val="28"/>
    </w:rPr>
  </w:style>
  <w:style w:type="paragraph" w:styleId="6">
    <w:name w:val="heading 5"/>
    <w:basedOn w:val="1"/>
    <w:next w:val="1"/>
    <w:link w:val="42"/>
    <w:unhideWhenUsed/>
    <w:qFormat/>
    <w:uiPriority w:val="9"/>
    <w:pPr>
      <w:keepNext/>
      <w:keepLines/>
      <w:numPr>
        <w:ilvl w:val="4"/>
        <w:numId w:val="1"/>
      </w:numPr>
      <w:spacing w:before="280" w:after="290" w:line="376" w:lineRule="auto"/>
      <w:outlineLvl w:val="4"/>
    </w:pPr>
    <w:rPr>
      <w:b/>
      <w:bCs/>
      <w:sz w:val="28"/>
      <w:szCs w:val="28"/>
    </w:rPr>
  </w:style>
  <w:style w:type="paragraph" w:styleId="7">
    <w:name w:val="heading 6"/>
    <w:basedOn w:val="1"/>
    <w:next w:val="1"/>
    <w:link w:val="43"/>
    <w:qFormat/>
    <w:uiPriority w:val="9"/>
    <w:pPr>
      <w:keepNext/>
      <w:widowControl/>
      <w:spacing w:before="240" w:after="64" w:line="319" w:lineRule="auto"/>
      <w:ind w:left="1152" w:hanging="1152"/>
      <w:outlineLvl w:val="5"/>
    </w:pPr>
    <w:rPr>
      <w:rFonts w:ascii="Cambria" w:hAnsi="Cambria" w:cs="宋体"/>
      <w:b/>
      <w:bCs/>
      <w:kern w:val="0"/>
      <w:sz w:val="24"/>
      <w:szCs w:val="24"/>
    </w:rPr>
  </w:style>
  <w:style w:type="character" w:default="1" w:styleId="31">
    <w:name w:val="Default Paragraph Font"/>
    <w:semiHidden/>
    <w:unhideWhenUsed/>
    <w:qFormat/>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styleId="8">
    <w:name w:val="toc 7"/>
    <w:basedOn w:val="1"/>
    <w:next w:val="1"/>
    <w:unhideWhenUsed/>
    <w:qFormat/>
    <w:uiPriority w:val="39"/>
    <w:pPr>
      <w:spacing w:line="360" w:lineRule="auto"/>
      <w:ind w:left="2520" w:leftChars="1200"/>
    </w:pPr>
    <w:rPr>
      <w:rFonts w:ascii="Calibri" w:hAnsi="Calibri" w:eastAsia="楷体"/>
      <w:szCs w:val="22"/>
    </w:rPr>
  </w:style>
  <w:style w:type="paragraph" w:styleId="9">
    <w:name w:val="Normal Indent"/>
    <w:basedOn w:val="1"/>
    <w:unhideWhenUsed/>
    <w:qFormat/>
    <w:uiPriority w:val="99"/>
    <w:pPr>
      <w:spacing w:line="360" w:lineRule="auto"/>
      <w:ind w:firstLine="420" w:firstLineChars="200"/>
    </w:pPr>
    <w:rPr>
      <w:rFonts w:ascii="Calibri" w:hAnsi="Calibri" w:eastAsia="楷体"/>
      <w:sz w:val="24"/>
      <w:szCs w:val="22"/>
    </w:rPr>
  </w:style>
  <w:style w:type="paragraph" w:styleId="10">
    <w:name w:val="Document Map"/>
    <w:basedOn w:val="1"/>
    <w:link w:val="117"/>
    <w:unhideWhenUsed/>
    <w:qFormat/>
    <w:uiPriority w:val="99"/>
    <w:pPr>
      <w:spacing w:line="360" w:lineRule="auto"/>
      <w:ind w:firstLine="200" w:firstLineChars="200"/>
    </w:pPr>
    <w:rPr>
      <w:rFonts w:ascii="Microsoft YaHei UI" w:hAnsi="Calibri" w:eastAsia="Microsoft YaHei UI"/>
      <w:sz w:val="18"/>
      <w:szCs w:val="18"/>
    </w:rPr>
  </w:style>
  <w:style w:type="paragraph" w:styleId="11">
    <w:name w:val="annotation text"/>
    <w:basedOn w:val="1"/>
    <w:link w:val="118"/>
    <w:unhideWhenUsed/>
    <w:qFormat/>
    <w:uiPriority w:val="99"/>
    <w:pPr>
      <w:spacing w:line="360" w:lineRule="auto"/>
      <w:ind w:firstLine="200" w:firstLineChars="200"/>
      <w:jc w:val="left"/>
    </w:pPr>
    <w:rPr>
      <w:rFonts w:ascii="Calibri" w:hAnsi="Calibri" w:eastAsia="楷体"/>
      <w:sz w:val="24"/>
      <w:szCs w:val="22"/>
    </w:rPr>
  </w:style>
  <w:style w:type="paragraph" w:styleId="12">
    <w:name w:val="toc 5"/>
    <w:basedOn w:val="1"/>
    <w:next w:val="1"/>
    <w:unhideWhenUsed/>
    <w:qFormat/>
    <w:uiPriority w:val="39"/>
    <w:pPr>
      <w:spacing w:line="360" w:lineRule="auto"/>
      <w:ind w:left="1680" w:leftChars="800"/>
    </w:pPr>
    <w:rPr>
      <w:rFonts w:ascii="Calibri" w:hAnsi="Calibri" w:eastAsia="楷体"/>
      <w:szCs w:val="22"/>
    </w:rPr>
  </w:style>
  <w:style w:type="paragraph" w:styleId="13">
    <w:name w:val="toc 3"/>
    <w:basedOn w:val="1"/>
    <w:next w:val="1"/>
    <w:qFormat/>
    <w:uiPriority w:val="39"/>
    <w:pPr>
      <w:ind w:left="840" w:leftChars="400"/>
    </w:pPr>
  </w:style>
  <w:style w:type="paragraph" w:styleId="14">
    <w:name w:val="Plain Text"/>
    <w:basedOn w:val="1"/>
    <w:link w:val="51"/>
    <w:qFormat/>
    <w:uiPriority w:val="0"/>
    <w:pPr>
      <w:widowControl/>
    </w:pPr>
    <w:rPr>
      <w:rFonts w:ascii="宋体" w:hAnsi="宋体" w:cs="宋体"/>
      <w:kern w:val="0"/>
      <w:szCs w:val="21"/>
    </w:rPr>
  </w:style>
  <w:style w:type="paragraph" w:styleId="15">
    <w:name w:val="toc 8"/>
    <w:basedOn w:val="1"/>
    <w:next w:val="1"/>
    <w:unhideWhenUsed/>
    <w:qFormat/>
    <w:uiPriority w:val="39"/>
    <w:pPr>
      <w:spacing w:line="360" w:lineRule="auto"/>
      <w:ind w:left="2940" w:leftChars="1400"/>
    </w:pPr>
    <w:rPr>
      <w:rFonts w:ascii="Calibri" w:hAnsi="Calibri" w:eastAsia="楷体"/>
      <w:szCs w:val="22"/>
    </w:rPr>
  </w:style>
  <w:style w:type="paragraph" w:styleId="16">
    <w:name w:val="Date"/>
    <w:basedOn w:val="1"/>
    <w:next w:val="1"/>
    <w:link w:val="50"/>
    <w:qFormat/>
    <w:uiPriority w:val="0"/>
    <w:pPr>
      <w:widowControl/>
      <w:spacing w:line="360" w:lineRule="atLeast"/>
      <w:ind w:left="100" w:leftChars="2500"/>
      <w:jc w:val="left"/>
    </w:pPr>
    <w:rPr>
      <w:kern w:val="0"/>
      <w:sz w:val="24"/>
      <w:szCs w:val="24"/>
    </w:rPr>
  </w:style>
  <w:style w:type="paragraph" w:styleId="17">
    <w:name w:val="Balloon Text"/>
    <w:basedOn w:val="1"/>
    <w:link w:val="120"/>
    <w:unhideWhenUsed/>
    <w:qFormat/>
    <w:uiPriority w:val="99"/>
    <w:pPr>
      <w:spacing w:line="360" w:lineRule="auto"/>
      <w:ind w:firstLine="200" w:firstLineChars="200"/>
    </w:pPr>
    <w:rPr>
      <w:rFonts w:ascii="Calibri" w:hAnsi="Calibri" w:eastAsia="楷体"/>
      <w:sz w:val="18"/>
      <w:szCs w:val="18"/>
    </w:rPr>
  </w:style>
  <w:style w:type="paragraph" w:styleId="18">
    <w:name w:val="footer"/>
    <w:basedOn w:val="1"/>
    <w:link w:val="37"/>
    <w:unhideWhenUsed/>
    <w:qFormat/>
    <w:uiPriority w:val="99"/>
    <w:pPr>
      <w:tabs>
        <w:tab w:val="center" w:pos="4153"/>
        <w:tab w:val="right" w:pos="8306"/>
      </w:tabs>
      <w:snapToGrid w:val="0"/>
      <w:jc w:val="left"/>
    </w:pPr>
    <w:rPr>
      <w:sz w:val="18"/>
      <w:szCs w:val="18"/>
    </w:rPr>
  </w:style>
  <w:style w:type="paragraph" w:styleId="19">
    <w:name w:val="header"/>
    <w:basedOn w:val="1"/>
    <w:link w:val="36"/>
    <w:unhideWhenUsed/>
    <w:qFormat/>
    <w:uiPriority w:val="99"/>
    <w:pPr>
      <w:pBdr>
        <w:bottom w:val="single" w:color="auto" w:sz="6" w:space="1"/>
      </w:pBdr>
      <w:tabs>
        <w:tab w:val="center" w:pos="4153"/>
        <w:tab w:val="right" w:pos="8306"/>
      </w:tabs>
      <w:snapToGrid w:val="0"/>
      <w:jc w:val="center"/>
    </w:pPr>
    <w:rPr>
      <w:sz w:val="18"/>
      <w:szCs w:val="18"/>
    </w:rPr>
  </w:style>
  <w:style w:type="paragraph" w:styleId="20">
    <w:name w:val="toc 1"/>
    <w:basedOn w:val="1"/>
    <w:next w:val="1"/>
    <w:qFormat/>
    <w:uiPriority w:val="39"/>
    <w:pPr>
      <w:widowControl/>
    </w:pPr>
    <w:rPr>
      <w:kern w:val="0"/>
      <w:szCs w:val="21"/>
    </w:rPr>
  </w:style>
  <w:style w:type="paragraph" w:styleId="21">
    <w:name w:val="toc 4"/>
    <w:basedOn w:val="1"/>
    <w:next w:val="1"/>
    <w:unhideWhenUsed/>
    <w:qFormat/>
    <w:uiPriority w:val="39"/>
    <w:pPr>
      <w:spacing w:line="360" w:lineRule="auto"/>
      <w:ind w:left="1260" w:leftChars="600"/>
    </w:pPr>
    <w:rPr>
      <w:rFonts w:ascii="Calibri" w:hAnsi="Calibri" w:eastAsia="楷体"/>
      <w:szCs w:val="22"/>
    </w:rPr>
  </w:style>
  <w:style w:type="paragraph" w:styleId="22">
    <w:name w:val="toc 6"/>
    <w:basedOn w:val="1"/>
    <w:next w:val="1"/>
    <w:unhideWhenUsed/>
    <w:qFormat/>
    <w:uiPriority w:val="39"/>
    <w:pPr>
      <w:spacing w:line="360" w:lineRule="auto"/>
      <w:ind w:left="2100" w:leftChars="1000"/>
    </w:pPr>
    <w:rPr>
      <w:rFonts w:ascii="Calibri" w:hAnsi="Calibri" w:eastAsia="楷体"/>
      <w:szCs w:val="22"/>
    </w:rPr>
  </w:style>
  <w:style w:type="paragraph" w:styleId="23">
    <w:name w:val="Body Text Indent 3"/>
    <w:basedOn w:val="1"/>
    <w:qFormat/>
    <w:uiPriority w:val="0"/>
    <w:pPr>
      <w:snapToGrid w:val="0"/>
      <w:spacing w:line="580" w:lineRule="exact"/>
      <w:ind w:firstLine="560" w:firstLineChars="200"/>
    </w:pPr>
    <w:rPr>
      <w:rFonts w:ascii="仿宋_GB2312" w:hAnsi="Calibri" w:eastAsia="仿宋_GB2312" w:cs="Times New Roman"/>
      <w:sz w:val="28"/>
      <w:szCs w:val="28"/>
      <w:lang w:val="zh-CN"/>
    </w:rPr>
  </w:style>
  <w:style w:type="paragraph" w:styleId="24">
    <w:name w:val="toc 2"/>
    <w:basedOn w:val="1"/>
    <w:next w:val="1"/>
    <w:qFormat/>
    <w:uiPriority w:val="39"/>
    <w:pPr>
      <w:widowControl/>
      <w:ind w:left="420" w:leftChars="200"/>
    </w:pPr>
    <w:rPr>
      <w:kern w:val="0"/>
      <w:szCs w:val="21"/>
    </w:rPr>
  </w:style>
  <w:style w:type="paragraph" w:styleId="25">
    <w:name w:val="toc 9"/>
    <w:basedOn w:val="1"/>
    <w:next w:val="1"/>
    <w:unhideWhenUsed/>
    <w:qFormat/>
    <w:uiPriority w:val="39"/>
    <w:pPr>
      <w:spacing w:line="360" w:lineRule="auto"/>
      <w:ind w:left="3360" w:leftChars="1600"/>
    </w:pPr>
    <w:rPr>
      <w:rFonts w:ascii="Calibri" w:hAnsi="Calibri" w:eastAsia="楷体"/>
      <w:szCs w:val="22"/>
    </w:rPr>
  </w:style>
  <w:style w:type="paragraph" w:styleId="26">
    <w:name w:val="Normal (Web)"/>
    <w:basedOn w:val="1"/>
    <w:qFormat/>
    <w:uiPriority w:val="99"/>
    <w:pPr>
      <w:spacing w:before="0" w:after="0"/>
      <w:jc w:val="left"/>
    </w:pPr>
    <w:rPr>
      <w:rFonts w:cs="Times New Roman"/>
      <w:kern w:val="0"/>
      <w:sz w:val="24"/>
    </w:rPr>
  </w:style>
  <w:style w:type="paragraph" w:styleId="27">
    <w:name w:val="Title"/>
    <w:basedOn w:val="1"/>
    <w:next w:val="1"/>
    <w:link w:val="116"/>
    <w:qFormat/>
    <w:uiPriority w:val="10"/>
    <w:pPr>
      <w:spacing w:before="240" w:after="60" w:line="360" w:lineRule="auto"/>
      <w:ind w:firstLine="200" w:firstLineChars="200"/>
      <w:jc w:val="center"/>
      <w:outlineLvl w:val="0"/>
    </w:pPr>
    <w:rPr>
      <w:rFonts w:ascii="Calibri Light" w:hAnsi="Calibri Light" w:eastAsiaTheme="minorEastAsia" w:cstheme="minorBidi"/>
      <w:b/>
      <w:bCs/>
      <w:sz w:val="32"/>
      <w:szCs w:val="32"/>
    </w:rPr>
  </w:style>
  <w:style w:type="paragraph" w:styleId="28">
    <w:name w:val="annotation subject"/>
    <w:basedOn w:val="11"/>
    <w:next w:val="11"/>
    <w:link w:val="59"/>
    <w:unhideWhenUsed/>
    <w:qFormat/>
    <w:uiPriority w:val="0"/>
    <w:rPr>
      <w:rFonts w:asciiTheme="minorHAnsi" w:hAnsiTheme="minorHAnsi" w:cstheme="minorBidi"/>
      <w:b/>
      <w:bCs/>
      <w:lang w:val="zh-CN" w:eastAsia="zh-CN"/>
    </w:rPr>
  </w:style>
  <w:style w:type="table" w:styleId="30">
    <w:name w:val="Table Grid"/>
    <w:basedOn w:val="29"/>
    <w:qFormat/>
    <w:uiPriority w:val="39"/>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2">
    <w:name w:val="page number"/>
    <w:basedOn w:val="31"/>
    <w:qFormat/>
    <w:uiPriority w:val="0"/>
  </w:style>
  <w:style w:type="character" w:styleId="33">
    <w:name w:val="FollowedHyperlink"/>
    <w:qFormat/>
    <w:uiPriority w:val="99"/>
    <w:rPr>
      <w:color w:val="800080"/>
      <w:u w:val="single"/>
    </w:rPr>
  </w:style>
  <w:style w:type="character" w:styleId="34">
    <w:name w:val="Hyperlink"/>
    <w:qFormat/>
    <w:uiPriority w:val="99"/>
    <w:rPr>
      <w:color w:val="0000FF"/>
      <w:u w:val="single"/>
    </w:rPr>
  </w:style>
  <w:style w:type="character" w:styleId="35">
    <w:name w:val="annotation reference"/>
    <w:qFormat/>
    <w:uiPriority w:val="0"/>
    <w:rPr>
      <w:sz w:val="21"/>
      <w:szCs w:val="21"/>
    </w:rPr>
  </w:style>
  <w:style w:type="character" w:customStyle="1" w:styleId="36">
    <w:name w:val="页眉 Char"/>
    <w:basedOn w:val="31"/>
    <w:link w:val="19"/>
    <w:qFormat/>
    <w:uiPriority w:val="99"/>
    <w:rPr>
      <w:sz w:val="18"/>
      <w:szCs w:val="18"/>
    </w:rPr>
  </w:style>
  <w:style w:type="character" w:customStyle="1" w:styleId="37">
    <w:name w:val="页脚 Char"/>
    <w:basedOn w:val="31"/>
    <w:link w:val="18"/>
    <w:qFormat/>
    <w:uiPriority w:val="99"/>
    <w:rPr>
      <w:sz w:val="18"/>
      <w:szCs w:val="18"/>
    </w:rPr>
  </w:style>
  <w:style w:type="character" w:customStyle="1" w:styleId="38">
    <w:name w:val="标题 1 Char"/>
    <w:basedOn w:val="31"/>
    <w:link w:val="3"/>
    <w:qFormat/>
    <w:uiPriority w:val="9"/>
    <w:rPr>
      <w:rFonts w:ascii="宋体" w:hAnsi="宋体" w:eastAsia="宋体" w:cs="宋体"/>
      <w:b/>
      <w:bCs/>
      <w:kern w:val="36"/>
      <w:szCs w:val="21"/>
    </w:rPr>
  </w:style>
  <w:style w:type="character" w:customStyle="1" w:styleId="39">
    <w:name w:val="标题 2 Char"/>
    <w:basedOn w:val="31"/>
    <w:link w:val="2"/>
    <w:qFormat/>
    <w:uiPriority w:val="9"/>
    <w:rPr>
      <w:rFonts w:ascii="Calibri Light" w:hAnsi="Calibri Light" w:eastAsia="宋体" w:cs="Times New Roman"/>
      <w:b/>
      <w:bCs/>
      <w:sz w:val="32"/>
      <w:szCs w:val="32"/>
    </w:rPr>
  </w:style>
  <w:style w:type="character" w:customStyle="1" w:styleId="40">
    <w:name w:val="标题 3 Char"/>
    <w:basedOn w:val="31"/>
    <w:link w:val="4"/>
    <w:qFormat/>
    <w:uiPriority w:val="9"/>
    <w:rPr>
      <w:rFonts w:ascii="Times New Roman" w:hAnsi="Times New Roman" w:eastAsia="宋体" w:cs="Times New Roman"/>
      <w:b/>
      <w:bCs/>
      <w:kern w:val="0"/>
      <w:sz w:val="32"/>
      <w:szCs w:val="32"/>
    </w:rPr>
  </w:style>
  <w:style w:type="character" w:customStyle="1" w:styleId="41">
    <w:name w:val="标题 4 Char"/>
    <w:basedOn w:val="31"/>
    <w:link w:val="5"/>
    <w:qFormat/>
    <w:uiPriority w:val="9"/>
    <w:rPr>
      <w:rFonts w:ascii="Calibri Light" w:hAnsi="Calibri Light" w:eastAsia="宋体" w:cs="Times New Roman"/>
      <w:b/>
      <w:bCs/>
      <w:sz w:val="28"/>
      <w:szCs w:val="28"/>
    </w:rPr>
  </w:style>
  <w:style w:type="character" w:customStyle="1" w:styleId="42">
    <w:name w:val="标题 5 Char"/>
    <w:basedOn w:val="31"/>
    <w:link w:val="6"/>
    <w:qFormat/>
    <w:uiPriority w:val="9"/>
    <w:rPr>
      <w:rFonts w:ascii="Times New Roman" w:hAnsi="Times New Roman" w:eastAsia="宋体" w:cs="Times New Roman"/>
      <w:b/>
      <w:bCs/>
      <w:sz w:val="28"/>
      <w:szCs w:val="28"/>
    </w:rPr>
  </w:style>
  <w:style w:type="character" w:customStyle="1" w:styleId="43">
    <w:name w:val="标题 6 Char"/>
    <w:basedOn w:val="31"/>
    <w:link w:val="7"/>
    <w:qFormat/>
    <w:uiPriority w:val="9"/>
    <w:rPr>
      <w:rFonts w:ascii="Cambria" w:hAnsi="Cambria" w:eastAsia="宋体" w:cs="宋体"/>
      <w:b/>
      <w:bCs/>
      <w:kern w:val="0"/>
      <w:sz w:val="24"/>
      <w:szCs w:val="24"/>
    </w:rPr>
  </w:style>
  <w:style w:type="character" w:customStyle="1" w:styleId="44">
    <w:name w:val="charchar1"/>
    <w:qFormat/>
    <w:uiPriority w:val="0"/>
    <w:rPr>
      <w:rFonts w:hint="default" w:ascii="Times New Roman" w:hAnsi="Times New Roman" w:cs="Times New Roman"/>
    </w:rPr>
  </w:style>
  <w:style w:type="character" w:customStyle="1" w:styleId="45">
    <w:name w:val="font11"/>
    <w:qFormat/>
    <w:uiPriority w:val="0"/>
    <w:rPr>
      <w:rFonts w:hint="default" w:ascii="Calibri" w:hAnsi="Calibri" w:cs="Calibri"/>
      <w:color w:val="1F497D"/>
      <w:sz w:val="21"/>
      <w:szCs w:val="21"/>
      <w:u w:val="none"/>
    </w:rPr>
  </w:style>
  <w:style w:type="character" w:customStyle="1" w:styleId="46">
    <w:name w:val="font71"/>
    <w:qFormat/>
    <w:uiPriority w:val="0"/>
    <w:rPr>
      <w:rFonts w:ascii="font-weight : 400" w:hAnsi="font-weight : 400" w:eastAsia="font-weight : 400" w:cs="font-weight : 400"/>
      <w:color w:val="000000"/>
      <w:sz w:val="21"/>
      <w:szCs w:val="21"/>
      <w:u w:val="none"/>
    </w:rPr>
  </w:style>
  <w:style w:type="character" w:customStyle="1" w:styleId="47">
    <w:name w:val="font81"/>
    <w:qFormat/>
    <w:uiPriority w:val="0"/>
    <w:rPr>
      <w:rFonts w:ascii="Calibri" w:hAnsi="Calibri" w:cs="Calibri"/>
      <w:color w:val="000000"/>
      <w:sz w:val="21"/>
      <w:szCs w:val="21"/>
      <w:u w:val="none"/>
    </w:rPr>
  </w:style>
  <w:style w:type="character" w:customStyle="1" w:styleId="48">
    <w:name w:val="font61"/>
    <w:qFormat/>
    <w:uiPriority w:val="0"/>
    <w:rPr>
      <w:rFonts w:hint="eastAsia" w:ascii="宋体" w:hAnsi="宋体" w:eastAsia="宋体" w:cs="宋体"/>
      <w:color w:val="000000"/>
      <w:sz w:val="20"/>
      <w:szCs w:val="20"/>
      <w:u w:val="none"/>
    </w:rPr>
  </w:style>
  <w:style w:type="character" w:customStyle="1" w:styleId="49">
    <w:name w:val="font21"/>
    <w:qFormat/>
    <w:uiPriority w:val="0"/>
    <w:rPr>
      <w:rFonts w:ascii="Calibri" w:hAnsi="Calibri" w:cs="Calibri"/>
      <w:color w:val="000000"/>
      <w:sz w:val="21"/>
      <w:szCs w:val="21"/>
      <w:u w:val="none"/>
    </w:rPr>
  </w:style>
  <w:style w:type="character" w:customStyle="1" w:styleId="50">
    <w:name w:val="日期 Char"/>
    <w:basedOn w:val="31"/>
    <w:link w:val="16"/>
    <w:qFormat/>
    <w:uiPriority w:val="0"/>
    <w:rPr>
      <w:rFonts w:ascii="Times New Roman" w:hAnsi="Times New Roman" w:eastAsia="宋体" w:cs="Times New Roman"/>
      <w:kern w:val="0"/>
      <w:sz w:val="24"/>
      <w:szCs w:val="24"/>
    </w:rPr>
  </w:style>
  <w:style w:type="character" w:customStyle="1" w:styleId="51">
    <w:name w:val="纯文本 Char"/>
    <w:basedOn w:val="31"/>
    <w:link w:val="14"/>
    <w:qFormat/>
    <w:uiPriority w:val="0"/>
    <w:rPr>
      <w:rFonts w:ascii="宋体" w:hAnsi="宋体" w:eastAsia="宋体" w:cs="宋体"/>
      <w:kern w:val="0"/>
      <w:szCs w:val="21"/>
    </w:rPr>
  </w:style>
  <w:style w:type="paragraph" w:customStyle="1" w:styleId="52">
    <w:name w:val="p0"/>
    <w:basedOn w:val="1"/>
    <w:qFormat/>
    <w:uiPriority w:val="0"/>
    <w:pPr>
      <w:widowControl/>
    </w:pPr>
    <w:rPr>
      <w:rFonts w:ascii="宋体" w:hAnsi="宋体" w:cs="宋体"/>
      <w:kern w:val="0"/>
      <w:szCs w:val="21"/>
    </w:rPr>
  </w:style>
  <w:style w:type="paragraph" w:customStyle="1" w:styleId="53">
    <w:name w:val="文档结构图1"/>
    <w:basedOn w:val="1"/>
    <w:next w:val="10"/>
    <w:link w:val="54"/>
    <w:qFormat/>
    <w:uiPriority w:val="0"/>
    <w:pPr>
      <w:spacing w:line="360" w:lineRule="auto"/>
      <w:ind w:firstLine="200" w:firstLineChars="200"/>
    </w:pPr>
    <w:rPr>
      <w:rFonts w:ascii="宋体" w:hAnsi="Calibri" w:eastAsia="楷体"/>
      <w:sz w:val="18"/>
      <w:szCs w:val="18"/>
      <w:lang w:val="zh-CN" w:eastAsia="zh-CN"/>
    </w:rPr>
  </w:style>
  <w:style w:type="character" w:customStyle="1" w:styleId="54">
    <w:name w:val="文档结构图 Char"/>
    <w:link w:val="53"/>
    <w:qFormat/>
    <w:uiPriority w:val="0"/>
    <w:rPr>
      <w:rFonts w:ascii="宋体" w:hAnsi="Calibri" w:eastAsia="楷体" w:cs="Times New Roman"/>
      <w:sz w:val="18"/>
      <w:szCs w:val="18"/>
      <w:lang w:val="zh-CN" w:eastAsia="zh-CN"/>
    </w:rPr>
  </w:style>
  <w:style w:type="table" w:customStyle="1" w:styleId="55">
    <w:name w:val="网格型1"/>
    <w:basedOn w:val="29"/>
    <w:qFormat/>
    <w:uiPriority w:val="0"/>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56">
    <w:name w:val="批注文字1"/>
    <w:basedOn w:val="1"/>
    <w:next w:val="11"/>
    <w:link w:val="57"/>
    <w:qFormat/>
    <w:uiPriority w:val="0"/>
    <w:pPr>
      <w:spacing w:line="360" w:lineRule="auto"/>
      <w:ind w:firstLine="200" w:firstLineChars="200"/>
      <w:jc w:val="left"/>
    </w:pPr>
    <w:rPr>
      <w:rFonts w:ascii="Calibri" w:hAnsi="Calibri" w:eastAsia="楷体"/>
      <w:sz w:val="24"/>
      <w:szCs w:val="22"/>
      <w:lang w:val="zh-CN" w:eastAsia="zh-CN"/>
    </w:rPr>
  </w:style>
  <w:style w:type="character" w:customStyle="1" w:styleId="57">
    <w:name w:val="批注文字 Char"/>
    <w:link w:val="56"/>
    <w:qFormat/>
    <w:uiPriority w:val="0"/>
    <w:rPr>
      <w:rFonts w:ascii="Calibri" w:hAnsi="Calibri" w:eastAsia="楷体" w:cs="Times New Roman"/>
      <w:sz w:val="24"/>
      <w:lang w:val="zh-CN" w:eastAsia="zh-CN"/>
    </w:rPr>
  </w:style>
  <w:style w:type="paragraph" w:customStyle="1" w:styleId="58">
    <w:name w:val="批注主题1"/>
    <w:basedOn w:val="11"/>
    <w:next w:val="11"/>
    <w:qFormat/>
    <w:uiPriority w:val="0"/>
    <w:rPr>
      <w:b/>
      <w:bCs/>
      <w:lang w:val="zh-CN" w:eastAsia="zh-CN"/>
    </w:rPr>
  </w:style>
  <w:style w:type="character" w:customStyle="1" w:styleId="59">
    <w:name w:val="批注主题 Char"/>
    <w:link w:val="28"/>
    <w:qFormat/>
    <w:uiPriority w:val="0"/>
    <w:rPr>
      <w:rFonts w:eastAsia="楷体"/>
      <w:b/>
      <w:bCs/>
      <w:sz w:val="24"/>
      <w:lang w:val="zh-CN" w:eastAsia="zh-CN"/>
    </w:rPr>
  </w:style>
  <w:style w:type="paragraph" w:customStyle="1" w:styleId="60">
    <w:name w:val="批注框文本1"/>
    <w:basedOn w:val="1"/>
    <w:next w:val="17"/>
    <w:link w:val="61"/>
    <w:qFormat/>
    <w:uiPriority w:val="0"/>
    <w:pPr>
      <w:spacing w:line="360" w:lineRule="auto"/>
      <w:ind w:firstLine="200" w:firstLineChars="200"/>
    </w:pPr>
    <w:rPr>
      <w:rFonts w:ascii="Calibri" w:hAnsi="Calibri" w:eastAsia="楷体"/>
      <w:sz w:val="18"/>
      <w:szCs w:val="18"/>
      <w:lang w:val="zh-CN" w:eastAsia="zh-CN"/>
    </w:rPr>
  </w:style>
  <w:style w:type="character" w:customStyle="1" w:styleId="61">
    <w:name w:val="批注框文本 Char"/>
    <w:link w:val="60"/>
    <w:qFormat/>
    <w:uiPriority w:val="0"/>
    <w:rPr>
      <w:rFonts w:ascii="Calibri" w:hAnsi="Calibri" w:eastAsia="楷体" w:cs="Times New Roman"/>
      <w:sz w:val="18"/>
      <w:szCs w:val="18"/>
      <w:lang w:val="zh-CN" w:eastAsia="zh-CN"/>
    </w:rPr>
  </w:style>
  <w:style w:type="paragraph" w:customStyle="1" w:styleId="62">
    <w:name w:val="font0"/>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4"/>
      <w:szCs w:val="22"/>
    </w:rPr>
  </w:style>
  <w:style w:type="paragraph" w:customStyle="1" w:styleId="63">
    <w:name w:val="font5"/>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18"/>
      <w:szCs w:val="18"/>
    </w:rPr>
  </w:style>
  <w:style w:type="paragraph" w:customStyle="1" w:styleId="64">
    <w:name w:val="font6"/>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20"/>
    </w:rPr>
  </w:style>
  <w:style w:type="paragraph" w:customStyle="1" w:styleId="65">
    <w:name w:val="font7"/>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18"/>
      <w:szCs w:val="18"/>
    </w:rPr>
  </w:style>
  <w:style w:type="paragraph" w:customStyle="1" w:styleId="66">
    <w:name w:val="font8"/>
    <w:basedOn w:val="1"/>
    <w:qFormat/>
    <w:uiPriority w:val="0"/>
    <w:pPr>
      <w:widowControl/>
      <w:spacing w:before="100" w:beforeAutospacing="1" w:after="100" w:afterAutospacing="1" w:line="360" w:lineRule="auto"/>
      <w:ind w:firstLine="200" w:firstLineChars="200"/>
      <w:jc w:val="left"/>
    </w:pPr>
    <w:rPr>
      <w:rFonts w:ascii="宋体" w:hAnsi="宋体" w:eastAsia="楷体" w:cs="宋体"/>
      <w:b/>
      <w:bCs/>
      <w:kern w:val="0"/>
      <w:sz w:val="24"/>
      <w:szCs w:val="22"/>
    </w:rPr>
  </w:style>
  <w:style w:type="paragraph" w:customStyle="1" w:styleId="67">
    <w:name w:val="font9"/>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0"/>
    </w:rPr>
  </w:style>
  <w:style w:type="paragraph" w:customStyle="1" w:styleId="68">
    <w:name w:val="font10"/>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4"/>
      <w:szCs w:val="21"/>
    </w:rPr>
  </w:style>
  <w:style w:type="paragraph" w:customStyle="1" w:styleId="69">
    <w:name w:val="font12"/>
    <w:basedOn w:val="1"/>
    <w:qFormat/>
    <w:uiPriority w:val="0"/>
    <w:pPr>
      <w:widowControl/>
      <w:spacing w:before="100" w:beforeAutospacing="1" w:after="100" w:afterAutospacing="1" w:line="360" w:lineRule="auto"/>
      <w:ind w:firstLine="200" w:firstLineChars="200"/>
      <w:jc w:val="left"/>
    </w:pPr>
    <w:rPr>
      <w:rFonts w:ascii="Calibri" w:hAnsi="Calibri" w:eastAsia="楷体" w:cs="宋体"/>
      <w:color w:val="FF9900"/>
      <w:kern w:val="0"/>
      <w:sz w:val="24"/>
      <w:szCs w:val="22"/>
    </w:rPr>
  </w:style>
  <w:style w:type="paragraph" w:customStyle="1" w:styleId="70">
    <w:name w:val="font13"/>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0"/>
    </w:rPr>
  </w:style>
  <w:style w:type="paragraph" w:customStyle="1" w:styleId="71">
    <w:name w:val="font14"/>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72">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3">
    <w:name w:val="xl73"/>
    <w:basedOn w:val="1"/>
    <w:qFormat/>
    <w:uiPriority w:val="0"/>
    <w:pPr>
      <w:widowControl/>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74">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5">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6">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77">
    <w:name w:val="xl7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8">
    <w:name w:val="xl7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9">
    <w:name w:val="xl8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0">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81">
    <w:name w:val="xl82"/>
    <w:basedOn w:val="1"/>
    <w:qFormat/>
    <w:uiPriority w:val="0"/>
    <w:pPr>
      <w:widowControl/>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82">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3">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84">
    <w:name w:val="xl85"/>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85">
    <w:name w:val="xl86"/>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6">
    <w:name w:val="xl87"/>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7">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8">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89">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90">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91">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2">
    <w:name w:val="xl93"/>
    <w:basedOn w:val="1"/>
    <w:qFormat/>
    <w:uiPriority w:val="0"/>
    <w:pPr>
      <w:widowControl/>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3">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4">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仿宋_GB2312" w:hAnsi="宋体" w:eastAsia="仿宋_GB2312" w:cs="宋体"/>
      <w:kern w:val="0"/>
      <w:sz w:val="20"/>
    </w:rPr>
  </w:style>
  <w:style w:type="paragraph" w:customStyle="1" w:styleId="95">
    <w:name w:val="xl96"/>
    <w:basedOn w:val="1"/>
    <w:qFormat/>
    <w:uiPriority w:val="0"/>
    <w:pPr>
      <w:widowControl/>
      <w:shd w:val="clear" w:color="000000" w:fill="FFFFFF"/>
      <w:spacing w:before="100" w:beforeAutospacing="1" w:after="100" w:afterAutospacing="1" w:line="360" w:lineRule="auto"/>
      <w:ind w:firstLine="200" w:firstLineChars="200"/>
      <w:jc w:val="left"/>
      <w:textAlignment w:val="bottom"/>
    </w:pPr>
    <w:rPr>
      <w:rFonts w:ascii="宋体" w:hAnsi="宋体" w:eastAsia="楷体" w:cs="宋体"/>
      <w:kern w:val="0"/>
      <w:sz w:val="20"/>
    </w:rPr>
  </w:style>
  <w:style w:type="paragraph" w:customStyle="1" w:styleId="96">
    <w:name w:val="xl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97">
    <w:name w:val="xl98"/>
    <w:basedOn w:val="1"/>
    <w:qFormat/>
    <w:uiPriority w:val="0"/>
    <w:pPr>
      <w:widowControl/>
      <w:shd w:val="clear" w:color="000000" w:fill="FFFFFF"/>
      <w:spacing w:before="100" w:beforeAutospacing="1" w:after="100" w:afterAutospacing="1" w:line="360" w:lineRule="auto"/>
      <w:ind w:firstLine="200" w:firstLineChars="200"/>
      <w:jc w:val="left"/>
      <w:textAlignment w:val="bottom"/>
    </w:pPr>
    <w:rPr>
      <w:rFonts w:ascii="宋体" w:hAnsi="宋体" w:eastAsia="楷体" w:cs="宋体"/>
      <w:kern w:val="0"/>
      <w:sz w:val="24"/>
      <w:szCs w:val="22"/>
    </w:rPr>
  </w:style>
  <w:style w:type="paragraph" w:customStyle="1" w:styleId="98">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99">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0">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1">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2">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3">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4">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5">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4"/>
      <w:szCs w:val="22"/>
    </w:rPr>
  </w:style>
  <w:style w:type="paragraph" w:customStyle="1" w:styleId="106">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7">
    <w:name w:val="xl108"/>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8">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109">
    <w:name w:val="xl110"/>
    <w:basedOn w:val="1"/>
    <w:qFormat/>
    <w:uiPriority w:val="0"/>
    <w:pPr>
      <w:widowControl/>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110">
    <w:name w:val="xl1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11">
    <w:name w:val="xl1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112">
    <w:name w:val="????nd1"/>
    <w:basedOn w:val="1"/>
    <w:next w:val="9"/>
    <w:link w:val="113"/>
    <w:qFormat/>
    <w:uiPriority w:val="0"/>
    <w:pPr>
      <w:autoSpaceDE w:val="0"/>
      <w:autoSpaceDN w:val="0"/>
      <w:spacing w:line="360" w:lineRule="auto"/>
      <w:ind w:left="181" w:firstLine="420" w:firstLineChars="200"/>
    </w:pPr>
    <w:rPr>
      <w:rFonts w:ascii="Calibri" w:hAnsi="Calibri" w:eastAsia="楷体"/>
      <w:sz w:val="24"/>
    </w:rPr>
  </w:style>
  <w:style w:type="character" w:customStyle="1" w:styleId="113">
    <w:name w:val="正文缩进 Char"/>
    <w:link w:val="112"/>
    <w:qFormat/>
    <w:uiPriority w:val="0"/>
    <w:rPr>
      <w:rFonts w:ascii="Calibri" w:hAnsi="Calibri" w:eastAsia="楷体" w:cs="Times New Roman"/>
      <w:sz w:val="24"/>
      <w:szCs w:val="20"/>
    </w:rPr>
  </w:style>
  <w:style w:type="paragraph" w:customStyle="1" w:styleId="114">
    <w:name w:val="chart text"/>
    <w:basedOn w:val="1"/>
    <w:qFormat/>
    <w:uiPriority w:val="0"/>
    <w:pPr>
      <w:widowControl/>
      <w:spacing w:line="180" w:lineRule="exact"/>
      <w:ind w:firstLine="200" w:firstLineChars="200"/>
      <w:jc w:val="left"/>
    </w:pPr>
    <w:rPr>
      <w:rFonts w:ascii="Futura Bk" w:hAnsi="Futura Bk" w:eastAsia="楷体" w:cs="Futura Bk"/>
      <w:kern w:val="0"/>
      <w:sz w:val="14"/>
      <w:szCs w:val="14"/>
    </w:rPr>
  </w:style>
  <w:style w:type="paragraph" w:customStyle="1" w:styleId="115">
    <w:name w:val="标题1"/>
    <w:basedOn w:val="1"/>
    <w:next w:val="1"/>
    <w:qFormat/>
    <w:uiPriority w:val="10"/>
    <w:pPr>
      <w:spacing w:before="240" w:after="60" w:line="360" w:lineRule="auto"/>
      <w:ind w:firstLine="200" w:firstLineChars="200"/>
      <w:jc w:val="center"/>
      <w:outlineLvl w:val="0"/>
    </w:pPr>
    <w:rPr>
      <w:rFonts w:ascii="Calibri Light" w:hAnsi="Calibri Light"/>
      <w:b/>
      <w:bCs/>
      <w:sz w:val="32"/>
      <w:szCs w:val="32"/>
    </w:rPr>
  </w:style>
  <w:style w:type="character" w:customStyle="1" w:styleId="116">
    <w:name w:val="标题 Char"/>
    <w:link w:val="27"/>
    <w:qFormat/>
    <w:uiPriority w:val="10"/>
    <w:rPr>
      <w:rFonts w:ascii="Calibri Light" w:hAnsi="Calibri Light"/>
      <w:b/>
      <w:bCs/>
      <w:sz w:val="32"/>
      <w:szCs w:val="32"/>
    </w:rPr>
  </w:style>
  <w:style w:type="character" w:customStyle="1" w:styleId="117">
    <w:name w:val="文档结构图 Char1"/>
    <w:basedOn w:val="31"/>
    <w:link w:val="10"/>
    <w:qFormat/>
    <w:uiPriority w:val="99"/>
    <w:rPr>
      <w:rFonts w:ascii="Microsoft YaHei UI" w:hAnsi="Calibri" w:eastAsia="Microsoft YaHei UI" w:cs="Times New Roman"/>
      <w:sz w:val="18"/>
      <w:szCs w:val="18"/>
    </w:rPr>
  </w:style>
  <w:style w:type="character" w:customStyle="1" w:styleId="118">
    <w:name w:val="批注文字 Char1"/>
    <w:basedOn w:val="31"/>
    <w:link w:val="11"/>
    <w:qFormat/>
    <w:uiPriority w:val="99"/>
    <w:rPr>
      <w:rFonts w:ascii="Calibri" w:hAnsi="Calibri" w:eastAsia="楷体" w:cs="Times New Roman"/>
      <w:sz w:val="24"/>
    </w:rPr>
  </w:style>
  <w:style w:type="character" w:customStyle="1" w:styleId="119">
    <w:name w:val="批注主题 Char1"/>
    <w:basedOn w:val="118"/>
    <w:qFormat/>
    <w:uiPriority w:val="99"/>
    <w:rPr>
      <w:rFonts w:ascii="Calibri" w:hAnsi="Calibri" w:eastAsia="楷体" w:cs="Times New Roman"/>
      <w:b/>
      <w:bCs/>
      <w:sz w:val="24"/>
    </w:rPr>
  </w:style>
  <w:style w:type="character" w:customStyle="1" w:styleId="120">
    <w:name w:val="批注框文本 Char1"/>
    <w:basedOn w:val="31"/>
    <w:link w:val="17"/>
    <w:qFormat/>
    <w:uiPriority w:val="99"/>
    <w:rPr>
      <w:rFonts w:ascii="Calibri" w:hAnsi="Calibri" w:eastAsia="楷体" w:cs="Times New Roman"/>
      <w:sz w:val="18"/>
      <w:szCs w:val="18"/>
    </w:rPr>
  </w:style>
  <w:style w:type="character" w:customStyle="1" w:styleId="121">
    <w:name w:val="标题 Char1"/>
    <w:basedOn w:val="31"/>
    <w:qFormat/>
    <w:uiPriority w:val="10"/>
    <w:rPr>
      <w:rFonts w:eastAsia="宋体" w:asciiTheme="majorHAnsi" w:hAnsiTheme="majorHAnsi" w:cstheme="majorBidi"/>
      <w:b/>
      <w:bCs/>
      <w:sz w:val="32"/>
      <w:szCs w:val="32"/>
    </w:rPr>
  </w:style>
  <w:style w:type="paragraph" w:styleId="122">
    <w:name w:val="List Paragraph"/>
    <w:basedOn w:val="1"/>
    <w:qFormat/>
    <w:uiPriority w:val="34"/>
    <w:pPr>
      <w:spacing w:line="360" w:lineRule="auto"/>
      <w:ind w:firstLine="420" w:firstLineChars="200"/>
    </w:pPr>
    <w:rPr>
      <w:rFonts w:ascii="Calibri" w:hAnsi="Calibri" w:eastAsia="楷体"/>
      <w:sz w:val="24"/>
      <w:szCs w:val="22"/>
    </w:rPr>
  </w:style>
  <w:style w:type="paragraph" w:customStyle="1" w:styleId="123">
    <w:name w:val="xl65"/>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24">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4"/>
      <w:szCs w:val="24"/>
    </w:rPr>
  </w:style>
  <w:style w:type="paragraph" w:customStyle="1" w:styleId="125">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4"/>
      <w:szCs w:val="24"/>
    </w:rPr>
  </w:style>
  <w:style w:type="paragraph" w:customStyle="1" w:styleId="126">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FF0000"/>
      <w:kern w:val="0"/>
      <w:sz w:val="24"/>
      <w:szCs w:val="24"/>
    </w:rPr>
  </w:style>
  <w:style w:type="paragraph" w:customStyle="1" w:styleId="127">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4"/>
      <w:szCs w:val="24"/>
    </w:rPr>
  </w:style>
  <w:style w:type="paragraph" w:customStyle="1" w:styleId="128">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FF0000"/>
      <w:kern w:val="0"/>
      <w:sz w:val="24"/>
      <w:szCs w:val="24"/>
    </w:rPr>
  </w:style>
  <w:style w:type="paragraph" w:customStyle="1" w:styleId="129">
    <w:name w:val="xl71"/>
    <w:basedOn w:val="1"/>
    <w:qFormat/>
    <w:uiPriority w:val="0"/>
    <w:pPr>
      <w:widowControl/>
      <w:spacing w:before="100" w:beforeAutospacing="1" w:after="100" w:afterAutospacing="1"/>
      <w:jc w:val="center"/>
    </w:pPr>
    <w:rPr>
      <w:rFonts w:ascii="宋体" w:hAnsi="宋体" w:cs="宋体"/>
      <w:kern w:val="0"/>
      <w:sz w:val="24"/>
      <w:szCs w:val="24"/>
    </w:rPr>
  </w:style>
  <w:style w:type="paragraph" w:customStyle="1" w:styleId="130">
    <w:name w:val="xl7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4"/>
      <w:szCs w:val="24"/>
    </w:rPr>
  </w:style>
  <w:style w:type="paragraph" w:customStyle="1" w:styleId="131">
    <w:name w:val="须知前附表-带自动编号"/>
    <w:basedOn w:val="1"/>
    <w:next w:val="1"/>
    <w:qFormat/>
    <w:uiPriority w:val="0"/>
    <w:pPr>
      <w:numPr>
        <w:ilvl w:val="0"/>
        <w:numId w:val="2"/>
      </w:numPr>
      <w:tabs>
        <w:tab w:val="left" w:pos="536"/>
      </w:tabs>
      <w:adjustRightInd w:val="0"/>
      <w:snapToGrid w:val="0"/>
    </w:pPr>
    <w:rPr>
      <w:rFonts w:ascii="仿宋_GB2312" w:hAnsi="Calibri" w:eastAsia="仿宋_GB2312"/>
      <w:sz w:val="24"/>
      <w:szCs w:val="21"/>
    </w:rPr>
  </w:style>
  <w:style w:type="paragraph" w:customStyle="1" w:styleId="132">
    <w:name w:val="图文"/>
    <w:basedOn w:val="1"/>
    <w:qFormat/>
    <w:uiPriority w:val="0"/>
    <w:pPr>
      <w:adjustRightInd w:val="0"/>
      <w:snapToGrid w:val="0"/>
      <w:spacing w:after="50" w:line="360" w:lineRule="auto"/>
    </w:pPr>
    <w:rPr>
      <w:sz w:val="24"/>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45</Pages>
  <Words>14792</Words>
  <Characters>15680</Characters>
  <Lines>83</Lines>
  <Paragraphs>23</Paragraphs>
  <TotalTime>10</TotalTime>
  <ScaleCrop>false</ScaleCrop>
  <LinksUpToDate>false</LinksUpToDate>
  <CharactersWithSpaces>16262</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2019-09-24T08:39:00Z</dcterms:created>
  <dc:creator>侯霁洋</dc:creator>
  <cp:lastModifiedBy>刘莉莎</cp:lastModifiedBy>
  <dcterms:modified xsi:type="dcterms:W3CDTF">2025-02-10T06:28:27Z</dcterms:modified>
  <cp:revision>95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E303C133563B40C3B4FD8EF58F2956FF</vt:lpwstr>
  </property>
</Properties>
</file>