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hint="eastAsia" w:ascii="仿宋_GB2312" w:hAnsi="宋体" w:eastAsia="仿宋_GB2312"/>
          <w:b/>
          <w:sz w:val="28"/>
          <w:szCs w:val="28"/>
        </w:rPr>
      </w:pPr>
    </w:p>
    <w:p>
      <w:pPr>
        <w:jc w:val="center"/>
        <w:rPr>
          <w:rFonts w:hint="eastAsia" w:ascii="仿宋_GB2312" w:hAnsi="宋体" w:eastAsia="仿宋_GB2312"/>
          <w:b/>
          <w:sz w:val="36"/>
          <w:szCs w:val="36"/>
        </w:rPr>
      </w:pPr>
    </w:p>
    <w:p>
      <w:pPr>
        <w:jc w:val="center"/>
        <w:rPr>
          <w:rFonts w:ascii="仿宋_GB2312" w:eastAsia="仿宋_GB2312"/>
          <w:sz w:val="72"/>
          <w:szCs w:val="72"/>
        </w:rPr>
      </w:pPr>
      <w:r>
        <w:rPr>
          <w:rFonts w:hint="eastAsia" w:ascii="仿宋_GB2312" w:hAnsi="宋体" w:eastAsia="仿宋_GB2312"/>
          <w:b/>
          <w:sz w:val="36"/>
          <w:szCs w:val="36"/>
        </w:rPr>
        <w:t>人保财险四川省成都市分公司金牛支公司“无人机安全飞行”事故预防服务采购项目</w:t>
      </w:r>
    </w:p>
    <w:p>
      <w:pPr>
        <w:jc w:val="center"/>
        <w:rPr>
          <w:rFonts w:ascii="仿宋_GB2312" w:eastAsia="仿宋_GB2312"/>
          <w:sz w:val="72"/>
          <w:szCs w:val="72"/>
        </w:rPr>
      </w:pPr>
    </w:p>
    <w:p>
      <w:pPr>
        <w:jc w:val="center"/>
        <w:rPr>
          <w:rFonts w:ascii="仿宋_GB2312" w:eastAsia="仿宋_GB2312"/>
          <w:sz w:val="72"/>
          <w:szCs w:val="72"/>
        </w:rPr>
      </w:pPr>
      <w:r>
        <w:rPr>
          <w:rFonts w:hint="eastAsia" w:ascii="仿宋_GB2312" w:eastAsia="仿宋_GB2312"/>
          <w:sz w:val="72"/>
          <w:szCs w:val="72"/>
        </w:rPr>
        <w:t>竞</w:t>
      </w:r>
    </w:p>
    <w:p>
      <w:pPr>
        <w:jc w:val="center"/>
        <w:rPr>
          <w:rFonts w:ascii="仿宋_GB2312" w:eastAsia="仿宋_GB2312"/>
          <w:sz w:val="72"/>
          <w:szCs w:val="72"/>
        </w:rPr>
      </w:pPr>
      <w:r>
        <w:rPr>
          <w:rFonts w:hint="eastAsia" w:ascii="仿宋_GB2312" w:eastAsia="仿宋_GB2312"/>
          <w:sz w:val="72"/>
          <w:szCs w:val="72"/>
        </w:rPr>
        <w:t>争</w:t>
      </w:r>
    </w:p>
    <w:p>
      <w:pPr>
        <w:jc w:val="center"/>
        <w:rPr>
          <w:rFonts w:ascii="仿宋_GB2312" w:eastAsia="仿宋_GB2312"/>
          <w:sz w:val="72"/>
          <w:szCs w:val="72"/>
        </w:rPr>
      </w:pPr>
      <w:r>
        <w:rPr>
          <w:rFonts w:hint="eastAsia" w:ascii="仿宋_GB2312" w:eastAsia="仿宋_GB2312"/>
          <w:sz w:val="72"/>
          <w:szCs w:val="72"/>
        </w:rPr>
        <w:t>性</w:t>
      </w:r>
    </w:p>
    <w:p>
      <w:pPr>
        <w:jc w:val="center"/>
        <w:rPr>
          <w:rFonts w:ascii="仿宋_GB2312" w:eastAsia="仿宋_GB2312"/>
          <w:sz w:val="72"/>
          <w:szCs w:val="72"/>
        </w:rPr>
      </w:pPr>
      <w:r>
        <w:rPr>
          <w:rFonts w:hint="eastAsia" w:ascii="仿宋_GB2312" w:eastAsia="仿宋_GB2312"/>
          <w:sz w:val="72"/>
          <w:szCs w:val="72"/>
        </w:rPr>
        <w:t>磋</w:t>
      </w:r>
    </w:p>
    <w:p>
      <w:pPr>
        <w:jc w:val="center"/>
        <w:rPr>
          <w:rFonts w:ascii="仿宋_GB2312" w:eastAsia="仿宋_GB2312"/>
          <w:sz w:val="72"/>
          <w:szCs w:val="72"/>
        </w:rPr>
      </w:pPr>
      <w:r>
        <w:rPr>
          <w:rFonts w:hint="eastAsia" w:ascii="仿宋_GB2312" w:eastAsia="仿宋_GB2312"/>
          <w:sz w:val="72"/>
          <w:szCs w:val="72"/>
        </w:rPr>
        <w:t>商</w:t>
      </w:r>
    </w:p>
    <w:p>
      <w:pPr>
        <w:jc w:val="center"/>
        <w:rPr>
          <w:rFonts w:ascii="仿宋_GB2312" w:eastAsia="仿宋_GB2312"/>
          <w:sz w:val="72"/>
          <w:szCs w:val="72"/>
        </w:rPr>
      </w:pPr>
      <w:r>
        <w:rPr>
          <w:rFonts w:hint="eastAsia" w:ascii="仿宋_GB2312" w:eastAsia="仿宋_GB2312"/>
          <w:sz w:val="72"/>
          <w:szCs w:val="72"/>
        </w:rPr>
        <w:t>文</w:t>
      </w:r>
    </w:p>
    <w:p>
      <w:pPr>
        <w:jc w:val="center"/>
        <w:rPr>
          <w:rFonts w:ascii="仿宋_GB2312" w:eastAsia="仿宋_GB2312"/>
          <w:sz w:val="72"/>
          <w:szCs w:val="72"/>
        </w:rPr>
      </w:pPr>
      <w:r>
        <w:rPr>
          <w:rFonts w:hint="eastAsia" w:ascii="仿宋_GB2312" w:eastAsia="仿宋_GB2312"/>
          <w:sz w:val="72"/>
          <w:szCs w:val="72"/>
        </w:rPr>
        <w:t>件</w:t>
      </w:r>
    </w:p>
    <w:p>
      <w:pPr>
        <w:pStyle w:val="2"/>
      </w:pPr>
    </w:p>
    <w:p>
      <w:pPr>
        <w:jc w:val="center"/>
        <w:rPr>
          <w:rFonts w:hint="eastAsia" w:ascii="仿宋_GB2312" w:hAnsi="宋体" w:eastAsia="仿宋_GB2312"/>
          <w:sz w:val="28"/>
          <w:szCs w:val="28"/>
        </w:rPr>
      </w:pPr>
    </w:p>
    <w:p>
      <w:pPr>
        <w:jc w:val="center"/>
        <w:rPr>
          <w:rFonts w:hint="eastAsia" w:ascii="仿宋_GB2312" w:hAnsi="宋体" w:eastAsia="仿宋_GB2312"/>
          <w:sz w:val="28"/>
          <w:szCs w:val="28"/>
        </w:rPr>
      </w:pPr>
    </w:p>
    <w:p>
      <w:pPr>
        <w:pStyle w:val="17"/>
        <w:ind w:left="113" w:leftChars="47"/>
        <w:jc w:val="center"/>
        <w:rPr>
          <w:rFonts w:hint="eastAsia" w:ascii="仿宋_GB2312" w:hAnsi="宋体" w:eastAsia="仿宋_GB2312"/>
          <w:b/>
          <w:sz w:val="28"/>
          <w:szCs w:val="28"/>
        </w:rPr>
      </w:pPr>
    </w:p>
    <w:p>
      <w:pPr>
        <w:pStyle w:val="17"/>
        <w:ind w:left="113" w:leftChars="47"/>
        <w:jc w:val="center"/>
        <w:rPr>
          <w:rFonts w:hint="eastAsia" w:ascii="仿宋_GB2312" w:hAnsi="宋体" w:eastAsia="仿宋_GB2312"/>
          <w:b/>
          <w:sz w:val="28"/>
          <w:szCs w:val="28"/>
        </w:rPr>
      </w:pPr>
    </w:p>
    <w:p>
      <w:pPr>
        <w:pStyle w:val="17"/>
        <w:ind w:left="113" w:leftChars="47"/>
        <w:jc w:val="center"/>
        <w:rPr>
          <w:rFonts w:hint="eastAsia" w:ascii="仿宋_GB2312" w:hAnsi="宋体" w:eastAsia="仿宋_GB2312"/>
          <w:b/>
          <w:sz w:val="28"/>
          <w:szCs w:val="28"/>
        </w:rPr>
      </w:pPr>
    </w:p>
    <w:p>
      <w:pPr>
        <w:pStyle w:val="17"/>
        <w:ind w:left="113" w:leftChars="47"/>
        <w:jc w:val="center"/>
        <w:rPr>
          <w:rFonts w:hint="eastAsia" w:ascii="仿宋_GB2312" w:hAnsi="宋体" w:eastAsia="仿宋_GB2312"/>
          <w:b/>
          <w:sz w:val="28"/>
          <w:szCs w:val="28"/>
        </w:rPr>
      </w:pPr>
      <w:r>
        <w:rPr>
          <w:rFonts w:hint="eastAsia" w:ascii="仿宋_GB2312" w:hAnsi="宋体" w:eastAsia="仿宋_GB2312"/>
          <w:b/>
          <w:sz w:val="28"/>
          <w:szCs w:val="28"/>
        </w:rPr>
        <w:t>2025年</w:t>
      </w:r>
      <w:r>
        <w:rPr>
          <w:rFonts w:hint="eastAsia" w:ascii="仿宋_GB2312" w:hAnsi="宋体" w:eastAsia="仿宋_GB2312"/>
          <w:b/>
          <w:sz w:val="28"/>
          <w:szCs w:val="28"/>
          <w:lang w:val="en-US" w:eastAsia="zh-CN"/>
        </w:rPr>
        <w:t>3</w:t>
      </w:r>
      <w:r>
        <w:rPr>
          <w:rFonts w:hint="eastAsia" w:ascii="仿宋_GB2312" w:hAnsi="宋体" w:eastAsia="仿宋_GB2312"/>
          <w:b/>
          <w:sz w:val="28"/>
          <w:szCs w:val="28"/>
        </w:rPr>
        <w:t>月</w:t>
      </w:r>
    </w:p>
    <w:p>
      <w:pPr>
        <w:spacing w:line="360" w:lineRule="auto"/>
        <w:jc w:val="center"/>
        <w:rPr>
          <w:rFonts w:hint="eastAsia" w:ascii="仿宋_GB2312" w:hAnsi="宋体" w:eastAsia="仿宋_GB2312"/>
          <w:b/>
          <w:sz w:val="36"/>
          <w:szCs w:val="28"/>
        </w:rPr>
        <w:sectPr>
          <w:footerReference r:id="rId3" w:type="even"/>
          <w:pgSz w:w="11906" w:h="16838"/>
          <w:pgMar w:top="1440" w:right="1134" w:bottom="1440" w:left="1134" w:header="851" w:footer="992" w:gutter="0"/>
          <w:cols w:space="720" w:num="1"/>
          <w:docGrid w:linePitch="326" w:charSpace="0"/>
        </w:sectPr>
      </w:pPr>
    </w:p>
    <w:p>
      <w:pPr>
        <w:spacing w:line="360" w:lineRule="auto"/>
        <w:jc w:val="center"/>
        <w:rPr>
          <w:rFonts w:hint="eastAsia" w:ascii="仿宋_GB2312" w:hAnsi="宋体" w:eastAsia="仿宋_GB2312"/>
          <w:b/>
          <w:sz w:val="36"/>
          <w:szCs w:val="28"/>
        </w:rPr>
      </w:pPr>
      <w:r>
        <w:rPr>
          <w:rFonts w:hint="eastAsia" w:ascii="仿宋_GB2312" w:hAnsi="宋体" w:eastAsia="仿宋_GB2312"/>
          <w:b/>
          <w:sz w:val="36"/>
          <w:szCs w:val="28"/>
        </w:rPr>
        <w:t>目     录</w:t>
      </w:r>
    </w:p>
    <w:p>
      <w:pPr>
        <w:pStyle w:val="22"/>
        <w:tabs>
          <w:tab w:val="right" w:leader="dot" w:pos="9628"/>
        </w:tabs>
        <w:rPr>
          <w:b w:val="0"/>
          <w:bCs w:val="0"/>
          <w:caps w:val="0"/>
          <w:kern w:val="2"/>
          <w:sz w:val="21"/>
          <w:szCs w:val="22"/>
        </w:rPr>
      </w:pPr>
      <w:r>
        <w:rPr>
          <w:rFonts w:hint="eastAsia" w:ascii="仿宋_GB2312" w:hAnsi="宋体" w:eastAsia="仿宋_GB2312"/>
          <w:b w:val="0"/>
          <w:bCs w:val="0"/>
        </w:rPr>
        <w:fldChar w:fldCharType="begin"/>
      </w:r>
      <w:r>
        <w:rPr>
          <w:rFonts w:hint="eastAsia" w:ascii="仿宋_GB2312" w:hAnsi="宋体" w:eastAsia="仿宋_GB2312"/>
          <w:b w:val="0"/>
          <w:bCs w:val="0"/>
        </w:rPr>
        <w:instrText xml:space="preserve">TOC \o "1-3" \h \u </w:instrText>
      </w:r>
      <w:r>
        <w:rPr>
          <w:rFonts w:hint="eastAsia" w:ascii="仿宋_GB2312" w:hAnsi="宋体" w:eastAsia="仿宋_GB2312"/>
          <w:b w:val="0"/>
          <w:bCs w:val="0"/>
        </w:rPr>
        <w:fldChar w:fldCharType="separate"/>
      </w:r>
      <w:r>
        <w:fldChar w:fldCharType="begin"/>
      </w:r>
      <w:r>
        <w:instrText xml:space="preserve"> HYPERLINK \l "_Toc186737790" </w:instrText>
      </w:r>
      <w:r>
        <w:fldChar w:fldCharType="separate"/>
      </w:r>
      <w:r>
        <w:rPr>
          <w:rStyle w:val="34"/>
          <w:rFonts w:hint="eastAsia" w:ascii="仿宋_GB2312" w:hAnsi="宋体" w:eastAsia="仿宋_GB2312"/>
        </w:rPr>
        <w:t>第一章</w:t>
      </w:r>
      <w:r>
        <w:rPr>
          <w:rStyle w:val="34"/>
          <w:rFonts w:ascii="仿宋_GB2312" w:hAnsi="宋体" w:eastAsia="仿宋_GB2312"/>
        </w:rPr>
        <w:t xml:space="preserve"> </w:t>
      </w:r>
      <w:r>
        <w:rPr>
          <w:rStyle w:val="34"/>
          <w:rFonts w:hint="eastAsia" w:ascii="仿宋_GB2312" w:hAnsi="宋体" w:eastAsia="仿宋_GB2312"/>
        </w:rPr>
        <w:t>竞争性磋商邀请</w:t>
      </w:r>
      <w:r>
        <w:tab/>
      </w:r>
      <w:r>
        <w:fldChar w:fldCharType="begin"/>
      </w:r>
      <w:r>
        <w:instrText xml:space="preserve"> PAGEREF _Toc186737790 \h </w:instrText>
      </w:r>
      <w:r>
        <w:fldChar w:fldCharType="separate"/>
      </w:r>
      <w:r>
        <w:t>3</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"_Toc186737791" </w:instrText>
      </w:r>
      <w:r>
        <w:fldChar w:fldCharType="separate"/>
      </w:r>
      <w:r>
        <w:rPr>
          <w:rStyle w:val="34"/>
          <w:rFonts w:hint="eastAsia" w:ascii="仿宋" w:hAnsi="仿宋" w:eastAsia="仿宋" w:cs="仿宋"/>
        </w:rPr>
        <w:t>一、项目概况与采购范围</w:t>
      </w:r>
      <w:r>
        <w:tab/>
      </w:r>
      <w:r>
        <w:fldChar w:fldCharType="begin"/>
      </w:r>
      <w:r>
        <w:instrText xml:space="preserve"> PAGEREF _Toc186737791 \h </w:instrText>
      </w:r>
      <w:r>
        <w:fldChar w:fldCharType="separate"/>
      </w:r>
      <w:r>
        <w:t>3</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"_Toc186737792" </w:instrText>
      </w:r>
      <w:r>
        <w:fldChar w:fldCharType="separate"/>
      </w:r>
      <w:r>
        <w:rPr>
          <w:rStyle w:val="34"/>
          <w:rFonts w:hint="eastAsia" w:ascii="仿宋" w:hAnsi="仿宋" w:eastAsia="仿宋" w:cs="仿宋"/>
        </w:rPr>
        <w:t>二、供应商资格要求</w:t>
      </w:r>
      <w:r>
        <w:tab/>
      </w:r>
      <w:r>
        <w:fldChar w:fldCharType="begin"/>
      </w:r>
      <w:r>
        <w:instrText xml:space="preserve"> PAGEREF _Toc186737792 \h </w:instrText>
      </w:r>
      <w:r>
        <w:fldChar w:fldCharType="separate"/>
      </w:r>
      <w:r>
        <w:t>3</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"_Toc186737793" </w:instrText>
      </w:r>
      <w:r>
        <w:fldChar w:fldCharType="separate"/>
      </w:r>
      <w:r>
        <w:rPr>
          <w:rStyle w:val="34"/>
          <w:rFonts w:hint="eastAsia" w:ascii="仿宋" w:hAnsi="仿宋" w:eastAsia="仿宋" w:cs="仿宋"/>
        </w:rPr>
        <w:t>三、磋商文件的获取</w:t>
      </w:r>
      <w:r>
        <w:tab/>
      </w:r>
      <w:r>
        <w:fldChar w:fldCharType="begin"/>
      </w:r>
      <w:r>
        <w:instrText xml:space="preserve"> PAGEREF _Toc186737793 \h </w:instrText>
      </w:r>
      <w:r>
        <w:fldChar w:fldCharType="separate"/>
      </w:r>
      <w:r>
        <w:t>4</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"_Toc186737794" </w:instrText>
      </w:r>
      <w:r>
        <w:fldChar w:fldCharType="separate"/>
      </w:r>
      <w:r>
        <w:rPr>
          <w:rStyle w:val="34"/>
          <w:rFonts w:hint="eastAsia" w:ascii="仿宋" w:hAnsi="仿宋" w:eastAsia="仿宋" w:cs="仿宋"/>
        </w:rPr>
        <w:t>四、响应文件的递交</w:t>
      </w:r>
      <w:r>
        <w:tab/>
      </w:r>
      <w:r>
        <w:fldChar w:fldCharType="begin"/>
      </w:r>
      <w:r>
        <w:instrText xml:space="preserve"> PAGEREF _Toc186737794 \h </w:instrText>
      </w:r>
      <w:r>
        <w:fldChar w:fldCharType="separate"/>
      </w:r>
      <w:r>
        <w:t>4</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"_Toc186737795" </w:instrText>
      </w:r>
      <w:r>
        <w:fldChar w:fldCharType="separate"/>
      </w:r>
      <w:r>
        <w:rPr>
          <w:rStyle w:val="34"/>
          <w:rFonts w:hint="eastAsia" w:ascii="仿宋" w:hAnsi="仿宋" w:eastAsia="仿宋" w:cs="仿宋"/>
        </w:rPr>
        <w:t>五、发布公告的媒介</w:t>
      </w:r>
      <w:r>
        <w:tab/>
      </w:r>
      <w:r>
        <w:fldChar w:fldCharType="begin"/>
      </w:r>
      <w:r>
        <w:instrText xml:space="preserve"> PAGEREF _Toc186737795 \h </w:instrText>
      </w:r>
      <w:r>
        <w:fldChar w:fldCharType="separate"/>
      </w:r>
      <w:r>
        <w:t>5</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"_Toc186737796" </w:instrText>
      </w:r>
      <w:r>
        <w:fldChar w:fldCharType="separate"/>
      </w:r>
      <w:r>
        <w:rPr>
          <w:rStyle w:val="34"/>
          <w:rFonts w:hint="eastAsia" w:ascii="仿宋" w:hAnsi="仿宋" w:eastAsia="仿宋" w:cs="仿宋"/>
        </w:rPr>
        <w:t>六、联系方式</w:t>
      </w:r>
      <w:r>
        <w:tab/>
      </w:r>
      <w:r>
        <w:fldChar w:fldCharType="begin"/>
      </w:r>
      <w:r>
        <w:instrText xml:space="preserve"> PAGEREF _Toc186737796 \h </w:instrText>
      </w:r>
      <w:r>
        <w:fldChar w:fldCharType="separate"/>
      </w:r>
      <w:r>
        <w:t>5</w:t>
      </w:r>
      <w:r>
        <w:fldChar w:fldCharType="end"/>
      </w:r>
      <w:r>
        <w:fldChar w:fldCharType="end"/>
      </w:r>
    </w:p>
    <w:p>
      <w:pPr>
        <w:pStyle w:val="22"/>
        <w:tabs>
          <w:tab w:val="right" w:leader="dot" w:pos="9628"/>
        </w:tabs>
        <w:rPr>
          <w:b w:val="0"/>
          <w:bCs w:val="0"/>
          <w:caps w:val="0"/>
          <w:kern w:val="2"/>
          <w:sz w:val="21"/>
          <w:szCs w:val="22"/>
        </w:rPr>
      </w:pPr>
      <w:r>
        <w:fldChar w:fldCharType="begin"/>
      </w:r>
      <w:r>
        <w:instrText xml:space="preserve"> HYPERLINK \l "_Toc186737797" </w:instrText>
      </w:r>
      <w:r>
        <w:fldChar w:fldCharType="separate"/>
      </w:r>
      <w:r>
        <w:rPr>
          <w:rStyle w:val="34"/>
          <w:rFonts w:hint="eastAsia" w:ascii="仿宋_GB2312" w:hAnsi="宋体" w:eastAsia="仿宋_GB2312"/>
        </w:rPr>
        <w:t>第二章</w:t>
      </w:r>
      <w:r>
        <w:rPr>
          <w:rStyle w:val="34"/>
          <w:rFonts w:ascii="仿宋_GB2312" w:hAnsi="宋体" w:eastAsia="仿宋_GB2312"/>
        </w:rPr>
        <w:t xml:space="preserve"> </w:t>
      </w:r>
      <w:r>
        <w:rPr>
          <w:rStyle w:val="34"/>
          <w:rFonts w:hint="eastAsia" w:ascii="仿宋_GB2312" w:hAnsi="宋体" w:eastAsia="仿宋_GB2312"/>
        </w:rPr>
        <w:t>供应商须知</w:t>
      </w:r>
      <w:r>
        <w:tab/>
      </w:r>
      <w:r>
        <w:fldChar w:fldCharType="begin"/>
      </w:r>
      <w:r>
        <w:instrText xml:space="preserve"> PAGEREF _Toc186737797 \h </w:instrText>
      </w:r>
      <w:r>
        <w:fldChar w:fldCharType="separate"/>
      </w:r>
      <w:r>
        <w:t>7</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"_Toc186737798" </w:instrText>
      </w:r>
      <w:r>
        <w:fldChar w:fldCharType="separate"/>
      </w:r>
      <w:r>
        <w:rPr>
          <w:rStyle w:val="34"/>
          <w:rFonts w:hint="eastAsia" w:ascii="仿宋" w:hAnsi="仿宋" w:eastAsia="仿宋" w:cs="仿宋"/>
        </w:rPr>
        <w:t>一、供应商须知前附表</w:t>
      </w:r>
      <w:r>
        <w:tab/>
      </w:r>
      <w:r>
        <w:fldChar w:fldCharType="begin"/>
      </w:r>
      <w:r>
        <w:instrText xml:space="preserve"> PAGEREF _Toc186737798 \h </w:instrText>
      </w:r>
      <w:r>
        <w:fldChar w:fldCharType="separate"/>
      </w:r>
      <w:r>
        <w:t>7</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"_Toc186737799" </w:instrText>
      </w:r>
      <w:r>
        <w:fldChar w:fldCharType="separate"/>
      </w:r>
      <w:r>
        <w:rPr>
          <w:rStyle w:val="34"/>
          <w:rFonts w:hint="eastAsia" w:ascii="仿宋" w:hAnsi="仿宋" w:eastAsia="仿宋" w:cs="仿宋"/>
        </w:rPr>
        <w:t>二、供应商须知正文</w:t>
      </w:r>
      <w:r>
        <w:tab/>
      </w:r>
      <w:r>
        <w:fldChar w:fldCharType="begin"/>
      </w:r>
      <w:r>
        <w:instrText xml:space="preserve"> PAGEREF _Toc186737799 \h </w:instrText>
      </w:r>
      <w:r>
        <w:fldChar w:fldCharType="separate"/>
      </w:r>
      <w:r>
        <w:t>10</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"_Toc186737800" </w:instrText>
      </w:r>
      <w:r>
        <w:fldChar w:fldCharType="separate"/>
      </w:r>
      <w:r>
        <w:rPr>
          <w:rStyle w:val="34"/>
          <w:rFonts w:hint="eastAsia" w:ascii="仿宋" w:hAnsi="仿宋" w:eastAsia="仿宋" w:cs="仿宋"/>
        </w:rPr>
        <w:t>（一）总</w:t>
      </w:r>
      <w:r>
        <w:rPr>
          <w:rStyle w:val="34"/>
          <w:rFonts w:ascii="仿宋" w:hAnsi="仿宋" w:eastAsia="仿宋" w:cs="仿宋"/>
        </w:rPr>
        <w:t xml:space="preserve"> </w:t>
      </w:r>
      <w:r>
        <w:rPr>
          <w:rStyle w:val="34"/>
          <w:rFonts w:hint="eastAsia" w:ascii="仿宋" w:hAnsi="仿宋" w:eastAsia="仿宋" w:cs="仿宋"/>
        </w:rPr>
        <w:t>则</w:t>
      </w:r>
      <w:r>
        <w:tab/>
      </w:r>
      <w:r>
        <w:fldChar w:fldCharType="begin"/>
      </w:r>
      <w:r>
        <w:instrText xml:space="preserve"> PAGEREF _Toc186737800 \h </w:instrText>
      </w:r>
      <w:r>
        <w:fldChar w:fldCharType="separate"/>
      </w:r>
      <w:r>
        <w:t>10</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"_Toc186737801" </w:instrText>
      </w:r>
      <w:r>
        <w:fldChar w:fldCharType="separate"/>
      </w:r>
      <w:r>
        <w:rPr>
          <w:rStyle w:val="34"/>
          <w:rFonts w:hint="eastAsia" w:ascii="仿宋" w:hAnsi="仿宋" w:eastAsia="仿宋" w:cs="仿宋"/>
        </w:rPr>
        <w:t>（二）磋商文件</w:t>
      </w:r>
      <w:r>
        <w:tab/>
      </w:r>
      <w:r>
        <w:fldChar w:fldCharType="begin"/>
      </w:r>
      <w:r>
        <w:instrText xml:space="preserve"> PAGEREF _Toc186737801 \h </w:instrText>
      </w:r>
      <w:r>
        <w:fldChar w:fldCharType="separate"/>
      </w:r>
      <w:r>
        <w:t>10</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"_Toc186737802" </w:instrText>
      </w:r>
      <w:r>
        <w:fldChar w:fldCharType="separate"/>
      </w:r>
      <w:r>
        <w:rPr>
          <w:rStyle w:val="34"/>
          <w:rFonts w:hint="eastAsia" w:ascii="仿宋" w:hAnsi="仿宋" w:eastAsia="仿宋" w:cs="仿宋"/>
        </w:rPr>
        <w:t>（三）响应文件</w:t>
      </w:r>
      <w:r>
        <w:tab/>
      </w:r>
      <w:r>
        <w:fldChar w:fldCharType="begin"/>
      </w:r>
      <w:r>
        <w:instrText xml:space="preserve"> PAGEREF _Toc186737802 \h </w:instrText>
      </w:r>
      <w:r>
        <w:fldChar w:fldCharType="separate"/>
      </w:r>
      <w:r>
        <w:t>11</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"_Toc186737803" </w:instrText>
      </w:r>
      <w:r>
        <w:fldChar w:fldCharType="separate"/>
      </w:r>
      <w:r>
        <w:rPr>
          <w:rStyle w:val="34"/>
          <w:rFonts w:hint="eastAsia" w:ascii="仿宋" w:hAnsi="仿宋" w:eastAsia="仿宋" w:cs="仿宋"/>
        </w:rPr>
        <w:t>（四）响应文件的递交</w:t>
      </w:r>
      <w:r>
        <w:tab/>
      </w:r>
      <w:r>
        <w:fldChar w:fldCharType="begin"/>
      </w:r>
      <w:r>
        <w:instrText xml:space="preserve"> PAGEREF _Toc186737803 \h </w:instrText>
      </w:r>
      <w:r>
        <w:fldChar w:fldCharType="separate"/>
      </w:r>
      <w:r>
        <w:t>13</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"_Toc186737804" </w:instrText>
      </w:r>
      <w:r>
        <w:fldChar w:fldCharType="separate"/>
      </w:r>
      <w:r>
        <w:rPr>
          <w:rStyle w:val="34"/>
          <w:rFonts w:hint="eastAsia" w:ascii="仿宋" w:hAnsi="仿宋" w:eastAsia="仿宋" w:cs="仿宋"/>
        </w:rPr>
        <w:t>（五）竞争性磋商和评审</w:t>
      </w:r>
      <w:r>
        <w:tab/>
      </w:r>
      <w:r>
        <w:fldChar w:fldCharType="begin"/>
      </w:r>
      <w:r>
        <w:instrText xml:space="preserve"> PAGEREF _Toc186737804 \h </w:instrText>
      </w:r>
      <w:r>
        <w:fldChar w:fldCharType="separate"/>
      </w:r>
      <w:r>
        <w:t>14</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"_Toc186737805" </w:instrText>
      </w:r>
      <w:r>
        <w:fldChar w:fldCharType="separate"/>
      </w:r>
      <w:r>
        <w:rPr>
          <w:rStyle w:val="34"/>
          <w:rFonts w:hint="eastAsia" w:ascii="仿宋" w:hAnsi="仿宋" w:eastAsia="仿宋" w:cs="仿宋"/>
        </w:rPr>
        <w:t>（六）授予合同</w:t>
      </w:r>
      <w:r>
        <w:tab/>
      </w:r>
      <w:r>
        <w:fldChar w:fldCharType="begin"/>
      </w:r>
      <w:r>
        <w:instrText xml:space="preserve"> PAGEREF _Toc186737805 \h </w:instrText>
      </w:r>
      <w:r>
        <w:fldChar w:fldCharType="separate"/>
      </w:r>
      <w:r>
        <w:t>16</w:t>
      </w:r>
      <w:r>
        <w:fldChar w:fldCharType="end"/>
      </w:r>
      <w:r>
        <w:fldChar w:fldCharType="end"/>
      </w:r>
    </w:p>
    <w:p>
      <w:pPr>
        <w:pStyle w:val="22"/>
        <w:tabs>
          <w:tab w:val="right" w:leader="dot" w:pos="9628"/>
        </w:tabs>
        <w:rPr>
          <w:b w:val="0"/>
          <w:bCs w:val="0"/>
          <w:caps w:val="0"/>
          <w:kern w:val="2"/>
          <w:sz w:val="21"/>
          <w:szCs w:val="22"/>
        </w:rPr>
      </w:pPr>
      <w:r>
        <w:fldChar w:fldCharType="begin"/>
      </w:r>
      <w:r>
        <w:instrText xml:space="preserve"> HYPERLINK \l "_Toc186737806" </w:instrText>
      </w:r>
      <w:r>
        <w:fldChar w:fldCharType="separate"/>
      </w:r>
      <w:r>
        <w:rPr>
          <w:rStyle w:val="34"/>
          <w:rFonts w:hint="eastAsia" w:ascii="仿宋" w:hAnsi="仿宋" w:eastAsia="仿宋" w:cs="仿宋"/>
        </w:rPr>
        <w:t>第三章</w:t>
      </w:r>
      <w:r>
        <w:rPr>
          <w:rStyle w:val="34"/>
          <w:rFonts w:ascii="仿宋" w:hAnsi="仿宋" w:eastAsia="仿宋" w:cs="仿宋"/>
        </w:rPr>
        <w:t xml:space="preserve"> </w:t>
      </w:r>
      <w:r>
        <w:rPr>
          <w:rStyle w:val="34"/>
          <w:rFonts w:hint="eastAsia" w:ascii="仿宋" w:hAnsi="仿宋" w:eastAsia="仿宋" w:cs="仿宋"/>
        </w:rPr>
        <w:t>评审办法</w:t>
      </w:r>
      <w:r>
        <w:tab/>
      </w:r>
      <w:r>
        <w:fldChar w:fldCharType="begin"/>
      </w:r>
      <w:r>
        <w:instrText xml:space="preserve"> PAGEREF _Toc186737806 \h </w:instrText>
      </w:r>
      <w:r>
        <w:fldChar w:fldCharType="separate"/>
      </w:r>
      <w:r>
        <w:t>17</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"_Toc186737807" </w:instrText>
      </w:r>
      <w:r>
        <w:fldChar w:fldCharType="separate"/>
      </w:r>
      <w:r>
        <w:rPr>
          <w:rStyle w:val="34"/>
          <w:rFonts w:hint="eastAsia" w:ascii="仿宋" w:hAnsi="仿宋" w:eastAsia="仿宋" w:cs="仿宋"/>
        </w:rPr>
        <w:t>一、评审程序</w:t>
      </w:r>
      <w:r>
        <w:tab/>
      </w:r>
      <w:r>
        <w:fldChar w:fldCharType="begin"/>
      </w:r>
      <w:r>
        <w:instrText xml:space="preserve"> PAGEREF _Toc186737807 \h </w:instrText>
      </w:r>
      <w:r>
        <w:fldChar w:fldCharType="separate"/>
      </w:r>
      <w:r>
        <w:t>17</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"_Toc186737808" </w:instrText>
      </w:r>
      <w:r>
        <w:fldChar w:fldCharType="separate"/>
      </w:r>
      <w:r>
        <w:rPr>
          <w:rStyle w:val="34"/>
          <w:rFonts w:hint="eastAsia" w:ascii="仿宋" w:hAnsi="仿宋" w:eastAsia="仿宋" w:cs="仿宋"/>
        </w:rPr>
        <w:t>二、初步评审</w:t>
      </w:r>
      <w:r>
        <w:tab/>
      </w:r>
      <w:r>
        <w:fldChar w:fldCharType="begin"/>
      </w:r>
      <w:r>
        <w:instrText xml:space="preserve"> PAGEREF _Toc186737808 \h </w:instrText>
      </w:r>
      <w:r>
        <w:fldChar w:fldCharType="separate"/>
      </w:r>
      <w:r>
        <w:t>19</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"_Toc186737809" </w:instrText>
      </w:r>
      <w:r>
        <w:fldChar w:fldCharType="separate"/>
      </w:r>
      <w:r>
        <w:rPr>
          <w:rStyle w:val="34"/>
          <w:rFonts w:hint="eastAsia" w:ascii="仿宋" w:hAnsi="仿宋" w:eastAsia="仿宋" w:cs="仿宋"/>
        </w:rPr>
        <w:t>三、详细评审</w:t>
      </w:r>
      <w:r>
        <w:tab/>
      </w:r>
      <w:r>
        <w:fldChar w:fldCharType="begin"/>
      </w:r>
      <w:r>
        <w:instrText xml:space="preserve"> PAGEREF _Toc186737809 \h </w:instrText>
      </w:r>
      <w:r>
        <w:fldChar w:fldCharType="separate"/>
      </w:r>
      <w:r>
        <w:t>20</w:t>
      </w:r>
      <w:r>
        <w:fldChar w:fldCharType="end"/>
      </w:r>
      <w:r>
        <w:fldChar w:fldCharType="end"/>
      </w:r>
    </w:p>
    <w:p>
      <w:pPr>
        <w:pStyle w:val="22"/>
        <w:tabs>
          <w:tab w:val="right" w:leader="dot" w:pos="9628"/>
        </w:tabs>
        <w:rPr>
          <w:b w:val="0"/>
          <w:bCs w:val="0"/>
          <w:caps w:val="0"/>
          <w:kern w:val="2"/>
          <w:sz w:val="21"/>
          <w:szCs w:val="22"/>
        </w:rPr>
      </w:pPr>
      <w:r>
        <w:fldChar w:fldCharType="begin"/>
      </w:r>
      <w:r>
        <w:instrText xml:space="preserve"> HYPERLINK \l "_Toc186737810" </w:instrText>
      </w:r>
      <w:r>
        <w:fldChar w:fldCharType="separate"/>
      </w:r>
      <w:r>
        <w:rPr>
          <w:rStyle w:val="34"/>
          <w:rFonts w:hint="eastAsia" w:ascii="仿宋" w:hAnsi="仿宋" w:eastAsia="仿宋" w:cs="仿宋"/>
        </w:rPr>
        <w:t>第四章</w:t>
      </w:r>
      <w:r>
        <w:rPr>
          <w:rStyle w:val="34"/>
          <w:rFonts w:ascii="仿宋" w:hAnsi="仿宋" w:eastAsia="仿宋" w:cs="仿宋"/>
        </w:rPr>
        <w:t xml:space="preserve"> </w:t>
      </w:r>
      <w:r>
        <w:rPr>
          <w:rStyle w:val="34"/>
          <w:rFonts w:hint="eastAsia" w:ascii="仿宋" w:hAnsi="仿宋" w:eastAsia="仿宋" w:cs="仿宋"/>
        </w:rPr>
        <w:t>合同条款</w:t>
      </w:r>
      <w:r>
        <w:tab/>
      </w:r>
      <w:r>
        <w:fldChar w:fldCharType="begin"/>
      </w:r>
      <w:r>
        <w:instrText xml:space="preserve"> PAGEREF _Toc186737810 \h </w:instrText>
      </w:r>
      <w:r>
        <w:fldChar w:fldCharType="separate"/>
      </w:r>
      <w:r>
        <w:t>22</w:t>
      </w:r>
      <w:r>
        <w:fldChar w:fldCharType="end"/>
      </w:r>
      <w:r>
        <w:fldChar w:fldCharType="end"/>
      </w:r>
    </w:p>
    <w:p>
      <w:pPr>
        <w:pStyle w:val="22"/>
        <w:tabs>
          <w:tab w:val="right" w:leader="dot" w:pos="9628"/>
        </w:tabs>
        <w:rPr>
          <w:b w:val="0"/>
          <w:bCs w:val="0"/>
          <w:caps w:val="0"/>
          <w:kern w:val="2"/>
          <w:sz w:val="21"/>
          <w:szCs w:val="22"/>
        </w:rPr>
      </w:pPr>
      <w:r>
        <w:fldChar w:fldCharType="begin"/>
      </w:r>
      <w:r>
        <w:instrText xml:space="preserve"> HYPERLINK \l "_Toc186737811" </w:instrText>
      </w:r>
      <w:r>
        <w:fldChar w:fldCharType="separate"/>
      </w:r>
      <w:r>
        <w:rPr>
          <w:rStyle w:val="34"/>
          <w:rFonts w:hint="eastAsia" w:ascii="仿宋_GB2312" w:hAnsi="宋体" w:eastAsia="仿宋_GB2312"/>
        </w:rPr>
        <w:t>第五章</w:t>
      </w:r>
      <w:r>
        <w:rPr>
          <w:rStyle w:val="34"/>
          <w:rFonts w:ascii="仿宋_GB2312" w:hAnsi="宋体" w:eastAsia="仿宋_GB2312"/>
        </w:rPr>
        <w:t xml:space="preserve"> </w:t>
      </w:r>
      <w:r>
        <w:rPr>
          <w:rStyle w:val="34"/>
          <w:rFonts w:hint="eastAsia" w:ascii="仿宋_GB2312" w:hAnsi="宋体" w:eastAsia="仿宋_GB2312"/>
        </w:rPr>
        <w:t>采购需求</w:t>
      </w:r>
      <w:r>
        <w:tab/>
      </w:r>
      <w:r>
        <w:fldChar w:fldCharType="begin"/>
      </w:r>
      <w:r>
        <w:instrText xml:space="preserve"> PAGEREF _Toc186737811 \h </w:instrText>
      </w:r>
      <w:r>
        <w:fldChar w:fldCharType="separate"/>
      </w:r>
      <w:r>
        <w:t>23</w:t>
      </w:r>
      <w:r>
        <w:fldChar w:fldCharType="end"/>
      </w:r>
      <w:r>
        <w:fldChar w:fldCharType="end"/>
      </w:r>
    </w:p>
    <w:p>
      <w:pPr>
        <w:pStyle w:val="22"/>
        <w:tabs>
          <w:tab w:val="right" w:leader="dot" w:pos="9628"/>
        </w:tabs>
        <w:rPr>
          <w:b w:val="0"/>
          <w:bCs w:val="0"/>
          <w:caps w:val="0"/>
          <w:kern w:val="2"/>
          <w:sz w:val="21"/>
          <w:szCs w:val="22"/>
        </w:rPr>
      </w:pPr>
      <w:r>
        <w:fldChar w:fldCharType="begin"/>
      </w:r>
      <w:r>
        <w:instrText xml:space="preserve"> HYPERLINK \l "_Toc186737812" </w:instrText>
      </w:r>
      <w:r>
        <w:fldChar w:fldCharType="separate"/>
      </w:r>
      <w:r>
        <w:rPr>
          <w:rStyle w:val="34"/>
          <w:rFonts w:hint="eastAsia" w:ascii="仿宋" w:hAnsi="仿宋" w:eastAsia="仿宋" w:cs="仿宋"/>
        </w:rPr>
        <w:t>第六章</w:t>
      </w:r>
      <w:r>
        <w:rPr>
          <w:rStyle w:val="34"/>
          <w:rFonts w:ascii="仿宋" w:hAnsi="仿宋" w:eastAsia="仿宋" w:cs="仿宋"/>
        </w:rPr>
        <w:t xml:space="preserve"> </w:t>
      </w:r>
      <w:r>
        <w:rPr>
          <w:rStyle w:val="34"/>
          <w:rFonts w:hint="eastAsia" w:ascii="仿宋" w:hAnsi="仿宋" w:eastAsia="仿宋" w:cs="仿宋"/>
        </w:rPr>
        <w:t>响应文件格式</w:t>
      </w:r>
      <w:r>
        <w:tab/>
      </w:r>
      <w:r>
        <w:fldChar w:fldCharType="begin"/>
      </w:r>
      <w:r>
        <w:instrText xml:space="preserve"> PAGEREF _Toc186737812 \h </w:instrText>
      </w:r>
      <w:r>
        <w:fldChar w:fldCharType="separate"/>
      </w:r>
      <w:r>
        <w:t>24</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"_Toc186737813" </w:instrText>
      </w:r>
      <w:r>
        <w:fldChar w:fldCharType="separate"/>
      </w:r>
      <w:r>
        <w:rPr>
          <w:rStyle w:val="34"/>
          <w:rFonts w:hint="eastAsia" w:ascii="仿宋" w:hAnsi="仿宋" w:eastAsia="仿宋" w:cs="仿宋"/>
        </w:rPr>
        <w:t>一、商务文件</w:t>
      </w:r>
      <w:r>
        <w:tab/>
      </w:r>
      <w:r>
        <w:fldChar w:fldCharType="begin"/>
      </w:r>
      <w:r>
        <w:instrText xml:space="preserve"> PAGEREF _Toc186737813 \h </w:instrText>
      </w:r>
      <w:r>
        <w:fldChar w:fldCharType="separate"/>
      </w:r>
      <w:r>
        <w:t>25</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"_Toc186737814" </w:instrText>
      </w:r>
      <w:r>
        <w:fldChar w:fldCharType="separate"/>
      </w:r>
      <w:r>
        <w:rPr>
          <w:rStyle w:val="34"/>
          <w:rFonts w:hint="eastAsia" w:ascii="仿宋" w:hAnsi="仿宋" w:eastAsia="仿宋" w:cs="仿宋"/>
        </w:rPr>
        <w:t>（一）响应函</w:t>
      </w:r>
      <w:r>
        <w:tab/>
      </w:r>
      <w:r>
        <w:fldChar w:fldCharType="begin"/>
      </w:r>
      <w:r>
        <w:instrText xml:space="preserve"> PAGEREF _Toc186737814 \h </w:instrText>
      </w:r>
      <w:r>
        <w:fldChar w:fldCharType="separate"/>
      </w:r>
      <w:r>
        <w:t>27</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"_Toc186737815" </w:instrText>
      </w:r>
      <w:r>
        <w:fldChar w:fldCharType="separate"/>
      </w:r>
      <w:r>
        <w:rPr>
          <w:rStyle w:val="34"/>
          <w:rFonts w:hint="eastAsia" w:ascii="仿宋" w:hAnsi="仿宋" w:eastAsia="仿宋" w:cs="仿宋"/>
        </w:rPr>
        <w:t>（二）法定代表人（负责人）身份证明书</w:t>
      </w:r>
      <w:r>
        <w:tab/>
      </w:r>
      <w:r>
        <w:fldChar w:fldCharType="begin"/>
      </w:r>
      <w:r>
        <w:instrText xml:space="preserve"> PAGEREF _Toc186737815 \h </w:instrText>
      </w:r>
      <w:r>
        <w:fldChar w:fldCharType="separate"/>
      </w:r>
      <w:r>
        <w:t>28</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"_Toc186737816" </w:instrText>
      </w:r>
      <w:r>
        <w:fldChar w:fldCharType="separate"/>
      </w:r>
      <w:r>
        <w:rPr>
          <w:rStyle w:val="34"/>
          <w:rFonts w:hint="eastAsia" w:ascii="仿宋" w:hAnsi="仿宋" w:eastAsia="仿宋" w:cs="仿宋"/>
        </w:rPr>
        <w:t>（三）法定代表人（负责人）授权委托书</w:t>
      </w:r>
      <w:r>
        <w:tab/>
      </w:r>
      <w:r>
        <w:fldChar w:fldCharType="begin"/>
      </w:r>
      <w:r>
        <w:instrText xml:space="preserve"> PAGEREF _Toc186737816 \h </w:instrText>
      </w:r>
      <w:r>
        <w:fldChar w:fldCharType="separate"/>
      </w:r>
      <w:r>
        <w:t>29</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"_Toc186737817" </w:instrText>
      </w:r>
      <w:r>
        <w:fldChar w:fldCharType="separate"/>
      </w:r>
      <w:r>
        <w:rPr>
          <w:rStyle w:val="34"/>
          <w:rFonts w:hint="eastAsia" w:ascii="仿宋" w:hAnsi="仿宋" w:eastAsia="仿宋" w:cs="仿宋"/>
        </w:rPr>
        <w:t>（四）资格证明文件</w:t>
      </w:r>
      <w:r>
        <w:tab/>
      </w:r>
      <w:r>
        <w:fldChar w:fldCharType="begin"/>
      </w:r>
      <w:r>
        <w:instrText xml:space="preserve"> PAGEREF _Toc186737817 \h </w:instrText>
      </w:r>
      <w:r>
        <w:fldChar w:fldCharType="separate"/>
      </w:r>
      <w:r>
        <w:t>30</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"_Toc186737818" </w:instrText>
      </w:r>
      <w:r>
        <w:fldChar w:fldCharType="separate"/>
      </w:r>
      <w:r>
        <w:rPr>
          <w:rStyle w:val="34"/>
          <w:rFonts w:hint="eastAsia" w:ascii="仿宋" w:hAnsi="仿宋" w:eastAsia="仿宋" w:cs="仿宋"/>
        </w:rPr>
        <w:t>（五）供应商须知应答偏离表</w:t>
      </w:r>
      <w:r>
        <w:tab/>
      </w:r>
      <w:r>
        <w:fldChar w:fldCharType="begin"/>
      </w:r>
      <w:r>
        <w:instrText xml:space="preserve"> PAGEREF _Toc186737818 \h </w:instrText>
      </w:r>
      <w:r>
        <w:fldChar w:fldCharType="separate"/>
      </w:r>
      <w:r>
        <w:t>40</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"_Toc186737819" </w:instrText>
      </w:r>
      <w:r>
        <w:fldChar w:fldCharType="separate"/>
      </w:r>
      <w:r>
        <w:rPr>
          <w:rStyle w:val="34"/>
          <w:rFonts w:hint="eastAsia" w:ascii="仿宋" w:hAnsi="仿宋" w:eastAsia="仿宋" w:cs="仿宋"/>
        </w:rPr>
        <w:t>（七）供应商行为准则承诺书</w:t>
      </w:r>
      <w:r>
        <w:tab/>
      </w:r>
      <w:r>
        <w:fldChar w:fldCharType="begin"/>
      </w:r>
      <w:r>
        <w:instrText xml:space="preserve"> PAGEREF _Toc186737819 \h </w:instrText>
      </w:r>
      <w:r>
        <w:fldChar w:fldCharType="separate"/>
      </w:r>
      <w:r>
        <w:t>42</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"_Toc186737820" </w:instrText>
      </w:r>
      <w:r>
        <w:fldChar w:fldCharType="separate"/>
      </w:r>
      <w:r>
        <w:rPr>
          <w:rStyle w:val="34"/>
          <w:rFonts w:hint="eastAsia" w:ascii="仿宋" w:hAnsi="仿宋" w:eastAsia="仿宋" w:cs="宋体"/>
        </w:rPr>
        <w:t>（八）供应商廉洁诚信承诺书</w:t>
      </w:r>
      <w:r>
        <w:tab/>
      </w:r>
      <w:r>
        <w:fldChar w:fldCharType="begin"/>
      </w:r>
      <w:r>
        <w:instrText xml:space="preserve"> PAGEREF _Toc186737820 \h </w:instrText>
      </w:r>
      <w:r>
        <w:fldChar w:fldCharType="separate"/>
      </w:r>
      <w:r>
        <w:t>44</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"_Toc186737821" </w:instrText>
      </w:r>
      <w:r>
        <w:fldChar w:fldCharType="separate"/>
      </w:r>
      <w:r>
        <w:rPr>
          <w:rStyle w:val="34"/>
          <w:rFonts w:hint="eastAsia" w:ascii="仿宋" w:hAnsi="仿宋" w:eastAsia="仿宋" w:cs="宋体"/>
        </w:rPr>
        <w:t>（九）信息安全采购要求承诺函</w:t>
      </w:r>
      <w:r>
        <w:tab/>
      </w:r>
      <w:r>
        <w:fldChar w:fldCharType="begin"/>
      </w:r>
      <w:r>
        <w:instrText xml:space="preserve"> PAGEREF _Toc186737821 \h </w:instrText>
      </w:r>
      <w:r>
        <w:fldChar w:fldCharType="separate"/>
      </w:r>
      <w:r>
        <w:t>47</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"_Toc186737822" </w:instrText>
      </w:r>
      <w:r>
        <w:fldChar w:fldCharType="separate"/>
      </w:r>
      <w:r>
        <w:rPr>
          <w:rStyle w:val="34"/>
          <w:rFonts w:hint="eastAsia" w:ascii="仿宋" w:hAnsi="仿宋" w:eastAsia="仿宋" w:cs="宋体"/>
        </w:rPr>
        <w:t>（九）其他材料</w:t>
      </w:r>
      <w:r>
        <w:tab/>
      </w:r>
      <w:r>
        <w:fldChar w:fldCharType="begin"/>
      </w:r>
      <w:r>
        <w:instrText xml:space="preserve"> PAGEREF _Toc186737822 \h </w:instrText>
      </w:r>
      <w:r>
        <w:fldChar w:fldCharType="separate"/>
      </w:r>
      <w:r>
        <w:t>49</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"_Toc186737823" </w:instrText>
      </w:r>
      <w:r>
        <w:fldChar w:fldCharType="separate"/>
      </w:r>
      <w:r>
        <w:rPr>
          <w:rStyle w:val="34"/>
          <w:rFonts w:hint="eastAsia" w:ascii="仿宋" w:hAnsi="仿宋" w:eastAsia="仿宋" w:cs="仿宋"/>
        </w:rPr>
        <w:t>二、技术文件</w:t>
      </w:r>
      <w:r>
        <w:tab/>
      </w:r>
      <w:r>
        <w:fldChar w:fldCharType="begin"/>
      </w:r>
      <w:r>
        <w:instrText xml:space="preserve"> PAGEREF _Toc186737823 \h </w:instrText>
      </w:r>
      <w:r>
        <w:fldChar w:fldCharType="separate"/>
      </w:r>
      <w:r>
        <w:t>50</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"_Toc186737824" </w:instrText>
      </w:r>
      <w:r>
        <w:fldChar w:fldCharType="separate"/>
      </w:r>
      <w:r>
        <w:rPr>
          <w:rStyle w:val="34"/>
          <w:rFonts w:hint="eastAsia" w:ascii="仿宋" w:hAnsi="仿宋" w:eastAsia="仿宋" w:cs="仿宋"/>
        </w:rPr>
        <w:t>（一）采购需求应答偏离表</w:t>
      </w:r>
      <w:r>
        <w:tab/>
      </w:r>
      <w:r>
        <w:fldChar w:fldCharType="begin"/>
      </w:r>
      <w:r>
        <w:instrText xml:space="preserve"> PAGEREF _Toc186737824 \h </w:instrText>
      </w:r>
      <w:r>
        <w:fldChar w:fldCharType="separate"/>
      </w:r>
      <w:r>
        <w:t>51</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"_Toc186737825" </w:instrText>
      </w:r>
      <w:r>
        <w:fldChar w:fldCharType="separate"/>
      </w:r>
      <w:r>
        <w:rPr>
          <w:rStyle w:val="34"/>
          <w:rFonts w:hint="eastAsia" w:ascii="仿宋" w:hAnsi="仿宋" w:eastAsia="仿宋" w:cs="仿宋"/>
        </w:rPr>
        <w:t>（二）技术方案</w:t>
      </w:r>
      <w:r>
        <w:tab/>
      </w:r>
      <w:r>
        <w:fldChar w:fldCharType="begin"/>
      </w:r>
      <w:r>
        <w:instrText xml:space="preserve"> PAGEREF _Toc186737825 \h </w:instrText>
      </w:r>
      <w:r>
        <w:fldChar w:fldCharType="separate"/>
      </w:r>
      <w:r>
        <w:t>52</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"_Toc186737826" </w:instrText>
      </w:r>
      <w:r>
        <w:fldChar w:fldCharType="separate"/>
      </w:r>
      <w:r>
        <w:rPr>
          <w:rStyle w:val="34"/>
          <w:rFonts w:hint="eastAsia" w:ascii="仿宋" w:hAnsi="仿宋" w:eastAsia="仿宋" w:cs="仿宋"/>
        </w:rPr>
        <w:t>（三）其他材料</w:t>
      </w:r>
      <w:r>
        <w:tab/>
      </w:r>
      <w:r>
        <w:fldChar w:fldCharType="begin"/>
      </w:r>
      <w:r>
        <w:instrText xml:space="preserve"> PAGEREF _Toc186737826 \h </w:instrText>
      </w:r>
      <w:r>
        <w:fldChar w:fldCharType="separate"/>
      </w:r>
      <w:r>
        <w:t>55</w:t>
      </w:r>
      <w:r>
        <w:fldChar w:fldCharType="end"/>
      </w:r>
      <w:r>
        <w:fldChar w:fldCharType="end"/>
      </w:r>
    </w:p>
    <w:p>
      <w:pPr>
        <w:pStyle w:val="25"/>
        <w:tabs>
          <w:tab w:val="right" w:leader="dot" w:pos="9628"/>
        </w:tabs>
        <w:ind w:left="480"/>
        <w:rPr>
          <w:kern w:val="2"/>
          <w:sz w:val="21"/>
          <w:szCs w:val="22"/>
        </w:rPr>
      </w:pPr>
      <w:r>
        <w:fldChar w:fldCharType="begin"/>
      </w:r>
      <w:r>
        <w:instrText xml:space="preserve"> HYPERLINK \l "_Toc186737827" </w:instrText>
      </w:r>
      <w:r>
        <w:fldChar w:fldCharType="separate"/>
      </w:r>
      <w:r>
        <w:rPr>
          <w:rStyle w:val="34"/>
          <w:rFonts w:hint="eastAsia" w:ascii="仿宋" w:hAnsi="仿宋" w:eastAsia="仿宋" w:cs="仿宋"/>
        </w:rPr>
        <w:t>三、报价文件</w:t>
      </w:r>
      <w:r>
        <w:tab/>
      </w:r>
      <w:r>
        <w:fldChar w:fldCharType="begin"/>
      </w:r>
      <w:r>
        <w:instrText xml:space="preserve"> PAGEREF _Toc186737827 \h </w:instrText>
      </w:r>
      <w:r>
        <w:fldChar w:fldCharType="separate"/>
      </w:r>
      <w:r>
        <w:t>2</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"_Toc186737828" </w:instrText>
      </w:r>
      <w:r>
        <w:fldChar w:fldCharType="separate"/>
      </w:r>
      <w:r>
        <w:rPr>
          <w:rStyle w:val="34"/>
          <w:rFonts w:hint="eastAsia" w:ascii="仿宋" w:hAnsi="仿宋" w:eastAsia="仿宋" w:cs="仿宋"/>
        </w:rPr>
        <w:t>（一）报价一览表</w:t>
      </w:r>
      <w:r>
        <w:tab/>
      </w:r>
      <w:r>
        <w:fldChar w:fldCharType="begin"/>
      </w:r>
      <w:r>
        <w:instrText xml:space="preserve"> PAGEREF _Toc186737828 \h </w:instrText>
      </w:r>
      <w:r>
        <w:fldChar w:fldCharType="separate"/>
      </w:r>
      <w:r>
        <w:t>2</w:t>
      </w:r>
      <w:r>
        <w:fldChar w:fldCharType="end"/>
      </w:r>
      <w:r>
        <w:fldChar w:fldCharType="end"/>
      </w:r>
    </w:p>
    <w:p>
      <w:pPr>
        <w:pStyle w:val="15"/>
        <w:tabs>
          <w:tab w:val="right" w:leader="dot" w:pos="9628"/>
        </w:tabs>
        <w:ind w:left="960"/>
        <w:rPr>
          <w:kern w:val="2"/>
          <w:sz w:val="21"/>
          <w:szCs w:val="22"/>
        </w:rPr>
      </w:pPr>
      <w:r>
        <w:fldChar w:fldCharType="begin"/>
      </w:r>
      <w:r>
        <w:instrText xml:space="preserve"> HYPERLINK \l "_Toc186737829" </w:instrText>
      </w:r>
      <w:r>
        <w:fldChar w:fldCharType="separate"/>
      </w:r>
      <w:r>
        <w:rPr>
          <w:rStyle w:val="34"/>
          <w:rFonts w:hint="eastAsia" w:ascii="仿宋" w:hAnsi="仿宋" w:eastAsia="仿宋" w:cs="仿宋"/>
        </w:rPr>
        <w:t>（二）分项报价表</w:t>
      </w:r>
      <w:r>
        <w:tab/>
      </w:r>
      <w:r>
        <w:fldChar w:fldCharType="begin"/>
      </w:r>
      <w:r>
        <w:instrText xml:space="preserve"> PAGEREF _Toc186737829 \h </w:instrText>
      </w:r>
      <w:r>
        <w:fldChar w:fldCharType="separate"/>
      </w:r>
      <w:r>
        <w:t>3</w:t>
      </w:r>
      <w:r>
        <w:fldChar w:fldCharType="end"/>
      </w:r>
      <w:r>
        <w:fldChar w:fldCharType="end"/>
      </w:r>
    </w:p>
    <w:p>
      <w:pPr>
        <w:pStyle w:val="4"/>
        <w:ind w:left="0" w:firstLine="0"/>
        <w:rPr>
          <w:rFonts w:hint="eastAsia" w:ascii="仿宋_GB2312" w:hAnsi="宋体" w:eastAsia="仿宋_GB2312"/>
          <w:b w:val="0"/>
          <w:bCs w:val="0"/>
          <w:color w:val="auto"/>
        </w:rPr>
        <w:sectPr>
          <w:footerReference r:id="rId4" w:type="default"/>
          <w:pgSz w:w="11906" w:h="16838"/>
          <w:pgMar w:top="1440" w:right="1134" w:bottom="1440" w:left="1134" w:header="851" w:footer="992" w:gutter="0"/>
          <w:pgNumType w:start="1"/>
          <w:cols w:space="720" w:num="1"/>
          <w:docGrid w:linePitch="326" w:charSpace="0"/>
        </w:sectPr>
      </w:pPr>
      <w:r>
        <w:rPr>
          <w:rFonts w:hint="eastAsia" w:ascii="仿宋_GB2312" w:hAnsi="宋体" w:eastAsia="仿宋_GB2312"/>
          <w:b w:val="0"/>
          <w:bCs w:val="0"/>
          <w:color w:val="auto"/>
        </w:rPr>
        <w:fldChar w:fldCharType="end"/>
      </w:r>
    </w:p>
    <w:p>
      <w:pPr>
        <w:pStyle w:val="4"/>
        <w:ind w:left="0" w:firstLine="0"/>
        <w:rPr>
          <w:rFonts w:hint="eastAsia" w:ascii="仿宋" w:hAnsi="仿宋" w:eastAsia="仿宋" w:cs="Cambria Math"/>
          <w:b w:val="0"/>
          <w:bCs w:val="0"/>
          <w:color w:val="auto"/>
          <w:kern w:val="0"/>
          <w:sz w:val="24"/>
          <w:szCs w:val="24"/>
        </w:rPr>
        <w:sectPr>
          <w:headerReference r:id="rId5" w:type="default"/>
          <w:footerReference r:id="rId6" w:type="default"/>
          <w:type w:val="continuous"/>
          <w:pgSz w:w="11906" w:h="16838"/>
          <w:pgMar w:top="1440" w:right="1134" w:bottom="1440" w:left="1134" w:header="851" w:footer="992" w:gutter="0"/>
          <w:cols w:space="720" w:num="1"/>
          <w:docGrid w:linePitch="326" w:charSpace="0"/>
        </w:sectPr>
      </w:pPr>
    </w:p>
    <w:p>
      <w:pPr>
        <w:pStyle w:val="4"/>
        <w:ind w:left="0" w:firstLine="0"/>
        <w:rPr>
          <w:rFonts w:hint="eastAsia" w:ascii="仿宋_GB2312" w:hAnsi="宋体" w:eastAsia="仿宋_GB2312"/>
          <w:color w:val="auto"/>
          <w:sz w:val="28"/>
          <w:szCs w:val="28"/>
        </w:rPr>
      </w:pPr>
      <w:bookmarkStart w:id="0" w:name="_Toc21360"/>
      <w:bookmarkStart w:id="1" w:name="_Toc186737790"/>
      <w:r>
        <w:rPr>
          <w:rFonts w:hint="eastAsia" w:ascii="仿宋_GB2312" w:hAnsi="宋体" w:eastAsia="仿宋_GB2312"/>
          <w:color w:val="auto"/>
          <w:sz w:val="28"/>
          <w:szCs w:val="28"/>
        </w:rPr>
        <w:t>第一章 竞争性磋商邀请</w:t>
      </w:r>
      <w:bookmarkEnd w:id="0"/>
      <w:bookmarkEnd w:id="1"/>
    </w:p>
    <w:p>
      <w:pPr>
        <w:wordWrap w:val="0"/>
        <w:spacing w:line="360" w:lineRule="auto"/>
        <w:ind w:firstLine="480" w:firstLineChars="200"/>
        <w:textAlignment w:val="baseline"/>
        <w:rPr>
          <w:rFonts w:hint="eastAsia" w:ascii="仿宋" w:hAnsi="仿宋" w:eastAsia="仿宋" w:cs="Cambria Math"/>
          <w:color w:val="000000"/>
        </w:rPr>
      </w:pPr>
      <w:r>
        <w:rPr>
          <w:rFonts w:hint="eastAsia" w:ascii="仿宋" w:hAnsi="仿宋" w:eastAsia="仿宋" w:cs="仿宋"/>
          <w:color w:val="000000"/>
        </w:rPr>
        <w:t>本项目</w:t>
      </w:r>
      <w:r>
        <w:rPr>
          <w:rFonts w:hint="eastAsia" w:ascii="仿宋" w:hAnsi="仿宋" w:eastAsia="仿宋" w:cs="仿宋"/>
          <w:color w:val="000000" w:themeColor="text1"/>
          <w:u w:val="single"/>
          <w14:textFill>
            <w14:solidFill>
              <w14:schemeClr w14:val="tx1"/>
            </w14:solidFill>
          </w14:textFill>
        </w:rPr>
        <w:t>人保财险四川省成都市分公司金牛支公司“无人机安全飞行”事故预防服务采购项目</w:t>
      </w:r>
      <w:r>
        <w:rPr>
          <w:rFonts w:hint="eastAsia" w:ascii="仿宋" w:hAnsi="仿宋" w:eastAsia="仿宋" w:cs="仿宋"/>
          <w:color w:val="000000" w:themeColor="text1"/>
          <w14:textFill>
            <w14:solidFill>
              <w14:schemeClr w14:val="tx1"/>
            </w14:solidFill>
          </w14:textFill>
        </w:rPr>
        <w:t>（采购项目编号：XM25FSPC001292）由</w:t>
      </w:r>
      <w:r>
        <w:rPr>
          <w:rFonts w:hint="eastAsia" w:ascii="仿宋" w:hAnsi="仿宋" w:eastAsia="仿宋" w:cs="仿宋"/>
          <w:color w:val="000000" w:themeColor="text1"/>
          <w:u w:val="single"/>
          <w14:textFill>
            <w14:solidFill>
              <w14:schemeClr w14:val="tx1"/>
            </w14:solidFill>
          </w14:textFill>
        </w:rPr>
        <w:t>中国人民财产保险股份有限公司成都市金牛支公司</w:t>
      </w:r>
      <w:r>
        <w:rPr>
          <w:rFonts w:hint="eastAsia" w:ascii="仿宋" w:hAnsi="仿宋" w:eastAsia="仿宋" w:cs="仿宋"/>
          <w:color w:val="000000" w:themeColor="text1"/>
          <w14:textFill>
            <w14:solidFill>
              <w14:schemeClr w14:val="tx1"/>
            </w14:solidFill>
          </w14:textFill>
        </w:rPr>
        <w:t>（以下简称“采购人”）</w:t>
      </w:r>
      <w:r>
        <w:rPr>
          <w:rFonts w:hint="eastAsia" w:ascii="仿宋" w:hAnsi="仿宋" w:eastAsia="仿宋" w:cs="Cambria Math"/>
          <w:color w:val="000000" w:themeColor="text1"/>
          <w14:textFill>
            <w14:solidFill>
              <w14:schemeClr w14:val="tx1"/>
            </w14:solidFill>
          </w14:textFill>
        </w:rPr>
        <w:t>批准并落实资金，组织本项目的磋商工作</w:t>
      </w:r>
      <w:r>
        <w:rPr>
          <w:rFonts w:hint="eastAsia" w:ascii="仿宋" w:hAnsi="仿宋" w:eastAsia="仿宋" w:cs="仿宋"/>
          <w:color w:val="000000" w:themeColor="text1"/>
          <w14:textFill>
            <w14:solidFill>
              <w14:schemeClr w14:val="tx1"/>
            </w14:solidFill>
          </w14:textFill>
        </w:rPr>
        <w:t>，采购合同由</w:t>
      </w:r>
      <w:r>
        <w:rPr>
          <w:rFonts w:hint="eastAsia" w:ascii="仿宋" w:hAnsi="仿宋" w:eastAsia="仿宋" w:cs="宋体"/>
          <w:color w:val="000000" w:themeColor="text1"/>
          <w:u w:val="single"/>
          <w14:textFill>
            <w14:solidFill>
              <w14:schemeClr w14:val="tx1"/>
            </w14:solidFill>
          </w14:textFill>
        </w:rPr>
        <w:t>中国人民财产保险股份有限公司成都市分公司</w:t>
      </w:r>
      <w:r>
        <w:rPr>
          <w:rFonts w:hint="eastAsia" w:ascii="仿宋" w:hAnsi="仿宋" w:eastAsia="仿宋" w:cs="宋体"/>
          <w:color w:val="000000" w:themeColor="text1"/>
          <w14:textFill>
            <w14:solidFill>
              <w14:schemeClr w14:val="tx1"/>
            </w14:solidFill>
          </w14:textFill>
        </w:rPr>
        <w:t>（以下简称“人保财险成都市分公司”）</w:t>
      </w:r>
      <w:r>
        <w:rPr>
          <w:rFonts w:hint="eastAsia" w:ascii="仿宋" w:hAnsi="仿宋" w:eastAsia="仿宋" w:cs="仿宋"/>
          <w:color w:val="000000" w:themeColor="text1"/>
          <w14:textFill>
            <w14:solidFill>
              <w14:schemeClr w14:val="tx1"/>
            </w14:solidFill>
          </w14:textFill>
        </w:rPr>
        <w:t>根据成交结果与成交人签署。现通过竞争性磋商方式实施</w:t>
      </w:r>
      <w:r>
        <w:rPr>
          <w:rFonts w:hint="eastAsia" w:ascii="仿宋" w:hAnsi="仿宋" w:eastAsia="仿宋" w:cs="仿宋"/>
          <w:color w:val="000000"/>
        </w:rPr>
        <w:t>，</w:t>
      </w:r>
      <w:r>
        <w:rPr>
          <w:rFonts w:hint="eastAsia" w:ascii="仿宋" w:hAnsi="仿宋" w:eastAsia="仿宋" w:cs="Cambria Math"/>
        </w:rPr>
        <w:t>有意向且具有提供标的物能力的潜在供应商（以下简称“供应商”）可前来参与磋商响应。</w:t>
      </w:r>
      <w:r>
        <w:rPr>
          <w:rFonts w:hint="eastAsia" w:ascii="仿宋" w:hAnsi="仿宋" w:eastAsia="仿宋" w:cs="Cambria Math"/>
          <w:color w:val="000000"/>
        </w:rPr>
        <w:t xml:space="preserve"> </w:t>
      </w:r>
    </w:p>
    <w:p>
      <w:pPr>
        <w:pStyle w:val="5"/>
        <w:jc w:val="left"/>
        <w:rPr>
          <w:rFonts w:hint="eastAsia" w:ascii="仿宋" w:hAnsi="仿宋" w:eastAsia="仿宋" w:cs="仿宋"/>
          <w:color w:val="000000"/>
          <w:sz w:val="24"/>
          <w:szCs w:val="24"/>
        </w:rPr>
      </w:pPr>
      <w:bookmarkStart w:id="2" w:name="_Toc21237"/>
      <w:bookmarkStart w:id="3" w:name="_Toc186737791"/>
      <w:r>
        <w:rPr>
          <w:rFonts w:hint="eastAsia" w:ascii="仿宋" w:hAnsi="仿宋" w:eastAsia="仿宋" w:cs="仿宋"/>
          <w:color w:val="000000"/>
          <w:sz w:val="24"/>
          <w:szCs w:val="24"/>
        </w:rPr>
        <w:t>一、项目概况与采购范围</w:t>
      </w:r>
      <w:bookmarkEnd w:id="2"/>
      <w:bookmarkEnd w:id="3"/>
    </w:p>
    <w:p>
      <w:pPr>
        <w:adjustRightInd w:val="0"/>
        <w:snapToGrid w:val="0"/>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1.1 项目名称：</w:t>
      </w:r>
      <w:r>
        <w:rPr>
          <w:rFonts w:hint="eastAsia" w:ascii="仿宋" w:hAnsi="仿宋" w:eastAsia="仿宋" w:cs="仿宋"/>
          <w:color w:val="000000" w:themeColor="text1"/>
          <w:u w:val="single"/>
          <w14:textFill>
            <w14:solidFill>
              <w14:schemeClr w14:val="tx1"/>
            </w14:solidFill>
          </w14:textFill>
        </w:rPr>
        <w:t>人保财险四川省成都市分公司金牛支公司“无人机安全飞行”事故预防服务采购项目</w:t>
      </w:r>
      <w:r>
        <w:rPr>
          <w:rFonts w:hint="eastAsia" w:ascii="仿宋" w:hAnsi="仿宋" w:eastAsia="仿宋" w:cs="仿宋"/>
          <w:color w:val="000000"/>
        </w:rPr>
        <w:t>。</w:t>
      </w:r>
    </w:p>
    <w:p>
      <w:pPr>
        <w:adjustRightInd w:val="0"/>
        <w:snapToGrid w:val="0"/>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1.2 采购范围：</w:t>
      </w:r>
      <w:r>
        <w:rPr>
          <w:rFonts w:hint="eastAsia" w:ascii="仿宋" w:hAnsi="仿宋" w:eastAsia="仿宋" w:cs="仿宋"/>
          <w:color w:val="000000" w:themeColor="text1"/>
          <w14:textFill>
            <w14:solidFill>
              <w14:schemeClr w14:val="tx1"/>
            </w14:solidFill>
          </w14:textFill>
        </w:rPr>
        <w:t>本项目拟采购“无人机安全飞行”事故预防服务</w:t>
      </w:r>
      <w:r>
        <w:rPr>
          <w:rFonts w:hint="eastAsia" w:ascii="仿宋" w:hAnsi="仿宋" w:eastAsia="仿宋" w:cs="仿宋"/>
          <w:color w:val="000000"/>
        </w:rPr>
        <w:t>，具体技术要求详见第五章采购需求。</w:t>
      </w:r>
    </w:p>
    <w:p>
      <w:pPr>
        <w:adjustRightInd w:val="0"/>
        <w:snapToGrid w:val="0"/>
        <w:spacing w:line="360" w:lineRule="auto"/>
        <w:ind w:firstLine="480" w:firstLineChars="200"/>
        <w:rPr>
          <w:rFonts w:hint="eastAsia" w:ascii="仿宋" w:hAnsi="仿宋" w:eastAsia="仿宋" w:cs="宋体"/>
          <w:color w:val="000000"/>
        </w:rPr>
      </w:pPr>
      <w:r>
        <w:rPr>
          <w:rFonts w:hint="eastAsia" w:ascii="仿宋" w:hAnsi="仿宋" w:eastAsia="仿宋" w:cs="仿宋"/>
          <w:color w:val="000000"/>
        </w:rPr>
        <w:t xml:space="preserve">1.3 </w:t>
      </w:r>
      <w:r>
        <w:rPr>
          <w:rFonts w:hint="eastAsia" w:ascii="仿宋" w:hAnsi="仿宋" w:eastAsia="仿宋" w:cs="仿宋"/>
        </w:rPr>
        <w:t>标包划分</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宋体"/>
          <w:color w:val="000000" w:themeColor="text1"/>
          <w14:textFill>
            <w14:solidFill>
              <w14:schemeClr w14:val="tx1"/>
            </w14:solidFill>
          </w14:textFill>
        </w:rPr>
        <w:t>本项目不划分标包。</w:t>
      </w:r>
    </w:p>
    <w:p>
      <w:pPr>
        <w:adjustRightInd w:val="0"/>
        <w:snapToGrid w:val="0"/>
        <w:spacing w:line="360" w:lineRule="auto"/>
        <w:ind w:firstLine="480" w:firstLineChars="200"/>
        <w:rPr>
          <w:rFonts w:hint="eastAsia" w:ascii="仿宋" w:hAnsi="仿宋" w:eastAsia="仿宋" w:cs="仿宋"/>
          <w:color w:val="000000"/>
          <w:highlight w:val="none"/>
        </w:rPr>
      </w:pPr>
      <w:r>
        <w:rPr>
          <w:rFonts w:ascii="仿宋" w:hAnsi="仿宋" w:eastAsia="仿宋" w:cs="仿宋"/>
          <w:highlight w:val="none"/>
        </w:rPr>
        <w:t>1.4</w:t>
      </w:r>
      <w:r>
        <w:rPr>
          <w:rFonts w:ascii="仿宋" w:hAnsi="仿宋" w:cs="仿宋"/>
          <w:highlight w:val="none"/>
        </w:rPr>
        <w:t xml:space="preserve"> </w:t>
      </w:r>
      <w:r>
        <w:rPr>
          <w:rFonts w:hint="eastAsia" w:ascii="仿宋" w:hAnsi="仿宋" w:eastAsia="仿宋" w:cs="仿宋"/>
          <w:color w:val="000000"/>
          <w:highlight w:val="none"/>
        </w:rPr>
        <w:t>项目性质：服务</w:t>
      </w:r>
    </w:p>
    <w:p>
      <w:pPr>
        <w:adjustRightInd w:val="0"/>
        <w:snapToGrid w:val="0"/>
        <w:spacing w:line="360" w:lineRule="auto"/>
        <w:ind w:firstLine="480" w:firstLineChars="200"/>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rPr>
        <w:t>1.</w:t>
      </w:r>
      <w:r>
        <w:rPr>
          <w:rFonts w:ascii="仿宋" w:hAnsi="仿宋" w:eastAsia="仿宋" w:cs="仿宋"/>
          <w:color w:val="000000"/>
        </w:rPr>
        <w:t>5</w:t>
      </w:r>
      <w:r>
        <w:rPr>
          <w:rFonts w:hint="eastAsia" w:ascii="仿宋" w:hAnsi="仿宋" w:eastAsia="仿宋" w:cs="仿宋"/>
          <w:color w:val="000000"/>
        </w:rPr>
        <w:t>服务期限：自合同签订之日起1年</w:t>
      </w:r>
      <w:r>
        <w:rPr>
          <w:rFonts w:hint="eastAsia" w:ascii="仿宋" w:hAnsi="仿宋" w:eastAsia="仿宋" w:cs="宋体"/>
          <w:color w:val="000000" w:themeColor="text1"/>
          <w14:textFill>
            <w14:solidFill>
              <w14:schemeClr w14:val="tx1"/>
            </w14:solidFill>
          </w14:textFill>
        </w:rPr>
        <w:t>。</w:t>
      </w:r>
    </w:p>
    <w:p>
      <w:pPr>
        <w:adjustRightInd w:val="0"/>
        <w:snapToGrid w:val="0"/>
        <w:spacing w:line="360" w:lineRule="auto"/>
        <w:ind w:firstLine="480" w:firstLineChars="200"/>
        <w:rPr>
          <w:rFonts w:hint="eastAsia" w:ascii="仿宋" w:hAnsi="仿宋" w:eastAsia="仿宋" w:cs="宋体"/>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w:t>
      </w:r>
      <w:r>
        <w:rPr>
          <w:rFonts w:ascii="仿宋" w:hAnsi="仿宋" w:eastAsia="仿宋" w:cs="仿宋"/>
          <w:color w:val="000000" w:themeColor="text1"/>
          <w14:textFill>
            <w14:solidFill>
              <w14:schemeClr w14:val="tx1"/>
            </w14:solidFill>
          </w14:textFill>
        </w:rPr>
        <w:t>6</w:t>
      </w:r>
      <w:r>
        <w:rPr>
          <w:rFonts w:hint="eastAsia" w:ascii="仿宋" w:hAnsi="仿宋" w:eastAsia="仿宋" w:cs="宋体"/>
          <w:color w:val="000000" w:themeColor="text1"/>
          <w14:textFill>
            <w14:solidFill>
              <w14:schemeClr w14:val="tx1"/>
            </w14:solidFill>
          </w14:textFill>
        </w:rPr>
        <w:t>服务地点/交货地点：根据合同约定。</w:t>
      </w:r>
    </w:p>
    <w:p>
      <w:pPr>
        <w:pStyle w:val="2"/>
      </w:pPr>
      <w:r>
        <w:rPr>
          <w:rFonts w:hint="eastAsia"/>
        </w:rPr>
        <w:t xml:space="preserve"> </w:t>
      </w:r>
      <w:r>
        <w:t xml:space="preserve">   </w:t>
      </w:r>
      <w:r>
        <w:rPr>
          <w:rFonts w:ascii="仿宋" w:hAnsi="仿宋" w:eastAsia="仿宋" w:cs="仿宋"/>
          <w:color w:val="000000"/>
        </w:rPr>
        <w:t>1.7项目限价</w:t>
      </w:r>
      <w:r>
        <w:rPr>
          <w:rFonts w:hint="eastAsia" w:ascii="仿宋" w:hAnsi="仿宋" w:eastAsia="仿宋" w:cs="仿宋"/>
          <w:color w:val="000000"/>
        </w:rPr>
        <w:t>：</w:t>
      </w:r>
      <w:r>
        <w:rPr>
          <w:rFonts w:ascii="仿宋" w:hAnsi="仿宋" w:eastAsia="仿宋" w:cs="仿宋"/>
          <w:color w:val="000000"/>
        </w:rPr>
        <w:t>项目设置最高限价</w:t>
      </w:r>
      <w:r>
        <w:rPr>
          <w:rFonts w:hint="eastAsia" w:ascii="仿宋" w:hAnsi="仿宋" w:eastAsia="仿宋" w:cs="仿宋"/>
          <w:color w:val="000000"/>
        </w:rPr>
        <w:t>，</w:t>
      </w:r>
      <w:r>
        <w:rPr>
          <w:rFonts w:ascii="仿宋" w:hAnsi="仿宋" w:eastAsia="仿宋" w:cs="仿宋"/>
          <w:color w:val="000000" w:themeColor="text1"/>
          <w14:textFill>
            <w14:solidFill>
              <w14:schemeClr w14:val="tx1"/>
            </w14:solidFill>
          </w14:textFill>
        </w:rPr>
        <w:t>即供应商报价不得高于</w:t>
      </w:r>
      <w:r>
        <w:rPr>
          <w:rFonts w:hint="eastAsia" w:ascii="仿宋" w:hAnsi="仿宋" w:eastAsia="仿宋" w:cs="仿宋"/>
          <w:color w:val="000000" w:themeColor="text1"/>
          <w14:textFill>
            <w14:solidFill>
              <w14:schemeClr w14:val="tx1"/>
            </w14:solidFill>
          </w14:textFill>
        </w:rPr>
        <w:t>450元/</w:t>
      </w:r>
      <w:r>
        <w:rPr>
          <w:rFonts w:hint="eastAsia" w:ascii="仿宋" w:hAnsi="仿宋" w:eastAsia="仿宋" w:cs="仿宋"/>
          <w:color w:val="000000" w:themeColor="text1"/>
          <w:highlight w:val="none"/>
          <w14:textFill>
            <w14:solidFill>
              <w14:schemeClr w14:val="tx1"/>
            </w14:solidFill>
          </w14:textFill>
        </w:rPr>
        <w:t>次</w:t>
      </w:r>
      <w:r>
        <w:rPr>
          <w:rFonts w:hint="eastAsia" w:ascii="仿宋" w:hAnsi="仿宋" w:eastAsia="仿宋" w:cs="仿宋"/>
          <w:color w:val="000000" w:themeColor="text1"/>
          <w14:textFill>
            <w14:solidFill>
              <w14:schemeClr w14:val="tx1"/>
            </w14:solidFill>
          </w14:textFill>
        </w:rPr>
        <w:t>/年。</w:t>
      </w:r>
    </w:p>
    <w:p>
      <w:pPr>
        <w:pStyle w:val="5"/>
        <w:jc w:val="left"/>
        <w:rPr>
          <w:rFonts w:hint="eastAsia" w:ascii="仿宋" w:hAnsi="仿宋" w:eastAsia="仿宋" w:cs="仿宋"/>
          <w:color w:val="000000"/>
          <w:sz w:val="24"/>
          <w:szCs w:val="24"/>
        </w:rPr>
      </w:pPr>
      <w:bookmarkStart w:id="4" w:name="_Toc17569"/>
      <w:bookmarkStart w:id="5" w:name="_Toc186737792"/>
      <w:r>
        <w:rPr>
          <w:rFonts w:hint="eastAsia" w:ascii="仿宋" w:hAnsi="仿宋" w:eastAsia="仿宋" w:cs="仿宋"/>
          <w:color w:val="000000"/>
          <w:sz w:val="24"/>
          <w:szCs w:val="24"/>
        </w:rPr>
        <w:t>二、供应商资格要求</w:t>
      </w:r>
      <w:bookmarkEnd w:id="4"/>
      <w:bookmarkEnd w:id="5"/>
    </w:p>
    <w:p>
      <w:pPr>
        <w:spacing w:line="360" w:lineRule="auto"/>
        <w:ind w:firstLine="480" w:firstLineChars="200"/>
        <w:textAlignment w:val="baseline"/>
        <w:rPr>
          <w:rFonts w:hint="eastAsia" w:ascii="仿宋" w:hAnsi="仿宋" w:eastAsia="仿宋" w:cs="宋体"/>
          <w:color w:val="000000"/>
        </w:rPr>
      </w:pPr>
      <w:r>
        <w:rPr>
          <w:rFonts w:hint="eastAsia" w:ascii="仿宋" w:hAnsi="仿宋" w:eastAsia="仿宋" w:cs="宋体"/>
          <w:color w:val="000000"/>
        </w:rPr>
        <w:t>2.1</w:t>
      </w:r>
      <w:r>
        <w:rPr>
          <w:rFonts w:hint="eastAsia" w:ascii="仿宋" w:hAnsi="仿宋" w:eastAsia="仿宋" w:cs="宋体"/>
          <w:b/>
          <w:bCs/>
          <w:color w:val="000000"/>
        </w:rPr>
        <w:t>在中华人民共和国境内依法登记的法人或其他组织，具有独立承担民事责任的能力，</w:t>
      </w:r>
      <w:r>
        <w:rPr>
          <w:rFonts w:hint="eastAsia" w:ascii="仿宋" w:hAnsi="仿宋" w:eastAsia="仿宋" w:cs="宋体"/>
          <w:color w:val="000000"/>
        </w:rPr>
        <w:t>供应商如为企业法人，须提供企业法人营业执照</w:t>
      </w:r>
      <w:r>
        <w:rPr>
          <w:rFonts w:hint="eastAsia" w:ascii="仿宋" w:hAnsi="仿宋" w:eastAsia="仿宋" w:cs="Monaco"/>
          <w:color w:val="000000"/>
        </w:rPr>
        <w:t>（复印件）</w:t>
      </w:r>
      <w:r>
        <w:rPr>
          <w:rFonts w:hint="eastAsia" w:ascii="仿宋" w:hAnsi="仿宋" w:eastAsia="仿宋" w:cs="宋体"/>
          <w:color w:val="000000"/>
        </w:rPr>
        <w:t>；供应商如为事业单位或其他组织，须提供事业单位法人证书或登记证或组织机构代码证或其他有效证明文件（复印件）；</w:t>
      </w:r>
    </w:p>
    <w:p>
      <w:pPr>
        <w:spacing w:line="360" w:lineRule="auto"/>
        <w:ind w:firstLine="480" w:firstLineChars="200"/>
        <w:textAlignment w:val="baseline"/>
        <w:rPr>
          <w:rFonts w:hint="eastAsia" w:ascii="仿宋" w:hAnsi="仿宋" w:eastAsia="仿宋" w:cs="宋体"/>
          <w:color w:val="000000"/>
        </w:rPr>
      </w:pPr>
      <w:r>
        <w:rPr>
          <w:rFonts w:hint="eastAsia" w:ascii="仿宋" w:hAnsi="仿宋" w:eastAsia="仿宋" w:cs="宋体"/>
          <w:color w:val="000000"/>
        </w:rPr>
        <w:t>2.2</w:t>
      </w:r>
      <w:r>
        <w:rPr>
          <w:rFonts w:hint="eastAsia" w:ascii="仿宋" w:hAnsi="仿宋" w:eastAsia="仿宋" w:cs="宋体"/>
          <w:b/>
          <w:bCs/>
          <w:color w:val="000000"/>
        </w:rPr>
        <w:t>具有良好的商业信誉和健全的财务会计制度</w:t>
      </w:r>
      <w:r>
        <w:rPr>
          <w:rFonts w:hint="eastAsia" w:ascii="仿宋" w:hAnsi="仿宋" w:eastAsia="仿宋" w:cs="宋体"/>
          <w:color w:val="000000"/>
        </w:rPr>
        <w:t>，需提供</w:t>
      </w:r>
      <w:r>
        <w:rPr>
          <w:rFonts w:hint="eastAsia" w:ascii="仿宋" w:hAnsi="仿宋" w:eastAsia="仿宋" w:cs="宋体"/>
          <w:color w:val="000000" w:themeColor="text1"/>
          <w14:textFill>
            <w14:solidFill>
              <w14:schemeClr w14:val="tx1"/>
            </w14:solidFill>
          </w14:textFill>
        </w:rPr>
        <w:t>2023</w:t>
      </w:r>
      <w:r>
        <w:rPr>
          <w:rFonts w:hint="eastAsia" w:ascii="仿宋" w:hAnsi="仿宋" w:eastAsia="仿宋" w:cs="宋体"/>
        </w:rPr>
        <w:t>年</w:t>
      </w:r>
      <w:r>
        <w:rPr>
          <w:rFonts w:hint="eastAsia" w:ascii="仿宋" w:hAnsi="仿宋" w:eastAsia="仿宋" w:cs="宋体"/>
          <w:color w:val="000000"/>
        </w:rPr>
        <w:t>度经会计师事务所或审计机构审计的财务审计报告及财务报表（至少包含会计师事务所或审计机构签章页、资产负债表、现金流量表、损益表/利润表）或提供响应文件递交截止日前6个月内开具的银行资信证明</w:t>
      </w:r>
      <w:r>
        <w:rPr>
          <w:rFonts w:hint="eastAsia" w:ascii="仿宋" w:hAnsi="仿宋" w:eastAsia="仿宋" w:cs="宋体"/>
          <w:color w:val="000000" w:themeColor="text1"/>
          <w14:textFill>
            <w14:solidFill>
              <w14:schemeClr w14:val="tx1"/>
            </w14:solidFill>
          </w14:textFill>
        </w:rPr>
        <w:t>或提供承诺函，格式详见第六章响应文件格式。</w:t>
      </w:r>
    </w:p>
    <w:p>
      <w:pPr>
        <w:spacing w:line="360" w:lineRule="auto"/>
        <w:ind w:firstLine="480" w:firstLineChars="200"/>
        <w:textAlignment w:val="baseline"/>
        <w:rPr>
          <w:rFonts w:hint="eastAsia" w:ascii="仿宋" w:hAnsi="仿宋" w:eastAsia="仿宋" w:cs="宋体"/>
          <w:color w:val="000000"/>
        </w:rPr>
      </w:pPr>
      <w:r>
        <w:rPr>
          <w:rFonts w:hint="eastAsia" w:ascii="仿宋" w:hAnsi="仿宋" w:eastAsia="仿宋" w:cs="宋体"/>
          <w:color w:val="000000"/>
        </w:rPr>
        <w:t xml:space="preserve">2.3 </w:t>
      </w:r>
      <w:r>
        <w:rPr>
          <w:rFonts w:hint="eastAsia" w:ascii="仿宋" w:hAnsi="仿宋" w:eastAsia="仿宋" w:cs="宋体"/>
          <w:b/>
          <w:bCs/>
          <w:color w:val="000000"/>
        </w:rPr>
        <w:t>供应商应具有履行合同所必需的设备和专业技术能力</w:t>
      </w:r>
      <w:r>
        <w:rPr>
          <w:rFonts w:hint="eastAsia" w:ascii="仿宋" w:hAnsi="仿宋" w:eastAsia="仿宋" w:cs="宋体"/>
          <w:color w:val="000000"/>
        </w:rPr>
        <w:t>，近三年（</w:t>
      </w:r>
      <w:r>
        <w:rPr>
          <w:rFonts w:hint="eastAsia" w:ascii="仿宋" w:hAnsi="仿宋" w:eastAsia="仿宋" w:cs="宋体"/>
          <w:color w:val="000000" w:themeColor="text1"/>
          <w14:textFill>
            <w14:solidFill>
              <w14:schemeClr w14:val="tx1"/>
            </w14:solidFill>
          </w14:textFill>
        </w:rPr>
        <w:t>2022</w:t>
      </w:r>
      <w:r>
        <w:rPr>
          <w:rFonts w:hint="eastAsia" w:ascii="仿宋" w:hAnsi="仿宋" w:eastAsia="仿宋" w:cs="宋体"/>
          <w:color w:val="000000"/>
        </w:rPr>
        <w:t>年1月1日至今）应具有1</w:t>
      </w:r>
      <w:r>
        <w:rPr>
          <w:rFonts w:hint="eastAsia" w:ascii="仿宋" w:hAnsi="仿宋" w:eastAsia="仿宋" w:cs="宋体"/>
          <w:color w:val="000000" w:themeColor="text1"/>
          <w14:textFill>
            <w14:solidFill>
              <w14:schemeClr w14:val="tx1"/>
            </w14:solidFill>
          </w14:textFill>
        </w:rPr>
        <w:t>个5万元</w:t>
      </w:r>
      <w:r>
        <w:rPr>
          <w:rFonts w:hint="eastAsia" w:ascii="仿宋" w:hAnsi="仿宋" w:eastAsia="仿宋" w:cs="宋体"/>
          <w:color w:val="000000"/>
        </w:rPr>
        <w:t>（含）以上同类项目实施案例，并提供符合上述要求的合同关键页作为有效的业绩证明材料。合同关键页包含但不限于合同首页、合同标的页、签署日期页及盖章页等</w:t>
      </w:r>
      <w:r>
        <w:rPr>
          <w:rFonts w:hint="eastAsia" w:ascii="仿宋" w:hAnsi="仿宋" w:eastAsia="仿宋" w:cs="宋体"/>
          <w:color w:val="000000" w:themeColor="text1"/>
          <w14:textFill>
            <w14:solidFill>
              <w14:schemeClr w14:val="tx1"/>
            </w14:solidFill>
          </w14:textFill>
        </w:rPr>
        <w:t>或提供承诺函，格式详见第六章响应文件格式。</w:t>
      </w:r>
    </w:p>
    <w:p>
      <w:pPr>
        <w:spacing w:line="360" w:lineRule="auto"/>
        <w:ind w:firstLine="480" w:firstLineChars="200"/>
        <w:textAlignment w:val="baseline"/>
        <w:rPr>
          <w:rFonts w:hint="eastAsia" w:ascii="仿宋" w:hAnsi="仿宋" w:eastAsia="仿宋" w:cs="宋体"/>
          <w:color w:val="000000"/>
        </w:rPr>
      </w:pPr>
      <w:r>
        <w:rPr>
          <w:rFonts w:hint="eastAsia" w:ascii="仿宋" w:hAnsi="仿宋" w:eastAsia="仿宋" w:cs="宋体"/>
          <w:color w:val="000000"/>
        </w:rPr>
        <w:t>2.4</w:t>
      </w:r>
      <w:r>
        <w:rPr>
          <w:rFonts w:hint="eastAsia" w:ascii="仿宋" w:hAnsi="仿宋" w:eastAsia="仿宋" w:cs="宋体"/>
          <w:b/>
          <w:bCs/>
          <w:color w:val="000000"/>
        </w:rPr>
        <w:t>具有依法缴纳税收和社会保障资金的良好记录</w:t>
      </w:r>
      <w:r>
        <w:rPr>
          <w:rFonts w:hint="eastAsia" w:ascii="仿宋" w:hAnsi="仿宋" w:eastAsia="仿宋" w:cs="宋体"/>
          <w:color w:val="000000"/>
        </w:rPr>
        <w:t>，提供近6个月任意一个月的税收和社会保障资金缴纳凭证</w:t>
      </w:r>
      <w:r>
        <w:rPr>
          <w:rFonts w:hint="eastAsia" w:ascii="仿宋" w:hAnsi="仿宋" w:eastAsia="仿宋" w:cs="宋体"/>
          <w:color w:val="000000" w:themeColor="text1"/>
          <w14:textFill>
            <w14:solidFill>
              <w14:schemeClr w14:val="tx1"/>
            </w14:solidFill>
          </w14:textFill>
        </w:rPr>
        <w:t>或提供承诺函，格式详见第六章响应文件格式。</w:t>
      </w:r>
    </w:p>
    <w:p>
      <w:pPr>
        <w:spacing w:line="360" w:lineRule="auto"/>
        <w:ind w:firstLine="480" w:firstLineChars="200"/>
        <w:textAlignment w:val="baseline"/>
        <w:rPr>
          <w:rFonts w:hint="eastAsia" w:ascii="仿宋" w:hAnsi="仿宋" w:eastAsia="仿宋" w:cs="宋体"/>
          <w:color w:val="000000"/>
        </w:rPr>
      </w:pPr>
      <w:r>
        <w:rPr>
          <w:rFonts w:hint="eastAsia" w:ascii="仿宋" w:hAnsi="仿宋" w:eastAsia="仿宋" w:cs="宋体"/>
          <w:color w:val="000000"/>
        </w:rPr>
        <w:t>2.5</w:t>
      </w:r>
      <w:r>
        <w:rPr>
          <w:rFonts w:hint="eastAsia" w:ascii="仿宋" w:hAnsi="仿宋" w:eastAsia="仿宋" w:cs="宋体"/>
          <w:b/>
          <w:bCs/>
          <w:color w:val="000000"/>
        </w:rPr>
        <w:t>供应商应经营状况良好，且近三年内（</w:t>
      </w:r>
      <w:r>
        <w:rPr>
          <w:rFonts w:hint="eastAsia" w:ascii="仿宋" w:hAnsi="仿宋" w:eastAsia="仿宋" w:cs="宋体"/>
          <w:b/>
          <w:bCs/>
          <w:color w:val="000000" w:themeColor="text1"/>
          <w14:textFill>
            <w14:solidFill>
              <w14:schemeClr w14:val="tx1"/>
            </w14:solidFill>
          </w14:textFill>
        </w:rPr>
        <w:t>2022</w:t>
      </w:r>
      <w:r>
        <w:rPr>
          <w:rFonts w:hint="eastAsia" w:ascii="仿宋" w:hAnsi="仿宋" w:eastAsia="仿宋" w:cs="宋体"/>
          <w:b/>
          <w:bCs/>
          <w:color w:val="000000"/>
        </w:rPr>
        <w:t>年1月1日至今）无违法违规记录。</w:t>
      </w:r>
      <w:r>
        <w:rPr>
          <w:rFonts w:hint="eastAsia" w:ascii="仿宋" w:hAnsi="仿宋" w:eastAsia="仿宋" w:cs="宋体"/>
          <w:color w:val="000000"/>
        </w:rPr>
        <w:t>违法违规记录是指被“信用中国”列入失信被执行人、重大税收违法失信主体、政府采购严重违法失信行为记录名单。供应商需提供自磋商公告发布之日至响应文件递交截止之日期间对以上三项内容的查询截图。</w:t>
      </w:r>
    </w:p>
    <w:p>
      <w:pPr>
        <w:spacing w:line="360" w:lineRule="auto"/>
        <w:ind w:firstLine="480" w:firstLineChars="200"/>
        <w:textAlignment w:val="baseline"/>
        <w:rPr>
          <w:rFonts w:hint="eastAsia" w:ascii="仿宋" w:hAnsi="仿宋" w:eastAsia="仿宋" w:cs="宋体"/>
          <w:color w:val="000000"/>
        </w:rPr>
      </w:pPr>
      <w:r>
        <w:rPr>
          <w:rFonts w:hint="eastAsia" w:ascii="仿宋" w:hAnsi="仿宋" w:eastAsia="仿宋" w:cs="宋体"/>
          <w:color w:val="000000"/>
        </w:rPr>
        <w:t>信用中国查询网址：https://www.creditchina.gov.cn/xinyongfuwu/?navPage=5</w:t>
      </w:r>
    </w:p>
    <w:p>
      <w:pPr>
        <w:spacing w:line="360" w:lineRule="auto"/>
        <w:ind w:firstLine="480" w:firstLineChars="200"/>
        <w:textAlignment w:val="baseline"/>
        <w:rPr>
          <w:rFonts w:hint="eastAsia" w:ascii="仿宋" w:hAnsi="仿宋" w:eastAsia="仿宋" w:cs="宋体"/>
          <w:b/>
          <w:bCs/>
          <w:color w:val="000000"/>
        </w:rPr>
      </w:pPr>
      <w:r>
        <w:rPr>
          <w:rFonts w:hint="eastAsia" w:ascii="仿宋" w:hAnsi="仿宋" w:eastAsia="仿宋" w:cs="宋体"/>
          <w:color w:val="000000"/>
        </w:rPr>
        <w:t xml:space="preserve">2.6 </w:t>
      </w:r>
      <w:r>
        <w:rPr>
          <w:rFonts w:hint="eastAsia" w:ascii="仿宋" w:hAnsi="仿宋" w:eastAsia="仿宋" w:cs="宋体"/>
          <w:b/>
          <w:bCs/>
          <w:color w:val="000000"/>
        </w:rPr>
        <w:t>严禁列入采购人及其所隶属的中国人民保险各级机构的供应商黑名单且在禁入期内的供应商参与采购活动。</w:t>
      </w:r>
    </w:p>
    <w:p>
      <w:pPr>
        <w:spacing w:line="360" w:lineRule="auto"/>
        <w:ind w:firstLine="480" w:firstLineChars="200"/>
        <w:textAlignment w:val="baseline"/>
        <w:rPr>
          <w:rFonts w:hint="eastAsia" w:ascii="仿宋" w:hAnsi="仿宋" w:eastAsia="仿宋" w:cs="宋体"/>
          <w:color w:val="000000"/>
        </w:rPr>
      </w:pPr>
      <w:r>
        <w:rPr>
          <w:rFonts w:hint="eastAsia" w:ascii="仿宋" w:hAnsi="仿宋" w:eastAsia="仿宋" w:cs="宋体"/>
          <w:color w:val="000000"/>
        </w:rPr>
        <w:t>2.7单位负责人为同一人或存在控股、管理关系的不同单位，不得参加同一标段/标包磋商响应或未划分标段/标包的同一采购项目的磋商响应，需填写《供应商控股及管理关系情况申报表》。</w:t>
      </w:r>
    </w:p>
    <w:p>
      <w:pPr>
        <w:spacing w:line="360" w:lineRule="auto"/>
        <w:ind w:firstLine="480" w:firstLineChars="200"/>
        <w:textAlignment w:val="baseline"/>
        <w:rPr>
          <w:rFonts w:hint="eastAsia" w:ascii="仿宋" w:hAnsi="仿宋" w:eastAsia="仿宋" w:cs="宋体"/>
          <w:color w:val="000000"/>
        </w:rPr>
      </w:pPr>
      <w:r>
        <w:rPr>
          <w:rFonts w:hint="eastAsia" w:ascii="仿宋" w:hAnsi="仿宋" w:eastAsia="仿宋" w:cs="宋体"/>
          <w:color w:val="000000"/>
        </w:rPr>
        <w:t>2.8本项目接受/不接受联合体磋商响应。提供承诺函，格式详见第六章响应文件格式。</w:t>
      </w:r>
    </w:p>
    <w:p>
      <w:pPr>
        <w:pStyle w:val="5"/>
        <w:spacing w:after="240"/>
        <w:jc w:val="left"/>
        <w:rPr>
          <w:rFonts w:hint="eastAsia" w:ascii="仿宋" w:hAnsi="仿宋" w:eastAsia="仿宋" w:cs="仿宋"/>
          <w:color w:val="000000"/>
          <w:sz w:val="24"/>
          <w:szCs w:val="24"/>
        </w:rPr>
      </w:pPr>
      <w:bookmarkStart w:id="6" w:name="_Toc2019"/>
      <w:bookmarkStart w:id="7" w:name="_Toc186737793"/>
      <w:r>
        <w:rPr>
          <w:rFonts w:hint="eastAsia" w:ascii="仿宋" w:hAnsi="仿宋" w:eastAsia="仿宋" w:cs="仿宋"/>
          <w:color w:val="000000"/>
          <w:sz w:val="24"/>
          <w:szCs w:val="24"/>
        </w:rPr>
        <w:t>三、磋商文件的获取</w:t>
      </w:r>
      <w:bookmarkEnd w:id="6"/>
      <w:bookmarkEnd w:id="7"/>
    </w:p>
    <w:p>
      <w:pPr>
        <w:pStyle w:val="66"/>
        <w:adjustRightInd w:val="0"/>
        <w:snapToGrid w:val="0"/>
        <w:ind w:firstLineChars="175"/>
        <w:jc w:val="left"/>
        <w:rPr>
          <w:rFonts w:hint="eastAsia" w:ascii="仿宋" w:hAnsi="仿宋" w:eastAsia="仿宋" w:cs="仿宋"/>
          <w:color w:val="FF0000"/>
          <w:sz w:val="24"/>
          <w:szCs w:val="24"/>
        </w:rPr>
      </w:pPr>
      <w:r>
        <w:rPr>
          <w:rFonts w:ascii="仿宋" w:hAnsi="仿宋" w:eastAsia="仿宋" w:cs="仿宋"/>
          <w:color w:val="000000"/>
          <w:sz w:val="24"/>
          <w:szCs w:val="24"/>
        </w:rPr>
        <w:t>3</w:t>
      </w:r>
      <w:r>
        <w:rPr>
          <w:rFonts w:hint="eastAsia" w:ascii="仿宋" w:hAnsi="仿宋" w:eastAsia="仿宋" w:cs="仿宋"/>
          <w:color w:val="000000"/>
          <w:sz w:val="24"/>
          <w:szCs w:val="24"/>
        </w:rPr>
        <w:t>.1磋商文件</w:t>
      </w:r>
      <w:r>
        <w:rPr>
          <w:rFonts w:hint="eastAsia" w:ascii="仿宋" w:hAnsi="仿宋" w:eastAsia="仿宋" w:cs="宋体"/>
          <w:color w:val="000000"/>
          <w:sz w:val="24"/>
          <w:szCs w:val="24"/>
        </w:rPr>
        <w:t>获取</w:t>
      </w:r>
      <w:r>
        <w:rPr>
          <w:rFonts w:hint="eastAsia" w:ascii="仿宋" w:hAnsi="仿宋" w:eastAsia="仿宋" w:cs="仿宋"/>
          <w:color w:val="000000"/>
          <w:sz w:val="24"/>
          <w:szCs w:val="24"/>
        </w:rPr>
        <w:t>时间：</w:t>
      </w:r>
      <w:r>
        <w:rPr>
          <w:rFonts w:hint="eastAsia" w:ascii="仿宋" w:hAnsi="仿宋" w:eastAsia="仿宋" w:cs="宋体"/>
          <w:b/>
          <w:color w:val="000000" w:themeColor="text1"/>
          <w:sz w:val="24"/>
          <w:szCs w:val="24"/>
          <w:u w:val="single"/>
          <w14:textFill>
            <w14:solidFill>
              <w14:schemeClr w14:val="tx1"/>
            </w14:solidFill>
          </w14:textFill>
        </w:rPr>
        <w:t>2025年</w:t>
      </w:r>
      <w:r>
        <w:rPr>
          <w:rFonts w:hint="eastAsia" w:ascii="仿宋" w:hAnsi="仿宋" w:eastAsia="仿宋" w:cs="宋体"/>
          <w:b/>
          <w:color w:val="000000" w:themeColor="text1"/>
          <w:sz w:val="24"/>
          <w:szCs w:val="24"/>
          <w:u w:val="single"/>
          <w:lang w:val="en-US" w:eastAsia="zh-CN"/>
          <w14:textFill>
            <w14:solidFill>
              <w14:schemeClr w14:val="tx1"/>
            </w14:solidFill>
          </w14:textFill>
        </w:rPr>
        <w:t>2</w:t>
      </w:r>
      <w:r>
        <w:rPr>
          <w:rFonts w:hint="eastAsia" w:ascii="仿宋" w:hAnsi="仿宋" w:eastAsia="仿宋" w:cs="宋体"/>
          <w:b/>
          <w:color w:val="000000" w:themeColor="text1"/>
          <w:sz w:val="24"/>
          <w:szCs w:val="24"/>
          <w:u w:val="single"/>
          <w14:textFill>
            <w14:solidFill>
              <w14:schemeClr w14:val="tx1"/>
            </w14:solidFill>
          </w14:textFill>
        </w:rPr>
        <w:t>月</w:t>
      </w:r>
      <w:r>
        <w:rPr>
          <w:rFonts w:hint="eastAsia" w:ascii="仿宋" w:hAnsi="仿宋" w:eastAsia="仿宋" w:cs="宋体"/>
          <w:b/>
          <w:color w:val="000000" w:themeColor="text1"/>
          <w:sz w:val="24"/>
          <w:szCs w:val="24"/>
          <w:u w:val="single"/>
          <w:lang w:val="en-US" w:eastAsia="zh-CN"/>
          <w14:textFill>
            <w14:solidFill>
              <w14:schemeClr w14:val="tx1"/>
            </w14:solidFill>
          </w14:textFill>
        </w:rPr>
        <w:t>28</w:t>
      </w:r>
      <w:r>
        <w:rPr>
          <w:rFonts w:hint="eastAsia" w:ascii="仿宋" w:hAnsi="仿宋" w:eastAsia="仿宋" w:cs="宋体"/>
          <w:b/>
          <w:color w:val="000000" w:themeColor="text1"/>
          <w:sz w:val="24"/>
          <w:szCs w:val="24"/>
          <w:u w:val="single"/>
          <w14:textFill>
            <w14:solidFill>
              <w14:schemeClr w14:val="tx1"/>
            </w14:solidFill>
          </w14:textFill>
        </w:rPr>
        <w:t>日</w:t>
      </w:r>
      <w:r>
        <w:rPr>
          <w:rFonts w:hint="eastAsia" w:ascii="仿宋" w:hAnsi="仿宋" w:eastAsia="仿宋" w:cs="宋体"/>
          <w:b/>
          <w:color w:val="000000" w:themeColor="text1"/>
          <w:sz w:val="24"/>
          <w:szCs w:val="24"/>
          <w14:textFill>
            <w14:solidFill>
              <w14:schemeClr w14:val="tx1"/>
            </w14:solidFill>
          </w14:textFill>
        </w:rPr>
        <w:t>至</w:t>
      </w:r>
      <w:r>
        <w:rPr>
          <w:rFonts w:hint="eastAsia" w:ascii="仿宋" w:hAnsi="仿宋" w:eastAsia="仿宋" w:cs="宋体"/>
          <w:b/>
          <w:color w:val="000000" w:themeColor="text1"/>
          <w:sz w:val="24"/>
          <w:szCs w:val="24"/>
          <w:u w:val="single"/>
          <w14:textFill>
            <w14:solidFill>
              <w14:schemeClr w14:val="tx1"/>
            </w14:solidFill>
          </w14:textFill>
        </w:rPr>
        <w:t>2025年</w:t>
      </w:r>
      <w:r>
        <w:rPr>
          <w:rFonts w:hint="eastAsia" w:ascii="仿宋" w:hAnsi="仿宋" w:eastAsia="仿宋" w:cs="宋体"/>
          <w:b/>
          <w:color w:val="000000" w:themeColor="text1"/>
          <w:sz w:val="24"/>
          <w:szCs w:val="24"/>
          <w:u w:val="single"/>
          <w:lang w:val="en-US" w:eastAsia="zh-CN"/>
          <w14:textFill>
            <w14:solidFill>
              <w14:schemeClr w14:val="tx1"/>
            </w14:solidFill>
          </w14:textFill>
        </w:rPr>
        <w:t>2</w:t>
      </w:r>
      <w:r>
        <w:rPr>
          <w:rFonts w:hint="eastAsia" w:ascii="仿宋" w:hAnsi="仿宋" w:eastAsia="仿宋" w:cs="宋体"/>
          <w:b/>
          <w:color w:val="000000" w:themeColor="text1"/>
          <w:sz w:val="24"/>
          <w:szCs w:val="24"/>
          <w:u w:val="single"/>
          <w14:textFill>
            <w14:solidFill>
              <w14:schemeClr w14:val="tx1"/>
            </w14:solidFill>
          </w14:textFill>
        </w:rPr>
        <w:t>月</w:t>
      </w:r>
      <w:r>
        <w:rPr>
          <w:rFonts w:hint="eastAsia" w:ascii="仿宋" w:hAnsi="仿宋" w:eastAsia="仿宋" w:cs="宋体"/>
          <w:b/>
          <w:color w:val="000000" w:themeColor="text1"/>
          <w:sz w:val="24"/>
          <w:szCs w:val="24"/>
          <w:u w:val="single"/>
          <w:lang w:val="en-US" w:eastAsia="zh-CN"/>
          <w14:textFill>
            <w14:solidFill>
              <w14:schemeClr w14:val="tx1"/>
            </w14:solidFill>
          </w14:textFill>
        </w:rPr>
        <w:t>28</w:t>
      </w:r>
      <w:r>
        <w:rPr>
          <w:rFonts w:hint="eastAsia" w:ascii="仿宋" w:hAnsi="仿宋" w:eastAsia="仿宋" w:cs="宋体"/>
          <w:b/>
          <w:color w:val="000000" w:themeColor="text1"/>
          <w:sz w:val="24"/>
          <w:szCs w:val="24"/>
          <w:u w:val="single"/>
          <w14:textFill>
            <w14:solidFill>
              <w14:schemeClr w14:val="tx1"/>
            </w14:solidFill>
          </w14:textFill>
        </w:rPr>
        <w:t>日，</w:t>
      </w:r>
      <w:r>
        <w:rPr>
          <w:rFonts w:hint="eastAsia" w:ascii="仿宋" w:hAnsi="仿宋" w:eastAsia="仿宋" w:cs="宋体"/>
          <w:color w:val="000000" w:themeColor="text1"/>
          <w:sz w:val="24"/>
          <w:szCs w:val="24"/>
          <w14:textFill>
            <w14:solidFill>
              <w14:schemeClr w14:val="tx1"/>
            </w14:solidFill>
          </w14:textFill>
        </w:rPr>
        <w:t>下午</w:t>
      </w:r>
      <w:r>
        <w:rPr>
          <w:rFonts w:hint="eastAsia" w:ascii="仿宋" w:hAnsi="仿宋" w:eastAsia="仿宋" w:cs="宋体"/>
          <w:color w:val="000000" w:themeColor="text1"/>
          <w:sz w:val="24"/>
          <w:szCs w:val="24"/>
          <w:lang w:val="en-US" w:eastAsia="zh-CN"/>
          <w14:textFill>
            <w14:solidFill>
              <w14:schemeClr w14:val="tx1"/>
            </w14:solidFill>
          </w14:textFill>
        </w:rPr>
        <w:t>18</w:t>
      </w:r>
      <w:r>
        <w:rPr>
          <w:rFonts w:hint="eastAsia" w:ascii="仿宋" w:hAnsi="仿宋" w:eastAsia="仿宋" w:cs="宋体"/>
          <w:color w:val="000000" w:themeColor="text1"/>
          <w:sz w:val="24"/>
          <w:szCs w:val="24"/>
          <w14:textFill>
            <w14:solidFill>
              <w14:schemeClr w14:val="tx1"/>
            </w14:solidFill>
          </w14:textFill>
        </w:rPr>
        <w:t>时至</w:t>
      </w:r>
      <w:r>
        <w:rPr>
          <w:rFonts w:hint="eastAsia" w:ascii="仿宋" w:hAnsi="仿宋" w:eastAsia="仿宋" w:cs="宋体"/>
          <w:color w:val="000000" w:themeColor="text1"/>
          <w:sz w:val="24"/>
          <w:szCs w:val="24"/>
          <w:lang w:val="en-US" w:eastAsia="zh-CN"/>
          <w14:textFill>
            <w14:solidFill>
              <w14:schemeClr w14:val="tx1"/>
            </w14:solidFill>
          </w14:textFill>
        </w:rPr>
        <w:t>19</w:t>
      </w:r>
      <w:r>
        <w:rPr>
          <w:rFonts w:hint="eastAsia" w:ascii="仿宋" w:hAnsi="仿宋" w:eastAsia="仿宋" w:cs="宋体"/>
          <w:color w:val="000000" w:themeColor="text1"/>
          <w:sz w:val="24"/>
          <w:szCs w:val="24"/>
          <w14:textFill>
            <w14:solidFill>
              <w14:schemeClr w14:val="tx1"/>
            </w14:solidFill>
          </w14:textFill>
        </w:rPr>
        <w:t>时（北京时间，下同）。</w:t>
      </w:r>
    </w:p>
    <w:p>
      <w:pPr>
        <w:pStyle w:val="12"/>
        <w:spacing w:line="360" w:lineRule="auto"/>
        <w:ind w:firstLine="480" w:firstLineChars="200"/>
        <w:rPr>
          <w:rFonts w:hint="eastAsia" w:ascii="仿宋" w:hAnsi="仿宋" w:eastAsia="仿宋" w:cs="仿宋_GB2312"/>
          <w:sz w:val="24"/>
          <w:szCs w:val="24"/>
        </w:rPr>
      </w:pPr>
      <w:r>
        <w:rPr>
          <w:rFonts w:ascii="仿宋" w:hAnsi="仿宋" w:eastAsia="仿宋" w:cs="宋体"/>
          <w:color w:val="000000"/>
          <w:sz w:val="24"/>
        </w:rPr>
        <w:t>3</w:t>
      </w:r>
      <w:r>
        <w:rPr>
          <w:rFonts w:hint="eastAsia" w:ascii="仿宋" w:hAnsi="仿宋" w:eastAsia="仿宋" w:cs="宋体"/>
          <w:color w:val="000000"/>
          <w:sz w:val="24"/>
        </w:rPr>
        <w:t>.2拟报名参加本项目的供应商</w:t>
      </w:r>
      <w:r>
        <w:rPr>
          <w:rFonts w:hint="eastAsia" w:ascii="仿宋" w:hAnsi="仿宋" w:eastAsia="仿宋" w:cs="宋体"/>
          <w:color w:val="000000" w:themeColor="text1"/>
          <w:sz w:val="24"/>
          <w14:textFill>
            <w14:solidFill>
              <w14:schemeClr w14:val="tx1"/>
            </w14:solidFill>
          </w14:textFill>
        </w:rPr>
        <w:t>，请通过“人保e采”外网门户获取磋商文件</w:t>
      </w:r>
      <w:r>
        <w:rPr>
          <w:rFonts w:hint="eastAsia" w:ascii="仿宋" w:hAnsi="仿宋" w:eastAsia="仿宋" w:cs="仿宋_GB2312"/>
          <w:color w:val="000000" w:themeColor="text1"/>
          <w:sz w:val="24"/>
          <w:szCs w:val="24"/>
          <w14:textFill>
            <w14:solidFill>
              <w14:schemeClr w14:val="tx1"/>
            </w14:solidFill>
          </w14:textFill>
        </w:rPr>
        <w:t>。</w:t>
      </w:r>
    </w:p>
    <w:p>
      <w:pPr>
        <w:pStyle w:val="5"/>
        <w:jc w:val="left"/>
        <w:rPr>
          <w:rFonts w:hint="eastAsia" w:ascii="仿宋" w:hAnsi="仿宋" w:eastAsia="仿宋" w:cs="仿宋"/>
          <w:color w:val="000000"/>
          <w:sz w:val="24"/>
          <w:szCs w:val="24"/>
        </w:rPr>
      </w:pPr>
      <w:bookmarkStart w:id="8" w:name="_Toc186737794"/>
      <w:bookmarkStart w:id="9" w:name="_Toc32115"/>
      <w:r>
        <w:rPr>
          <w:rFonts w:hint="eastAsia" w:ascii="仿宋" w:hAnsi="仿宋" w:eastAsia="仿宋" w:cs="仿宋"/>
          <w:color w:val="000000"/>
          <w:sz w:val="24"/>
          <w:szCs w:val="24"/>
        </w:rPr>
        <w:t>四、响应文件的递交</w:t>
      </w:r>
      <w:bookmarkEnd w:id="8"/>
      <w:bookmarkEnd w:id="9"/>
    </w:p>
    <w:p>
      <w:pPr>
        <w:spacing w:line="360" w:lineRule="auto"/>
        <w:ind w:firstLine="480" w:firstLineChars="200"/>
        <w:textAlignment w:val="baseline"/>
        <w:rPr>
          <w:rFonts w:hint="eastAsia"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rPr>
        <w:t>.1响应文件递交截止时间：</w:t>
      </w:r>
      <w:r>
        <w:rPr>
          <w:rFonts w:hint="eastAsia" w:ascii="仿宋" w:hAnsi="仿宋" w:eastAsia="仿宋" w:cs="宋体"/>
          <w:color w:val="000000" w:themeColor="text1"/>
          <w:u w:val="single"/>
          <w14:textFill>
            <w14:solidFill>
              <w14:schemeClr w14:val="tx1"/>
            </w14:solidFill>
          </w14:textFill>
        </w:rPr>
        <w:t>2025年</w:t>
      </w:r>
      <w:r>
        <w:rPr>
          <w:rFonts w:hint="eastAsia" w:ascii="仿宋" w:hAnsi="仿宋" w:eastAsia="仿宋" w:cs="宋体"/>
          <w:color w:val="000000" w:themeColor="text1"/>
          <w:u w:val="single"/>
          <w:lang w:val="en-US" w:eastAsia="zh-CN"/>
          <w14:textFill>
            <w14:solidFill>
              <w14:schemeClr w14:val="tx1"/>
            </w14:solidFill>
          </w14:textFill>
        </w:rPr>
        <w:t>3</w:t>
      </w:r>
      <w:r>
        <w:rPr>
          <w:rFonts w:hint="eastAsia" w:ascii="仿宋" w:hAnsi="仿宋" w:eastAsia="仿宋" w:cs="宋体"/>
          <w:color w:val="000000" w:themeColor="text1"/>
          <w:u w:val="single"/>
          <w14:textFill>
            <w14:solidFill>
              <w14:schemeClr w14:val="tx1"/>
            </w14:solidFill>
          </w14:textFill>
        </w:rPr>
        <w:t>月</w:t>
      </w:r>
      <w:r>
        <w:rPr>
          <w:rFonts w:hint="eastAsia" w:ascii="仿宋" w:hAnsi="仿宋" w:eastAsia="仿宋" w:cs="宋体"/>
          <w:color w:val="000000" w:themeColor="text1"/>
          <w:u w:val="single"/>
          <w:lang w:val="en-US" w:eastAsia="zh-CN"/>
          <w14:textFill>
            <w14:solidFill>
              <w14:schemeClr w14:val="tx1"/>
            </w14:solidFill>
          </w14:textFill>
        </w:rPr>
        <w:t>6</w:t>
      </w:r>
      <w:r>
        <w:rPr>
          <w:rFonts w:hint="eastAsia" w:ascii="仿宋" w:hAnsi="仿宋" w:eastAsia="仿宋" w:cs="宋体"/>
          <w:color w:val="000000" w:themeColor="text1"/>
          <w:u w:val="single"/>
          <w14:textFill>
            <w14:solidFill>
              <w14:schemeClr w14:val="tx1"/>
            </w14:solidFill>
          </w14:textFill>
        </w:rPr>
        <w:t>日</w:t>
      </w:r>
      <w:r>
        <w:rPr>
          <w:rFonts w:hint="eastAsia" w:ascii="仿宋" w:hAnsi="仿宋" w:eastAsia="仿宋" w:cs="宋体"/>
          <w:color w:val="000000" w:themeColor="text1"/>
          <w:u w:val="single"/>
          <w:lang w:val="en-US" w:eastAsia="zh-CN"/>
          <w14:textFill>
            <w14:solidFill>
              <w14:schemeClr w14:val="tx1"/>
            </w14:solidFill>
          </w14:textFill>
        </w:rPr>
        <w:t>14</w:t>
      </w:r>
      <w:bookmarkStart w:id="213" w:name="_GoBack"/>
      <w:bookmarkEnd w:id="213"/>
      <w:r>
        <w:rPr>
          <w:rFonts w:hint="eastAsia" w:ascii="仿宋" w:hAnsi="仿宋" w:eastAsia="仿宋" w:cs="宋体"/>
          <w:color w:val="000000" w:themeColor="text1"/>
          <w:u w:val="single"/>
          <w14:textFill>
            <w14:solidFill>
              <w14:schemeClr w14:val="tx1"/>
            </w14:solidFill>
          </w14:textFill>
        </w:rPr>
        <w:t>时</w:t>
      </w:r>
      <w:r>
        <w:rPr>
          <w:rFonts w:hint="eastAsia" w:ascii="仿宋" w:hAnsi="仿宋" w:eastAsia="仿宋" w:cs="宋体"/>
          <w:color w:val="000000" w:themeColor="text1"/>
          <w:u w:val="single"/>
          <w:lang w:val="en-US" w:eastAsia="zh-CN"/>
          <w14:textFill>
            <w14:solidFill>
              <w14:schemeClr w14:val="tx1"/>
            </w14:solidFill>
          </w14:textFill>
        </w:rPr>
        <w:t>00</w:t>
      </w:r>
      <w:r>
        <w:rPr>
          <w:rFonts w:hint="eastAsia" w:ascii="仿宋" w:hAnsi="仿宋" w:eastAsia="仿宋" w:cs="宋体"/>
          <w:color w:val="000000" w:themeColor="text1"/>
          <w:u w:val="single"/>
          <w14:textFill>
            <w14:solidFill>
              <w14:schemeClr w14:val="tx1"/>
            </w14:solidFill>
          </w14:textFill>
        </w:rPr>
        <w:t>分00秒</w:t>
      </w:r>
      <w:r>
        <w:rPr>
          <w:rFonts w:hint="eastAsia" w:ascii="仿宋" w:hAnsi="仿宋" w:eastAsia="仿宋" w:cs="宋体"/>
          <w:color w:val="000000" w:themeColor="text1"/>
          <w14:textFill>
            <w14:solidFill>
              <w14:schemeClr w14:val="tx1"/>
            </w14:solidFill>
          </w14:textFill>
        </w:rPr>
        <w:t>。</w:t>
      </w:r>
    </w:p>
    <w:p>
      <w:pPr>
        <w:spacing w:line="360" w:lineRule="auto"/>
        <w:ind w:firstLine="480" w:firstLineChars="200"/>
        <w:textAlignment w:val="baseline"/>
      </w:pPr>
      <w:r>
        <w:rPr>
          <w:rFonts w:ascii="仿宋" w:hAnsi="仿宋" w:eastAsia="仿宋" w:cs="宋体"/>
          <w:color w:val="000000"/>
        </w:rPr>
        <w:t>4</w:t>
      </w:r>
      <w:r>
        <w:rPr>
          <w:rFonts w:hint="eastAsia" w:ascii="仿宋" w:hAnsi="仿宋" w:eastAsia="仿宋" w:cs="宋体"/>
          <w:color w:val="000000"/>
        </w:rPr>
        <w:t>.2响应文件的递交：邮寄至成都市金牛区一环路北三段1号SOHO C座15楼，</w:t>
      </w:r>
      <w:r>
        <w:rPr>
          <w:rFonts w:hint="eastAsia" w:ascii="仿宋" w:hAnsi="仿宋" w:eastAsia="仿宋" w:cs="宋体"/>
          <w:b/>
          <w:bCs/>
          <w:color w:val="000000"/>
        </w:rPr>
        <w:t>逾期送达或者未送达指定地点或者未按照磋商文件要求封装的纸质响应文件不予接收。</w:t>
      </w:r>
    </w:p>
    <w:p>
      <w:pPr>
        <w:spacing w:line="360" w:lineRule="auto"/>
        <w:ind w:firstLine="480" w:firstLineChars="200"/>
        <w:textAlignment w:val="baseline"/>
        <w:rPr>
          <w:rFonts w:hint="eastAsia"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kern w:val="2"/>
        </w:rPr>
        <w:t>.3本项目将于上述同一时间、地点进行磋商，</w:t>
      </w:r>
      <w:r>
        <w:rPr>
          <w:rFonts w:hint="eastAsia" w:ascii="仿宋" w:hAnsi="仿宋" w:eastAsia="仿宋" w:cs="宋体"/>
          <w:kern w:val="2"/>
        </w:rPr>
        <w:t>采购人邀</w:t>
      </w:r>
      <w:r>
        <w:rPr>
          <w:rFonts w:hint="eastAsia" w:ascii="仿宋" w:hAnsi="仿宋" w:eastAsia="仿宋" w:cs="宋体"/>
          <w:color w:val="000000"/>
          <w:kern w:val="2"/>
        </w:rPr>
        <w:t>请供应商代表准时参加。</w:t>
      </w:r>
    </w:p>
    <w:p>
      <w:pPr>
        <w:spacing w:line="360" w:lineRule="auto"/>
        <w:ind w:firstLine="480" w:firstLineChars="200"/>
        <w:textAlignment w:val="baseline"/>
        <w:rPr>
          <w:rFonts w:hint="eastAsia" w:ascii="仿宋" w:hAnsi="仿宋" w:eastAsia="仿宋" w:cs="宋体"/>
          <w:b/>
          <w:bCs/>
          <w:color w:val="000000"/>
        </w:rPr>
      </w:pPr>
      <w:r>
        <w:rPr>
          <w:rFonts w:ascii="仿宋" w:hAnsi="仿宋" w:eastAsia="仿宋" w:cs="宋体"/>
          <w:color w:val="000000"/>
        </w:rPr>
        <w:t>4</w:t>
      </w:r>
      <w:r>
        <w:rPr>
          <w:rFonts w:hint="eastAsia" w:ascii="仿宋" w:hAnsi="仿宋" w:eastAsia="仿宋" w:cs="宋体"/>
          <w:color w:val="000000"/>
          <w:kern w:val="2"/>
        </w:rPr>
        <w:t>.4</w:t>
      </w:r>
      <w:r>
        <w:rPr>
          <w:rFonts w:hint="eastAsia" w:ascii="仿宋" w:hAnsi="仿宋" w:eastAsia="仿宋" w:cs="宋体"/>
          <w:b/>
          <w:bCs/>
          <w:color w:val="000000"/>
          <w:kern w:val="2"/>
        </w:rPr>
        <w:t>出现以下情形之一时，采购人不予接收投标文件：</w:t>
      </w:r>
    </w:p>
    <w:p>
      <w:pPr>
        <w:spacing w:line="360" w:lineRule="auto"/>
        <w:ind w:firstLine="480" w:firstLineChars="200"/>
        <w:textAlignment w:val="baseline"/>
        <w:rPr>
          <w:rFonts w:hint="eastAsia"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kern w:val="2"/>
        </w:rPr>
        <w:t>.4.1逾期送达或者未送达指定地点的；</w:t>
      </w:r>
    </w:p>
    <w:p>
      <w:pPr>
        <w:spacing w:line="360" w:lineRule="auto"/>
        <w:ind w:firstLine="480" w:firstLineChars="200"/>
        <w:textAlignment w:val="baseline"/>
        <w:rPr>
          <w:rFonts w:hint="eastAsia"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kern w:val="2"/>
        </w:rPr>
        <w:t>.4.2未按照响应文件要求密封的；</w:t>
      </w:r>
    </w:p>
    <w:p>
      <w:pPr>
        <w:spacing w:line="360" w:lineRule="auto"/>
        <w:ind w:firstLine="480" w:firstLineChars="200"/>
        <w:textAlignment w:val="baseline"/>
        <w:rPr>
          <w:rFonts w:hint="eastAsia"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kern w:val="2"/>
        </w:rPr>
        <w:t>.4.3未按照磋商邀请要求获取磋商文件的。</w:t>
      </w:r>
    </w:p>
    <w:p>
      <w:pPr>
        <w:pStyle w:val="5"/>
        <w:jc w:val="left"/>
        <w:rPr>
          <w:rFonts w:hint="eastAsia" w:ascii="仿宋" w:hAnsi="仿宋" w:eastAsia="仿宋" w:cs="仿宋"/>
          <w:color w:val="000000"/>
          <w:sz w:val="24"/>
          <w:szCs w:val="24"/>
        </w:rPr>
      </w:pPr>
      <w:bookmarkStart w:id="10" w:name="_Toc874"/>
      <w:bookmarkStart w:id="11" w:name="_Toc186737795"/>
      <w:r>
        <w:rPr>
          <w:rFonts w:hint="eastAsia" w:ascii="仿宋" w:hAnsi="仿宋" w:eastAsia="仿宋" w:cs="仿宋"/>
          <w:color w:val="000000"/>
          <w:sz w:val="24"/>
          <w:szCs w:val="24"/>
        </w:rPr>
        <w:t>五、发布公告的媒介</w:t>
      </w:r>
      <w:bookmarkEnd w:id="10"/>
      <w:bookmarkEnd w:id="11"/>
    </w:p>
    <w:p>
      <w:pPr>
        <w:spacing w:line="360" w:lineRule="auto"/>
        <w:ind w:firstLine="480" w:firstLineChars="200"/>
        <w:textAlignment w:val="baseline"/>
        <w:rPr>
          <w:rFonts w:hint="eastAsia" w:ascii="仿宋" w:hAnsi="仿宋" w:eastAsia="仿宋" w:cs="仿宋"/>
          <w:color w:val="000000"/>
        </w:rPr>
      </w:pPr>
      <w:r>
        <w:rPr>
          <w:rFonts w:hint="eastAsia" w:ascii="仿宋" w:hAnsi="仿宋" w:eastAsia="仿宋" w:cs="仿宋"/>
          <w:color w:val="000000"/>
        </w:rPr>
        <w:t>本项目磋商公告同时在</w:t>
      </w:r>
      <w:r>
        <w:rPr>
          <w:rFonts w:hint="eastAsia" w:ascii="仿宋" w:hAnsi="仿宋" w:eastAsia="仿宋" w:cs="宋体"/>
          <w:color w:val="000000" w:themeColor="text1"/>
          <w:u w:val="single"/>
          <w14:textFill>
            <w14:solidFill>
              <w14:schemeClr w14:val="tx1"/>
            </w14:solidFill>
          </w14:textFill>
        </w:rPr>
        <w:t>“人保e采”外网门户（https://ec.picc.com/）</w:t>
      </w:r>
      <w:r>
        <w:rPr>
          <w:rFonts w:hint="eastAsia" w:ascii="仿宋" w:hAnsi="仿宋" w:eastAsia="仿宋" w:cs="仿宋"/>
          <w:color w:val="000000"/>
        </w:rPr>
        <w:t>上发布，</w:t>
      </w:r>
      <w:r>
        <w:rPr>
          <w:rFonts w:hint="eastAsia" w:ascii="仿宋" w:hAnsi="仿宋" w:eastAsia="仿宋" w:cs="宋体"/>
          <w:color w:val="000000"/>
        </w:rPr>
        <w:t>除上述外，</w:t>
      </w:r>
      <w:r>
        <w:rPr>
          <w:rFonts w:hint="eastAsia" w:ascii="仿宋" w:hAnsi="仿宋" w:eastAsia="仿宋" w:cs="宋体"/>
        </w:rPr>
        <w:t>采购人不在其他任何网站、论坛等媒介上发布任何采购信息，其他任何媒介上转载的、以采购人为采购主体的采购信息均为非法转载，均为无效</w:t>
      </w:r>
      <w:r>
        <w:rPr>
          <w:rFonts w:hint="eastAsia" w:ascii="仿宋" w:hAnsi="仿宋" w:eastAsia="仿宋" w:cs="仿宋"/>
        </w:rPr>
        <w:t>。对于非法转载、篡改采购公告信息的组织或个人，采购人</w:t>
      </w:r>
      <w:r>
        <w:rPr>
          <w:rFonts w:hint="eastAsia" w:ascii="仿宋" w:hAnsi="仿宋" w:eastAsia="仿宋" w:cs="仿宋"/>
          <w:color w:val="000000"/>
        </w:rPr>
        <w:t>保留追究其法律责任的权利。</w:t>
      </w:r>
    </w:p>
    <w:p>
      <w:pPr>
        <w:pStyle w:val="5"/>
        <w:jc w:val="left"/>
        <w:rPr>
          <w:rFonts w:hint="eastAsia" w:ascii="仿宋" w:hAnsi="仿宋" w:eastAsia="仿宋" w:cs="仿宋"/>
          <w:color w:val="000000"/>
          <w:sz w:val="24"/>
          <w:szCs w:val="24"/>
        </w:rPr>
      </w:pPr>
      <w:bookmarkStart w:id="12" w:name="_Toc186737796"/>
      <w:bookmarkStart w:id="13" w:name="_Toc30596"/>
      <w:r>
        <w:rPr>
          <w:rFonts w:hint="eastAsia" w:ascii="仿宋" w:hAnsi="仿宋" w:eastAsia="仿宋" w:cs="仿宋"/>
          <w:color w:val="000000"/>
          <w:sz w:val="24"/>
          <w:szCs w:val="24"/>
        </w:rPr>
        <w:t>六、联系方式</w:t>
      </w:r>
      <w:bookmarkEnd w:id="12"/>
      <w:bookmarkEnd w:id="13"/>
    </w:p>
    <w:p>
      <w:pPr>
        <w:tabs>
          <w:tab w:val="left" w:pos="-105"/>
          <w:tab w:val="left" w:pos="420"/>
          <w:tab w:val="left" w:pos="630"/>
          <w:tab w:val="left" w:pos="1155"/>
          <w:tab w:val="left" w:pos="1890"/>
          <w:tab w:val="left" w:pos="3150"/>
          <w:tab w:val="left" w:pos="3780"/>
        </w:tabs>
        <w:spacing w:line="360" w:lineRule="auto"/>
        <w:ind w:firstLine="422" w:firstLineChars="175"/>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采购人：中国人民财产保险股份有限公司成都市金牛支公司</w:t>
      </w:r>
    </w:p>
    <w:p>
      <w:pPr>
        <w:spacing w:line="360" w:lineRule="auto"/>
        <w:ind w:firstLine="420" w:firstLineChars="175"/>
        <w:rPr>
          <w:rFonts w:hint="eastAsia" w:ascii="仿宋" w:hAnsi="仿宋" w:eastAsia="仿宋" w:cs="仿宋"/>
          <w:color w:val="000000" w:themeColor="text1"/>
          <w14:textFill>
            <w14:solidFill>
              <w14:schemeClr w14:val="tx1"/>
            </w14:solidFill>
          </w14:textFill>
        </w:rPr>
      </w:pPr>
      <w:r>
        <w:rPr>
          <w:rFonts w:hint="eastAsia" w:ascii="仿宋" w:hAnsi="仿宋" w:eastAsia="仿宋" w:cs="宋体"/>
          <w:color w:val="000000" w:themeColor="text1"/>
          <w14:textFill>
            <w14:solidFill>
              <w14:schemeClr w14:val="tx1"/>
            </w14:solidFill>
          </w14:textFill>
        </w:rPr>
        <w:t>地址：</w:t>
      </w:r>
      <w:r>
        <w:rPr>
          <w:rFonts w:hint="eastAsia" w:ascii="楷体" w:hAnsi="楷体" w:eastAsia="楷体" w:cs="仿宋_GB2312"/>
          <w:iCs/>
          <w:color w:val="000000" w:themeColor="text1"/>
          <w:szCs w:val="32"/>
          <w14:textFill>
            <w14:solidFill>
              <w14:schemeClr w14:val="tx1"/>
            </w14:solidFill>
          </w14:textFill>
        </w:rPr>
        <w:t>金牛区一环路北三段1号金牛万达SOHO C 座15楼</w:t>
      </w:r>
    </w:p>
    <w:p>
      <w:pPr>
        <w:spacing w:line="360" w:lineRule="auto"/>
        <w:ind w:firstLine="420" w:firstLineChars="175"/>
        <w:rPr>
          <w:rFonts w:hint="eastAsia" w:ascii="仿宋" w:hAnsi="仿宋" w:eastAsia="仿宋" w:cs="仿宋"/>
          <w:color w:val="000000" w:themeColor="text1"/>
          <w14:textFill>
            <w14:solidFill>
              <w14:schemeClr w14:val="tx1"/>
            </w14:solidFill>
          </w14:textFill>
        </w:rPr>
      </w:pPr>
      <w:r>
        <w:rPr>
          <w:rFonts w:hint="eastAsia" w:ascii="仿宋" w:hAnsi="仿宋" w:eastAsia="仿宋" w:cs="宋体"/>
          <w:color w:val="000000" w:themeColor="text1"/>
          <w14:textFill>
            <w14:solidFill>
              <w14:schemeClr w14:val="tx1"/>
            </w14:solidFill>
          </w14:textFill>
        </w:rPr>
        <w:t>联系人：</w:t>
      </w:r>
      <w:r>
        <w:rPr>
          <w:rFonts w:hint="eastAsia" w:ascii="楷体" w:hAnsi="楷体" w:eastAsia="楷体" w:cs="仿宋_GB2312"/>
          <w:iCs/>
          <w:color w:val="000000" w:themeColor="text1"/>
          <w:szCs w:val="32"/>
          <w14:textFill>
            <w14:solidFill>
              <w14:schemeClr w14:val="tx1"/>
            </w14:solidFill>
          </w14:textFill>
        </w:rPr>
        <w:t>唐敏</w:t>
      </w:r>
    </w:p>
    <w:p>
      <w:pPr>
        <w:spacing w:line="360" w:lineRule="auto"/>
        <w:ind w:firstLine="420" w:firstLineChars="175"/>
        <w:rPr>
          <w:rFonts w:hint="eastAsia" w:ascii="仿宋" w:hAnsi="仿宋" w:eastAsia="仿宋" w:cs="仿宋"/>
          <w:color w:val="000000" w:themeColor="text1"/>
          <w14:textFill>
            <w14:solidFill>
              <w14:schemeClr w14:val="tx1"/>
            </w14:solidFill>
          </w14:textFill>
        </w:rPr>
      </w:pPr>
      <w:r>
        <w:rPr>
          <w:rFonts w:hint="eastAsia" w:ascii="仿宋" w:hAnsi="仿宋" w:eastAsia="仿宋" w:cs="宋体"/>
          <w:color w:val="000000" w:themeColor="text1"/>
          <w14:textFill>
            <w14:solidFill>
              <w14:schemeClr w14:val="tx1"/>
            </w14:solidFill>
          </w14:textFill>
        </w:rPr>
        <w:t>电话：</w:t>
      </w:r>
      <w:r>
        <w:rPr>
          <w:rFonts w:hint="eastAsia" w:ascii="楷体" w:hAnsi="楷体" w:eastAsia="楷体" w:cs="仿宋_GB2312"/>
          <w:iCs/>
          <w:color w:val="000000" w:themeColor="text1"/>
          <w:szCs w:val="32"/>
          <w14:textFill>
            <w14:solidFill>
              <w14:schemeClr w14:val="tx1"/>
            </w14:solidFill>
          </w14:textFill>
        </w:rPr>
        <w:t>028-84598044</w:t>
      </w:r>
    </w:p>
    <w:p>
      <w:pPr>
        <w:spacing w:line="360" w:lineRule="auto"/>
        <w:ind w:firstLine="420" w:firstLineChars="175"/>
        <w:rPr>
          <w:rFonts w:hint="eastAsia" w:ascii="仿宋" w:hAnsi="仿宋" w:eastAsia="仿宋" w:cs="仿宋"/>
          <w:color w:val="000000" w:themeColor="text1"/>
          <w14:textFill>
            <w14:solidFill>
              <w14:schemeClr w14:val="tx1"/>
            </w14:solidFill>
          </w14:textFill>
        </w:rPr>
      </w:pPr>
      <w:r>
        <w:rPr>
          <w:rFonts w:hint="eastAsia" w:ascii="仿宋" w:hAnsi="仿宋" w:eastAsia="仿宋" w:cs="宋体"/>
          <w:color w:val="000000" w:themeColor="text1"/>
          <w14:textFill>
            <w14:solidFill>
              <w14:schemeClr w14:val="tx1"/>
            </w14:solidFill>
          </w14:textFill>
        </w:rPr>
        <w:t>电子邮件：</w:t>
      </w:r>
      <w:r>
        <w:rPr>
          <w:rFonts w:hint="eastAsia"/>
          <w:color w:val="000000" w:themeColor="text1"/>
          <w:u w:val="single"/>
          <w14:textFill>
            <w14:solidFill>
              <w14:schemeClr w14:val="tx1"/>
            </w14:solidFill>
          </w14:textFill>
        </w:rPr>
        <w:t>tangmin23</w:t>
      </w:r>
      <w:r>
        <w:rPr>
          <w:rStyle w:val="34"/>
          <w:rFonts w:hint="eastAsia" w:ascii="宋体" w:hAnsi="宋体"/>
          <w:color w:val="000000" w:themeColor="text1"/>
          <w:szCs w:val="21"/>
          <w14:textFill>
            <w14:solidFill>
              <w14:schemeClr w14:val="tx1"/>
            </w14:solidFill>
          </w14:textFill>
        </w:rPr>
        <w:t>@sic.picc.com.cn</w:t>
      </w:r>
    </w:p>
    <w:p>
      <w:pPr>
        <w:spacing w:line="360" w:lineRule="auto"/>
        <w:ind w:firstLine="480" w:firstLineChars="200"/>
        <w:jc w:val="right"/>
        <w:textAlignment w:val="baseline"/>
        <w:rPr>
          <w:rFonts w:hint="eastAsia" w:ascii="仿宋" w:hAnsi="仿宋" w:eastAsia="仿宋" w:cs="宋体"/>
          <w:color w:val="000000" w:themeColor="text1"/>
          <w14:textFill>
            <w14:solidFill>
              <w14:schemeClr w14:val="tx1"/>
            </w14:solidFill>
          </w14:textFill>
        </w:rPr>
      </w:pPr>
    </w:p>
    <w:p>
      <w:pPr>
        <w:spacing w:line="360" w:lineRule="auto"/>
        <w:ind w:firstLine="480" w:firstLineChars="200"/>
        <w:jc w:val="right"/>
        <w:textAlignment w:val="baseline"/>
        <w:rPr>
          <w:rFonts w:hint="eastAsia" w:ascii="仿宋" w:hAnsi="仿宋" w:eastAsia="仿宋" w:cs="宋体"/>
          <w:color w:val="000000" w:themeColor="text1"/>
          <w14:textFill>
            <w14:solidFill>
              <w14:schemeClr w14:val="tx1"/>
            </w14:solidFill>
          </w14:textFill>
        </w:rPr>
      </w:pPr>
      <w:r>
        <w:rPr>
          <w:rFonts w:hint="eastAsia" w:ascii="仿宋" w:hAnsi="仿宋" w:eastAsia="仿宋" w:cs="宋体"/>
          <w:color w:val="000000" w:themeColor="text1"/>
          <w14:textFill>
            <w14:solidFill>
              <w14:schemeClr w14:val="tx1"/>
            </w14:solidFill>
          </w14:textFill>
        </w:rPr>
        <w:t>采购人：中国人民财产保险股份有限公司成都市金牛支公司</w:t>
      </w:r>
    </w:p>
    <w:p>
      <w:pPr>
        <w:spacing w:line="360" w:lineRule="auto"/>
        <w:jc w:val="right"/>
        <w:rPr>
          <w:rFonts w:hint="eastAsia" w:ascii="楷体" w:hAnsi="楷体" w:eastAsia="楷体" w:cs="仿宋_GB2312"/>
          <w:i/>
          <w:color w:val="000000" w:themeColor="text1"/>
          <w:szCs w:val="32"/>
          <w14:textFill>
            <w14:solidFill>
              <w14:schemeClr w14:val="tx1"/>
            </w14:solidFill>
          </w14:textFill>
        </w:rPr>
      </w:pPr>
      <w:r>
        <w:rPr>
          <w:rFonts w:hint="eastAsia" w:ascii="仿宋" w:hAnsi="仿宋" w:eastAsia="仿宋" w:cs="宋体"/>
          <w:color w:val="000000" w:themeColor="text1"/>
          <w14:textFill>
            <w14:solidFill>
              <w14:schemeClr w14:val="tx1"/>
            </w14:solidFill>
          </w14:textFill>
        </w:rPr>
        <w:t>2025年1月**日</w:t>
      </w:r>
    </w:p>
    <w:p>
      <w:pPr>
        <w:pStyle w:val="4"/>
        <w:ind w:left="0" w:firstLine="0"/>
        <w:rPr>
          <w:rFonts w:hint="eastAsia" w:ascii="仿宋_GB2312" w:hAnsi="宋体" w:eastAsia="仿宋_GB2312"/>
          <w:color w:val="auto"/>
          <w:sz w:val="28"/>
          <w:szCs w:val="28"/>
        </w:rPr>
      </w:pPr>
      <w:r>
        <w:rPr>
          <w:rFonts w:hint="eastAsia" w:ascii="仿宋_GB2312" w:hAnsi="宋体" w:eastAsia="仿宋_GB2312"/>
          <w:color w:val="auto"/>
        </w:rPr>
        <w:br w:type="page"/>
      </w:r>
      <w:bookmarkStart w:id="14" w:name="_Toc186737797"/>
      <w:bookmarkStart w:id="15" w:name="_Toc16027"/>
      <w:r>
        <w:rPr>
          <w:rFonts w:hint="eastAsia" w:ascii="仿宋_GB2312" w:hAnsi="宋体" w:eastAsia="仿宋_GB2312"/>
          <w:color w:val="auto"/>
          <w:sz w:val="28"/>
          <w:szCs w:val="28"/>
        </w:rPr>
        <w:t>第二章 供应商须知</w:t>
      </w:r>
      <w:bookmarkEnd w:id="14"/>
      <w:bookmarkEnd w:id="15"/>
    </w:p>
    <w:p>
      <w:pPr>
        <w:pStyle w:val="5"/>
        <w:adjustRightInd w:val="0"/>
        <w:snapToGrid w:val="0"/>
        <w:spacing w:before="0" w:after="0"/>
        <w:rPr>
          <w:rFonts w:hint="eastAsia"/>
          <w:sz w:val="24"/>
          <w:szCs w:val="24"/>
        </w:rPr>
      </w:pPr>
      <w:bookmarkStart w:id="16" w:name="_Toc186737798"/>
      <w:r>
        <w:rPr>
          <w:rFonts w:hint="eastAsia" w:ascii="仿宋" w:hAnsi="仿宋" w:eastAsia="仿宋" w:cs="仿宋"/>
          <w:color w:val="000000"/>
          <w:sz w:val="24"/>
          <w:szCs w:val="24"/>
        </w:rPr>
        <w:t>一、供应商须知前附表</w:t>
      </w:r>
      <w:bookmarkEnd w:id="16"/>
    </w:p>
    <w:tbl>
      <w:tblPr>
        <w:tblStyle w:val="30"/>
        <w:tblW w:w="101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2"/>
        <w:gridCol w:w="1841"/>
        <w:gridCol w:w="7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1142" w:type="dxa"/>
            <w:vAlign w:val="center"/>
          </w:tcPr>
          <w:p>
            <w:pPr>
              <w:spacing w:line="400" w:lineRule="exact"/>
              <w:jc w:val="center"/>
              <w:rPr>
                <w:rFonts w:hint="eastAsia" w:ascii="仿宋_GB2312" w:hAnsi="宋体" w:eastAsia="仿宋_GB2312"/>
                <w:szCs w:val="21"/>
              </w:rPr>
            </w:pPr>
            <w:r>
              <w:rPr>
                <w:rFonts w:hint="eastAsia" w:ascii="仿宋_GB2312" w:hAnsi="宋体" w:eastAsia="仿宋_GB2312"/>
                <w:szCs w:val="21"/>
              </w:rPr>
              <w:t>序号</w:t>
            </w:r>
          </w:p>
        </w:tc>
        <w:tc>
          <w:tcPr>
            <w:tcW w:w="1841" w:type="dxa"/>
            <w:vAlign w:val="center"/>
          </w:tcPr>
          <w:p>
            <w:pPr>
              <w:spacing w:line="400" w:lineRule="exact"/>
              <w:jc w:val="center"/>
              <w:rPr>
                <w:rFonts w:hint="eastAsia" w:ascii="仿宋_GB2312" w:hAnsi="宋体" w:eastAsia="仿宋_GB2312"/>
                <w:szCs w:val="21"/>
              </w:rPr>
            </w:pPr>
            <w:r>
              <w:rPr>
                <w:rFonts w:hint="eastAsia" w:ascii="仿宋_GB2312" w:hAnsi="宋体" w:eastAsia="仿宋_GB2312"/>
                <w:szCs w:val="21"/>
              </w:rPr>
              <w:t>项  目</w:t>
            </w:r>
          </w:p>
        </w:tc>
        <w:tc>
          <w:tcPr>
            <w:tcW w:w="7199" w:type="dxa"/>
            <w:vAlign w:val="center"/>
          </w:tcPr>
          <w:p>
            <w:pPr>
              <w:spacing w:line="400" w:lineRule="exact"/>
              <w:jc w:val="center"/>
              <w:rPr>
                <w:rFonts w:hint="eastAsia" w:ascii="仿宋_GB2312" w:hAnsi="宋体" w:eastAsia="仿宋_GB2312"/>
                <w:szCs w:val="21"/>
              </w:rPr>
            </w:pPr>
            <w:r>
              <w:rPr>
                <w:rFonts w:hint="eastAsia" w:ascii="仿宋_GB2312" w:hAnsi="宋体" w:eastAsia="仿宋_GB2312"/>
                <w:szCs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4" w:hRule="exact"/>
          <w:jc w:val="center"/>
        </w:trPr>
        <w:tc>
          <w:tcPr>
            <w:tcW w:w="1142" w:type="dxa"/>
            <w:vAlign w:val="center"/>
          </w:tcPr>
          <w:p>
            <w:pPr>
              <w:spacing w:line="400" w:lineRule="exact"/>
              <w:jc w:val="center"/>
              <w:rPr>
                <w:rFonts w:hint="eastAsia" w:ascii="仿宋_GB2312" w:hAnsi="宋体" w:eastAsia="仿宋_GB2312"/>
                <w:szCs w:val="21"/>
              </w:rPr>
            </w:pPr>
            <w:r>
              <w:rPr>
                <w:rFonts w:ascii="仿宋_GB2312" w:hAnsi="宋体" w:eastAsia="仿宋_GB2312"/>
                <w:szCs w:val="21"/>
              </w:rPr>
              <w:t>2.1.1</w:t>
            </w:r>
          </w:p>
        </w:tc>
        <w:tc>
          <w:tcPr>
            <w:tcW w:w="1841" w:type="dxa"/>
            <w:vAlign w:val="center"/>
          </w:tcPr>
          <w:p>
            <w:pPr>
              <w:spacing w:line="400" w:lineRule="exact"/>
              <w:jc w:val="center"/>
              <w:rPr>
                <w:rFonts w:hint="eastAsia" w:ascii="仿宋_GB2312" w:hAnsi="宋体" w:eastAsia="仿宋_GB2312"/>
                <w:szCs w:val="21"/>
              </w:rPr>
            </w:pPr>
            <w:r>
              <w:rPr>
                <w:rFonts w:hint="eastAsia" w:ascii="仿宋" w:hAnsi="仿宋" w:eastAsia="仿宋" w:cs="仿宋"/>
                <w:color w:val="000000"/>
                <w:szCs w:val="21"/>
              </w:rPr>
              <w:t>采购范围</w:t>
            </w:r>
          </w:p>
        </w:tc>
        <w:tc>
          <w:tcPr>
            <w:tcW w:w="7199" w:type="dxa"/>
            <w:vAlign w:val="center"/>
          </w:tcPr>
          <w:p>
            <w:pPr>
              <w:spacing w:line="400" w:lineRule="exact"/>
              <w:rPr>
                <w:rFonts w:hint="eastAsia" w:ascii="仿宋_GB2312" w:hAnsi="宋体" w:eastAsia="仿宋_GB2312"/>
                <w:szCs w:val="21"/>
              </w:rPr>
            </w:pPr>
            <w:r>
              <w:rPr>
                <w:rFonts w:hint="eastAsia" w:ascii="仿宋" w:hAnsi="仿宋" w:eastAsia="仿宋" w:cs="仿宋"/>
                <w:color w:val="000000"/>
              </w:rPr>
              <w:t>详见</w:t>
            </w:r>
            <w:r>
              <w:rPr>
                <w:rFonts w:hint="eastAsia" w:ascii="仿宋" w:hAnsi="仿宋" w:eastAsia="仿宋" w:cs="仿宋"/>
                <w:color w:val="000000"/>
                <w:u w:val="single"/>
              </w:rPr>
              <w:t>第一章 竞争性磋商邀请“一、项目概况与采购范围”</w:t>
            </w:r>
            <w:r>
              <w:rPr>
                <w:rFonts w:hint="eastAsia" w:ascii="仿宋" w:hAnsi="仿宋" w:eastAsia="仿宋" w:cs="仿宋"/>
                <w:color w:val="00000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vAlign w:val="center"/>
          </w:tcPr>
          <w:p>
            <w:pPr>
              <w:spacing w:line="400" w:lineRule="exact"/>
              <w:jc w:val="center"/>
              <w:rPr>
                <w:rFonts w:hint="eastAsia" w:ascii="仿宋_GB2312" w:hAnsi="宋体" w:eastAsia="仿宋_GB2312"/>
                <w:szCs w:val="21"/>
              </w:rPr>
            </w:pPr>
            <w:r>
              <w:rPr>
                <w:rFonts w:ascii="仿宋_GB2312" w:hAnsi="宋体" w:eastAsia="仿宋_GB2312"/>
                <w:szCs w:val="21"/>
              </w:rPr>
              <w:t>2.1.2</w:t>
            </w:r>
          </w:p>
        </w:tc>
        <w:tc>
          <w:tcPr>
            <w:tcW w:w="1841" w:type="dxa"/>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资格审查方式及供应商应具备的资格条件</w:t>
            </w:r>
          </w:p>
        </w:tc>
        <w:tc>
          <w:tcPr>
            <w:tcW w:w="7199" w:type="dxa"/>
            <w:vAlign w:val="center"/>
          </w:tcPr>
          <w:p>
            <w:pPr>
              <w:spacing w:line="400" w:lineRule="exact"/>
              <w:rPr>
                <w:rFonts w:hint="eastAsia" w:ascii="仿宋" w:hAnsi="仿宋" w:eastAsia="仿宋" w:cs="仿宋"/>
                <w:color w:val="000000"/>
              </w:rPr>
            </w:pPr>
            <w:r>
              <w:rPr>
                <w:rFonts w:hint="eastAsia" w:ascii="仿宋" w:hAnsi="仿宋" w:eastAsia="仿宋" w:cs="宋体"/>
              </w:rPr>
              <w:t>资格后审，</w:t>
            </w:r>
            <w:r>
              <w:rPr>
                <w:rFonts w:hint="eastAsia" w:ascii="仿宋" w:hAnsi="仿宋" w:eastAsia="仿宋" w:cs="仿宋"/>
              </w:rPr>
              <w:t>详见</w:t>
            </w:r>
            <w:r>
              <w:rPr>
                <w:rFonts w:hint="eastAsia" w:ascii="仿宋" w:hAnsi="仿宋" w:eastAsia="仿宋" w:cs="仿宋"/>
                <w:u w:val="single"/>
              </w:rPr>
              <w:t>“二、供应商资格要求”</w:t>
            </w:r>
            <w:r>
              <w:rPr>
                <w:rFonts w:hint="eastAsia" w:ascii="仿宋" w:hAnsi="仿宋" w:eastAsia="仿宋" w:cs="仿宋"/>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vAlign w:val="center"/>
          </w:tcPr>
          <w:p>
            <w:pPr>
              <w:spacing w:line="400" w:lineRule="exact"/>
              <w:jc w:val="center"/>
              <w:rPr>
                <w:rFonts w:hint="eastAsia" w:ascii="仿宋_GB2312" w:hAnsi="宋体" w:eastAsia="仿宋_GB2312"/>
                <w:szCs w:val="21"/>
              </w:rPr>
            </w:pPr>
            <w:r>
              <w:rPr>
                <w:rFonts w:ascii="仿宋_GB2312" w:hAnsi="宋体" w:eastAsia="仿宋_GB2312"/>
                <w:szCs w:val="21"/>
              </w:rPr>
              <w:t>2.1.3</w:t>
            </w:r>
          </w:p>
        </w:tc>
        <w:tc>
          <w:tcPr>
            <w:tcW w:w="1841" w:type="dxa"/>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★磋商文件实质性要求的标识</w:t>
            </w:r>
          </w:p>
        </w:tc>
        <w:tc>
          <w:tcPr>
            <w:tcW w:w="7199" w:type="dxa"/>
            <w:vAlign w:val="center"/>
          </w:tcPr>
          <w:p>
            <w:pPr>
              <w:spacing w:line="400" w:lineRule="exact"/>
              <w:rPr>
                <w:rFonts w:hint="eastAsia" w:ascii="仿宋" w:hAnsi="仿宋" w:eastAsia="仿宋" w:cs="宋体"/>
                <w:color w:val="FF0000"/>
              </w:rPr>
            </w:pPr>
            <w:r>
              <w:rPr>
                <w:rFonts w:hint="eastAsia" w:ascii="仿宋" w:hAnsi="仿宋" w:eastAsia="仿宋" w:cs="Cambria Math"/>
                <w:color w:val="000000"/>
                <w:sz w:val="21"/>
                <w:szCs w:val="21"/>
                <w:u w:val="single"/>
              </w:rPr>
              <w:t>磋商文件中标识“★”条款、注明“磋商响应将被否决”、“对其响应做否决处理”</w:t>
            </w:r>
            <w:r>
              <w:rPr>
                <w:rFonts w:hint="eastAsia" w:ascii="仿宋" w:hAnsi="仿宋" w:eastAsia="仿宋" w:cs="宋体"/>
                <w:color w:val="000000"/>
                <w:sz w:val="21"/>
                <w:szCs w:val="21"/>
                <w:u w:val="single"/>
              </w:rPr>
              <w:t>等</w:t>
            </w:r>
            <w:r>
              <w:rPr>
                <w:rFonts w:hint="eastAsia" w:ascii="仿宋" w:hAnsi="仿宋" w:eastAsia="仿宋" w:cs="Cambria Math"/>
                <w:color w:val="000000"/>
                <w:sz w:val="21"/>
                <w:szCs w:val="21"/>
                <w:u w:val="single"/>
              </w:rPr>
              <w:t>的条款</w:t>
            </w:r>
            <w:r>
              <w:rPr>
                <w:rFonts w:hint="eastAsia" w:ascii="仿宋" w:hAnsi="仿宋" w:eastAsia="仿宋" w:cs="Cambria Math"/>
                <w:color w:val="000000"/>
                <w:sz w:val="21"/>
                <w:szCs w:val="21"/>
              </w:rPr>
              <w:t>，均为实质性条款，</w:t>
            </w:r>
            <w:r>
              <w:rPr>
                <w:rFonts w:hint="eastAsia" w:ascii="仿宋" w:hAnsi="仿宋" w:eastAsia="仿宋" w:cs="宋体"/>
                <w:b/>
                <w:color w:val="000000"/>
                <w:sz w:val="21"/>
                <w:szCs w:val="21"/>
              </w:rPr>
              <w:t>不满足任意一项</w:t>
            </w:r>
            <w:r>
              <w:rPr>
                <w:rFonts w:hint="eastAsia" w:ascii="仿宋" w:hAnsi="仿宋" w:eastAsia="仿宋" w:cs="Cambria Math"/>
                <w:b/>
                <w:color w:val="000000"/>
                <w:sz w:val="21"/>
                <w:szCs w:val="21"/>
              </w:rPr>
              <w:t>实质性条款的响应将被否决。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1" w:hRule="exact"/>
          <w:jc w:val="center"/>
        </w:trPr>
        <w:tc>
          <w:tcPr>
            <w:tcW w:w="1142" w:type="dxa"/>
            <w:vAlign w:val="center"/>
          </w:tcPr>
          <w:p>
            <w:pPr>
              <w:spacing w:line="400" w:lineRule="exact"/>
              <w:jc w:val="center"/>
              <w:rPr>
                <w:rFonts w:hint="eastAsia"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.1.4</w:t>
            </w:r>
          </w:p>
        </w:tc>
        <w:tc>
          <w:tcPr>
            <w:tcW w:w="1841" w:type="dxa"/>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响应文件的组成</w:t>
            </w:r>
          </w:p>
        </w:tc>
        <w:tc>
          <w:tcPr>
            <w:tcW w:w="7199" w:type="dxa"/>
            <w:vAlign w:val="center"/>
          </w:tcPr>
          <w:p>
            <w:pPr>
              <w:pStyle w:val="67"/>
              <w:spacing w:before="62" w:beforeLines="20" w:after="62" w:afterLines="20"/>
              <w:rPr>
                <w:rFonts w:hint="eastAsia" w:ascii="仿宋" w:hAnsi="仿宋" w:eastAsia="仿宋" w:cs="仿宋"/>
                <w:b/>
                <w:color w:val="000000"/>
                <w:sz w:val="21"/>
                <w:szCs w:val="21"/>
              </w:rPr>
            </w:pPr>
            <w:r>
              <w:rPr>
                <w:rFonts w:hint="eastAsia" w:ascii="仿宋" w:hAnsi="仿宋" w:eastAsia="仿宋" w:cs="仿宋"/>
                <w:b/>
                <w:color w:val="000000"/>
                <w:sz w:val="21"/>
                <w:szCs w:val="21"/>
              </w:rPr>
              <w:t>响应文件按照以下架构顺序编制：</w:t>
            </w:r>
          </w:p>
          <w:p>
            <w:pPr>
              <w:pStyle w:val="62"/>
              <w:spacing w:before="62" w:beforeLines="20" w:after="62" w:afterLines="20"/>
              <w:rPr>
                <w:rFonts w:hint="eastAsia" w:ascii="仿宋" w:hAnsi="仿宋" w:eastAsia="仿宋" w:cs="仿宋"/>
                <w:b/>
                <w:color w:val="000000"/>
              </w:rPr>
            </w:pPr>
            <w:r>
              <w:rPr>
                <w:rFonts w:hint="eastAsia" w:ascii="仿宋" w:hAnsi="仿宋" w:eastAsia="仿宋" w:cs="仿宋"/>
                <w:b/>
                <w:color w:val="000000"/>
              </w:rPr>
              <w:t>一、</w:t>
            </w:r>
            <w:r>
              <w:rPr>
                <w:rFonts w:hint="eastAsia" w:ascii="仿宋" w:hAnsi="仿宋" w:eastAsia="仿宋" w:cs="仿宋"/>
                <w:b/>
                <w:color w:val="000000"/>
                <w:sz w:val="24"/>
              </w:rPr>
              <w:t>商务文件</w:t>
            </w:r>
          </w:p>
          <w:p>
            <w:pPr>
              <w:pStyle w:val="62"/>
              <w:spacing w:before="62" w:beforeLines="20" w:after="62" w:afterLines="20"/>
              <w:rPr>
                <w:rFonts w:hint="eastAsia" w:ascii="仿宋" w:hAnsi="仿宋" w:eastAsia="仿宋" w:cs="仿宋"/>
                <w:color w:val="000000"/>
              </w:rPr>
            </w:pPr>
            <w:r>
              <w:rPr>
                <w:rFonts w:hint="eastAsia" w:ascii="仿宋" w:hAnsi="仿宋" w:eastAsia="仿宋" w:cs="仿宋"/>
                <w:color w:val="000000"/>
              </w:rPr>
              <w:t>（一）响应函</w:t>
            </w:r>
          </w:p>
          <w:p>
            <w:pPr>
              <w:pStyle w:val="67"/>
              <w:spacing w:before="62" w:beforeLines="20" w:after="62" w:afterLines="20"/>
              <w:rPr>
                <w:rFonts w:hint="eastAsia" w:ascii="仿宋" w:hAnsi="仿宋" w:eastAsia="仿宋" w:cs="宋体"/>
                <w:color w:val="000000"/>
                <w:sz w:val="21"/>
                <w:szCs w:val="21"/>
              </w:rPr>
            </w:pPr>
            <w:r>
              <w:rPr>
                <w:rFonts w:hint="eastAsia" w:ascii="仿宋" w:hAnsi="仿宋" w:eastAsia="仿宋" w:cs="宋体"/>
                <w:color w:val="000000"/>
                <w:sz w:val="21"/>
                <w:szCs w:val="21"/>
              </w:rPr>
              <w:t>（二）法定代表人（负责人）身份证明</w:t>
            </w:r>
          </w:p>
          <w:p>
            <w:pPr>
              <w:pStyle w:val="67"/>
              <w:spacing w:before="62" w:beforeLines="20" w:after="62" w:afterLines="20"/>
              <w:rPr>
                <w:rFonts w:hint="eastAsia" w:ascii="仿宋" w:hAnsi="仿宋" w:eastAsia="仿宋" w:cs="宋体"/>
                <w:color w:val="000000"/>
                <w:sz w:val="21"/>
                <w:szCs w:val="21"/>
              </w:rPr>
            </w:pPr>
            <w:r>
              <w:rPr>
                <w:rFonts w:hint="eastAsia" w:ascii="仿宋" w:hAnsi="仿宋" w:eastAsia="仿宋" w:cs="宋体"/>
                <w:color w:val="000000"/>
                <w:sz w:val="21"/>
                <w:szCs w:val="21"/>
              </w:rPr>
              <w:t>（三）法定代表人（负责人）授权委托书</w:t>
            </w:r>
          </w:p>
          <w:p>
            <w:pPr>
              <w:pStyle w:val="62"/>
              <w:spacing w:before="62" w:beforeLines="20" w:after="62" w:afterLines="20"/>
              <w:rPr>
                <w:rFonts w:hint="eastAsia" w:ascii="仿宋" w:hAnsi="仿宋" w:eastAsia="仿宋" w:cs="仿宋"/>
                <w:color w:val="000000"/>
              </w:rPr>
            </w:pPr>
            <w:r>
              <w:rPr>
                <w:rFonts w:hint="eastAsia" w:ascii="仿宋" w:hAnsi="仿宋" w:eastAsia="仿宋" w:cs="仿宋"/>
                <w:color w:val="000000"/>
              </w:rPr>
              <w:t>（四）资格证明文件</w:t>
            </w:r>
          </w:p>
          <w:p>
            <w:pPr>
              <w:pStyle w:val="67"/>
              <w:spacing w:before="62" w:beforeLines="20" w:after="62" w:afterLines="20"/>
              <w:rPr>
                <w:rFonts w:hint="eastAsia" w:ascii="仿宋" w:hAnsi="仿宋" w:eastAsia="仿宋" w:cs="仿宋"/>
                <w:color w:val="000000"/>
              </w:rPr>
            </w:pPr>
            <w:r>
              <w:rPr>
                <w:rFonts w:hint="eastAsia" w:ascii="仿宋" w:hAnsi="仿宋" w:eastAsia="仿宋" w:cs="宋体"/>
                <w:color w:val="000000"/>
                <w:sz w:val="21"/>
                <w:szCs w:val="21"/>
              </w:rPr>
              <w:t>（五）供应商须知应答偏离表</w:t>
            </w:r>
          </w:p>
          <w:p>
            <w:pPr>
              <w:pStyle w:val="62"/>
              <w:spacing w:before="62" w:beforeLines="20" w:after="62" w:afterLines="20"/>
              <w:rPr>
                <w:rFonts w:hint="eastAsia" w:ascii="仿宋" w:hAnsi="仿宋" w:eastAsia="仿宋" w:cs="仿宋"/>
                <w:color w:val="000000"/>
              </w:rPr>
            </w:pPr>
            <w:r>
              <w:rPr>
                <w:rFonts w:hint="eastAsia" w:ascii="仿宋" w:hAnsi="仿宋" w:eastAsia="仿宋" w:cs="仿宋"/>
                <w:color w:val="000000"/>
              </w:rPr>
              <w:t>（六）合同条款应答偏离表</w:t>
            </w:r>
          </w:p>
          <w:p>
            <w:pPr>
              <w:pStyle w:val="62"/>
              <w:spacing w:before="62" w:beforeLines="20" w:after="62" w:afterLines="20"/>
              <w:rPr>
                <w:rFonts w:hint="eastAsia" w:ascii="仿宋" w:hAnsi="仿宋" w:eastAsia="仿宋" w:cs="仿宋"/>
                <w:color w:val="000000"/>
              </w:rPr>
            </w:pPr>
            <w:r>
              <w:rPr>
                <w:rFonts w:hint="eastAsia" w:ascii="仿宋" w:hAnsi="仿宋" w:eastAsia="仿宋" w:cs="仿宋"/>
                <w:color w:val="000000"/>
              </w:rPr>
              <w:t>（七）供应商行为准则承诺书</w:t>
            </w:r>
          </w:p>
          <w:p>
            <w:pPr>
              <w:pStyle w:val="62"/>
              <w:spacing w:before="62" w:beforeLines="20" w:after="62" w:afterLines="20"/>
              <w:rPr>
                <w:rFonts w:hint="eastAsia" w:ascii="仿宋" w:hAnsi="仿宋" w:eastAsia="仿宋" w:cs="仿宋"/>
                <w:color w:val="000000"/>
              </w:rPr>
            </w:pPr>
            <w:r>
              <w:rPr>
                <w:rFonts w:hint="eastAsia" w:ascii="仿宋" w:hAnsi="仿宋" w:eastAsia="仿宋"/>
                <w:color w:val="000000"/>
              </w:rPr>
              <w:t>（八）供应商廉洁诚信承诺书</w:t>
            </w:r>
          </w:p>
          <w:p>
            <w:pPr>
              <w:pStyle w:val="62"/>
              <w:spacing w:before="62" w:beforeLines="20" w:after="62" w:afterLines="20"/>
              <w:rPr>
                <w:rFonts w:hint="eastAsia" w:ascii="仿宋" w:hAnsi="仿宋" w:eastAsia="仿宋" w:cs="仿宋"/>
                <w:color w:val="000000"/>
              </w:rPr>
            </w:pPr>
            <w:r>
              <w:rPr>
                <w:rFonts w:hint="eastAsia" w:ascii="仿宋" w:hAnsi="仿宋" w:eastAsia="仿宋" w:cs="仿宋"/>
                <w:color w:val="000000"/>
              </w:rPr>
              <w:t>（九）其他材料</w:t>
            </w:r>
            <w:r>
              <w:rPr>
                <w:rFonts w:hint="eastAsia" w:ascii="仿宋" w:hAnsi="仿宋" w:eastAsia="仿宋"/>
                <w:color w:val="000000"/>
              </w:rPr>
              <w:t>（如有）</w:t>
            </w:r>
          </w:p>
          <w:p>
            <w:pPr>
              <w:autoSpaceDE w:val="0"/>
              <w:autoSpaceDN w:val="0"/>
              <w:rPr>
                <w:rFonts w:hint="eastAsia" w:ascii="仿宋" w:hAnsi="仿宋" w:eastAsia="仿宋" w:cs="仿宋"/>
                <w:b/>
                <w:color w:val="000000"/>
                <w:szCs w:val="21"/>
              </w:rPr>
            </w:pPr>
            <w:r>
              <w:rPr>
                <w:rFonts w:hint="eastAsia" w:ascii="仿宋" w:hAnsi="仿宋" w:eastAsia="仿宋" w:cs="仿宋"/>
                <w:b/>
                <w:color w:val="000000"/>
                <w:szCs w:val="21"/>
              </w:rPr>
              <w:t>二、技术文件</w:t>
            </w:r>
          </w:p>
          <w:p>
            <w:pPr>
              <w:autoSpaceDE w:val="0"/>
              <w:autoSpaceDN w:val="0"/>
              <w:rPr>
                <w:rFonts w:hint="eastAsia" w:ascii="仿宋" w:hAnsi="仿宋" w:eastAsia="仿宋" w:cs="仿宋"/>
                <w:bCs/>
                <w:color w:val="000000"/>
                <w:szCs w:val="21"/>
              </w:rPr>
            </w:pPr>
            <w:r>
              <w:rPr>
                <w:rFonts w:hint="eastAsia" w:ascii="仿宋" w:hAnsi="仿宋" w:eastAsia="仿宋" w:cs="仿宋"/>
                <w:bCs/>
                <w:color w:val="000000"/>
                <w:szCs w:val="21"/>
              </w:rPr>
              <w:t>（一）采购需求应答偏离表</w:t>
            </w:r>
          </w:p>
          <w:p>
            <w:pPr>
              <w:pStyle w:val="62"/>
              <w:spacing w:before="62" w:beforeLines="20" w:after="62" w:afterLines="20"/>
              <w:rPr>
                <w:rFonts w:hint="eastAsia" w:ascii="仿宋" w:hAnsi="仿宋" w:eastAsia="仿宋" w:cs="仿宋"/>
                <w:color w:val="000000"/>
              </w:rPr>
            </w:pPr>
            <w:r>
              <w:rPr>
                <w:rFonts w:hint="eastAsia" w:ascii="仿宋" w:hAnsi="仿宋" w:eastAsia="仿宋" w:cs="仿宋"/>
                <w:color w:val="000000"/>
              </w:rPr>
              <w:t>（二）技术方案</w:t>
            </w:r>
          </w:p>
          <w:p>
            <w:pPr>
              <w:pStyle w:val="62"/>
              <w:spacing w:before="62" w:beforeLines="20" w:after="62" w:afterLines="20"/>
              <w:rPr>
                <w:rFonts w:hint="eastAsia" w:ascii="仿宋" w:hAnsi="仿宋" w:eastAsia="仿宋" w:cs="仿宋"/>
                <w:color w:val="000000"/>
              </w:rPr>
            </w:pPr>
            <w:r>
              <w:rPr>
                <w:rFonts w:hint="eastAsia" w:ascii="仿宋" w:hAnsi="仿宋" w:eastAsia="仿宋" w:cs="仿宋"/>
                <w:color w:val="000000"/>
              </w:rPr>
              <w:t>（三）其他材料</w:t>
            </w:r>
            <w:r>
              <w:rPr>
                <w:rFonts w:hint="eastAsia" w:ascii="仿宋" w:hAnsi="仿宋" w:eastAsia="仿宋"/>
                <w:color w:val="000000"/>
              </w:rPr>
              <w:t>（如有）</w:t>
            </w:r>
          </w:p>
          <w:p>
            <w:pPr>
              <w:autoSpaceDE w:val="0"/>
              <w:autoSpaceDN w:val="0"/>
              <w:rPr>
                <w:rFonts w:hint="eastAsia" w:ascii="仿宋" w:hAnsi="仿宋" w:eastAsia="仿宋" w:cs="仿宋"/>
                <w:b/>
                <w:color w:val="000000"/>
                <w:szCs w:val="21"/>
              </w:rPr>
            </w:pPr>
            <w:r>
              <w:rPr>
                <w:rFonts w:hint="eastAsia" w:ascii="仿宋" w:hAnsi="仿宋" w:eastAsia="仿宋" w:cs="仿宋"/>
                <w:b/>
                <w:color w:val="000000"/>
                <w:szCs w:val="21"/>
              </w:rPr>
              <w:t>三、报价文件</w:t>
            </w:r>
          </w:p>
          <w:p>
            <w:pPr>
              <w:pStyle w:val="62"/>
              <w:spacing w:before="62" w:beforeLines="20" w:after="62" w:afterLines="20"/>
              <w:rPr>
                <w:rFonts w:hint="eastAsia" w:ascii="仿宋" w:hAnsi="仿宋" w:eastAsia="仿宋" w:cs="仿宋"/>
                <w:color w:val="000000"/>
              </w:rPr>
            </w:pPr>
            <w:r>
              <w:rPr>
                <w:rFonts w:hint="eastAsia" w:ascii="仿宋" w:hAnsi="仿宋" w:eastAsia="仿宋" w:cs="仿宋"/>
                <w:color w:val="000000"/>
              </w:rPr>
              <w:t>（一）报价一览表</w:t>
            </w:r>
          </w:p>
          <w:p>
            <w:pPr>
              <w:pStyle w:val="62"/>
              <w:spacing w:before="62" w:beforeLines="20" w:after="62" w:afterLines="20"/>
              <w:rPr>
                <w:rFonts w:hint="eastAsia" w:ascii="仿宋" w:hAnsi="仿宋" w:eastAsia="仿宋" w:cs="Cambria Math"/>
                <w:color w:val="000000"/>
                <w:u w:val="single"/>
              </w:rPr>
            </w:pPr>
            <w:r>
              <w:rPr>
                <w:rFonts w:hint="eastAsia" w:ascii="仿宋" w:hAnsi="仿宋" w:eastAsia="仿宋" w:cs="仿宋"/>
                <w:color w:val="000000"/>
              </w:rPr>
              <w:t>（二）分项报价表（如有）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exact"/>
          <w:jc w:val="center"/>
        </w:trPr>
        <w:tc>
          <w:tcPr>
            <w:tcW w:w="1142" w:type="dxa"/>
            <w:vAlign w:val="center"/>
          </w:tcPr>
          <w:p>
            <w:pPr>
              <w:spacing w:line="400" w:lineRule="exact"/>
              <w:jc w:val="center"/>
              <w:rPr>
                <w:rFonts w:hint="eastAsia"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.1.5</w:t>
            </w:r>
          </w:p>
        </w:tc>
        <w:tc>
          <w:tcPr>
            <w:tcW w:w="1841" w:type="dxa"/>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响应文件的递交</w:t>
            </w:r>
          </w:p>
        </w:tc>
        <w:tc>
          <w:tcPr>
            <w:tcW w:w="7199" w:type="dxa"/>
            <w:vAlign w:val="center"/>
          </w:tcPr>
          <w:p>
            <w:pPr>
              <w:pStyle w:val="67"/>
              <w:spacing w:before="62" w:beforeLines="20" w:after="62" w:afterLines="20"/>
              <w:rPr>
                <w:rFonts w:hint="eastAsia" w:ascii="仿宋" w:hAnsi="仿宋" w:eastAsia="仿宋" w:cs="仿宋"/>
                <w:b/>
                <w:color w:val="000000"/>
                <w:sz w:val="21"/>
                <w:szCs w:val="21"/>
              </w:rPr>
            </w:pPr>
            <w:r>
              <w:rPr>
                <w:rFonts w:hint="eastAsia" w:ascii="仿宋" w:hAnsi="仿宋" w:eastAsia="仿宋" w:cs="仿宋"/>
                <w:color w:val="000000"/>
              </w:rPr>
              <w:t>详见</w:t>
            </w:r>
            <w:r>
              <w:rPr>
                <w:rFonts w:hint="eastAsia" w:ascii="仿宋" w:hAnsi="仿宋" w:eastAsia="仿宋" w:cs="仿宋"/>
                <w:color w:val="000000"/>
                <w:u w:val="single"/>
              </w:rPr>
              <w:t>第一章 竞争性磋商邀请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3" w:hRule="exact"/>
          <w:jc w:val="center"/>
        </w:trPr>
        <w:tc>
          <w:tcPr>
            <w:tcW w:w="1142" w:type="dxa"/>
            <w:vAlign w:val="center"/>
          </w:tcPr>
          <w:p>
            <w:pPr>
              <w:spacing w:line="400" w:lineRule="exact"/>
              <w:jc w:val="center"/>
              <w:rPr>
                <w:rFonts w:hint="eastAsia"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.1.6</w:t>
            </w:r>
          </w:p>
        </w:tc>
        <w:tc>
          <w:tcPr>
            <w:tcW w:w="1841" w:type="dxa"/>
            <w:vAlign w:val="center"/>
          </w:tcPr>
          <w:p>
            <w:pPr>
              <w:spacing w:line="400" w:lineRule="exact"/>
              <w:jc w:val="center"/>
              <w:rPr>
                <w:rFonts w:hint="eastAsia" w:ascii="仿宋" w:hAnsi="仿宋" w:eastAsia="仿宋" w:cs="仿宋"/>
                <w:color w:val="000000"/>
                <w:szCs w:val="21"/>
              </w:rPr>
            </w:pPr>
            <w:r>
              <w:rPr>
                <w:rFonts w:hint="eastAsia" w:ascii="仿宋" w:hAnsi="仿宋" w:eastAsia="仿宋" w:cs="Cambria Math"/>
                <w:color w:val="000000"/>
                <w:szCs w:val="21"/>
              </w:rPr>
              <w:t>★</w:t>
            </w:r>
            <w:r>
              <w:rPr>
                <w:rFonts w:hint="eastAsia" w:ascii="仿宋" w:hAnsi="仿宋" w:eastAsia="仿宋" w:cs="宋体"/>
                <w:color w:val="000000"/>
                <w:szCs w:val="21"/>
              </w:rPr>
              <w:t>响应文件的盖章或签字要求</w:t>
            </w:r>
          </w:p>
        </w:tc>
        <w:tc>
          <w:tcPr>
            <w:tcW w:w="7199" w:type="dxa"/>
            <w:vAlign w:val="center"/>
          </w:tcPr>
          <w:p>
            <w:pPr>
              <w:pStyle w:val="69"/>
              <w:topLinePunct/>
              <w:spacing w:before="62" w:beforeLines="20" w:after="62" w:afterLines="20"/>
              <w:rPr>
                <w:rFonts w:hint="eastAsia" w:ascii="仿宋" w:hAnsi="仿宋" w:eastAsia="仿宋" w:cs="宋体"/>
                <w:color w:val="000000"/>
                <w:sz w:val="21"/>
                <w:szCs w:val="21"/>
              </w:rPr>
            </w:pPr>
            <w:r>
              <w:rPr>
                <w:rFonts w:hint="eastAsia" w:ascii="仿宋" w:hAnsi="仿宋" w:eastAsia="仿宋" w:cs="宋体"/>
                <w:color w:val="000000"/>
                <w:sz w:val="21"/>
                <w:szCs w:val="21"/>
              </w:rPr>
              <w:t>（1）《法定代表人（负责人）身份证明》的落款处应加盖公章。</w:t>
            </w:r>
          </w:p>
          <w:p>
            <w:pPr>
              <w:pStyle w:val="69"/>
              <w:topLinePunct/>
              <w:spacing w:before="62" w:beforeLines="20" w:after="62" w:afterLines="20"/>
              <w:rPr>
                <w:rFonts w:hint="eastAsia" w:ascii="仿宋" w:hAnsi="仿宋" w:eastAsia="仿宋" w:cs="宋体"/>
                <w:color w:val="000000"/>
                <w:sz w:val="21"/>
                <w:szCs w:val="21"/>
              </w:rPr>
            </w:pPr>
            <w:r>
              <w:rPr>
                <w:rFonts w:hint="eastAsia" w:ascii="仿宋" w:hAnsi="仿宋" w:eastAsia="仿宋" w:cs="宋体"/>
                <w:color w:val="000000"/>
                <w:sz w:val="21"/>
                <w:szCs w:val="21"/>
              </w:rPr>
              <w:t>（2）《法定代表人（负责人）授权委托书》的落款处应加盖公章</w:t>
            </w:r>
            <w:r>
              <w:rPr>
                <w:rFonts w:hint="eastAsia" w:ascii="仿宋" w:hAnsi="仿宋" w:eastAsia="仿宋" w:cs="宋体"/>
                <w:b/>
                <w:color w:val="000000"/>
                <w:sz w:val="21"/>
                <w:szCs w:val="21"/>
              </w:rPr>
              <w:t>并由</w:t>
            </w:r>
            <w:r>
              <w:rPr>
                <w:rFonts w:hint="eastAsia" w:ascii="仿宋" w:hAnsi="仿宋" w:eastAsia="仿宋" w:cs="宋体"/>
                <w:color w:val="000000"/>
                <w:sz w:val="21"/>
                <w:szCs w:val="21"/>
              </w:rPr>
              <w:t>法定代表人（负责人）</w:t>
            </w:r>
            <w:r>
              <w:rPr>
                <w:rFonts w:hint="eastAsia" w:ascii="仿宋" w:hAnsi="仿宋" w:eastAsia="仿宋" w:cs="宋体"/>
                <w:b/>
                <w:color w:val="000000"/>
                <w:sz w:val="21"/>
                <w:szCs w:val="21"/>
              </w:rPr>
              <w:t>和</w:t>
            </w:r>
            <w:r>
              <w:rPr>
                <w:rFonts w:hint="eastAsia" w:ascii="仿宋" w:hAnsi="仿宋" w:eastAsia="仿宋" w:cs="宋体"/>
                <w:color w:val="000000"/>
                <w:sz w:val="21"/>
                <w:szCs w:val="21"/>
              </w:rPr>
              <w:t>其委托代理人</w:t>
            </w:r>
            <w:r>
              <w:rPr>
                <w:rFonts w:hint="eastAsia" w:ascii="仿宋" w:hAnsi="仿宋" w:eastAsia="仿宋" w:cs="宋体"/>
                <w:b/>
                <w:color w:val="000000"/>
                <w:sz w:val="21"/>
                <w:szCs w:val="21"/>
              </w:rPr>
              <w:t>双方</w:t>
            </w:r>
            <w:r>
              <w:rPr>
                <w:rFonts w:hint="eastAsia" w:ascii="仿宋" w:hAnsi="仿宋" w:eastAsia="仿宋" w:cs="宋体"/>
                <w:color w:val="000000"/>
                <w:sz w:val="21"/>
                <w:szCs w:val="21"/>
              </w:rPr>
              <w:t>签字。</w:t>
            </w:r>
          </w:p>
          <w:p>
            <w:pPr>
              <w:pStyle w:val="69"/>
              <w:topLinePunct/>
              <w:spacing w:before="62" w:beforeLines="20" w:after="62" w:afterLines="20"/>
              <w:rPr>
                <w:rFonts w:hint="eastAsia" w:ascii="仿宋" w:hAnsi="仿宋" w:eastAsia="仿宋" w:cs="宋体"/>
                <w:color w:val="000000"/>
                <w:sz w:val="21"/>
                <w:szCs w:val="21"/>
              </w:rPr>
            </w:pPr>
            <w:r>
              <w:rPr>
                <w:rFonts w:hint="eastAsia" w:ascii="仿宋" w:hAnsi="仿宋" w:eastAsia="仿宋" w:cs="宋体"/>
                <w:color w:val="000000"/>
                <w:sz w:val="21"/>
                <w:szCs w:val="21"/>
              </w:rPr>
              <w:t>（3）响应文件格式中其他有落款的文件，</w:t>
            </w:r>
            <w:r>
              <w:rPr>
                <w:rFonts w:hint="eastAsia" w:ascii="仿宋" w:hAnsi="仿宋" w:eastAsia="仿宋" w:cs="宋体"/>
                <w:b/>
                <w:color w:val="000000"/>
                <w:sz w:val="21"/>
                <w:szCs w:val="21"/>
              </w:rPr>
              <w:t>均需</w:t>
            </w:r>
            <w:r>
              <w:rPr>
                <w:rFonts w:hint="eastAsia" w:ascii="仿宋" w:hAnsi="仿宋" w:eastAsia="仿宋" w:cs="宋体"/>
                <w:color w:val="000000"/>
                <w:sz w:val="21"/>
                <w:szCs w:val="21"/>
              </w:rPr>
              <w:t>加盖公章。</w:t>
            </w:r>
          </w:p>
          <w:p>
            <w:pPr>
              <w:pStyle w:val="67"/>
              <w:spacing w:before="62" w:beforeLines="20" w:after="62" w:afterLines="20"/>
              <w:rPr>
                <w:rFonts w:hint="eastAsia" w:ascii="仿宋" w:hAnsi="仿宋" w:eastAsia="仿宋" w:cs="仿宋"/>
                <w:color w:val="000000"/>
              </w:rPr>
            </w:pPr>
            <w:r>
              <w:rPr>
                <w:rFonts w:hint="eastAsia" w:ascii="仿宋" w:hAnsi="仿宋" w:eastAsia="仿宋" w:cs="宋体"/>
                <w:color w:val="000000"/>
                <w:sz w:val="21"/>
                <w:szCs w:val="21"/>
              </w:rPr>
              <w:t>（4）响应文件的所有签字处均指手写签字</w:t>
            </w:r>
            <w:r>
              <w:rPr>
                <w:rFonts w:hint="eastAsia" w:ascii="仿宋" w:hAnsi="仿宋" w:eastAsia="仿宋" w:cs="宋体"/>
                <w:b/>
                <w:color w:val="000000"/>
                <w:sz w:val="21"/>
                <w:szCs w:val="21"/>
              </w:rPr>
              <w:t>或</w:t>
            </w:r>
            <w:r>
              <w:rPr>
                <w:rFonts w:hint="eastAsia" w:ascii="仿宋" w:hAnsi="仿宋" w:eastAsia="仿宋" w:cs="宋体"/>
                <w:color w:val="000000"/>
                <w:sz w:val="21"/>
                <w:szCs w:val="21"/>
              </w:rPr>
              <w:t>签名章/印章</w:t>
            </w:r>
            <w:r>
              <w:rPr>
                <w:rFonts w:hint="eastAsia" w:ascii="仿宋" w:hAnsi="仿宋" w:eastAsia="仿宋" w:cs="宋体"/>
                <w:b/>
                <w:bCs/>
                <w:color w:val="000000"/>
                <w:sz w:val="21"/>
                <w:szCs w:val="21"/>
              </w:rPr>
              <w:t>或</w:t>
            </w:r>
            <w:r>
              <w:rPr>
                <w:rFonts w:hint="eastAsia" w:ascii="仿宋" w:hAnsi="仿宋" w:eastAsia="仿宋" w:cs="宋体"/>
                <w:color w:val="000000"/>
                <w:sz w:val="21"/>
                <w:szCs w:val="21"/>
              </w:rPr>
              <w:t>CA签名章，</w:t>
            </w:r>
            <w:r>
              <w:rPr>
                <w:rFonts w:hint="eastAsia" w:ascii="仿宋" w:hAnsi="仿宋" w:eastAsia="仿宋" w:cs="宋体"/>
                <w:b/>
                <w:color w:val="000000"/>
                <w:sz w:val="21"/>
                <w:szCs w:val="21"/>
              </w:rPr>
              <w:t>不得</w:t>
            </w:r>
            <w:r>
              <w:rPr>
                <w:rFonts w:hint="eastAsia" w:ascii="仿宋" w:hAnsi="仿宋" w:eastAsia="仿宋" w:cs="宋体"/>
                <w:color w:val="000000"/>
                <w:sz w:val="21"/>
                <w:szCs w:val="21"/>
              </w:rPr>
              <w:t>以打印体代替。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exact"/>
          <w:jc w:val="center"/>
        </w:trPr>
        <w:tc>
          <w:tcPr>
            <w:tcW w:w="1142" w:type="dxa"/>
            <w:vAlign w:val="center"/>
          </w:tcPr>
          <w:p>
            <w:pPr>
              <w:pStyle w:val="38"/>
              <w:snapToGrid w:val="0"/>
              <w:spacing w:line="300" w:lineRule="auto"/>
              <w:ind w:left="111" w:right="113"/>
              <w:jc w:val="center"/>
              <w:rPr>
                <w:rFonts w:hint="eastAsia" w:ascii="仿宋_GB2312" w:eastAsia="仿宋_GB2312"/>
                <w:sz w:val="24"/>
                <w:szCs w:val="24"/>
                <w:lang w:eastAsia="zh-CN"/>
              </w:rPr>
            </w:pPr>
            <w:r>
              <w:rPr>
                <w:rFonts w:ascii="仿宋_GB2312" w:eastAsia="仿宋_GB2312"/>
                <w:sz w:val="24"/>
                <w:szCs w:val="24"/>
                <w:lang w:eastAsia="zh-CN"/>
              </w:rPr>
              <w:t>2.1.7</w:t>
            </w:r>
          </w:p>
        </w:tc>
        <w:tc>
          <w:tcPr>
            <w:tcW w:w="1841" w:type="dxa"/>
            <w:vAlign w:val="center"/>
          </w:tcPr>
          <w:p>
            <w:pPr>
              <w:pStyle w:val="38"/>
              <w:snapToGrid w:val="0"/>
              <w:spacing w:line="300" w:lineRule="auto"/>
              <w:ind w:left="114" w:right="114"/>
              <w:jc w:val="center"/>
              <w:rPr>
                <w:rFonts w:hint="eastAsia" w:ascii="仿宋_GB2312" w:eastAsia="仿宋_GB2312"/>
                <w:sz w:val="24"/>
                <w:szCs w:val="24"/>
              </w:rPr>
            </w:pPr>
            <w:r>
              <w:rPr>
                <w:rFonts w:hint="eastAsia" w:ascii="仿宋" w:hAnsi="仿宋" w:eastAsia="仿宋" w:cs="仿宋"/>
                <w:color w:val="000000"/>
                <w:szCs w:val="21"/>
              </w:rPr>
              <w:t>★磋商响应有效期</w:t>
            </w:r>
          </w:p>
        </w:tc>
        <w:tc>
          <w:tcPr>
            <w:tcW w:w="7199" w:type="dxa"/>
            <w:vAlign w:val="center"/>
          </w:tcPr>
          <w:p>
            <w:pPr>
              <w:pStyle w:val="38"/>
              <w:snapToGrid w:val="0"/>
              <w:spacing w:line="300" w:lineRule="auto"/>
              <w:ind w:left="103" w:right="-18"/>
              <w:jc w:val="both"/>
              <w:rPr>
                <w:rFonts w:hint="eastAsia" w:ascii="仿宋_GB2312" w:eastAsia="仿宋_GB2312"/>
                <w:sz w:val="24"/>
                <w:szCs w:val="24"/>
                <w:lang w:eastAsia="zh-CN"/>
              </w:rPr>
            </w:pPr>
            <w:r>
              <w:rPr>
                <w:rFonts w:hint="eastAsia" w:ascii="仿宋" w:hAnsi="仿宋" w:eastAsia="仿宋"/>
                <w:color w:val="000000"/>
                <w:lang w:eastAsia="zh-CN"/>
              </w:rPr>
              <w:t>磋商响应有效期：</w:t>
            </w:r>
            <w:r>
              <w:rPr>
                <w:rFonts w:hint="eastAsia" w:ascii="仿宋" w:hAnsi="仿宋" w:eastAsia="仿宋"/>
                <w:color w:val="000000"/>
                <w:u w:val="single"/>
                <w:lang w:eastAsia="zh-CN"/>
              </w:rPr>
              <w:t>180</w:t>
            </w:r>
            <w:r>
              <w:rPr>
                <w:rFonts w:hint="eastAsia" w:ascii="仿宋" w:hAnsi="仿宋" w:eastAsia="仿宋" w:cs="仿宋"/>
                <w:color w:val="000000" w:themeColor="text1"/>
                <w:u w:val="single"/>
                <w:lang w:eastAsia="zh-CN"/>
                <w14:textFill>
                  <w14:solidFill>
                    <w14:schemeClr w14:val="tx1"/>
                  </w14:solidFill>
                </w14:textFill>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exact"/>
          <w:jc w:val="center"/>
        </w:trPr>
        <w:tc>
          <w:tcPr>
            <w:tcW w:w="1142" w:type="dxa"/>
            <w:vAlign w:val="center"/>
          </w:tcPr>
          <w:p>
            <w:pPr>
              <w:pStyle w:val="38"/>
              <w:snapToGrid w:val="0"/>
              <w:spacing w:line="300" w:lineRule="auto"/>
              <w:ind w:left="111" w:right="113"/>
              <w:jc w:val="center"/>
              <w:rPr>
                <w:rFonts w:hint="eastAsia" w:ascii="仿宋_GB2312" w:eastAsia="仿宋_GB2312"/>
                <w:sz w:val="24"/>
                <w:szCs w:val="24"/>
                <w:lang w:eastAsia="zh-CN"/>
              </w:rPr>
            </w:pPr>
            <w:r>
              <w:rPr>
                <w:rFonts w:ascii="仿宋_GB2312" w:eastAsia="仿宋_GB2312"/>
                <w:sz w:val="24"/>
                <w:szCs w:val="24"/>
                <w:lang w:eastAsia="zh-CN"/>
              </w:rPr>
              <w:t>2.1.8</w:t>
            </w:r>
          </w:p>
        </w:tc>
        <w:tc>
          <w:tcPr>
            <w:tcW w:w="1841" w:type="dxa"/>
            <w:vAlign w:val="center"/>
          </w:tcPr>
          <w:p>
            <w:pPr>
              <w:pStyle w:val="38"/>
              <w:snapToGrid w:val="0"/>
              <w:spacing w:line="300" w:lineRule="auto"/>
              <w:ind w:left="114" w:right="114"/>
              <w:jc w:val="center"/>
              <w:rPr>
                <w:rFonts w:hint="eastAsia" w:ascii="仿宋_GB2312" w:eastAsia="仿宋_GB2312"/>
                <w:sz w:val="24"/>
                <w:szCs w:val="24"/>
              </w:rPr>
            </w:pPr>
            <w:r>
              <w:rPr>
                <w:rFonts w:hint="eastAsia" w:ascii="仿宋_GB2312" w:eastAsia="仿宋_GB2312"/>
                <w:sz w:val="24"/>
                <w:szCs w:val="24"/>
              </w:rPr>
              <w:t>响应文件份数</w:t>
            </w:r>
          </w:p>
        </w:tc>
        <w:tc>
          <w:tcPr>
            <w:tcW w:w="7199" w:type="dxa"/>
            <w:vAlign w:val="center"/>
          </w:tcPr>
          <w:p>
            <w:pPr>
              <w:pStyle w:val="38"/>
              <w:snapToGrid w:val="0"/>
              <w:spacing w:line="300" w:lineRule="auto"/>
              <w:ind w:left="103" w:right="-18"/>
              <w:jc w:val="both"/>
              <w:rPr>
                <w:rFonts w:hint="eastAsia" w:ascii="仿宋_GB2312" w:eastAsia="仿宋_GB2312"/>
                <w:sz w:val="24"/>
                <w:szCs w:val="24"/>
                <w:lang w:eastAsia="zh-CN"/>
              </w:rPr>
            </w:pPr>
            <w:r>
              <w:rPr>
                <w:rFonts w:hint="eastAsia" w:ascii="仿宋" w:hAnsi="仿宋" w:eastAsia="仿宋"/>
                <w:color w:val="000000"/>
                <w:sz w:val="21"/>
                <w:szCs w:val="21"/>
                <w:lang w:eastAsia="zh-CN"/>
              </w:rPr>
              <w:t>电子文件</w:t>
            </w:r>
            <w:r>
              <w:rPr>
                <w:rFonts w:hint="eastAsia" w:ascii="仿宋" w:hAnsi="仿宋" w:eastAsia="仿宋"/>
                <w:color w:val="000000"/>
                <w:sz w:val="21"/>
                <w:szCs w:val="21"/>
                <w:u w:val="single"/>
                <w:lang w:eastAsia="zh-CN"/>
              </w:rPr>
              <w:t>1</w:t>
            </w:r>
            <w:r>
              <w:rPr>
                <w:rFonts w:hint="eastAsia" w:ascii="仿宋" w:hAnsi="仿宋" w:eastAsia="仿宋"/>
                <w:color w:val="000000"/>
                <w:sz w:val="21"/>
                <w:szCs w:val="21"/>
                <w:lang w:eastAsia="zh-CN"/>
              </w:rPr>
              <w:t>份（具体格式要求）；纸质文件正本</w:t>
            </w:r>
            <w:r>
              <w:rPr>
                <w:rFonts w:hint="eastAsia" w:ascii="仿宋" w:hAnsi="仿宋" w:eastAsia="仿宋"/>
                <w:color w:val="000000"/>
                <w:sz w:val="21"/>
                <w:szCs w:val="21"/>
                <w:u w:val="single"/>
                <w:lang w:eastAsia="zh-CN"/>
              </w:rPr>
              <w:t xml:space="preserve"> 1 </w:t>
            </w:r>
            <w:r>
              <w:rPr>
                <w:rFonts w:hint="eastAsia" w:ascii="仿宋" w:hAnsi="仿宋" w:eastAsia="仿宋"/>
                <w:color w:val="000000"/>
                <w:sz w:val="21"/>
                <w:szCs w:val="21"/>
                <w:lang w:eastAsia="zh-CN"/>
              </w:rPr>
              <w:t>份，副本</w:t>
            </w:r>
            <w:r>
              <w:rPr>
                <w:rFonts w:ascii="仿宋" w:hAnsi="仿宋" w:eastAsia="仿宋"/>
                <w:color w:val="000000"/>
                <w:sz w:val="21"/>
                <w:szCs w:val="21"/>
                <w:u w:val="single"/>
                <w:lang w:eastAsia="zh-CN"/>
              </w:rPr>
              <w:t xml:space="preserve"> </w:t>
            </w:r>
            <w:r>
              <w:rPr>
                <w:rFonts w:hint="eastAsia" w:ascii="仿宋" w:hAnsi="仿宋" w:eastAsia="仿宋"/>
                <w:color w:val="000000"/>
                <w:sz w:val="21"/>
                <w:szCs w:val="21"/>
                <w:u w:val="single"/>
                <w:lang w:eastAsia="zh-CN"/>
              </w:rPr>
              <w:t xml:space="preserve">1 </w:t>
            </w:r>
            <w:r>
              <w:rPr>
                <w:rFonts w:hint="eastAsia" w:ascii="仿宋" w:hAnsi="仿宋" w:eastAsia="仿宋"/>
                <w:color w:val="000000"/>
                <w:sz w:val="21"/>
                <w:szCs w:val="21"/>
                <w:lang w:eastAsia="zh-CN"/>
              </w:rPr>
              <w:t>份</w:t>
            </w:r>
            <w:r>
              <w:rPr>
                <w:rFonts w:hint="eastAsia" w:ascii="仿宋_GB2312" w:eastAsia="仿宋_GB2312" w:cs="新宋体"/>
                <w:szCs w:val="21"/>
                <w:lang w:val="zh-CN" w:eastAsia="zh-CN"/>
              </w:rPr>
              <w:t>、正本与副本内容应一致，若正本和副本有不一致的内容，以正本书面响应文件为准。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7" w:hRule="exact"/>
          <w:jc w:val="center"/>
        </w:trPr>
        <w:tc>
          <w:tcPr>
            <w:tcW w:w="1142" w:type="dxa"/>
            <w:vAlign w:val="center"/>
          </w:tcPr>
          <w:p>
            <w:pPr>
              <w:pStyle w:val="38"/>
              <w:snapToGrid w:val="0"/>
              <w:spacing w:line="300" w:lineRule="auto"/>
              <w:ind w:left="111" w:right="113"/>
              <w:jc w:val="center"/>
              <w:rPr>
                <w:rFonts w:hint="eastAsia" w:ascii="仿宋_GB2312" w:eastAsia="仿宋_GB2312"/>
                <w:sz w:val="24"/>
                <w:szCs w:val="24"/>
                <w:lang w:eastAsia="zh-CN"/>
              </w:rPr>
            </w:pPr>
            <w:r>
              <w:rPr>
                <w:rFonts w:ascii="仿宋_GB2312" w:eastAsia="仿宋_GB2312"/>
                <w:sz w:val="24"/>
                <w:szCs w:val="24"/>
              </w:rPr>
              <w:t>2.1.9</w:t>
            </w:r>
          </w:p>
        </w:tc>
        <w:tc>
          <w:tcPr>
            <w:tcW w:w="1841" w:type="dxa"/>
            <w:vAlign w:val="center"/>
          </w:tcPr>
          <w:p>
            <w:pPr>
              <w:pStyle w:val="38"/>
              <w:snapToGrid w:val="0"/>
              <w:spacing w:line="300" w:lineRule="auto"/>
              <w:ind w:left="114" w:right="114"/>
              <w:jc w:val="center"/>
              <w:rPr>
                <w:rFonts w:hint="eastAsia" w:ascii="仿宋_GB2312" w:eastAsia="仿宋_GB2312"/>
                <w:sz w:val="24"/>
                <w:szCs w:val="24"/>
              </w:rPr>
            </w:pPr>
            <w:r>
              <w:rPr>
                <w:rFonts w:hint="eastAsia" w:ascii="仿宋" w:hAnsi="仿宋" w:eastAsia="仿宋" w:cs="仿宋"/>
                <w:color w:val="000000"/>
                <w:szCs w:val="21"/>
              </w:rPr>
              <w:t>磋商响应报价</w:t>
            </w:r>
          </w:p>
        </w:tc>
        <w:tc>
          <w:tcPr>
            <w:tcW w:w="7199" w:type="dxa"/>
            <w:vAlign w:val="center"/>
          </w:tcPr>
          <w:p>
            <w:pPr>
              <w:pStyle w:val="62"/>
              <w:spacing w:before="62" w:beforeLines="20" w:after="62" w:afterLines="20" w:line="360" w:lineRule="auto"/>
              <w:rPr>
                <w:rFonts w:hint="eastAsia" w:ascii="仿宋" w:hAnsi="仿宋" w:eastAsia="仿宋" w:cs="仿宋"/>
                <w:color w:val="000000"/>
                <w:sz w:val="22"/>
                <w:szCs w:val="22"/>
              </w:rPr>
            </w:pPr>
            <w:r>
              <w:rPr>
                <w:rFonts w:hint="eastAsia" w:ascii="仿宋" w:hAnsi="仿宋" w:eastAsia="仿宋" w:cs="仿宋"/>
                <w:color w:val="000000"/>
                <w:sz w:val="22"/>
                <w:szCs w:val="22"/>
              </w:rPr>
              <w:t>1）供应商应结合自身实力与经验、市场价格竞争及合同实施风险等因素进行综合考虑进行报价。</w:t>
            </w:r>
          </w:p>
          <w:p>
            <w:pPr>
              <w:pStyle w:val="38"/>
              <w:snapToGrid w:val="0"/>
              <w:spacing w:line="300" w:lineRule="auto"/>
              <w:ind w:right="-18"/>
              <w:jc w:val="both"/>
              <w:rPr>
                <w:rFonts w:hint="eastAsia" w:ascii="仿宋_GB2312" w:eastAsia="仿宋_GB2312"/>
                <w:sz w:val="24"/>
                <w:szCs w:val="24"/>
                <w:lang w:eastAsia="zh-CN"/>
              </w:rPr>
            </w:pPr>
            <w:r>
              <w:rPr>
                <w:rFonts w:hint="eastAsia" w:ascii="仿宋" w:hAnsi="仿宋" w:eastAsia="仿宋" w:cs="仿宋"/>
                <w:color w:val="000000"/>
                <w:lang w:eastAsia="zh-CN"/>
              </w:rPr>
              <w:t>2）磋商小组将视磋商情况决定是否进行多轮次报价，供应商</w:t>
            </w:r>
            <w:r>
              <w:rPr>
                <w:rFonts w:hint="eastAsia" w:ascii="仿宋" w:hAnsi="仿宋" w:eastAsia="仿宋" w:cs="仿宋"/>
                <w:color w:val="000000"/>
                <w:u w:val="single"/>
                <w:lang w:eastAsia="zh-CN"/>
              </w:rPr>
              <w:t>最后一轮磋商提交的报价</w:t>
            </w:r>
            <w:r>
              <w:rPr>
                <w:rFonts w:hint="eastAsia" w:ascii="仿宋" w:hAnsi="仿宋" w:eastAsia="仿宋" w:cs="仿宋"/>
                <w:color w:val="000000"/>
                <w:lang w:eastAsia="zh-CN"/>
              </w:rPr>
              <w:t>将作为该供应商的</w:t>
            </w:r>
            <w:r>
              <w:rPr>
                <w:rFonts w:hint="eastAsia" w:ascii="仿宋" w:hAnsi="仿宋" w:eastAsia="仿宋" w:cs="仿宋"/>
                <w:b/>
                <w:bCs/>
                <w:color w:val="000000"/>
                <w:lang w:eastAsia="zh-CN"/>
              </w:rPr>
              <w:t>最终报价</w:t>
            </w:r>
            <w:r>
              <w:rPr>
                <w:rFonts w:hint="eastAsia" w:ascii="仿宋" w:hAnsi="仿宋" w:eastAsia="仿宋" w:cs="仿宋"/>
                <w:color w:val="000000"/>
                <w:lang w:eastAsia="zh-CN"/>
              </w:rPr>
              <w:t>进行评审。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1" w:hRule="exact"/>
          <w:jc w:val="center"/>
        </w:trPr>
        <w:tc>
          <w:tcPr>
            <w:tcW w:w="1142" w:type="dxa"/>
            <w:vAlign w:val="center"/>
          </w:tcPr>
          <w:p>
            <w:pPr>
              <w:pStyle w:val="38"/>
              <w:snapToGrid w:val="0"/>
              <w:spacing w:line="300" w:lineRule="auto"/>
              <w:ind w:left="111" w:right="113"/>
              <w:jc w:val="center"/>
              <w:rPr>
                <w:rFonts w:hint="eastAsia"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.1.10</w:t>
            </w:r>
          </w:p>
        </w:tc>
        <w:tc>
          <w:tcPr>
            <w:tcW w:w="1841" w:type="dxa"/>
            <w:vAlign w:val="center"/>
          </w:tcPr>
          <w:p>
            <w:pPr>
              <w:pStyle w:val="38"/>
              <w:snapToGrid w:val="0"/>
              <w:spacing w:line="300" w:lineRule="auto"/>
              <w:ind w:left="114" w:right="114"/>
              <w:jc w:val="center"/>
              <w:rPr>
                <w:rFonts w:hint="eastAsia" w:ascii="仿宋_GB2312" w:eastAsia="仿宋_GB2312"/>
                <w:sz w:val="24"/>
                <w:szCs w:val="24"/>
                <w:lang w:eastAsia="zh-CN"/>
              </w:rPr>
            </w:pPr>
            <w:r>
              <w:rPr>
                <w:rFonts w:hint="eastAsia" w:ascii="仿宋" w:hAnsi="仿宋" w:eastAsia="仿宋"/>
                <w:color w:val="000000"/>
                <w:szCs w:val="21"/>
                <w:lang w:eastAsia="zh-CN"/>
              </w:rPr>
              <w:t>纸质</w:t>
            </w:r>
            <w:r>
              <w:rPr>
                <w:rFonts w:hint="eastAsia" w:ascii="仿宋" w:hAnsi="仿宋" w:eastAsia="仿宋" w:cs="仿宋"/>
                <w:color w:val="000000"/>
                <w:szCs w:val="21"/>
                <w:lang w:eastAsia="zh-CN"/>
              </w:rPr>
              <w:t>响应文件的装订、密封和标记</w:t>
            </w:r>
          </w:p>
        </w:tc>
        <w:tc>
          <w:tcPr>
            <w:tcW w:w="7199" w:type="dxa"/>
            <w:vAlign w:val="center"/>
          </w:tcPr>
          <w:p>
            <w:pPr>
              <w:spacing w:line="360" w:lineRule="auto"/>
              <w:rPr>
                <w:rFonts w:hint="eastAsia" w:ascii="仿宋" w:hAnsi="仿宋" w:eastAsia="仿宋" w:cs="Cambria Math"/>
                <w:color w:val="000000"/>
                <w:sz w:val="22"/>
                <w:szCs w:val="21"/>
              </w:rPr>
            </w:pPr>
            <w:r>
              <w:rPr>
                <w:rFonts w:hint="eastAsia" w:ascii="仿宋" w:hAnsi="仿宋" w:eastAsia="仿宋" w:cs="Cambria Math"/>
                <w:color w:val="000000"/>
                <w:sz w:val="22"/>
                <w:szCs w:val="21"/>
              </w:rPr>
              <w:t>（1）采用A4纸胶装，双面打印，密封粘接缝隙加盖供应商公章或由法定代表人（负责人）或其委托代理人签字，并分别在右上角标明“正本”和“副本”字样。</w:t>
            </w:r>
          </w:p>
          <w:p>
            <w:pPr>
              <w:spacing w:line="360" w:lineRule="auto"/>
              <w:rPr>
                <w:rFonts w:hint="eastAsia" w:ascii="仿宋" w:hAnsi="仿宋" w:eastAsia="仿宋" w:cs="Cambria Math"/>
                <w:color w:val="000000"/>
                <w:sz w:val="22"/>
                <w:szCs w:val="21"/>
              </w:rPr>
            </w:pPr>
            <w:r>
              <w:rPr>
                <w:rFonts w:hint="eastAsia" w:ascii="仿宋" w:hAnsi="仿宋" w:eastAsia="仿宋" w:cs="Cambria Math"/>
                <w:color w:val="000000"/>
                <w:sz w:val="22"/>
                <w:szCs w:val="21"/>
              </w:rPr>
              <w:t>响应文件需加盖骑缝章。未按要求密封的</w:t>
            </w:r>
            <w:r>
              <w:rPr>
                <w:rFonts w:hint="eastAsia" w:ascii="仿宋" w:hAnsi="仿宋" w:eastAsia="仿宋" w:cs="Cambria Math"/>
                <w:color w:val="000000"/>
                <w:sz w:val="22"/>
                <w:szCs w:val="21"/>
                <w:lang w:eastAsia="zh-Hans"/>
              </w:rPr>
              <w:t>纸质</w:t>
            </w:r>
            <w:r>
              <w:rPr>
                <w:rFonts w:hint="eastAsia" w:ascii="仿宋" w:hAnsi="仿宋" w:eastAsia="仿宋" w:cs="Cambria Math"/>
                <w:color w:val="000000"/>
                <w:sz w:val="22"/>
                <w:szCs w:val="21"/>
              </w:rPr>
              <w:t>响应文件不予接收。</w:t>
            </w:r>
          </w:p>
          <w:p>
            <w:pPr>
              <w:rPr>
                <w:rFonts w:hint="eastAsia" w:ascii="仿宋" w:hAnsi="仿宋" w:eastAsia="仿宋"/>
                <w:color w:val="000000"/>
                <w:sz w:val="22"/>
              </w:rPr>
            </w:pPr>
            <w:r>
              <w:rPr>
                <w:rFonts w:hint="eastAsia" w:ascii="仿宋" w:hAnsi="仿宋" w:eastAsia="仿宋" w:cs="Cambria Math"/>
                <w:color w:val="000000"/>
                <w:sz w:val="22"/>
                <w:szCs w:val="21"/>
              </w:rPr>
              <w:t>（2）外层包封具体样式如下：</w:t>
            </w:r>
          </w:p>
          <w:p>
            <w:pPr>
              <w:pStyle w:val="38"/>
              <w:snapToGrid w:val="0"/>
              <w:spacing w:line="300" w:lineRule="auto"/>
              <w:ind w:left="103" w:right="2739"/>
              <w:jc w:val="both"/>
              <w:rPr>
                <w:rFonts w:hint="eastAsia" w:ascii="仿宋_GB2312" w:eastAsia="仿宋_GB2312"/>
                <w:sz w:val="24"/>
                <w:szCs w:val="24"/>
                <w:lang w:eastAsia="zh-CN"/>
              </w:rPr>
            </w:pPr>
            <w:r>
              <w:rPr>
                <w:rFonts w:hint="eastAsia" w:ascii="仿宋" w:hAnsi="仿宋" w:eastAsia="仿宋" w:cs="仿宋"/>
                <w:color w:val="000000"/>
                <w:lang w:eastAsia="zh-CN"/>
              </w:rPr>
              <mc:AlternateContent>
                <mc:Choice Requires="wps">
                  <w:drawing>
                    <wp:inline distT="0" distB="0" distL="114300" distR="114300">
                      <wp:extent cx="4320540" cy="2775585"/>
                      <wp:effectExtent l="4445" t="4445" r="5715" b="13970"/>
                      <wp:docPr id="1" name="文本框 3"/>
                      <wp:cNvGraphicFramePr/>
                      <a:graphic xmlns:a="http://schemas.openxmlformats.org/drawingml/2006/main">
                        <a:graphicData uri="http://schemas.microsoft.com/office/word/2010/wordprocessingShape">
                          <wps:wsp>
                            <wps:cNvSpPr txBox="1">
                              <a:spLocks noRot="1"/>
                            </wps:cNvSpPr>
                            <wps:spPr>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p>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pPr>
                                    <w:spacing w:line="360" w:lineRule="auto"/>
                                    <w:rPr>
                                      <w:rFonts w:hint="eastAsia"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u w:val="single"/>
                                    </w:rPr>
                                    <w:t>XX</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pPr>
                                    <w:spacing w:line="360" w:lineRule="auto"/>
                                    <w:rPr>
                                      <w:rFonts w:hint="eastAsia"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wps:txbx>
                            <wps:bodyPr wrap="square" upright="1">
                              <a:spAutoFit/>
                            </wps:bodyPr>
                          </wps:wsp>
                        </a:graphicData>
                      </a:graphic>
                    </wp:inline>
                  </w:drawing>
                </mc:Choice>
                <mc:Fallback>
                  <w:pict>
                    <v:shape id="文本框 3" o:spid="_x0000_s1026" o:spt="202" type="#_x0000_t202" style="height:218.55pt;width:340.2pt;" fillcolor="#FFFFFF" filled="t" stroked="t" coordsize="21600,21600" o:gfxdata="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4MlGvWAAAABQEAAA8AAAAAAAAAAQAgAAAAIgAAAGRycy9kb3ducmV2LnhtbFBL&#10;AQIUABQAAAAIAIdO4kC8OVY3MQIAAIIEAAAOAAAAAAAAAAEAIAAAACUBAABkcnMvZTJvRG9jLnht&#10;bFBLBQYAAAAABgAGAFkBAADIBQAAAAA=&#10;">
                      <v:fill on="t" focussize="0,0"/>
                      <v:stroke color="#000000" joinstyle="miter"/>
                      <v:imagedata o:title=""/>
                      <o:lock v:ext="edit" rotation="t" aspectratio="f"/>
                      <v:textbox style="mso-fit-shape-to-text:t;">
                        <w:txbxContent>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p>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pPr>
                              <w:spacing w:line="360" w:lineRule="auto"/>
                              <w:rPr>
                                <w:rFonts w:hint="eastAsia"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u w:val="single"/>
                              </w:rPr>
                              <w:t>XX</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pPr>
                              <w:spacing w:line="360" w:lineRule="auto"/>
                              <w:rPr>
                                <w:rFonts w:hint="eastAsia"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v:textbox>
                      <w10:wrap type="none"/>
                      <w10:anchorlock/>
                    </v:shape>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vAlign w:val="center"/>
          </w:tcPr>
          <w:p>
            <w:pPr>
              <w:pStyle w:val="38"/>
              <w:snapToGrid w:val="0"/>
              <w:spacing w:line="300" w:lineRule="auto"/>
              <w:ind w:left="111" w:right="113"/>
              <w:jc w:val="center"/>
              <w:rPr>
                <w:rFonts w:hint="eastAsia" w:ascii="仿宋_GB2312" w:eastAsia="仿宋_GB2312"/>
                <w:sz w:val="24"/>
                <w:szCs w:val="24"/>
                <w:lang w:eastAsia="zh-CN"/>
              </w:rPr>
            </w:pPr>
            <w:r>
              <w:rPr>
                <w:rFonts w:ascii="仿宋_GB2312" w:eastAsia="仿宋_GB2312"/>
                <w:sz w:val="24"/>
                <w:szCs w:val="24"/>
                <w:lang w:eastAsia="zh-CN"/>
              </w:rPr>
              <w:t>2.1.11</w:t>
            </w:r>
          </w:p>
        </w:tc>
        <w:tc>
          <w:tcPr>
            <w:tcW w:w="1841" w:type="dxa"/>
            <w:vAlign w:val="center"/>
          </w:tcPr>
          <w:p>
            <w:pPr>
              <w:spacing w:line="400" w:lineRule="exact"/>
              <w:ind w:left="77" w:leftChars="32" w:right="132" w:rightChars="55" w:firstLine="67" w:firstLineChars="28"/>
              <w:jc w:val="center"/>
              <w:rPr>
                <w:rFonts w:hint="eastAsia" w:ascii="仿宋_GB2312" w:hAnsi="宋体" w:eastAsia="仿宋_GB2312"/>
                <w:szCs w:val="21"/>
              </w:rPr>
            </w:pPr>
            <w:r>
              <w:rPr>
                <w:rFonts w:hint="eastAsia" w:ascii="仿宋" w:hAnsi="仿宋" w:eastAsia="仿宋" w:cs="仿宋"/>
                <w:color w:val="000000"/>
                <w:szCs w:val="21"/>
              </w:rPr>
              <w:t>组建磋商小组</w:t>
            </w:r>
          </w:p>
        </w:tc>
        <w:tc>
          <w:tcPr>
            <w:tcW w:w="7199" w:type="dxa"/>
            <w:vAlign w:val="center"/>
          </w:tcPr>
          <w:p>
            <w:pPr>
              <w:autoSpaceDE w:val="0"/>
              <w:autoSpaceDN w:val="0"/>
              <w:adjustRightInd w:val="0"/>
              <w:spacing w:line="400" w:lineRule="exact"/>
              <w:ind w:left="146" w:leftChars="61" w:firstLine="2"/>
              <w:rPr>
                <w:rFonts w:hint="eastAsia" w:ascii="仿宋_GB2312" w:hAnsi="宋体" w:eastAsia="仿宋_GB2312" w:cs="新宋体"/>
                <w:szCs w:val="21"/>
                <w:lang w:val="zh-CN"/>
              </w:rPr>
            </w:pPr>
            <w:r>
              <w:rPr>
                <w:rFonts w:hint="eastAsia" w:ascii="仿宋" w:hAnsi="仿宋" w:eastAsia="仿宋" w:cs="仿宋"/>
                <w:color w:val="000000"/>
                <w:sz w:val="22"/>
              </w:rPr>
              <w:t>本项目磋商小组成员人数为5</w:t>
            </w:r>
            <w:r>
              <w:rPr>
                <w:rFonts w:hint="eastAsia" w:ascii="仿宋" w:hAnsi="仿宋" w:eastAsia="仿宋" w:cs="仿宋"/>
                <w:color w:val="000000"/>
                <w:sz w:val="22"/>
                <w:u w:val="single"/>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5" w:hRule="exact"/>
          <w:jc w:val="center"/>
        </w:trPr>
        <w:tc>
          <w:tcPr>
            <w:tcW w:w="1142" w:type="dxa"/>
            <w:vAlign w:val="center"/>
          </w:tcPr>
          <w:p>
            <w:pPr>
              <w:pStyle w:val="38"/>
              <w:snapToGrid w:val="0"/>
              <w:spacing w:line="300" w:lineRule="auto"/>
              <w:ind w:left="111" w:right="113"/>
              <w:jc w:val="center"/>
              <w:rPr>
                <w:rFonts w:hint="eastAsia"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.1.12</w:t>
            </w:r>
          </w:p>
        </w:tc>
        <w:tc>
          <w:tcPr>
            <w:tcW w:w="1841" w:type="dxa"/>
            <w:vAlign w:val="center"/>
          </w:tcPr>
          <w:p>
            <w:pPr>
              <w:spacing w:line="400" w:lineRule="exact"/>
              <w:ind w:left="77" w:leftChars="32" w:right="132" w:rightChars="55" w:firstLine="67" w:firstLineChars="28"/>
              <w:jc w:val="center"/>
              <w:rPr>
                <w:rFonts w:hint="eastAsia" w:ascii="仿宋" w:hAnsi="仿宋" w:eastAsia="仿宋" w:cs="仿宋"/>
                <w:color w:val="000000"/>
                <w:szCs w:val="21"/>
              </w:rPr>
            </w:pPr>
            <w:r>
              <w:rPr>
                <w:rFonts w:hint="eastAsia" w:ascii="仿宋" w:hAnsi="仿宋" w:eastAsia="仿宋" w:cs="仿宋"/>
                <w:color w:val="000000"/>
                <w:szCs w:val="21"/>
              </w:rPr>
              <w:t>磋商程序及方式</w:t>
            </w:r>
          </w:p>
        </w:tc>
        <w:tc>
          <w:tcPr>
            <w:tcW w:w="7199" w:type="dxa"/>
            <w:vAlign w:val="center"/>
          </w:tcPr>
          <w:p>
            <w:pPr>
              <w:pStyle w:val="62"/>
              <w:spacing w:before="62" w:beforeLines="20" w:after="62" w:afterLines="20" w:line="360" w:lineRule="auto"/>
              <w:rPr>
                <w:rFonts w:hint="eastAsia" w:ascii="仿宋" w:hAnsi="仿宋" w:eastAsia="仿宋" w:cs="仿宋"/>
                <w:color w:val="000000"/>
                <w:sz w:val="22"/>
                <w:szCs w:val="22"/>
              </w:rPr>
            </w:pPr>
            <w:r>
              <w:rPr>
                <w:rFonts w:hint="eastAsia" w:ascii="仿宋" w:hAnsi="仿宋" w:eastAsia="仿宋" w:cs="仿宋"/>
                <w:color w:val="000000"/>
                <w:sz w:val="22"/>
                <w:szCs w:val="22"/>
              </w:rPr>
              <w:t>（1）磋商小组将与通过初步评审的有效供应商按照</w:t>
            </w:r>
            <w:r>
              <w:rPr>
                <w:rFonts w:hint="eastAsia" w:ascii="仿宋" w:hAnsi="仿宋" w:eastAsia="仿宋" w:cs="仿宋"/>
                <w:color w:val="000000"/>
                <w:sz w:val="22"/>
                <w:szCs w:val="22"/>
                <w:u w:val="single"/>
              </w:rPr>
              <w:t>签到顺序</w:t>
            </w:r>
            <w:r>
              <w:rPr>
                <w:rFonts w:hint="eastAsia" w:ascii="仿宋" w:hAnsi="仿宋" w:eastAsia="仿宋" w:cs="仿宋"/>
                <w:color w:val="000000"/>
                <w:sz w:val="22"/>
                <w:szCs w:val="22"/>
              </w:rPr>
              <w:t>逐一进行磋商，供应商至少应派法定代表人或其授权委托人准时参会。</w:t>
            </w:r>
          </w:p>
          <w:p>
            <w:pPr>
              <w:autoSpaceDE w:val="0"/>
              <w:autoSpaceDN w:val="0"/>
              <w:adjustRightInd w:val="0"/>
              <w:spacing w:line="400" w:lineRule="exact"/>
              <w:rPr>
                <w:rFonts w:hint="eastAsia" w:ascii="仿宋" w:hAnsi="仿宋" w:eastAsia="仿宋" w:cs="仿宋"/>
                <w:color w:val="000000"/>
              </w:rPr>
            </w:pPr>
            <w:r>
              <w:rPr>
                <w:rFonts w:hint="eastAsia" w:ascii="仿宋" w:hAnsi="仿宋" w:eastAsia="仿宋" w:cs="仿宋"/>
                <w:color w:val="000000"/>
                <w:sz w:val="22"/>
                <w:szCs w:val="22"/>
              </w:rPr>
              <w:t>（2）磋商小组有权要求供应商对响应文件中含义不明确、同类问题表述不一致或者有明显文字和计算错误的内容等进行澄清、说明或更正。第一轮磋商结束后，供应商提交第一轮报价及磋商小组要求提供的其他文件，磋商小组将视具体情况决定是否进行多轮磋商及报价。最后一轮磋商结束后，供应商提交最终报价并签署相关承诺性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exact"/>
          <w:jc w:val="center"/>
        </w:trPr>
        <w:tc>
          <w:tcPr>
            <w:tcW w:w="1142" w:type="dxa"/>
            <w:vAlign w:val="center"/>
          </w:tcPr>
          <w:p>
            <w:pPr>
              <w:pStyle w:val="38"/>
              <w:snapToGrid w:val="0"/>
              <w:spacing w:line="300" w:lineRule="auto"/>
              <w:ind w:left="111" w:right="113"/>
              <w:jc w:val="center"/>
              <w:rPr>
                <w:rFonts w:hint="eastAsia"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.1.13</w:t>
            </w:r>
          </w:p>
        </w:tc>
        <w:tc>
          <w:tcPr>
            <w:tcW w:w="1841" w:type="dxa"/>
            <w:vAlign w:val="center"/>
          </w:tcPr>
          <w:p>
            <w:pPr>
              <w:spacing w:line="400" w:lineRule="exact"/>
              <w:ind w:left="77" w:leftChars="32" w:right="132" w:rightChars="55" w:firstLine="67" w:firstLineChars="28"/>
              <w:jc w:val="center"/>
              <w:rPr>
                <w:rFonts w:hint="eastAsia" w:ascii="仿宋" w:hAnsi="仿宋" w:eastAsia="仿宋" w:cs="仿宋"/>
                <w:color w:val="000000"/>
                <w:szCs w:val="21"/>
              </w:rPr>
            </w:pPr>
            <w:r>
              <w:rPr>
                <w:rFonts w:hint="eastAsia" w:ascii="仿宋" w:hAnsi="仿宋" w:eastAsia="仿宋" w:cs="仿宋"/>
                <w:color w:val="000000"/>
                <w:szCs w:val="21"/>
              </w:rPr>
              <w:t>磋商内容</w:t>
            </w:r>
          </w:p>
        </w:tc>
        <w:tc>
          <w:tcPr>
            <w:tcW w:w="7199" w:type="dxa"/>
            <w:vAlign w:val="center"/>
          </w:tcPr>
          <w:p>
            <w:pPr>
              <w:autoSpaceDE w:val="0"/>
              <w:autoSpaceDN w:val="0"/>
              <w:adjustRightInd w:val="0"/>
              <w:spacing w:line="400" w:lineRule="exact"/>
              <w:ind w:left="146" w:leftChars="61" w:firstLine="2"/>
              <w:rPr>
                <w:rFonts w:hint="eastAsia" w:ascii="仿宋" w:hAnsi="仿宋" w:eastAsia="仿宋" w:cs="仿宋"/>
                <w:color w:val="000000"/>
              </w:rPr>
            </w:pPr>
            <w:r>
              <w:rPr>
                <w:rFonts w:hint="eastAsia" w:ascii="仿宋" w:hAnsi="仿宋" w:eastAsia="仿宋" w:cs="仿宋"/>
                <w:color w:val="000000"/>
                <w:sz w:val="22"/>
              </w:rPr>
              <w:t>包含但不仅限于</w:t>
            </w:r>
            <w:r>
              <w:rPr>
                <w:rFonts w:hint="eastAsia" w:ascii="仿宋" w:hAnsi="仿宋" w:eastAsia="仿宋" w:cs="仿宋"/>
                <w:color w:val="000000"/>
                <w:sz w:val="22"/>
                <w:u w:val="single"/>
              </w:rPr>
              <w:t>报价、对采购需求的理解、</w:t>
            </w:r>
            <w:r>
              <w:rPr>
                <w:rFonts w:hint="eastAsia" w:ascii="仿宋" w:hAnsi="仿宋" w:eastAsia="仿宋" w:cs="仿宋"/>
                <w:color w:val="000000" w:themeColor="text1"/>
                <w:sz w:val="22"/>
                <w:u w:val="single"/>
                <w14:textFill>
                  <w14:solidFill>
                    <w14:schemeClr w14:val="tx1"/>
                  </w14:solidFill>
                </w14:textFill>
              </w:rPr>
              <w:t>产品配置/技术方案</w:t>
            </w:r>
            <w:r>
              <w:rPr>
                <w:rFonts w:hint="eastAsia" w:ascii="仿宋" w:hAnsi="仿宋" w:eastAsia="仿宋" w:cs="仿宋"/>
                <w:color w:val="000000"/>
                <w:sz w:val="22"/>
                <w:u w:val="single"/>
              </w:rPr>
              <w:t>、实施方案、人员配置、服务承诺、商务条款</w:t>
            </w:r>
            <w:r>
              <w:rPr>
                <w:rFonts w:hint="eastAsia" w:ascii="仿宋" w:hAnsi="仿宋" w:eastAsia="仿宋" w:cs="仿宋"/>
                <w:color w:val="000000"/>
                <w:sz w:val="22"/>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2" w:hRule="exact"/>
          <w:jc w:val="center"/>
        </w:trPr>
        <w:tc>
          <w:tcPr>
            <w:tcW w:w="1142" w:type="dxa"/>
            <w:vAlign w:val="center"/>
          </w:tcPr>
          <w:p>
            <w:pPr>
              <w:pStyle w:val="38"/>
              <w:snapToGrid w:val="0"/>
              <w:spacing w:line="300" w:lineRule="auto"/>
              <w:ind w:left="111" w:right="113"/>
              <w:jc w:val="center"/>
              <w:rPr>
                <w:rFonts w:hint="eastAsia"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.1.14</w:t>
            </w:r>
          </w:p>
        </w:tc>
        <w:tc>
          <w:tcPr>
            <w:tcW w:w="1841" w:type="dxa"/>
            <w:vAlign w:val="center"/>
          </w:tcPr>
          <w:p>
            <w:pPr>
              <w:spacing w:line="400" w:lineRule="exact"/>
              <w:ind w:left="77" w:leftChars="32" w:right="132" w:rightChars="55" w:firstLine="67" w:firstLineChars="28"/>
              <w:jc w:val="center"/>
              <w:rPr>
                <w:rFonts w:hint="eastAsia" w:ascii="仿宋" w:hAnsi="仿宋" w:eastAsia="仿宋" w:cs="仿宋"/>
                <w:color w:val="000000"/>
                <w:szCs w:val="21"/>
              </w:rPr>
            </w:pPr>
            <w:r>
              <w:rPr>
                <w:rFonts w:hint="eastAsia" w:ascii="仿宋" w:hAnsi="仿宋" w:eastAsia="仿宋" w:cs="仿宋"/>
                <w:color w:val="000000"/>
              </w:rPr>
              <w:t>成交候选人推荐原则</w:t>
            </w:r>
          </w:p>
        </w:tc>
        <w:tc>
          <w:tcPr>
            <w:tcW w:w="7199" w:type="dxa"/>
            <w:vAlign w:val="center"/>
          </w:tcPr>
          <w:p>
            <w:pPr>
              <w:autoSpaceDE w:val="0"/>
              <w:autoSpaceDN w:val="0"/>
              <w:adjustRightInd w:val="0"/>
              <w:spacing w:line="400" w:lineRule="exact"/>
              <w:ind w:left="146" w:leftChars="61" w:firstLine="2"/>
              <w:rPr>
                <w:rFonts w:hint="eastAsia" w:ascii="仿宋" w:hAnsi="仿宋" w:eastAsia="仿宋" w:cs="仿宋"/>
                <w:color w:val="000000"/>
              </w:rPr>
            </w:pPr>
            <w:r>
              <w:rPr>
                <w:rFonts w:hint="eastAsia" w:ascii="仿宋" w:hAnsi="仿宋" w:eastAsia="仿宋" w:cs="仿宋"/>
                <w:color w:val="000000"/>
                <w:sz w:val="22"/>
              </w:rPr>
              <w:t>磋商小组根据有效供应商</w:t>
            </w:r>
            <w:r>
              <w:rPr>
                <w:rFonts w:hint="eastAsia" w:ascii="仿宋" w:hAnsi="仿宋" w:eastAsia="仿宋" w:cs="宋体"/>
                <w:color w:val="000000"/>
                <w:sz w:val="22"/>
              </w:rPr>
              <w:t>综合得分由高至低排出的名次，顺序推荐</w:t>
            </w:r>
            <w:r>
              <w:rPr>
                <w:rFonts w:hint="eastAsia" w:ascii="仿宋" w:hAnsi="仿宋" w:eastAsia="仿宋" w:cs="宋体"/>
                <w:color w:val="000000"/>
                <w:sz w:val="22"/>
                <w:u w:val="single"/>
              </w:rPr>
              <w:t>综合得分前</w:t>
            </w:r>
            <w:r>
              <w:rPr>
                <w:rFonts w:hint="eastAsia" w:ascii="仿宋" w:hAnsi="仿宋" w:eastAsia="仿宋" w:cs="仿宋"/>
                <w:color w:val="000000" w:themeColor="text1"/>
                <w:sz w:val="22"/>
                <w:szCs w:val="22"/>
                <w:u w:val="single"/>
                <w14:textFill>
                  <w14:solidFill>
                    <w14:schemeClr w14:val="tx1"/>
                  </w14:solidFill>
                </w14:textFill>
              </w:rPr>
              <w:t>1</w:t>
            </w:r>
            <w:r>
              <w:rPr>
                <w:rFonts w:hint="eastAsia" w:ascii="仿宋" w:hAnsi="仿宋" w:eastAsia="仿宋" w:cs="宋体"/>
                <w:color w:val="000000"/>
                <w:sz w:val="22"/>
                <w:u w:val="single"/>
              </w:rPr>
              <w:t>名</w:t>
            </w:r>
            <w:r>
              <w:rPr>
                <w:rFonts w:hint="eastAsia" w:ascii="仿宋" w:hAnsi="仿宋" w:eastAsia="仿宋" w:cs="宋体"/>
                <w:color w:val="000000"/>
                <w:sz w:val="22"/>
              </w:rPr>
              <w:t>为成交候选人。</w:t>
            </w:r>
            <w:r>
              <w:rPr>
                <w:rFonts w:hint="eastAsia" w:ascii="仿宋" w:hAnsi="仿宋" w:eastAsia="仿宋" w:cs="仿宋"/>
                <w:color w:val="000000"/>
                <w:sz w:val="22"/>
              </w:rPr>
              <w:t>综合得分相同时，价格得分高者排名</w:t>
            </w:r>
            <w:r>
              <w:rPr>
                <w:rFonts w:hint="eastAsia" w:ascii="仿宋" w:hAnsi="仿宋" w:eastAsia="仿宋" w:cs="仿宋"/>
                <w:color w:val="000000"/>
              </w:rPr>
              <w:t>优先；价格得分也相同时，</w:t>
            </w:r>
            <w:r>
              <w:rPr>
                <w:rFonts w:hint="eastAsia" w:ascii="仿宋" w:hAnsi="仿宋" w:eastAsia="仿宋" w:cs="仿宋"/>
                <w:color w:val="000000"/>
                <w:u w:val="single"/>
              </w:rPr>
              <w:t>技术/商务</w:t>
            </w:r>
            <w:r>
              <w:rPr>
                <w:rFonts w:hint="eastAsia" w:ascii="仿宋" w:hAnsi="仿宋" w:eastAsia="仿宋" w:cs="仿宋"/>
                <w:color w:val="000000"/>
              </w:rPr>
              <w:t>得分高者排名优先。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5" w:hRule="exact"/>
          <w:jc w:val="center"/>
        </w:trPr>
        <w:tc>
          <w:tcPr>
            <w:tcW w:w="1142" w:type="dxa"/>
            <w:vAlign w:val="center"/>
          </w:tcPr>
          <w:p>
            <w:pPr>
              <w:pStyle w:val="38"/>
              <w:snapToGrid w:val="0"/>
              <w:spacing w:line="300" w:lineRule="auto"/>
              <w:ind w:left="111" w:right="113"/>
              <w:jc w:val="center"/>
              <w:rPr>
                <w:rFonts w:hint="eastAsia"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.1.15</w:t>
            </w:r>
          </w:p>
        </w:tc>
        <w:tc>
          <w:tcPr>
            <w:tcW w:w="1841" w:type="dxa"/>
            <w:vAlign w:val="center"/>
          </w:tcPr>
          <w:p>
            <w:pPr>
              <w:spacing w:line="400" w:lineRule="exact"/>
              <w:ind w:left="77" w:leftChars="32" w:right="132" w:rightChars="55" w:firstLine="67" w:firstLineChars="28"/>
              <w:jc w:val="center"/>
              <w:rPr>
                <w:rFonts w:hint="eastAsia" w:ascii="仿宋" w:hAnsi="仿宋" w:eastAsia="仿宋" w:cs="仿宋"/>
                <w:color w:val="000000"/>
                <w:szCs w:val="21"/>
              </w:rPr>
            </w:pPr>
            <w:r>
              <w:rPr>
                <w:rFonts w:hint="eastAsia" w:ascii="仿宋" w:hAnsi="仿宋" w:eastAsia="仿宋" w:cs="仿宋"/>
                <w:color w:val="000000"/>
              </w:rPr>
              <w:t>成交人数量</w:t>
            </w:r>
          </w:p>
        </w:tc>
        <w:tc>
          <w:tcPr>
            <w:tcW w:w="7199" w:type="dxa"/>
            <w:vAlign w:val="center"/>
          </w:tcPr>
          <w:p>
            <w:pPr>
              <w:pStyle w:val="62"/>
              <w:spacing w:before="62" w:beforeLines="20" w:after="62" w:afterLines="20"/>
              <w:rPr>
                <w:rFonts w:hint="eastAsia" w:ascii="仿宋" w:hAnsi="仿宋" w:eastAsia="仿宋" w:cs="仿宋"/>
                <w:color w:val="000000"/>
                <w:sz w:val="22"/>
                <w:szCs w:val="22"/>
                <w:u w:val="single"/>
              </w:rPr>
            </w:pPr>
            <w:r>
              <w:rPr>
                <w:rFonts w:hint="eastAsia" w:ascii="仿宋" w:hAnsi="仿宋" w:eastAsia="仿宋" w:cs="仿宋"/>
                <w:color w:val="000000"/>
                <w:sz w:val="22"/>
                <w:szCs w:val="22"/>
              </w:rPr>
              <w:t>成交人数量：</w:t>
            </w:r>
            <w:r>
              <w:rPr>
                <w:rFonts w:hint="eastAsia" w:ascii="仿宋" w:hAnsi="仿宋" w:eastAsia="仿宋" w:cs="仿宋"/>
                <w:color w:val="000000" w:themeColor="text1"/>
                <w:sz w:val="22"/>
                <w:szCs w:val="22"/>
                <w:u w:val="single"/>
                <w14:textFill>
                  <w14:solidFill>
                    <w14:schemeClr w14:val="tx1"/>
                  </w14:solidFill>
                </w14:textFill>
              </w:rPr>
              <w:t>1家</w:t>
            </w:r>
          </w:p>
          <w:p>
            <w:pPr>
              <w:autoSpaceDE w:val="0"/>
              <w:autoSpaceDN w:val="0"/>
              <w:adjustRightInd w:val="0"/>
              <w:spacing w:line="400" w:lineRule="exact"/>
              <w:rPr>
                <w:rFonts w:hint="eastAsia" w:ascii="仿宋" w:hAnsi="仿宋" w:eastAsia="仿宋" w:cs="仿宋"/>
                <w:color w:val="000000"/>
              </w:rPr>
            </w:pPr>
            <w:r>
              <w:rPr>
                <w:rFonts w:hint="eastAsia" w:ascii="仿宋" w:hAnsi="仿宋" w:eastAsia="仿宋" w:cs="宋体"/>
                <w:color w:val="000000" w:themeColor="text1"/>
                <w:sz w:val="22"/>
                <w:szCs w:val="22"/>
                <w:u w:val="single"/>
                <w14:textFill>
                  <w14:solidFill>
                    <w14:schemeClr w14:val="tx1"/>
                  </w14:solidFill>
                </w14:textFill>
              </w:rPr>
              <w:t>综合排名第一</w:t>
            </w:r>
            <w:r>
              <w:rPr>
                <w:rFonts w:hint="eastAsia" w:ascii="仿宋" w:hAnsi="仿宋" w:eastAsia="仿宋" w:cs="仿宋"/>
                <w:sz w:val="22"/>
                <w:szCs w:val="22"/>
              </w:rPr>
              <w:t>成交候选人放弃成交、因不可抗力不能履行合同、</w:t>
            </w:r>
            <w:r>
              <w:rPr>
                <w:rFonts w:hint="eastAsia" w:ascii="仿宋" w:hAnsi="仿宋" w:eastAsia="仿宋" w:cs="宋体"/>
                <w:color w:val="000000"/>
                <w:sz w:val="22"/>
                <w:szCs w:val="22"/>
              </w:rPr>
              <w:t>不按照磋商文件要求提交履约保证金</w:t>
            </w:r>
            <w:r>
              <w:rPr>
                <w:rFonts w:hint="eastAsia" w:ascii="仿宋" w:hAnsi="仿宋" w:eastAsia="仿宋" w:cs="仿宋"/>
                <w:sz w:val="22"/>
                <w:szCs w:val="22"/>
              </w:rPr>
              <w:t>、存在重大经营或法律风险、被查实存在影响采购结果的违法行为等情形，采购人按照磋商小组提出的成交候选人名单排序依次确定其他成交候选人为成交人，或者重新采购。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exact"/>
          <w:jc w:val="center"/>
        </w:trPr>
        <w:tc>
          <w:tcPr>
            <w:tcW w:w="1142" w:type="dxa"/>
            <w:vAlign w:val="center"/>
          </w:tcPr>
          <w:p>
            <w:pPr>
              <w:pStyle w:val="38"/>
              <w:snapToGrid w:val="0"/>
              <w:spacing w:line="300" w:lineRule="auto"/>
              <w:ind w:left="111" w:right="113"/>
              <w:jc w:val="center"/>
              <w:rPr>
                <w:rFonts w:hint="eastAsia"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.1.16</w:t>
            </w:r>
          </w:p>
        </w:tc>
        <w:tc>
          <w:tcPr>
            <w:tcW w:w="1841" w:type="dxa"/>
            <w:vAlign w:val="center"/>
          </w:tcPr>
          <w:p>
            <w:pPr>
              <w:spacing w:line="400" w:lineRule="exact"/>
              <w:ind w:left="77" w:leftChars="32" w:right="132" w:rightChars="55" w:firstLine="67" w:firstLineChars="28"/>
              <w:jc w:val="center"/>
              <w:rPr>
                <w:rFonts w:hint="eastAsia" w:ascii="仿宋" w:hAnsi="仿宋" w:eastAsia="仿宋" w:cs="仿宋"/>
                <w:color w:val="000000"/>
              </w:rPr>
            </w:pPr>
            <w:r>
              <w:rPr>
                <w:rFonts w:hint="eastAsia" w:ascii="仿宋" w:hAnsi="仿宋" w:eastAsia="仿宋" w:cs="仿宋"/>
                <w:color w:val="000000"/>
                <w:szCs w:val="21"/>
              </w:rPr>
              <w:t>履约保证金</w:t>
            </w:r>
          </w:p>
        </w:tc>
        <w:tc>
          <w:tcPr>
            <w:tcW w:w="7199" w:type="dxa"/>
            <w:vAlign w:val="center"/>
          </w:tcPr>
          <w:p>
            <w:pPr>
              <w:pStyle w:val="62"/>
              <w:spacing w:before="62" w:beforeLines="20" w:after="62" w:afterLines="20"/>
              <w:rPr>
                <w:rFonts w:hint="eastAsia"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sym w:font="Wingdings 2" w:char="00A3"/>
            </w:r>
            <w:r>
              <w:rPr>
                <w:rFonts w:hint="eastAsia" w:ascii="仿宋" w:hAnsi="仿宋" w:eastAsia="仿宋"/>
                <w:color w:val="000000" w:themeColor="text1"/>
                <w14:textFill>
                  <w14:solidFill>
                    <w14:schemeClr w14:val="tx1"/>
                  </w14:solidFill>
                </w14:textFill>
              </w:rPr>
              <w:t>收取，形式及比例：</w:t>
            </w:r>
          </w:p>
          <w:p>
            <w:pPr>
              <w:pStyle w:val="62"/>
              <w:spacing w:before="62" w:beforeLines="20" w:after="62" w:afterLines="20"/>
              <w:rPr>
                <w:rFonts w:hint="eastAsia" w:ascii="仿宋" w:hAnsi="仿宋" w:eastAsia="仿宋" w:cs="仿宋"/>
                <w:color w:val="000000"/>
              </w:rPr>
            </w:pPr>
            <w:r>
              <w:rPr>
                <w:rFonts w:hint="eastAsia" w:ascii="仿宋" w:hAnsi="仿宋" w:eastAsia="仿宋"/>
                <w:color w:val="000000" w:themeColor="text1"/>
                <w14:textFill>
                  <w14:solidFill>
                    <w14:schemeClr w14:val="tx1"/>
                  </w14:solidFill>
                </w14:textFill>
              </w:rPr>
              <w:sym w:font="Wingdings 2" w:char="0052"/>
            </w:r>
            <w:r>
              <w:rPr>
                <w:rFonts w:hint="eastAsia" w:ascii="仿宋" w:hAnsi="仿宋" w:eastAsia="仿宋"/>
                <w:color w:val="000000" w:themeColor="text1"/>
                <w14:textFill>
                  <w14:solidFill>
                    <w14:schemeClr w14:val="tx1"/>
                  </w14:solidFill>
                </w14:textFill>
              </w:rPr>
              <w:t>不收取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86" w:hRule="exact"/>
          <w:jc w:val="center"/>
        </w:trPr>
        <w:tc>
          <w:tcPr>
            <w:tcW w:w="1142" w:type="dxa"/>
            <w:vAlign w:val="center"/>
          </w:tcPr>
          <w:p>
            <w:pPr>
              <w:pStyle w:val="38"/>
              <w:snapToGrid w:val="0"/>
              <w:spacing w:line="300" w:lineRule="auto"/>
              <w:ind w:left="111" w:right="113"/>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2.1.17</w:t>
            </w:r>
          </w:p>
        </w:tc>
        <w:tc>
          <w:tcPr>
            <w:tcW w:w="1841" w:type="dxa"/>
            <w:vAlign w:val="center"/>
          </w:tcPr>
          <w:p>
            <w:pPr>
              <w:spacing w:line="400" w:lineRule="exact"/>
              <w:ind w:left="77" w:leftChars="32" w:right="132" w:rightChars="55" w:firstLine="67" w:firstLineChars="28"/>
              <w:jc w:val="center"/>
              <w:rPr>
                <w:rFonts w:hint="eastAsia" w:ascii="仿宋" w:hAnsi="仿宋" w:eastAsia="仿宋" w:cs="仿宋"/>
                <w:color w:val="000000"/>
              </w:rPr>
            </w:pPr>
            <w:r>
              <w:rPr>
                <w:rFonts w:hint="eastAsia" w:ascii="仿宋" w:hAnsi="仿宋" w:eastAsia="仿宋" w:cs="仿宋"/>
                <w:color w:val="000000"/>
              </w:rPr>
              <w:t>低于成本价不正当竞争预防措施</w:t>
            </w:r>
          </w:p>
          <w:p/>
        </w:tc>
        <w:tc>
          <w:tcPr>
            <w:tcW w:w="7199" w:type="dxa"/>
            <w:vAlign w:val="center"/>
          </w:tcPr>
          <w:p>
            <w:pPr>
              <w:pStyle w:val="62"/>
              <w:spacing w:before="62" w:beforeLines="20" w:after="62" w:afterLines="20"/>
              <w:rPr>
                <w:rFonts w:hint="eastAsia" w:ascii="仿宋" w:hAnsi="仿宋" w:eastAsia="仿宋" w:cs="宋体"/>
                <w:color w:val="000000"/>
                <w:sz w:val="22"/>
                <w:szCs w:val="22"/>
                <w:lang w:val="en-US" w:eastAsia="zh-CN" w:bidi="ar-SA"/>
              </w:rPr>
            </w:pPr>
            <w:r>
              <w:rPr>
                <w:rFonts w:hint="eastAsia" w:ascii="仿宋" w:hAnsi="仿宋" w:eastAsia="仿宋" w:cs="宋体"/>
                <w:color w:val="000000"/>
                <w:sz w:val="22"/>
                <w:szCs w:val="22"/>
                <w:lang w:val="en-US" w:eastAsia="zh-CN" w:bidi="ar-SA"/>
              </w:rPr>
              <w:t>根据《政府采购货物和服务招标投标管理办法》(财政部第87号令)第六十条之规定，评标委员会认为供应商的报价明显低于其他通过符合性审查供应商的报价,有可能影响产品质量或者不能诚信履约的,应当要求其在评标现场合理的时间内提供书面说明和相关证明材料；供应商不能证明其报价合理性的,评标委员会应当将其作为无效文件处理。</w:t>
            </w:r>
          </w:p>
          <w:p>
            <w:pPr>
              <w:pStyle w:val="62"/>
              <w:spacing w:before="62" w:beforeLines="20" w:after="62" w:afterLines="20"/>
              <w:rPr>
                <w:rFonts w:hint="eastAsia" w:ascii="仿宋" w:hAnsi="仿宋" w:eastAsia="仿宋" w:cs="宋体"/>
                <w:color w:val="000000"/>
                <w:sz w:val="22"/>
                <w:szCs w:val="22"/>
                <w:lang w:val="en-US" w:eastAsia="zh-CN" w:bidi="ar-SA"/>
              </w:rPr>
            </w:pPr>
            <w:r>
              <w:rPr>
                <w:rFonts w:hint="eastAsia" w:ascii="仿宋" w:hAnsi="仿宋" w:eastAsia="仿宋" w:cs="宋体"/>
                <w:color w:val="000000"/>
                <w:sz w:val="22"/>
                <w:szCs w:val="22"/>
                <w:lang w:val="en-US" w:eastAsia="zh-CN" w:bidi="ar-SA"/>
              </w:rPr>
              <w:t>供应商书面说明应当按照国家财务会计制度的规定要求,逐项就供应商提供的货物、工程和服务的主营业务成本(应根据供应商企业类型予以区别)、税金及附加、销售费用、管理费用、财务费用等成本构成事项详细陈述。供应商书面说明应当签字确认或者加盖公章,否则无效。</w:t>
            </w:r>
          </w:p>
          <w:p>
            <w:pPr>
              <w:pStyle w:val="62"/>
              <w:spacing w:before="62" w:beforeLines="20" w:after="62" w:afterLines="20"/>
              <w:rPr>
                <w:rFonts w:hint="eastAsia" w:ascii="仿宋" w:hAnsi="仿宋" w:eastAsia="仿宋" w:cs="宋体"/>
                <w:color w:val="000000"/>
                <w:sz w:val="22"/>
                <w:szCs w:val="22"/>
                <w:lang w:val="en-US" w:eastAsia="zh-CN" w:bidi="ar-SA"/>
              </w:rPr>
            </w:pPr>
            <w:r>
              <w:rPr>
                <w:rFonts w:hint="eastAsia" w:ascii="仿宋" w:hAnsi="仿宋" w:eastAsia="仿宋" w:cs="宋体"/>
                <w:color w:val="000000"/>
                <w:sz w:val="22"/>
                <w:szCs w:val="22"/>
                <w:lang w:val="en-US" w:eastAsia="zh-CN" w:bidi="ar-SA"/>
              </w:rPr>
              <w:t>书面说明的签字确认,供应商为法人的,由其法定代表人或者代理人签字确认:供应商为其他组织的,由其主要负责人或者代理人签字确认;供应商为为自然人的,由其本人或者代理人签字确认。</w:t>
            </w:r>
          </w:p>
          <w:p>
            <w:pPr>
              <w:pStyle w:val="62"/>
              <w:spacing w:before="62" w:beforeLines="20" w:after="62" w:afterLines="20"/>
              <w:rPr>
                <w:rFonts w:hint="eastAsia" w:ascii="仿宋" w:hAnsi="仿宋" w:eastAsia="仿宋"/>
                <w:color w:val="000000" w:themeColor="text1"/>
                <w14:textFill>
                  <w14:solidFill>
                    <w14:schemeClr w14:val="tx1"/>
                  </w14:solidFill>
                </w14:textFill>
              </w:rPr>
            </w:pPr>
            <w:r>
              <w:rPr>
                <w:rFonts w:hint="eastAsia" w:ascii="仿宋" w:hAnsi="仿宋" w:eastAsia="仿宋" w:cs="宋体"/>
                <w:color w:val="000000"/>
                <w:sz w:val="22"/>
                <w:szCs w:val="22"/>
                <w:lang w:val="en-US" w:eastAsia="zh-CN" w:bidi="ar-SA"/>
              </w:rPr>
              <w:t>供应商提供书面说明后,评标委员会应当结合采购项目采购需求、专业实际情况、供应商财务状况报告、与其他供应商比较情况等就供应商书面说说明进行审查评价。供应商拒绝或投标文件者变相拒绝提供有效书面说明或者书面说明不能证明其报价台合理性的,评标委员会应当将其投标文件作为无效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vAlign w:val="center"/>
          </w:tcPr>
          <w:p>
            <w:pPr>
              <w:pStyle w:val="38"/>
              <w:snapToGrid w:val="0"/>
              <w:spacing w:line="300" w:lineRule="auto"/>
              <w:ind w:left="111" w:right="113"/>
              <w:jc w:val="center"/>
              <w:rPr>
                <w:rFonts w:hint="eastAsia" w:ascii="仿宋_GB2312" w:eastAsia="仿宋_GB2312"/>
                <w:sz w:val="24"/>
                <w:szCs w:val="24"/>
                <w:lang w:eastAsia="zh-CN"/>
              </w:rPr>
            </w:pPr>
            <w:r>
              <w:rPr>
                <w:rFonts w:ascii="仿宋_GB2312" w:eastAsia="仿宋_GB2312"/>
                <w:sz w:val="24"/>
                <w:szCs w:val="24"/>
                <w:lang w:eastAsia="zh-CN"/>
              </w:rPr>
              <w:t>2.1.1</w:t>
            </w:r>
            <w:r>
              <w:rPr>
                <w:rFonts w:hint="eastAsia" w:ascii="仿宋_GB2312" w:eastAsia="仿宋_GB2312"/>
                <w:sz w:val="24"/>
                <w:szCs w:val="24"/>
                <w:lang w:val="en-US" w:eastAsia="zh-CN"/>
              </w:rPr>
              <w:t>8</w:t>
            </w:r>
          </w:p>
        </w:tc>
        <w:tc>
          <w:tcPr>
            <w:tcW w:w="1841" w:type="dxa"/>
            <w:vAlign w:val="center"/>
          </w:tcPr>
          <w:p>
            <w:pPr>
              <w:spacing w:line="400" w:lineRule="exact"/>
              <w:ind w:left="77" w:leftChars="32" w:right="132" w:rightChars="55" w:firstLine="67" w:firstLineChars="28"/>
              <w:jc w:val="center"/>
              <w:rPr>
                <w:rFonts w:hint="eastAsia" w:ascii="仿宋_GB2312" w:hAnsi="宋体" w:eastAsia="仿宋_GB2312"/>
                <w:szCs w:val="21"/>
              </w:rPr>
            </w:pPr>
            <w:r>
              <w:rPr>
                <w:rFonts w:hint="eastAsia" w:ascii="仿宋_GB2312" w:hAnsi="宋体" w:eastAsia="仿宋_GB2312"/>
                <w:szCs w:val="21"/>
              </w:rPr>
              <w:t>合同签署</w:t>
            </w:r>
          </w:p>
        </w:tc>
        <w:tc>
          <w:tcPr>
            <w:tcW w:w="7199" w:type="dxa"/>
            <w:vAlign w:val="center"/>
          </w:tcPr>
          <w:p>
            <w:pPr>
              <w:autoSpaceDE w:val="0"/>
              <w:autoSpaceDN w:val="0"/>
              <w:adjustRightInd w:val="0"/>
              <w:spacing w:line="400" w:lineRule="exact"/>
              <w:ind w:left="146" w:leftChars="61" w:firstLine="2"/>
              <w:rPr>
                <w:rFonts w:hint="eastAsia" w:ascii="仿宋_GB2312" w:hAnsi="宋体" w:eastAsia="仿宋_GB2312" w:cs="新宋体"/>
                <w:szCs w:val="21"/>
                <w:lang w:val="zh-CN"/>
              </w:rPr>
            </w:pPr>
            <w:r>
              <w:rPr>
                <w:rFonts w:hint="eastAsia" w:ascii="仿宋" w:hAnsi="仿宋" w:eastAsia="仿宋" w:cs="仿宋"/>
                <w:sz w:val="22"/>
              </w:rPr>
              <w:t>项目采购人为人保财险成都市金牛支公司，</w:t>
            </w:r>
            <w:r>
              <w:rPr>
                <w:rFonts w:ascii="仿宋" w:hAnsi="仿宋" w:eastAsia="仿宋" w:cs="仿宋"/>
                <w:sz w:val="22"/>
              </w:rPr>
              <w:t>实际合同签署人为采购人</w:t>
            </w:r>
            <w:r>
              <w:rPr>
                <w:rFonts w:hint="eastAsia" w:ascii="仿宋" w:hAnsi="仿宋" w:eastAsia="仿宋" w:cs="仿宋"/>
                <w:color w:val="000000" w:themeColor="text1"/>
                <w:sz w:val="22"/>
                <w14:textFill>
                  <w14:solidFill>
                    <w14:schemeClr w14:val="tx1"/>
                  </w14:solidFill>
                </w14:textFill>
              </w:rPr>
              <w:t>上级</w:t>
            </w:r>
            <w:r>
              <w:rPr>
                <w:rFonts w:ascii="仿宋" w:hAnsi="仿宋" w:eastAsia="仿宋" w:cs="仿宋"/>
                <w:sz w:val="22"/>
              </w:rPr>
              <w:t>分公司</w:t>
            </w:r>
            <w:r>
              <w:rPr>
                <w:rFonts w:hint="eastAsia" w:ascii="仿宋" w:hAnsi="仿宋" w:eastAsia="仿宋" w:cs="仿宋"/>
                <w:sz w:val="22"/>
              </w:rPr>
              <w:t>人保财险成都市</w:t>
            </w:r>
            <w:r>
              <w:rPr>
                <w:rFonts w:ascii="仿宋" w:hAnsi="仿宋" w:eastAsia="仿宋" w:cs="仿宋"/>
                <w:sz w:val="22"/>
              </w:rPr>
              <w:t>分公司</w:t>
            </w:r>
            <w:r>
              <w:rPr>
                <w:rFonts w:hint="eastAsia" w:ascii="仿宋" w:hAnsi="仿宋" w:eastAsia="仿宋" w:cs="仿宋"/>
                <w:sz w:val="22"/>
              </w:rPr>
              <w:t>。</w:t>
            </w:r>
          </w:p>
        </w:tc>
      </w:tr>
    </w:tbl>
    <w:p>
      <w:pPr>
        <w:pStyle w:val="2"/>
        <w:rPr>
          <w:rFonts w:ascii="仿宋_GB2312" w:eastAsia="仿宋_GB2312"/>
        </w:rPr>
      </w:pPr>
    </w:p>
    <w:p>
      <w:pPr>
        <w:pStyle w:val="5"/>
        <w:jc w:val="left"/>
        <w:rPr>
          <w:rFonts w:hint="eastAsia" w:ascii="仿宋" w:hAnsi="仿宋" w:eastAsia="仿宋" w:cs="仿宋"/>
          <w:color w:val="000000"/>
          <w:sz w:val="24"/>
          <w:szCs w:val="24"/>
        </w:rPr>
      </w:pPr>
      <w:bookmarkStart w:id="17" w:name="_Toc20514"/>
      <w:bookmarkStart w:id="18" w:name="_Toc6047"/>
      <w:bookmarkStart w:id="19" w:name="_Toc27232"/>
      <w:bookmarkStart w:id="20" w:name="_Toc287600118"/>
      <w:bookmarkStart w:id="21" w:name="_Toc19783313"/>
      <w:bookmarkStart w:id="22" w:name="_Toc11071"/>
      <w:bookmarkStart w:id="23" w:name="_Toc517281816"/>
      <w:bookmarkStart w:id="24" w:name="_Toc444891336"/>
      <w:bookmarkStart w:id="25" w:name="_Toc186737799"/>
      <w:bookmarkStart w:id="26" w:name="_Toc27220"/>
      <w:r>
        <w:rPr>
          <w:rFonts w:hint="eastAsia" w:ascii="仿宋" w:hAnsi="仿宋" w:eastAsia="仿宋" w:cs="仿宋"/>
          <w:color w:val="000000"/>
          <w:sz w:val="24"/>
          <w:szCs w:val="24"/>
        </w:rPr>
        <w:t>二、供应商须知</w:t>
      </w:r>
      <w:bookmarkEnd w:id="17"/>
      <w:bookmarkEnd w:id="18"/>
      <w:bookmarkEnd w:id="19"/>
      <w:bookmarkEnd w:id="20"/>
      <w:bookmarkEnd w:id="21"/>
      <w:bookmarkEnd w:id="22"/>
      <w:bookmarkEnd w:id="23"/>
      <w:bookmarkEnd w:id="24"/>
      <w:r>
        <w:rPr>
          <w:rFonts w:hint="eastAsia" w:ascii="仿宋" w:hAnsi="仿宋" w:eastAsia="仿宋" w:cs="仿宋"/>
          <w:color w:val="000000"/>
          <w:sz w:val="24"/>
          <w:szCs w:val="24"/>
        </w:rPr>
        <w:t>正文</w:t>
      </w:r>
      <w:bookmarkEnd w:id="25"/>
      <w:bookmarkEnd w:id="26"/>
    </w:p>
    <w:p>
      <w:pPr>
        <w:pStyle w:val="6"/>
        <w:spacing w:before="0" w:after="0" w:line="360" w:lineRule="auto"/>
        <w:ind w:firstLine="482"/>
        <w:rPr>
          <w:rFonts w:hint="eastAsia" w:ascii="仿宋" w:hAnsi="仿宋" w:eastAsia="仿宋" w:cs="仿宋"/>
          <w:color w:val="000000"/>
          <w:sz w:val="24"/>
          <w:szCs w:val="24"/>
        </w:rPr>
      </w:pPr>
      <w:bookmarkStart w:id="27" w:name="_Toc431"/>
      <w:bookmarkStart w:id="28" w:name="_Toc287600119"/>
      <w:bookmarkStart w:id="29" w:name="_Toc517281817"/>
      <w:bookmarkStart w:id="30" w:name="_Toc16441"/>
      <w:bookmarkStart w:id="31" w:name="_Toc11851"/>
      <w:bookmarkStart w:id="32" w:name="_Toc6681"/>
      <w:bookmarkStart w:id="33" w:name="_Toc186737800"/>
      <w:bookmarkStart w:id="34" w:name="_Toc22969"/>
      <w:bookmarkStart w:id="35" w:name="_Toc3678"/>
      <w:bookmarkStart w:id="36" w:name="_Toc444891337"/>
      <w:bookmarkStart w:id="37" w:name="_Toc19783314"/>
      <w:r>
        <w:rPr>
          <w:rFonts w:hint="eastAsia" w:ascii="仿宋" w:hAnsi="仿宋" w:eastAsia="仿宋" w:cs="仿宋"/>
          <w:color w:val="000000"/>
          <w:sz w:val="24"/>
          <w:szCs w:val="24"/>
        </w:rPr>
        <w:t>（一）总 则</w:t>
      </w:r>
      <w:bookmarkEnd w:id="27"/>
      <w:bookmarkEnd w:id="28"/>
      <w:bookmarkEnd w:id="29"/>
      <w:bookmarkEnd w:id="30"/>
      <w:bookmarkEnd w:id="31"/>
      <w:bookmarkEnd w:id="32"/>
      <w:bookmarkEnd w:id="33"/>
      <w:bookmarkEnd w:id="34"/>
      <w:bookmarkEnd w:id="35"/>
      <w:bookmarkEnd w:id="36"/>
      <w:bookmarkEnd w:id="37"/>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1.项目说明</w:t>
      </w:r>
    </w:p>
    <w:p>
      <w:pPr>
        <w:spacing w:line="360" w:lineRule="auto"/>
        <w:rPr>
          <w:rFonts w:hint="eastAsia" w:ascii="仿宋" w:hAnsi="仿宋" w:eastAsia="仿宋" w:cs="仿宋"/>
          <w:color w:val="000000"/>
        </w:rPr>
      </w:pPr>
      <w:r>
        <w:rPr>
          <w:rFonts w:hint="eastAsia" w:ascii="仿宋" w:hAnsi="仿宋" w:eastAsia="仿宋" w:cs="仿宋"/>
          <w:color w:val="000000"/>
        </w:rPr>
        <w:t>本项目按照中华人民共和国有关法律、行政法规和部门规章以及采购人的采购管理制度，通过竞争性磋商方式确定签约供应商。</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2.采购范围</w:t>
      </w:r>
    </w:p>
    <w:p>
      <w:pPr>
        <w:tabs>
          <w:tab w:val="left" w:pos="3150"/>
          <w:tab w:val="left" w:pos="3780"/>
        </w:tabs>
        <w:spacing w:line="360" w:lineRule="auto"/>
        <w:rPr>
          <w:rFonts w:hint="eastAsia" w:ascii="仿宋" w:hAnsi="仿宋" w:eastAsia="仿宋" w:cs="仿宋"/>
          <w:bCs/>
          <w:color w:val="000000"/>
        </w:rPr>
      </w:pPr>
      <w:r>
        <w:rPr>
          <w:rFonts w:hint="eastAsia" w:ascii="仿宋" w:hAnsi="仿宋" w:eastAsia="仿宋" w:cs="仿宋"/>
          <w:color w:val="000000"/>
          <w:u w:val="single"/>
        </w:rPr>
        <w:t>详见本须知前附表</w:t>
      </w:r>
      <w:r>
        <w:rPr>
          <w:rFonts w:hint="eastAsia" w:ascii="仿宋" w:hAnsi="仿宋" w:eastAsia="仿宋" w:cs="仿宋"/>
          <w:color w:val="000000"/>
        </w:rPr>
        <w:t>，</w:t>
      </w:r>
      <w:r>
        <w:rPr>
          <w:rFonts w:hint="eastAsia" w:ascii="仿宋" w:hAnsi="仿宋" w:eastAsia="仿宋" w:cs="仿宋"/>
          <w:bCs/>
          <w:color w:val="000000"/>
        </w:rPr>
        <w:t>详细内容详见第五章采购需求。</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3.资金来源</w:t>
      </w:r>
    </w:p>
    <w:p>
      <w:pPr>
        <w:tabs>
          <w:tab w:val="left" w:pos="3150"/>
          <w:tab w:val="left" w:pos="3780"/>
        </w:tabs>
        <w:spacing w:line="360" w:lineRule="auto"/>
        <w:rPr>
          <w:rFonts w:hint="eastAsia" w:ascii="仿宋" w:hAnsi="仿宋" w:eastAsia="仿宋" w:cs="仿宋"/>
          <w:color w:val="000000"/>
        </w:rPr>
      </w:pPr>
      <w:r>
        <w:rPr>
          <w:rFonts w:hint="eastAsia" w:ascii="仿宋" w:hAnsi="仿宋" w:eastAsia="仿宋" w:cs="仿宋"/>
          <w:color w:val="000000"/>
        </w:rPr>
        <w:t>资金来源于采购人或其子公司（含分支机构）自筹（比例100%），且资金已落实。</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4.资格审查</w:t>
      </w:r>
    </w:p>
    <w:p>
      <w:pPr>
        <w:topLinePunct/>
        <w:spacing w:line="360" w:lineRule="auto"/>
        <w:rPr>
          <w:rFonts w:hint="eastAsia" w:ascii="仿宋" w:hAnsi="仿宋" w:eastAsia="仿宋" w:cs="宋体"/>
          <w:color w:val="000000"/>
        </w:rPr>
      </w:pPr>
      <w:r>
        <w:rPr>
          <w:rFonts w:hint="eastAsia" w:ascii="仿宋" w:hAnsi="仿宋" w:eastAsia="仿宋" w:cs="宋体"/>
          <w:color w:val="000000"/>
        </w:rPr>
        <w:t>资格后审：是指在首次响应文件递交截止时间后由磋商小组根据磋商文件的规定对供应商进行的资格审查。采购人应当在磋商文件中详细规定资格审查标准和方法，资格后审一般包括资格要求、其他业绩要求、审查标准和方法。本项目资格审查方式、供应商应具备的资格条件</w:t>
      </w:r>
      <w:r>
        <w:rPr>
          <w:rFonts w:hint="eastAsia" w:ascii="仿宋" w:hAnsi="仿宋" w:eastAsia="仿宋" w:cs="宋体"/>
          <w:color w:val="000000"/>
          <w:u w:val="single"/>
        </w:rPr>
        <w:t>详见本须知前附表。</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5.磋商响应费用</w:t>
      </w:r>
    </w:p>
    <w:p>
      <w:pPr>
        <w:spacing w:line="360" w:lineRule="auto"/>
        <w:textAlignment w:val="baseline"/>
        <w:rPr>
          <w:rFonts w:hint="eastAsia" w:ascii="仿宋" w:hAnsi="仿宋" w:eastAsia="仿宋" w:cs="宋体"/>
          <w:color w:val="000000"/>
        </w:rPr>
      </w:pPr>
      <w:r>
        <w:rPr>
          <w:rFonts w:hint="eastAsia" w:ascii="仿宋" w:hAnsi="仿宋" w:eastAsia="仿宋" w:cs="宋体"/>
          <w:color w:val="000000"/>
        </w:rPr>
        <w:t>不论结果如何，</w:t>
      </w:r>
      <w:r>
        <w:rPr>
          <w:rFonts w:hint="eastAsia" w:ascii="仿宋" w:hAnsi="仿宋" w:eastAsia="仿宋" w:cs="仿宋"/>
          <w:color w:val="000000"/>
        </w:rPr>
        <w:t>供应商</w:t>
      </w:r>
      <w:r>
        <w:rPr>
          <w:rFonts w:hint="eastAsia" w:ascii="仿宋" w:hAnsi="仿宋" w:eastAsia="仿宋" w:cs="宋体"/>
          <w:color w:val="000000"/>
        </w:rPr>
        <w:t>自行承担所有准备和参与本次磋商响应的有关费用。</w:t>
      </w:r>
    </w:p>
    <w:p>
      <w:pPr>
        <w:pStyle w:val="6"/>
        <w:spacing w:after="0" w:line="360" w:lineRule="auto"/>
        <w:ind w:firstLine="482"/>
        <w:rPr>
          <w:rFonts w:hint="eastAsia" w:ascii="仿宋" w:hAnsi="仿宋" w:eastAsia="仿宋" w:cs="仿宋"/>
          <w:color w:val="000000"/>
          <w:sz w:val="24"/>
          <w:szCs w:val="24"/>
        </w:rPr>
      </w:pPr>
      <w:bookmarkStart w:id="38" w:name="_Toc444891338"/>
      <w:bookmarkStart w:id="39" w:name="_Toc10975"/>
      <w:bookmarkStart w:id="40" w:name="_Toc517281818"/>
      <w:bookmarkStart w:id="41" w:name="_Toc287600120"/>
      <w:bookmarkStart w:id="42" w:name="_Toc24246"/>
      <w:bookmarkStart w:id="43" w:name="_Toc14164"/>
      <w:bookmarkStart w:id="44" w:name="_Toc25513"/>
      <w:bookmarkStart w:id="45" w:name="_Toc186737801"/>
      <w:bookmarkStart w:id="46" w:name="_Toc5255"/>
      <w:bookmarkStart w:id="47" w:name="_Toc19783315"/>
      <w:bookmarkStart w:id="48" w:name="_Toc3016"/>
      <w:r>
        <w:rPr>
          <w:rFonts w:hint="eastAsia" w:ascii="仿宋" w:hAnsi="仿宋" w:eastAsia="仿宋" w:cs="仿宋"/>
          <w:color w:val="000000"/>
          <w:sz w:val="24"/>
          <w:szCs w:val="24"/>
        </w:rPr>
        <w:t>（二）磋商文件</w:t>
      </w:r>
      <w:bookmarkEnd w:id="38"/>
      <w:bookmarkEnd w:id="39"/>
      <w:bookmarkEnd w:id="40"/>
      <w:bookmarkEnd w:id="41"/>
      <w:bookmarkEnd w:id="42"/>
      <w:bookmarkEnd w:id="43"/>
      <w:bookmarkEnd w:id="44"/>
      <w:bookmarkEnd w:id="45"/>
      <w:bookmarkEnd w:id="46"/>
      <w:bookmarkEnd w:id="47"/>
      <w:bookmarkEnd w:id="48"/>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6.磋商文件的组成</w:t>
      </w:r>
    </w:p>
    <w:p>
      <w:pPr>
        <w:spacing w:line="360" w:lineRule="auto"/>
        <w:rPr>
          <w:rFonts w:hint="eastAsia" w:ascii="仿宋" w:hAnsi="仿宋" w:eastAsia="仿宋" w:cs="仿宋"/>
          <w:color w:val="000000"/>
        </w:rPr>
      </w:pPr>
      <w:r>
        <w:rPr>
          <w:rFonts w:hint="eastAsia" w:ascii="仿宋" w:hAnsi="仿宋" w:eastAsia="仿宋" w:cs="仿宋"/>
          <w:color w:val="000000"/>
        </w:rPr>
        <w:t>6.1磋商文件包括下列内容：</w:t>
      </w:r>
    </w:p>
    <w:p>
      <w:pPr>
        <w:pStyle w:val="17"/>
        <w:widowControl/>
        <w:spacing w:line="360" w:lineRule="auto"/>
        <w:ind w:left="0" w:leftChars="0"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第一章 竞争性谈判邀请</w:t>
      </w:r>
    </w:p>
    <w:p>
      <w:pPr>
        <w:pStyle w:val="17"/>
        <w:widowControl/>
        <w:spacing w:line="360" w:lineRule="auto"/>
        <w:ind w:left="0" w:leftChars="0"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第二章 供应商须知</w:t>
      </w:r>
    </w:p>
    <w:p>
      <w:pPr>
        <w:pStyle w:val="17"/>
        <w:widowControl/>
        <w:spacing w:line="360" w:lineRule="auto"/>
        <w:ind w:left="0" w:leftChars="0"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第三章 评审办法</w:t>
      </w:r>
    </w:p>
    <w:p>
      <w:pPr>
        <w:pStyle w:val="17"/>
        <w:widowControl/>
        <w:spacing w:line="360" w:lineRule="auto"/>
        <w:ind w:left="0" w:leftChars="0"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第四章 合同格式</w:t>
      </w:r>
    </w:p>
    <w:p>
      <w:pPr>
        <w:tabs>
          <w:tab w:val="left" w:pos="540"/>
          <w:tab w:val="left" w:pos="720"/>
        </w:tabs>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第五章 采购需求</w:t>
      </w:r>
    </w:p>
    <w:p>
      <w:pPr>
        <w:tabs>
          <w:tab w:val="left" w:pos="540"/>
          <w:tab w:val="left" w:pos="720"/>
        </w:tabs>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第六章 响应文件格式</w:t>
      </w:r>
    </w:p>
    <w:p>
      <w:pPr>
        <w:topLinePunct/>
        <w:spacing w:line="360" w:lineRule="auto"/>
        <w:rPr>
          <w:rFonts w:hint="eastAsia" w:ascii="仿宋" w:hAnsi="仿宋" w:eastAsia="仿宋" w:cs="仿宋"/>
          <w:color w:val="000000"/>
        </w:rPr>
      </w:pPr>
      <w:r>
        <w:rPr>
          <w:rFonts w:hint="eastAsia" w:ascii="仿宋" w:hAnsi="仿宋" w:eastAsia="仿宋" w:cs="仿宋"/>
          <w:color w:val="000000"/>
        </w:rPr>
        <w:t>6.</w:t>
      </w:r>
      <w:r>
        <w:rPr>
          <w:rFonts w:ascii="仿宋" w:hAnsi="仿宋" w:eastAsia="仿宋" w:cs="仿宋"/>
          <w:color w:val="000000"/>
        </w:rPr>
        <w:t>2</w:t>
      </w:r>
      <w:r>
        <w:rPr>
          <w:rFonts w:hint="eastAsia" w:ascii="仿宋" w:hAnsi="仿宋" w:eastAsia="仿宋" w:cs="仿宋"/>
          <w:color w:val="000000"/>
        </w:rPr>
        <w:t>采购人在磋商文件中以显著的方式标明实质性要求、条件以及不满足实质性要求和条件的响应文件将被否决的提示。实质性标识方式和具体要求</w:t>
      </w:r>
      <w:r>
        <w:rPr>
          <w:rFonts w:hint="eastAsia" w:ascii="仿宋" w:hAnsi="仿宋" w:eastAsia="仿宋" w:cs="仿宋"/>
          <w:color w:val="000000"/>
          <w:u w:val="single"/>
        </w:rPr>
        <w:t>见本须知前附表</w:t>
      </w:r>
      <w:r>
        <w:rPr>
          <w:rFonts w:hint="eastAsia" w:ascii="仿宋" w:hAnsi="仿宋" w:eastAsia="仿宋" w:cs="仿宋"/>
          <w:color w:val="000000"/>
        </w:rPr>
        <w:t>。</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7.磋商文件的修改</w:t>
      </w:r>
    </w:p>
    <w:p>
      <w:pPr>
        <w:topLinePunct/>
        <w:spacing w:line="360" w:lineRule="auto"/>
        <w:rPr>
          <w:rFonts w:hint="eastAsia" w:ascii="仿宋_GB2312" w:hAnsi="宋体" w:eastAsia="仿宋_GB2312"/>
        </w:rPr>
      </w:pPr>
      <w:r>
        <w:rPr>
          <w:rFonts w:hint="eastAsia" w:ascii="仿宋" w:hAnsi="仿宋" w:eastAsia="仿宋" w:cs="仿宋"/>
          <w:color w:val="000000"/>
        </w:rPr>
        <w:t>7.1</w:t>
      </w:r>
      <w:r>
        <w:rPr>
          <w:rFonts w:hint="eastAsia" w:ascii="仿宋_GB2312" w:hAnsi="宋体" w:eastAsia="仿宋_GB2312"/>
        </w:rPr>
        <w:t>在响应文件递交截止时间前，无论出于何种原因，采购人可主动地或在解答供应商要求澄清的问题时对磋商文件进行修改。</w:t>
      </w:r>
    </w:p>
    <w:p>
      <w:pPr>
        <w:topLinePunct/>
        <w:spacing w:line="360" w:lineRule="auto"/>
        <w:rPr>
          <w:rFonts w:hint="eastAsia" w:ascii="仿宋" w:hAnsi="仿宋" w:eastAsia="仿宋" w:cs="宋体"/>
          <w:color w:val="000000"/>
        </w:rPr>
      </w:pPr>
      <w:r>
        <w:rPr>
          <w:rFonts w:hint="eastAsia" w:ascii="仿宋_GB2312" w:hAnsi="宋体" w:eastAsia="仿宋_GB2312"/>
        </w:rPr>
        <w:t>7</w:t>
      </w:r>
      <w:r>
        <w:rPr>
          <w:rFonts w:ascii="仿宋_GB2312" w:hAnsi="宋体" w:eastAsia="仿宋_GB2312"/>
        </w:rPr>
        <w:t>.2</w:t>
      </w:r>
      <w:r>
        <w:rPr>
          <w:rFonts w:hint="eastAsia" w:ascii="仿宋_GB2312" w:hAnsi="宋体" w:eastAsia="仿宋_GB2312"/>
        </w:rPr>
        <w:t>供应商有权要求采购人对磋商文件中的有关问题进行答疑、澄清。</w:t>
      </w:r>
    </w:p>
    <w:p>
      <w:pPr>
        <w:pStyle w:val="2"/>
        <w:snapToGrid w:val="0"/>
        <w:spacing w:after="0" w:line="360" w:lineRule="auto"/>
        <w:ind w:right="-57"/>
        <w:jc w:val="both"/>
        <w:rPr>
          <w:rFonts w:hint="eastAsia" w:ascii="仿宋_GB2312" w:hAnsi="宋体" w:eastAsia="仿宋_GB2312"/>
        </w:rPr>
      </w:pPr>
      <w:r>
        <w:rPr>
          <w:rFonts w:ascii="仿宋_GB2312" w:hAnsi="宋体" w:eastAsia="仿宋_GB2312"/>
        </w:rPr>
        <w:t>7.3</w:t>
      </w:r>
      <w:r>
        <w:rPr>
          <w:rFonts w:hint="eastAsia" w:ascii="仿宋_GB2312" w:hAnsi="宋体" w:eastAsia="仿宋_GB2312"/>
        </w:rPr>
        <w:t>供应商对磋商文件如有疑问,应在首次响应文件递交截止时间前按磋商文件</w:t>
      </w:r>
      <w:r>
        <w:rPr>
          <w:rFonts w:hint="eastAsia" w:ascii="仿宋_GB2312" w:hAnsi="宋体" w:eastAsia="仿宋_GB2312"/>
          <w:spacing w:val="-3"/>
        </w:rPr>
        <w:t>中的联系方式，通知采购人。采购人将视情况采用适当方式予</w:t>
      </w:r>
      <w:r>
        <w:rPr>
          <w:rFonts w:hint="eastAsia" w:ascii="仿宋_GB2312" w:hAnsi="宋体" w:eastAsia="仿宋_GB2312"/>
        </w:rPr>
        <w:t>以澄清或以书面形式予以答复。</w:t>
      </w:r>
      <w:r>
        <w:rPr>
          <w:rFonts w:hint="eastAsia" w:ascii="仿宋_GB2312" w:hAnsi="宋体" w:eastAsia="仿宋_GB2312"/>
          <w:spacing w:val="-3"/>
        </w:rPr>
        <w:t>供应商在收到上述通知后，应立即向采购人回复确认。供</w:t>
      </w:r>
      <w:r>
        <w:rPr>
          <w:rFonts w:hint="eastAsia" w:ascii="仿宋_GB2312" w:hAnsi="宋体" w:eastAsia="仿宋_GB2312"/>
        </w:rPr>
        <w:t>应商将被视为编制响应文件时已考虑了上述修改。</w:t>
      </w:r>
    </w:p>
    <w:p>
      <w:pPr>
        <w:pStyle w:val="2"/>
        <w:snapToGrid w:val="0"/>
        <w:spacing w:after="0" w:line="360" w:lineRule="auto"/>
        <w:ind w:right="-57"/>
        <w:jc w:val="both"/>
        <w:rPr>
          <w:rFonts w:hint="eastAsia" w:ascii="仿宋_GB2312" w:hAnsi="宋体" w:eastAsia="仿宋_GB2312"/>
        </w:rPr>
      </w:pPr>
      <w:r>
        <w:rPr>
          <w:rFonts w:ascii="仿宋_GB2312" w:hAnsi="宋体" w:eastAsia="仿宋_GB2312"/>
        </w:rPr>
        <w:t>7.4</w:t>
      </w:r>
      <w:r>
        <w:rPr>
          <w:rFonts w:hint="eastAsia" w:ascii="仿宋_GB2312" w:hAnsi="宋体" w:eastAsia="仿宋_GB2312"/>
        </w:rPr>
        <w:t>对于磋商文件的修改，如影响供应商响应文件编制的，</w:t>
      </w:r>
      <w:r>
        <w:rPr>
          <w:rFonts w:hint="eastAsia" w:ascii="仿宋_GB2312" w:hAnsi="宋体" w:eastAsia="仿宋_GB2312"/>
          <w:spacing w:val="-3"/>
        </w:rPr>
        <w:t>采购人应推迟响应文件递交截止日期，并以书面或邮件形式通知所有已获取磋商文件</w:t>
      </w:r>
      <w:r>
        <w:rPr>
          <w:rFonts w:hint="eastAsia" w:ascii="仿宋_GB2312" w:hAnsi="宋体" w:eastAsia="仿宋_GB2312"/>
        </w:rPr>
        <w:t>的供应商。</w:t>
      </w:r>
    </w:p>
    <w:p>
      <w:pPr>
        <w:pStyle w:val="2"/>
        <w:snapToGrid w:val="0"/>
        <w:spacing w:after="0" w:line="360" w:lineRule="auto"/>
        <w:ind w:right="-57"/>
        <w:jc w:val="both"/>
        <w:rPr>
          <w:rFonts w:hint="eastAsia" w:ascii="仿宋_GB2312" w:hAnsi="宋体" w:eastAsia="仿宋_GB2312"/>
        </w:rPr>
      </w:pPr>
      <w:r>
        <w:rPr>
          <w:rFonts w:ascii="仿宋_GB2312" w:hAnsi="宋体" w:eastAsia="仿宋_GB2312"/>
        </w:rPr>
        <w:t>7.5</w:t>
      </w:r>
      <w:r>
        <w:rPr>
          <w:rFonts w:hint="eastAsia" w:ascii="仿宋_GB2312" w:hAnsi="宋体" w:eastAsia="仿宋_GB2312"/>
        </w:rPr>
        <w:t>任何对磋商文件的澄清均为磋商文件的组成部分，并具有同等的法律效力。如磋商文件的澄清与磋商文件有矛盾，以日期后的为准。</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8.磋商响应预备会</w:t>
      </w:r>
    </w:p>
    <w:p>
      <w:pPr>
        <w:spacing w:line="360" w:lineRule="auto"/>
        <w:textAlignment w:val="baseline"/>
        <w:rPr>
          <w:rFonts w:hint="eastAsia" w:ascii="仿宋" w:hAnsi="仿宋" w:eastAsia="仿宋" w:cs="宋体"/>
          <w:color w:val="000000"/>
          <w:u w:val="single"/>
        </w:rPr>
      </w:pPr>
      <w:r>
        <w:rPr>
          <w:rFonts w:hint="eastAsia" w:ascii="仿宋" w:hAnsi="仿宋" w:eastAsia="仿宋" w:cs="宋体"/>
          <w:color w:val="000000"/>
        </w:rPr>
        <w:t>采购人认为必要时，将召开磋商响应预备会(答疑会)，公开解答潜在供应商对磋商文件提出的疑问。</w:t>
      </w:r>
    </w:p>
    <w:p>
      <w:pPr>
        <w:pStyle w:val="6"/>
        <w:spacing w:after="0" w:line="360" w:lineRule="auto"/>
        <w:jc w:val="center"/>
        <w:rPr>
          <w:rFonts w:hint="eastAsia" w:ascii="仿宋" w:hAnsi="仿宋" w:eastAsia="仿宋" w:cs="仿宋"/>
          <w:color w:val="000000"/>
          <w:sz w:val="24"/>
          <w:szCs w:val="24"/>
        </w:rPr>
      </w:pPr>
      <w:bookmarkStart w:id="49" w:name="_Toc27563"/>
      <w:bookmarkStart w:id="50" w:name="_Toc19783316"/>
      <w:bookmarkStart w:id="51" w:name="_Toc517281819"/>
      <w:bookmarkStart w:id="52" w:name="_Toc16985"/>
      <w:bookmarkStart w:id="53" w:name="_Toc14308"/>
      <w:bookmarkStart w:id="54" w:name="_Toc27642"/>
      <w:bookmarkStart w:id="55" w:name="_Toc287600121"/>
      <w:bookmarkStart w:id="56" w:name="_Toc31141"/>
      <w:bookmarkStart w:id="57" w:name="_Toc444891339"/>
      <w:bookmarkStart w:id="58" w:name="_Toc186737802"/>
      <w:bookmarkStart w:id="59" w:name="_Toc13691"/>
      <w:r>
        <w:rPr>
          <w:rFonts w:hint="eastAsia" w:ascii="仿宋" w:hAnsi="仿宋" w:eastAsia="仿宋" w:cs="仿宋"/>
          <w:color w:val="000000"/>
          <w:sz w:val="24"/>
          <w:szCs w:val="24"/>
        </w:rPr>
        <w:t>（三）响应文件</w:t>
      </w:r>
      <w:bookmarkEnd w:id="49"/>
      <w:bookmarkEnd w:id="50"/>
      <w:bookmarkEnd w:id="51"/>
      <w:bookmarkEnd w:id="52"/>
      <w:bookmarkEnd w:id="53"/>
      <w:bookmarkEnd w:id="54"/>
      <w:bookmarkEnd w:id="55"/>
      <w:bookmarkEnd w:id="56"/>
      <w:bookmarkEnd w:id="57"/>
      <w:bookmarkEnd w:id="58"/>
      <w:bookmarkEnd w:id="59"/>
    </w:p>
    <w:p>
      <w:pPr>
        <w:pStyle w:val="7"/>
        <w:spacing w:before="0" w:after="0" w:line="360" w:lineRule="auto"/>
        <w:rPr>
          <w:rFonts w:hint="eastAsia" w:ascii="仿宋" w:hAnsi="仿宋" w:eastAsia="仿宋" w:cs="仿宋"/>
          <w:color w:val="000000"/>
          <w:sz w:val="24"/>
          <w:szCs w:val="24"/>
        </w:rPr>
      </w:pPr>
      <w:r>
        <w:rPr>
          <w:rFonts w:ascii="仿宋" w:hAnsi="仿宋" w:eastAsia="仿宋" w:cs="仿宋"/>
          <w:color w:val="000000"/>
          <w:sz w:val="24"/>
          <w:szCs w:val="24"/>
        </w:rPr>
        <w:t>9</w:t>
      </w:r>
      <w:r>
        <w:rPr>
          <w:rFonts w:hint="eastAsia" w:ascii="仿宋" w:hAnsi="仿宋" w:eastAsia="仿宋" w:cs="仿宋"/>
          <w:color w:val="000000"/>
          <w:sz w:val="24"/>
          <w:szCs w:val="24"/>
        </w:rPr>
        <w:t>.响应文件的组成</w:t>
      </w:r>
    </w:p>
    <w:p>
      <w:pPr>
        <w:spacing w:line="360" w:lineRule="auto"/>
        <w:rPr>
          <w:rFonts w:hint="eastAsia" w:ascii="仿宋" w:hAnsi="仿宋" w:eastAsia="仿宋" w:cs="仿宋"/>
          <w:color w:val="000000"/>
        </w:rPr>
      </w:pPr>
      <w:r>
        <w:rPr>
          <w:rFonts w:hint="eastAsia" w:ascii="仿宋" w:hAnsi="仿宋" w:eastAsia="仿宋" w:cs="宋体"/>
          <w:color w:val="000000"/>
        </w:rPr>
        <w:t>供应商应当按照供应商须知前附表的要求制作并提交响应文件，具体组成</w:t>
      </w:r>
      <w:r>
        <w:rPr>
          <w:rFonts w:hint="eastAsia" w:ascii="仿宋" w:hAnsi="仿宋" w:eastAsia="仿宋" w:cs="仿宋"/>
          <w:color w:val="000000"/>
          <w:u w:val="single"/>
        </w:rPr>
        <w:t>见本须知前附表</w:t>
      </w:r>
      <w:r>
        <w:rPr>
          <w:rFonts w:hint="eastAsia" w:ascii="仿宋" w:hAnsi="仿宋" w:eastAsia="仿宋" w:cs="仿宋"/>
          <w:color w:val="000000"/>
        </w:rPr>
        <w:t>。</w:t>
      </w:r>
    </w:p>
    <w:p>
      <w:pPr>
        <w:pStyle w:val="7"/>
        <w:spacing w:before="0" w:after="0" w:line="360" w:lineRule="auto"/>
        <w:rPr>
          <w:rFonts w:hint="eastAsia" w:ascii="仿宋" w:hAnsi="仿宋" w:eastAsia="仿宋" w:cs="仿宋"/>
          <w:color w:val="000000"/>
          <w:sz w:val="24"/>
          <w:szCs w:val="24"/>
        </w:rPr>
      </w:pPr>
      <w:r>
        <w:rPr>
          <w:rFonts w:ascii="仿宋" w:hAnsi="仿宋" w:eastAsia="仿宋" w:cs="仿宋"/>
          <w:color w:val="000000"/>
          <w:sz w:val="24"/>
          <w:szCs w:val="24"/>
        </w:rPr>
        <w:t>10</w:t>
      </w:r>
      <w:r>
        <w:rPr>
          <w:rFonts w:hint="eastAsia" w:ascii="仿宋" w:hAnsi="仿宋" w:eastAsia="仿宋" w:cs="仿宋"/>
          <w:color w:val="000000"/>
          <w:sz w:val="24"/>
          <w:szCs w:val="24"/>
        </w:rPr>
        <w:t>.响应文件的编制</w:t>
      </w:r>
    </w:p>
    <w:p>
      <w:pPr>
        <w:topLinePunct/>
        <w:spacing w:line="360" w:lineRule="auto"/>
        <w:rPr>
          <w:rFonts w:hint="eastAsia"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 xml:space="preserve">.1 供应商应当按照磋商文件的要求编制响应文件，并对其提交的响应文件的真实性、合法性承担法律责任。响应文件应当对磋商文件提出的实质性要求和条件作出响应。 </w:t>
      </w:r>
    </w:p>
    <w:p>
      <w:pPr>
        <w:topLinePunct/>
        <w:spacing w:line="360" w:lineRule="auto"/>
        <w:rPr>
          <w:rFonts w:hint="eastAsia"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 xml:space="preserve">.2 供应商应认真阅读磋商文件中所有的事项、格式、条款和技术规范等。供应商没有按照磋商文件要求递交全部资料，或者供应商没有对磋商文件在各方面都作出实质性响应是供应商的风险，并可能导致其磋商响应被否决。 </w:t>
      </w:r>
    </w:p>
    <w:p>
      <w:pPr>
        <w:topLinePunct/>
        <w:spacing w:line="360" w:lineRule="auto"/>
        <w:rPr>
          <w:rFonts w:hint="eastAsia"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 xml:space="preserve">0.3 </w:t>
      </w:r>
      <w:r>
        <w:rPr>
          <w:rFonts w:hint="eastAsia" w:ascii="仿宋" w:hAnsi="仿宋" w:eastAsia="仿宋" w:cs="宋体"/>
          <w:color w:val="000000"/>
        </w:rPr>
        <w:t>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磋商文件中要求进行解释或提出建议的除外）。</w:t>
      </w:r>
    </w:p>
    <w:p>
      <w:pPr>
        <w:topLinePunct/>
        <w:spacing w:line="360" w:lineRule="auto"/>
        <w:rPr>
          <w:rFonts w:hint="eastAsia"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 xml:space="preserve">0.4 </w:t>
      </w:r>
      <w:r>
        <w:rPr>
          <w:rFonts w:hint="eastAsia" w:ascii="仿宋" w:hAnsi="仿宋" w:eastAsia="仿宋" w:cs="宋体"/>
          <w:color w:val="000000"/>
        </w:rPr>
        <w:t>供应商应当逐条对照第五章采购需求进行偏离表应答。只能使用“满足”和“不满足”进行应答，不得使用“明白”、“理解”等词语。供应商认为满足并优于采购需求要求的条款，应答“满足”并解释说明优于的具体程度；如有“不满足”项，在偏离表中标明条款序号，应答“不满足”并加以详细的解释说明；如全部满足，在偏离表中应答“全部满足”即可，不应再附加任何说明（磋商文件中要求进行解释或提出建议的除外）。</w:t>
      </w:r>
    </w:p>
    <w:p>
      <w:pPr>
        <w:topLinePunct/>
        <w:spacing w:line="360" w:lineRule="auto"/>
        <w:rPr>
          <w:rFonts w:hint="eastAsia"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w:t>
      </w:r>
      <w:r>
        <w:rPr>
          <w:rFonts w:ascii="仿宋" w:hAnsi="仿宋" w:eastAsia="仿宋" w:cs="宋体"/>
          <w:color w:val="000000"/>
        </w:rPr>
        <w:t>5</w:t>
      </w:r>
      <w:r>
        <w:rPr>
          <w:rFonts w:hint="eastAsia" w:ascii="仿宋" w:hAnsi="仿宋" w:eastAsia="仿宋" w:cs="宋体"/>
          <w:color w:val="000000"/>
        </w:rPr>
        <w:t xml:space="preserve"> 供应商提交的响应文件以及供应商与采购人就有关磋商的所有往来函电均应使用中文。供应商提交的证明文件和印刷的文献可以使用另一种语言，但相应内容应当译成中文，在解释响应文件时以中文译本为准。</w:t>
      </w:r>
    </w:p>
    <w:p>
      <w:pPr>
        <w:topLinePunct/>
        <w:spacing w:line="360" w:lineRule="auto"/>
        <w:rPr>
          <w:rFonts w:hint="eastAsia" w:ascii="仿宋" w:hAnsi="仿宋" w:eastAsia="仿宋" w:cs="宋体"/>
          <w:color w:val="000000"/>
          <w:u w:val="single"/>
        </w:rPr>
      </w:pPr>
      <w:r>
        <w:rPr>
          <w:rFonts w:ascii="仿宋" w:hAnsi="仿宋" w:eastAsia="仿宋" w:cs="宋体"/>
          <w:color w:val="000000"/>
        </w:rPr>
        <w:t>10</w:t>
      </w:r>
      <w:r>
        <w:rPr>
          <w:rFonts w:hint="eastAsia" w:ascii="仿宋" w:hAnsi="仿宋" w:eastAsia="仿宋" w:cs="宋体"/>
          <w:color w:val="000000"/>
        </w:rPr>
        <w:t>.</w:t>
      </w:r>
      <w:r>
        <w:rPr>
          <w:rFonts w:ascii="仿宋" w:hAnsi="仿宋" w:eastAsia="仿宋" w:cs="宋体"/>
          <w:color w:val="000000"/>
        </w:rPr>
        <w:t>6</w:t>
      </w:r>
      <w:r>
        <w:rPr>
          <w:rFonts w:hint="eastAsia" w:ascii="仿宋" w:hAnsi="仿宋" w:eastAsia="仿宋" w:cs="宋体"/>
          <w:color w:val="000000"/>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60" w:name="_Hlk173250545"/>
      <w:r>
        <w:rPr>
          <w:rFonts w:hint="eastAsia" w:ascii="仿宋" w:hAnsi="仿宋" w:eastAsia="仿宋" w:cs="宋体"/>
          <w:color w:val="000000"/>
        </w:rPr>
        <w:t>盖章或者签字另有要求的，</w:t>
      </w:r>
      <w:r>
        <w:rPr>
          <w:rFonts w:hint="eastAsia" w:ascii="仿宋" w:hAnsi="仿宋" w:eastAsia="仿宋" w:cs="宋体"/>
          <w:color w:val="000000"/>
          <w:u w:val="single"/>
        </w:rPr>
        <w:t>见本须知前附表。</w:t>
      </w:r>
    </w:p>
    <w:bookmarkEnd w:id="60"/>
    <w:p>
      <w:pPr>
        <w:spacing w:line="360" w:lineRule="auto"/>
        <w:rPr>
          <w:rFonts w:hint="eastAsia"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0.7</w:t>
      </w:r>
      <w:r>
        <w:rPr>
          <w:rFonts w:hint="eastAsia" w:ascii="仿宋" w:hAnsi="仿宋" w:eastAsia="仿宋" w:cs="仿宋"/>
          <w:color w:val="000000"/>
        </w:rPr>
        <w:t>除工程规范另有规定外，响应文件使用的度量衡单位，均采用中华人民共和国法定计量单位。</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11.磋商响应报价</w:t>
      </w:r>
    </w:p>
    <w:p>
      <w:pPr>
        <w:topLinePunct/>
        <w:spacing w:line="360" w:lineRule="auto"/>
        <w:rPr>
          <w:rFonts w:hint="eastAsia" w:ascii="仿宋" w:hAnsi="仿宋" w:eastAsia="仿宋" w:cs="宋体"/>
          <w:color w:val="000000"/>
        </w:rPr>
      </w:pPr>
      <w:r>
        <w:rPr>
          <w:rFonts w:hint="eastAsia" w:ascii="仿宋" w:hAnsi="仿宋" w:eastAsia="仿宋" w:cs="宋体"/>
          <w:color w:val="000000"/>
        </w:rPr>
        <w:t>供应商应当根据磋商文件要求进行报价，供应商应当报出符合磋商文件要求的拟提供货物或服务的单价、总价、费率、税率等内容，采购人不接受供应商的任何低于成本报价的不正当竞争方式，其他报价要求</w:t>
      </w:r>
      <w:r>
        <w:rPr>
          <w:rFonts w:hint="eastAsia" w:ascii="仿宋" w:hAnsi="仿宋" w:eastAsia="仿宋" w:cs="仿宋"/>
          <w:color w:val="000000"/>
        </w:rPr>
        <w:t>见</w:t>
      </w:r>
      <w:r>
        <w:rPr>
          <w:rFonts w:hint="eastAsia" w:ascii="仿宋" w:hAnsi="仿宋" w:eastAsia="仿宋" w:cs="仿宋"/>
          <w:color w:val="000000"/>
          <w:u w:val="single"/>
        </w:rPr>
        <w:t>供应商须知前附表</w:t>
      </w:r>
      <w:r>
        <w:rPr>
          <w:rFonts w:hint="eastAsia" w:ascii="仿宋" w:hAnsi="仿宋" w:eastAsia="仿宋" w:cs="仿宋"/>
          <w:color w:val="000000"/>
        </w:rPr>
        <w:t>。</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2</w:t>
      </w:r>
      <w:r>
        <w:rPr>
          <w:rFonts w:hint="eastAsia" w:ascii="仿宋" w:hAnsi="仿宋" w:eastAsia="仿宋" w:cs="仿宋"/>
          <w:color w:val="000000"/>
          <w:sz w:val="24"/>
          <w:szCs w:val="24"/>
        </w:rPr>
        <w:t>.磋商响应有效期</w:t>
      </w:r>
    </w:p>
    <w:p>
      <w:pPr>
        <w:topLinePunct/>
        <w:spacing w:line="360" w:lineRule="auto"/>
        <w:rPr>
          <w:rFonts w:hint="eastAsia" w:ascii="仿宋" w:hAnsi="仿宋" w:eastAsia="仿宋" w:cs="宋体"/>
          <w:color w:val="000000"/>
        </w:rPr>
      </w:pPr>
      <w:r>
        <w:rPr>
          <w:rFonts w:ascii="仿宋" w:hAnsi="仿宋" w:eastAsia="仿宋" w:cs="宋体"/>
          <w:color w:val="000000"/>
        </w:rPr>
        <w:t>12</w:t>
      </w:r>
      <w:r>
        <w:rPr>
          <w:rFonts w:hint="eastAsia" w:ascii="仿宋" w:hAnsi="仿宋" w:eastAsia="仿宋" w:cs="宋体"/>
          <w:color w:val="000000"/>
        </w:rPr>
        <w:t>.1 磋商响应有效期从响应文件递交截止之日起算，具体时间</w:t>
      </w:r>
      <w:r>
        <w:rPr>
          <w:rFonts w:hint="eastAsia" w:ascii="仿宋" w:hAnsi="仿宋" w:eastAsia="仿宋" w:cs="宋体"/>
          <w:color w:val="000000"/>
          <w:u w:val="single"/>
        </w:rPr>
        <w:t>见本须知前附表</w:t>
      </w:r>
      <w:r>
        <w:rPr>
          <w:rFonts w:hint="eastAsia" w:ascii="仿宋" w:hAnsi="仿宋" w:eastAsia="仿宋" w:cs="宋体"/>
          <w:color w:val="000000"/>
        </w:rPr>
        <w:t>，在此期间，供应商不得要求撤销或修改其响应文件。供应商承诺的磋商响应有效期必须不短于磋商文件规定的磋商响应有效期，否则将构成对磋商文件的非实质性响应，磋商响应将被否决。</w:t>
      </w:r>
    </w:p>
    <w:p>
      <w:pPr>
        <w:topLinePunct/>
        <w:spacing w:line="360" w:lineRule="auto"/>
        <w:rPr>
          <w:rFonts w:hint="eastAsia" w:ascii="仿宋" w:hAnsi="仿宋" w:eastAsia="仿宋" w:cs="宋体"/>
          <w:color w:val="000000"/>
        </w:rPr>
      </w:pPr>
      <w:r>
        <w:rPr>
          <w:rFonts w:ascii="仿宋" w:hAnsi="仿宋" w:eastAsia="仿宋" w:cs="宋体"/>
          <w:color w:val="000000"/>
        </w:rPr>
        <w:t>12</w:t>
      </w:r>
      <w:r>
        <w:rPr>
          <w:rFonts w:hint="eastAsia" w:ascii="仿宋" w:hAnsi="仿宋" w:eastAsia="仿宋" w:cs="宋体"/>
          <w:color w:val="000000"/>
        </w:rPr>
        <w:t>.2 在原磋商响应有效期结束前，出现特殊情况的，采购人可以书面形式要求所有供应商延长磋商响应有效期。供应商同意延长的，不得要求或被允许修改其响应文件的实质性内容。供应商拒绝延长的，其磋商响应失效。</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3</w:t>
      </w:r>
      <w:r>
        <w:rPr>
          <w:rFonts w:hint="eastAsia" w:ascii="仿宋" w:hAnsi="仿宋" w:eastAsia="仿宋" w:cs="仿宋"/>
          <w:color w:val="000000"/>
          <w:sz w:val="24"/>
          <w:szCs w:val="24"/>
        </w:rPr>
        <w:t>.响应文件的式样、密封和标记</w:t>
      </w:r>
    </w:p>
    <w:p>
      <w:pPr>
        <w:topLinePunct/>
        <w:spacing w:line="360" w:lineRule="auto"/>
        <w:rPr>
          <w:rFonts w:hint="eastAsia" w:ascii="仿宋" w:hAnsi="仿宋" w:eastAsia="仿宋" w:cs="宋体"/>
          <w:color w:val="000000"/>
        </w:rPr>
      </w:pPr>
      <w:bookmarkStart w:id="61" w:name="_Toc444891340"/>
      <w:bookmarkStart w:id="62" w:name="_Toc4155"/>
      <w:bookmarkStart w:id="63" w:name="_Toc517281820"/>
      <w:bookmarkStart w:id="64" w:name="_Toc7129"/>
      <w:bookmarkStart w:id="65" w:name="_Toc14726"/>
      <w:bookmarkStart w:id="66" w:name="_Toc19783317"/>
      <w:bookmarkStart w:id="67" w:name="_Toc287600122"/>
      <w:bookmarkStart w:id="68" w:name="_Toc21600"/>
      <w:bookmarkStart w:id="69" w:name="_Toc18673"/>
      <w:bookmarkStart w:id="70" w:name="_Toc17865"/>
      <w:bookmarkStart w:id="71" w:name="_Toc186737803"/>
      <w:r>
        <w:rPr>
          <w:rFonts w:ascii="仿宋" w:hAnsi="仿宋" w:eastAsia="仿宋" w:cs="宋体"/>
          <w:color w:val="000000"/>
        </w:rPr>
        <w:t>13</w:t>
      </w:r>
      <w:r>
        <w:rPr>
          <w:rFonts w:hint="eastAsia" w:ascii="仿宋" w:hAnsi="仿宋" w:eastAsia="仿宋" w:cs="宋体"/>
          <w:color w:val="000000"/>
        </w:rPr>
        <w:t>.1 供应商应当编制一份响应文件“正本”和</w:t>
      </w:r>
      <w:r>
        <w:rPr>
          <w:rFonts w:hint="eastAsia" w:ascii="仿宋" w:hAnsi="仿宋" w:eastAsia="仿宋" w:cs="宋体"/>
          <w:color w:val="000000"/>
          <w:u w:val="single"/>
        </w:rPr>
        <w:t>本须知前附表</w:t>
      </w:r>
      <w:r>
        <w:rPr>
          <w:rFonts w:hint="eastAsia" w:ascii="仿宋" w:hAnsi="仿宋" w:eastAsia="仿宋" w:cs="宋体"/>
          <w:color w:val="000000"/>
        </w:rPr>
        <w:t>所述份数的“副本”和“电子版”，副本为正本复印件。纸质版文件与电子版文件不一致时，以</w:t>
      </w:r>
      <w:r>
        <w:rPr>
          <w:rFonts w:hint="eastAsia" w:ascii="仿宋" w:hAnsi="仿宋" w:eastAsia="仿宋" w:cs="宋体"/>
          <w:b/>
          <w:bCs/>
          <w:lang w:eastAsia="zh-Hans"/>
        </w:rPr>
        <w:t>纸质版</w:t>
      </w:r>
      <w:r>
        <w:rPr>
          <w:rFonts w:hint="eastAsia" w:ascii="仿宋" w:hAnsi="仿宋" w:eastAsia="仿宋" w:cs="宋体"/>
          <w:color w:val="000000"/>
        </w:rPr>
        <w:t xml:space="preserve">文件为准，电子招投标项目，按照相关法律法规执行;响应文件正本与副本不一致时，以正本为准。 </w:t>
      </w:r>
    </w:p>
    <w:p>
      <w:pPr>
        <w:topLinePunct/>
        <w:spacing w:line="360" w:lineRule="auto"/>
        <w:rPr>
          <w:rFonts w:hint="eastAsia" w:ascii="仿宋" w:hAnsi="仿宋" w:eastAsia="仿宋" w:cs="宋体"/>
          <w:color w:val="000000"/>
        </w:rPr>
      </w:pPr>
      <w:r>
        <w:rPr>
          <w:rFonts w:ascii="仿宋" w:hAnsi="仿宋" w:eastAsia="仿宋" w:cs="宋体"/>
          <w:color w:val="000000"/>
        </w:rPr>
        <w:t>13</w:t>
      </w:r>
      <w:r>
        <w:rPr>
          <w:rFonts w:hint="eastAsia" w:ascii="仿宋" w:hAnsi="仿宋" w:eastAsia="仿宋" w:cs="宋体"/>
          <w:color w:val="000000"/>
        </w:rPr>
        <w:t>.2 每份纸质文件响应文件的正本、副本应当分别装订，并于封面上明确标明“正本”“副本”字样。具体要求</w:t>
      </w:r>
      <w:r>
        <w:rPr>
          <w:rFonts w:hint="eastAsia" w:ascii="仿宋" w:hAnsi="仿宋" w:eastAsia="仿宋" w:cs="宋体"/>
          <w:color w:val="000000"/>
          <w:u w:val="single"/>
        </w:rPr>
        <w:t>见本须知前附表</w:t>
      </w:r>
      <w:r>
        <w:rPr>
          <w:rFonts w:hint="eastAsia" w:ascii="仿宋" w:hAnsi="仿宋" w:eastAsia="仿宋" w:cs="宋体"/>
          <w:color w:val="000000"/>
        </w:rPr>
        <w:t>。</w:t>
      </w:r>
    </w:p>
    <w:p>
      <w:pPr>
        <w:topLinePunct/>
        <w:spacing w:line="360" w:lineRule="auto"/>
        <w:rPr>
          <w:rFonts w:hint="eastAsia" w:ascii="仿宋" w:hAnsi="仿宋" w:eastAsia="仿宋" w:cs="宋体"/>
          <w:color w:val="000000"/>
        </w:rPr>
      </w:pPr>
      <w:r>
        <w:rPr>
          <w:rFonts w:ascii="仿宋" w:hAnsi="仿宋" w:eastAsia="仿宋" w:cs="宋体"/>
          <w:color w:val="000000"/>
        </w:rPr>
        <w:t>13</w:t>
      </w:r>
      <w:r>
        <w:rPr>
          <w:rFonts w:hint="eastAsia" w:ascii="仿宋" w:hAnsi="仿宋" w:eastAsia="仿宋" w:cs="宋体"/>
          <w:color w:val="000000"/>
        </w:rPr>
        <w:t>.</w:t>
      </w:r>
      <w:r>
        <w:rPr>
          <w:rFonts w:ascii="仿宋" w:hAnsi="仿宋" w:eastAsia="仿宋" w:cs="宋体"/>
          <w:color w:val="000000"/>
        </w:rPr>
        <w:t>3</w:t>
      </w:r>
      <w:r>
        <w:rPr>
          <w:rFonts w:hint="eastAsia" w:ascii="仿宋" w:hAnsi="仿宋" w:eastAsia="仿宋" w:cs="宋体"/>
          <w:color w:val="000000"/>
        </w:rPr>
        <w:t xml:space="preserve"> 对于磋商文件中提及的原件或复印件要求，照片件、扫描件、影印件、截图件等与其具有同等效力（磋商文件有特殊要求的除外）。</w:t>
      </w:r>
    </w:p>
    <w:p>
      <w:pPr>
        <w:pStyle w:val="6"/>
        <w:spacing w:after="0" w:line="360" w:lineRule="auto"/>
        <w:ind w:firstLine="482"/>
        <w:rPr>
          <w:rFonts w:hint="eastAsia" w:ascii="仿宋" w:hAnsi="仿宋" w:eastAsia="仿宋" w:cs="仿宋"/>
          <w:color w:val="000000"/>
          <w:sz w:val="24"/>
          <w:szCs w:val="24"/>
        </w:rPr>
      </w:pPr>
      <w:r>
        <w:rPr>
          <w:rFonts w:hint="eastAsia" w:ascii="仿宋" w:hAnsi="仿宋" w:eastAsia="仿宋" w:cs="仿宋"/>
          <w:color w:val="000000"/>
          <w:sz w:val="24"/>
          <w:szCs w:val="24"/>
        </w:rPr>
        <w:t>（四）响应文件的</w:t>
      </w:r>
      <w:bookmarkEnd w:id="61"/>
      <w:bookmarkEnd w:id="62"/>
      <w:bookmarkEnd w:id="63"/>
      <w:bookmarkEnd w:id="64"/>
      <w:bookmarkEnd w:id="65"/>
      <w:bookmarkEnd w:id="66"/>
      <w:bookmarkEnd w:id="67"/>
      <w:bookmarkEnd w:id="68"/>
      <w:bookmarkEnd w:id="69"/>
      <w:r>
        <w:rPr>
          <w:rFonts w:hint="eastAsia" w:ascii="仿宋" w:hAnsi="仿宋" w:eastAsia="仿宋" w:cs="仿宋"/>
          <w:color w:val="000000"/>
          <w:sz w:val="24"/>
          <w:szCs w:val="24"/>
        </w:rPr>
        <w:t>递交</w:t>
      </w:r>
      <w:bookmarkEnd w:id="70"/>
      <w:bookmarkEnd w:id="71"/>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4</w:t>
      </w:r>
      <w:r>
        <w:rPr>
          <w:rFonts w:hint="eastAsia" w:ascii="仿宋" w:hAnsi="仿宋" w:eastAsia="仿宋" w:cs="仿宋"/>
          <w:color w:val="000000"/>
          <w:sz w:val="24"/>
          <w:szCs w:val="24"/>
        </w:rPr>
        <w:t>.响应文件的递交</w:t>
      </w:r>
    </w:p>
    <w:p>
      <w:pPr>
        <w:spacing w:line="360" w:lineRule="auto"/>
        <w:rPr>
          <w:rFonts w:hint="eastAsia"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4</w:t>
      </w:r>
      <w:r>
        <w:rPr>
          <w:rFonts w:hint="eastAsia" w:ascii="仿宋" w:hAnsi="仿宋" w:eastAsia="仿宋" w:cs="仿宋"/>
          <w:color w:val="000000"/>
        </w:rPr>
        <w:t>.1供应商应按</w:t>
      </w:r>
      <w:r>
        <w:rPr>
          <w:rFonts w:hint="eastAsia" w:ascii="仿宋" w:hAnsi="仿宋" w:eastAsia="仿宋" w:cs="仿宋"/>
          <w:color w:val="000000"/>
          <w:u w:val="single"/>
        </w:rPr>
        <w:t>本须知前附表</w:t>
      </w:r>
      <w:r>
        <w:rPr>
          <w:rFonts w:hint="eastAsia" w:ascii="仿宋" w:hAnsi="仿宋" w:eastAsia="仿宋" w:cs="仿宋"/>
          <w:color w:val="000000"/>
        </w:rPr>
        <w:t>规定的时间、方式递交响应文件。</w:t>
      </w:r>
    </w:p>
    <w:p>
      <w:pPr>
        <w:spacing w:line="360" w:lineRule="auto"/>
        <w:rPr>
          <w:rFonts w:hint="eastAsia" w:ascii="仿宋" w:hAnsi="仿宋" w:eastAsia="仿宋" w:cs="宋体"/>
          <w:b/>
          <w:bCs/>
          <w:color w:val="000000"/>
        </w:rPr>
      </w:pPr>
      <w:r>
        <w:rPr>
          <w:rFonts w:hint="eastAsia" w:ascii="仿宋" w:hAnsi="仿宋" w:eastAsia="仿宋" w:cs="宋体"/>
          <w:color w:val="000000"/>
        </w:rPr>
        <w:t>1</w:t>
      </w:r>
      <w:r>
        <w:rPr>
          <w:rFonts w:ascii="仿宋" w:hAnsi="仿宋" w:eastAsia="仿宋" w:cs="宋体"/>
          <w:color w:val="000000"/>
        </w:rPr>
        <w:t>4</w:t>
      </w:r>
      <w:r>
        <w:rPr>
          <w:rFonts w:hint="eastAsia" w:ascii="仿宋" w:hAnsi="仿宋" w:eastAsia="仿宋" w:cs="宋体"/>
          <w:color w:val="000000"/>
        </w:rPr>
        <w:t>.2出现下列情形之一时，</w:t>
      </w:r>
      <w:r>
        <w:rPr>
          <w:rFonts w:hint="eastAsia" w:ascii="仿宋" w:hAnsi="仿宋" w:eastAsia="仿宋" w:cs="宋体"/>
          <w:b/>
          <w:bCs/>
          <w:color w:val="000000"/>
        </w:rPr>
        <w:t>响应文件不予接收或已经递交的响应文件无效；</w:t>
      </w:r>
    </w:p>
    <w:p>
      <w:pPr>
        <w:spacing w:line="360" w:lineRule="auto"/>
        <w:rPr>
          <w:rFonts w:hint="eastAsia" w:ascii="仿宋" w:hAnsi="仿宋" w:eastAsia="仿宋" w:cs="宋体"/>
          <w:color w:val="000000"/>
        </w:rPr>
      </w:pPr>
      <w:r>
        <w:rPr>
          <w:rFonts w:hint="eastAsia" w:ascii="仿宋" w:hAnsi="仿宋" w:eastAsia="仿宋" w:cs="宋体"/>
          <w:color w:val="000000"/>
        </w:rPr>
        <w:t>（1）电子响应文件逾期递交的；</w:t>
      </w:r>
    </w:p>
    <w:p>
      <w:pPr>
        <w:spacing w:line="360" w:lineRule="auto"/>
        <w:rPr>
          <w:rFonts w:hint="eastAsia" w:ascii="仿宋" w:hAnsi="仿宋" w:eastAsia="仿宋" w:cs="宋体"/>
          <w:color w:val="000000"/>
        </w:rPr>
      </w:pPr>
      <w:r>
        <w:rPr>
          <w:rFonts w:hint="eastAsia" w:ascii="仿宋" w:hAnsi="仿宋" w:eastAsia="仿宋" w:cs="宋体"/>
          <w:color w:val="000000"/>
        </w:rPr>
        <w:t>（2）纸质响应文件逾期递交或者未送达指定地点或者未按照磋商文件要求封装的；</w:t>
      </w:r>
    </w:p>
    <w:p>
      <w:pPr>
        <w:spacing w:line="360" w:lineRule="auto"/>
        <w:rPr>
          <w:rFonts w:hint="eastAsia" w:ascii="仿宋" w:hAnsi="仿宋" w:eastAsia="仿宋" w:cs="宋体"/>
          <w:color w:val="000000"/>
        </w:rPr>
      </w:pPr>
      <w:r>
        <w:rPr>
          <w:rFonts w:hint="eastAsia" w:ascii="仿宋" w:hAnsi="仿宋" w:eastAsia="仿宋" w:cs="宋体"/>
          <w:color w:val="000000"/>
        </w:rPr>
        <w:t>（</w:t>
      </w:r>
      <w:r>
        <w:rPr>
          <w:rFonts w:ascii="仿宋" w:hAnsi="仿宋" w:eastAsia="仿宋" w:cs="宋体"/>
          <w:color w:val="000000"/>
        </w:rPr>
        <w:t>3</w:t>
      </w:r>
      <w:r>
        <w:rPr>
          <w:rFonts w:hint="eastAsia" w:ascii="仿宋" w:hAnsi="仿宋" w:eastAsia="仿宋" w:cs="宋体"/>
          <w:color w:val="000000"/>
        </w:rPr>
        <w:t>）未按磋商公告或者响应公告书要求获得本项目磋商文件的。</w:t>
      </w:r>
    </w:p>
    <w:p>
      <w:pPr>
        <w:pStyle w:val="7"/>
        <w:spacing w:before="0" w:after="0" w:line="360" w:lineRule="auto"/>
        <w:rPr>
          <w:rFonts w:hint="eastAsia" w:ascii="仿宋" w:hAnsi="仿宋" w:eastAsia="仿宋" w:cs="仿宋"/>
          <w:color w:val="000000"/>
          <w:sz w:val="24"/>
          <w:szCs w:val="24"/>
        </w:rPr>
      </w:pPr>
      <w:r>
        <w:rPr>
          <w:rFonts w:ascii="仿宋" w:hAnsi="仿宋" w:eastAsia="仿宋" w:cs="仿宋"/>
          <w:color w:val="000000"/>
          <w:sz w:val="24"/>
          <w:szCs w:val="24"/>
        </w:rPr>
        <w:t>15</w:t>
      </w:r>
      <w:r>
        <w:rPr>
          <w:rFonts w:hint="eastAsia" w:ascii="仿宋" w:hAnsi="仿宋" w:eastAsia="仿宋" w:cs="仿宋"/>
          <w:color w:val="000000"/>
          <w:sz w:val="24"/>
          <w:szCs w:val="24"/>
        </w:rPr>
        <w:t>.响应文件的修改、撤回和撤销</w:t>
      </w:r>
    </w:p>
    <w:p>
      <w:pPr>
        <w:spacing w:line="360" w:lineRule="auto"/>
        <w:rPr>
          <w:rFonts w:hint="eastAsia" w:ascii="仿宋" w:hAnsi="仿宋" w:eastAsia="仿宋" w:cs="仿宋"/>
          <w:color w:val="000000"/>
        </w:rPr>
      </w:pPr>
      <w:r>
        <w:rPr>
          <w:rFonts w:ascii="仿宋" w:hAnsi="仿宋" w:eastAsia="仿宋" w:cs="仿宋"/>
          <w:color w:val="000000"/>
        </w:rPr>
        <w:t>15</w:t>
      </w:r>
      <w:r>
        <w:rPr>
          <w:rFonts w:hint="eastAsia" w:ascii="仿宋" w:hAnsi="仿宋" w:eastAsia="仿宋" w:cs="仿宋"/>
          <w:color w:val="000000"/>
        </w:rPr>
        <w:t>.1</w:t>
      </w:r>
      <w:r>
        <w:rPr>
          <w:rFonts w:hint="eastAsia" w:ascii="仿宋" w:hAnsi="仿宋" w:eastAsia="仿宋" w:cs="宋体"/>
          <w:color w:val="000000"/>
          <w:spacing w:val="-4"/>
        </w:rPr>
        <w:t>在</w:t>
      </w:r>
      <w:r>
        <w:rPr>
          <w:rFonts w:hint="eastAsia" w:ascii="仿宋" w:hAnsi="仿宋" w:eastAsia="仿宋" w:cs="宋体"/>
          <w:color w:val="000000"/>
        </w:rPr>
        <w:t>磋商文件</w:t>
      </w:r>
      <w:r>
        <w:rPr>
          <w:rFonts w:hint="eastAsia" w:ascii="仿宋" w:hAnsi="仿宋" w:eastAsia="仿宋" w:cs="宋体"/>
          <w:color w:val="000000"/>
          <w:spacing w:val="-4"/>
        </w:rPr>
        <w:t>规定的</w:t>
      </w:r>
      <w:r>
        <w:rPr>
          <w:rFonts w:hint="eastAsia" w:ascii="仿宋" w:hAnsi="仿宋" w:eastAsia="仿宋" w:cs="仿宋"/>
          <w:color w:val="000000"/>
        </w:rPr>
        <w:t>响应文件</w:t>
      </w:r>
      <w:r>
        <w:rPr>
          <w:rFonts w:hint="eastAsia" w:ascii="仿宋" w:hAnsi="仿宋" w:eastAsia="仿宋" w:cs="宋体"/>
          <w:color w:val="000000"/>
          <w:spacing w:val="-4"/>
        </w:rPr>
        <w:t>递交截止时间前，</w:t>
      </w:r>
      <w:r>
        <w:rPr>
          <w:rFonts w:hint="eastAsia" w:ascii="仿宋" w:hAnsi="仿宋" w:eastAsia="仿宋" w:cs="宋体"/>
          <w:color w:val="000000"/>
        </w:rPr>
        <w:t>可以补充、修改或撤回已提交的响应文件。</w:t>
      </w:r>
      <w:r>
        <w:rPr>
          <w:rFonts w:ascii="仿宋" w:hAnsi="仿宋" w:eastAsia="仿宋" w:cs="宋体"/>
          <w:color w:val="000000"/>
        </w:rPr>
        <w:t>补充、修改的内容为</w:t>
      </w:r>
      <w:r>
        <w:rPr>
          <w:rFonts w:hint="eastAsia" w:ascii="仿宋" w:hAnsi="仿宋" w:eastAsia="仿宋" w:cs="宋体"/>
          <w:color w:val="000000"/>
        </w:rPr>
        <w:t>响应</w:t>
      </w:r>
      <w:r>
        <w:rPr>
          <w:rFonts w:ascii="仿宋" w:hAnsi="仿宋" w:eastAsia="仿宋" w:cs="宋体"/>
          <w:color w:val="000000"/>
        </w:rPr>
        <w:t>文件的组成部分</w:t>
      </w:r>
      <w:r>
        <w:rPr>
          <w:rFonts w:hint="eastAsia" w:ascii="仿宋" w:hAnsi="仿宋" w:eastAsia="仿宋" w:cs="宋体"/>
          <w:color w:val="000000"/>
        </w:rPr>
        <w:t>，应当在响应文件递交截止时间前按照磋商文件的规定进行递交。</w:t>
      </w:r>
    </w:p>
    <w:p>
      <w:pPr>
        <w:pStyle w:val="2"/>
        <w:spacing w:line="360" w:lineRule="auto"/>
      </w:pPr>
      <w:bookmarkStart w:id="72" w:name="_Toc246996945"/>
      <w:bookmarkStart w:id="73" w:name="_Toc152042334"/>
      <w:bookmarkStart w:id="74" w:name="_Toc179632576"/>
      <w:bookmarkStart w:id="75" w:name="_Toc326223561"/>
      <w:bookmarkStart w:id="76" w:name="_Toc246996202"/>
      <w:bookmarkStart w:id="77" w:name="_Toc332188194"/>
      <w:bookmarkStart w:id="78" w:name="_Toc152045558"/>
      <w:bookmarkStart w:id="79" w:name="_Toc247085716"/>
      <w:bookmarkStart w:id="80" w:name="_Toc334766948"/>
      <w:bookmarkStart w:id="81" w:name="_Toc144974526"/>
      <w:r>
        <w:rPr>
          <w:rFonts w:ascii="仿宋" w:hAnsi="仿宋" w:eastAsia="仿宋" w:cs="仿宋"/>
          <w:color w:val="000000"/>
        </w:rPr>
        <w:t>15.2</w:t>
      </w:r>
      <w:bookmarkEnd w:id="72"/>
      <w:bookmarkEnd w:id="73"/>
      <w:bookmarkEnd w:id="74"/>
      <w:bookmarkEnd w:id="75"/>
      <w:bookmarkEnd w:id="76"/>
      <w:bookmarkEnd w:id="77"/>
      <w:bookmarkEnd w:id="78"/>
      <w:bookmarkEnd w:id="79"/>
      <w:bookmarkEnd w:id="80"/>
      <w:bookmarkEnd w:id="81"/>
      <w:r>
        <w:rPr>
          <w:rFonts w:hint="eastAsia" w:ascii="仿宋" w:hAnsi="仿宋" w:eastAsia="仿宋" w:cs="仿宋"/>
          <w:color w:val="000000"/>
        </w:rPr>
        <w:t xml:space="preserve"> </w:t>
      </w:r>
      <w:r>
        <w:rPr>
          <w:rFonts w:hint="eastAsia" w:ascii="仿宋" w:hAnsi="仿宋" w:eastAsia="仿宋" w:cs="宋体"/>
          <w:color w:val="000000"/>
        </w:rPr>
        <w:t>响应文件递交截止时间后，供应商在响应有效期内撤销其响应文件，磋商保证金不予退还。</w:t>
      </w:r>
    </w:p>
    <w:p>
      <w:pPr>
        <w:pStyle w:val="6"/>
        <w:spacing w:before="0" w:after="0" w:line="360" w:lineRule="auto"/>
        <w:ind w:firstLine="482"/>
        <w:rPr>
          <w:rFonts w:hint="eastAsia" w:ascii="仿宋" w:hAnsi="仿宋" w:eastAsia="仿宋" w:cs="仿宋"/>
          <w:color w:val="000000"/>
          <w:sz w:val="24"/>
          <w:szCs w:val="24"/>
        </w:rPr>
      </w:pPr>
      <w:bookmarkStart w:id="82" w:name="_Toc2055"/>
      <w:bookmarkStart w:id="83" w:name="_Toc517281821"/>
      <w:bookmarkStart w:id="84" w:name="_Toc30466"/>
      <w:bookmarkStart w:id="85" w:name="_Toc20741"/>
      <w:bookmarkStart w:id="86" w:name="_Toc287600123"/>
      <w:bookmarkStart w:id="87" w:name="_Toc11361"/>
      <w:bookmarkStart w:id="88" w:name="_Toc2636"/>
      <w:bookmarkStart w:id="89" w:name="_Toc12797"/>
      <w:bookmarkStart w:id="90" w:name="_Toc186737804"/>
      <w:bookmarkStart w:id="91" w:name="_Toc444891341"/>
      <w:r>
        <w:rPr>
          <w:rFonts w:hint="eastAsia" w:ascii="仿宋" w:hAnsi="仿宋" w:eastAsia="仿宋" w:cs="仿宋"/>
          <w:color w:val="000000"/>
          <w:sz w:val="24"/>
          <w:szCs w:val="24"/>
        </w:rPr>
        <w:t>（五）竞争性磋商和评审</w:t>
      </w:r>
      <w:bookmarkEnd w:id="82"/>
      <w:bookmarkEnd w:id="83"/>
      <w:bookmarkEnd w:id="84"/>
      <w:bookmarkEnd w:id="85"/>
      <w:bookmarkEnd w:id="86"/>
      <w:bookmarkEnd w:id="87"/>
      <w:bookmarkEnd w:id="88"/>
      <w:bookmarkEnd w:id="89"/>
      <w:bookmarkEnd w:id="90"/>
      <w:bookmarkEnd w:id="91"/>
    </w:p>
    <w:p>
      <w:pPr>
        <w:pStyle w:val="7"/>
        <w:spacing w:before="0" w:after="0" w:line="360" w:lineRule="auto"/>
        <w:rPr>
          <w:rFonts w:hint="eastAsia" w:ascii="仿宋" w:hAnsi="仿宋" w:eastAsia="仿宋" w:cs="仿宋"/>
          <w:color w:val="000000"/>
          <w:sz w:val="24"/>
          <w:szCs w:val="24"/>
        </w:rPr>
      </w:pPr>
      <w:bookmarkStart w:id="92" w:name="_Toc234223229"/>
      <w:bookmarkStart w:id="93" w:name="_Toc234223227"/>
      <w:r>
        <w:rPr>
          <w:rFonts w:ascii="仿宋" w:hAnsi="仿宋" w:eastAsia="仿宋" w:cs="仿宋"/>
          <w:color w:val="000000"/>
          <w:sz w:val="24"/>
          <w:szCs w:val="24"/>
        </w:rPr>
        <w:t>16</w:t>
      </w:r>
      <w:r>
        <w:rPr>
          <w:rFonts w:hint="eastAsia" w:ascii="仿宋" w:hAnsi="仿宋" w:eastAsia="仿宋" w:cs="仿宋"/>
          <w:color w:val="000000"/>
          <w:sz w:val="24"/>
          <w:szCs w:val="24"/>
        </w:rPr>
        <w:t>.组建</w:t>
      </w:r>
      <w:bookmarkEnd w:id="92"/>
      <w:r>
        <w:rPr>
          <w:rFonts w:hint="eastAsia" w:ascii="仿宋" w:hAnsi="仿宋" w:eastAsia="仿宋" w:cs="仿宋"/>
          <w:color w:val="000000"/>
          <w:sz w:val="24"/>
          <w:szCs w:val="24"/>
        </w:rPr>
        <w:t>磋商小组</w:t>
      </w:r>
    </w:p>
    <w:p>
      <w:pPr>
        <w:topLinePunct/>
        <w:spacing w:line="360" w:lineRule="auto"/>
        <w:rPr>
          <w:rFonts w:hint="eastAsia"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6.1</w:t>
      </w:r>
      <w:r>
        <w:rPr>
          <w:rFonts w:hint="eastAsia" w:ascii="仿宋" w:hAnsi="仿宋" w:eastAsia="仿宋" w:cs="宋体"/>
          <w:color w:val="000000"/>
        </w:rPr>
        <w:t>采购人依照企业采购管理制度的相关规定组建磋商小组，具体人数</w:t>
      </w:r>
      <w:r>
        <w:rPr>
          <w:rFonts w:hint="eastAsia" w:ascii="仿宋" w:hAnsi="仿宋" w:eastAsia="仿宋" w:cs="仿宋"/>
          <w:color w:val="000000"/>
        </w:rPr>
        <w:t>见</w:t>
      </w:r>
      <w:r>
        <w:rPr>
          <w:rFonts w:hint="eastAsia" w:ascii="仿宋" w:hAnsi="仿宋" w:eastAsia="仿宋" w:cs="仿宋"/>
          <w:color w:val="000000"/>
          <w:u w:val="single"/>
        </w:rPr>
        <w:t>本须知前附表</w:t>
      </w:r>
      <w:r>
        <w:rPr>
          <w:rFonts w:hint="eastAsia" w:ascii="仿宋" w:hAnsi="仿宋" w:eastAsia="仿宋" w:cs="宋体"/>
          <w:color w:val="000000"/>
        </w:rPr>
        <w:t>，磋商小组成员名单在成交结果确定前保密。</w:t>
      </w:r>
    </w:p>
    <w:p>
      <w:pPr>
        <w:topLinePunct/>
        <w:spacing w:line="360" w:lineRule="auto"/>
        <w:rPr>
          <w:rFonts w:hint="eastAsia"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6.2</w:t>
      </w:r>
      <w:r>
        <w:rPr>
          <w:rFonts w:hint="eastAsia" w:ascii="仿宋" w:hAnsi="仿宋" w:eastAsia="仿宋" w:cs="宋体"/>
          <w:color w:val="000000"/>
        </w:rPr>
        <w:t>磋商小组成员应当按照客观、公正、审慎的原则，根据磋商文件规定的评审程序、评审方法和评审标准进行独立评审。</w:t>
      </w:r>
    </w:p>
    <w:p>
      <w:pPr>
        <w:pStyle w:val="7"/>
        <w:spacing w:before="0" w:after="0" w:line="360" w:lineRule="auto"/>
        <w:rPr>
          <w:rFonts w:hint="eastAsia" w:ascii="仿宋" w:hAnsi="仿宋" w:eastAsia="仿宋" w:cs="仿宋"/>
          <w:color w:val="000000"/>
          <w:sz w:val="24"/>
          <w:szCs w:val="24"/>
        </w:rPr>
      </w:pPr>
      <w:bookmarkStart w:id="94" w:name="_Toc234223228"/>
      <w:r>
        <w:rPr>
          <w:rFonts w:ascii="仿宋" w:hAnsi="仿宋" w:eastAsia="仿宋" w:cs="仿宋"/>
          <w:color w:val="000000"/>
          <w:sz w:val="24"/>
          <w:szCs w:val="24"/>
        </w:rPr>
        <w:t>17</w:t>
      </w:r>
      <w:r>
        <w:rPr>
          <w:rFonts w:hint="eastAsia" w:ascii="仿宋" w:hAnsi="仿宋" w:eastAsia="仿宋" w:cs="仿宋"/>
          <w:color w:val="000000"/>
          <w:sz w:val="24"/>
          <w:szCs w:val="24"/>
        </w:rPr>
        <w:t>.初步评审</w:t>
      </w:r>
    </w:p>
    <w:p>
      <w:pPr>
        <w:topLinePunct/>
        <w:spacing w:line="360" w:lineRule="auto"/>
        <w:rPr>
          <w:rFonts w:hint="eastAsia"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7.1</w:t>
      </w:r>
      <w:r>
        <w:rPr>
          <w:rFonts w:hint="eastAsia" w:ascii="仿宋" w:hAnsi="仿宋" w:eastAsia="仿宋" w:cs="宋体"/>
          <w:color w:val="000000"/>
        </w:rPr>
        <w:t>磋商小组按照第三章评审办法中初步评审的内容及要求，对响应文件进行初步评审。未通过初步评审的供应商，其磋商响应将被否决，不进入详细评审等后续环节。</w:t>
      </w:r>
    </w:p>
    <w:p>
      <w:pPr>
        <w:topLinePunct/>
        <w:spacing w:line="360" w:lineRule="auto"/>
        <w:rPr>
          <w:rFonts w:hint="eastAsia"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7.2</w:t>
      </w:r>
      <w:r>
        <w:rPr>
          <w:rFonts w:hint="eastAsia" w:ascii="仿宋" w:hAnsi="仿宋" w:eastAsia="仿宋" w:cs="宋体"/>
          <w:color w:val="000000"/>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p>
    <w:p>
      <w:pPr>
        <w:topLinePunct/>
        <w:spacing w:line="360" w:lineRule="auto"/>
        <w:rPr>
          <w:rFonts w:hint="eastAsia" w:ascii="仿宋" w:hAnsi="仿宋" w:eastAsia="仿宋" w:cs="仿宋"/>
          <w:b/>
          <w:bCs/>
        </w:rPr>
      </w:pPr>
      <w:r>
        <w:rPr>
          <w:rFonts w:hint="eastAsia" w:ascii="仿宋" w:hAnsi="仿宋" w:eastAsia="仿宋" w:cs="宋体"/>
          <w:color w:val="000000"/>
        </w:rPr>
        <w:t>1</w:t>
      </w:r>
      <w:r>
        <w:rPr>
          <w:rFonts w:ascii="仿宋" w:hAnsi="仿宋" w:eastAsia="仿宋" w:cs="宋体"/>
          <w:color w:val="000000"/>
        </w:rPr>
        <w:t>7.3</w:t>
      </w:r>
      <w:r>
        <w:rPr>
          <w:rFonts w:hint="eastAsia" w:ascii="仿宋" w:hAnsi="仿宋" w:eastAsia="仿宋" w:cs="宋体"/>
          <w:color w:val="000000"/>
        </w:rPr>
        <w:t>磋商小组对供应商递交的澄清、说明或补正有疑问的，可以要求供应商进一步澄清、说明或者补正，直至满足磋商小组的要求。拒不按要求进行澄清、说明或者补正的供应商</w:t>
      </w:r>
      <w:r>
        <w:rPr>
          <w:rFonts w:hint="eastAsia" w:ascii="仿宋" w:hAnsi="仿宋" w:eastAsia="仿宋" w:cs="仿宋"/>
          <w:b/>
          <w:bCs/>
        </w:rPr>
        <w:t>，磋商小组有权对其响应做否决处理。</w:t>
      </w:r>
    </w:p>
    <w:p>
      <w:pPr>
        <w:topLinePunct/>
        <w:spacing w:line="360" w:lineRule="auto"/>
      </w:pPr>
      <w:r>
        <w:rPr>
          <w:rFonts w:hint="eastAsia" w:ascii="仿宋" w:hAnsi="仿宋" w:eastAsia="仿宋" w:cs="宋体"/>
          <w:color w:val="000000"/>
        </w:rPr>
        <w:t>1</w:t>
      </w:r>
      <w:r>
        <w:rPr>
          <w:rFonts w:ascii="仿宋" w:hAnsi="仿宋" w:eastAsia="仿宋" w:cs="宋体"/>
          <w:color w:val="000000"/>
        </w:rPr>
        <w:t>7.4</w:t>
      </w:r>
      <w:r>
        <w:rPr>
          <w:rFonts w:hint="eastAsia" w:ascii="仿宋" w:hAnsi="仿宋" w:eastAsia="仿宋" w:cs="宋体"/>
          <w:color w:val="000000"/>
        </w:rPr>
        <w:t>磋商小组必要时可以要求供应商提交有关证明和证件的原件，以便核验。拒不按要求提供原件的供应商，</w:t>
      </w:r>
      <w:r>
        <w:rPr>
          <w:rFonts w:hint="eastAsia" w:ascii="仿宋" w:hAnsi="仿宋" w:eastAsia="仿宋" w:cs="仿宋"/>
          <w:b/>
          <w:bCs/>
        </w:rPr>
        <w:t>磋商小组有权对其响应做否决处理。</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8.</w:t>
      </w:r>
      <w:r>
        <w:rPr>
          <w:rFonts w:hint="eastAsia" w:ascii="仿宋" w:hAnsi="仿宋" w:eastAsia="仿宋" w:cs="仿宋"/>
          <w:color w:val="000000"/>
          <w:sz w:val="24"/>
          <w:szCs w:val="24"/>
        </w:rPr>
        <w:t>磋商程序</w:t>
      </w:r>
    </w:p>
    <w:p>
      <w:pPr>
        <w:spacing w:line="360" w:lineRule="auto"/>
        <w:rPr>
          <w:rFonts w:hint="eastAsia" w:ascii="仿宋" w:hAnsi="仿宋" w:eastAsia="仿宋" w:cs="仿宋"/>
          <w:color w:val="000000"/>
          <w:u w:val="single"/>
        </w:rPr>
      </w:pPr>
      <w:r>
        <w:rPr>
          <w:rFonts w:ascii="仿宋" w:hAnsi="仿宋" w:eastAsia="仿宋" w:cs="仿宋"/>
          <w:color w:val="000000"/>
        </w:rPr>
        <w:t>18</w:t>
      </w:r>
      <w:r>
        <w:rPr>
          <w:rFonts w:hint="eastAsia" w:ascii="仿宋" w:hAnsi="仿宋" w:eastAsia="仿宋" w:cs="仿宋"/>
          <w:color w:val="000000"/>
        </w:rPr>
        <w:t>.1磋商小组所有成员应当集中与通过初步评审的单一供应商分别进行磋商，并给予所有参加磋商的供应商平等的磋商机会。供应商磋商顺序、磋商形式以及其他要求等</w:t>
      </w:r>
      <w:r>
        <w:rPr>
          <w:rFonts w:hint="eastAsia" w:ascii="仿宋" w:hAnsi="仿宋" w:eastAsia="仿宋" w:cs="仿宋"/>
          <w:color w:val="000000"/>
          <w:u w:val="single"/>
        </w:rPr>
        <w:t>详见本须知前附表。</w:t>
      </w:r>
    </w:p>
    <w:p>
      <w:pPr>
        <w:spacing w:line="360" w:lineRule="auto"/>
        <w:rPr>
          <w:rFonts w:hint="eastAsia" w:ascii="仿宋" w:hAnsi="仿宋" w:eastAsia="仿宋" w:cs="仿宋"/>
          <w:color w:val="000000"/>
        </w:rPr>
      </w:pPr>
      <w:r>
        <w:rPr>
          <w:rFonts w:ascii="仿宋" w:hAnsi="仿宋" w:eastAsia="仿宋" w:cs="仿宋"/>
          <w:color w:val="000000"/>
        </w:rPr>
        <w:t>18.2</w:t>
      </w:r>
      <w:r>
        <w:rPr>
          <w:rFonts w:hint="eastAsia" w:ascii="仿宋" w:hAnsi="仿宋" w:eastAsia="仿宋" w:cs="仿宋"/>
          <w:color w:val="000000"/>
        </w:rPr>
        <w:t>磋商小组与供应商就磋商文件中的价格、商务内容、技术内容或有待供应商进一步明确的内容等进行一对一磋商，并要求实质性响应的供应商提交最终报价。具体磋商内容详见</w:t>
      </w:r>
      <w:r>
        <w:rPr>
          <w:rFonts w:hint="eastAsia" w:ascii="仿宋" w:hAnsi="仿宋" w:eastAsia="仿宋" w:cs="仿宋"/>
          <w:color w:val="000000"/>
          <w:u w:val="single"/>
        </w:rPr>
        <w:t>本须知前附表</w:t>
      </w:r>
      <w:r>
        <w:rPr>
          <w:rFonts w:hint="eastAsia" w:ascii="仿宋" w:hAnsi="仿宋" w:eastAsia="仿宋" w:cs="仿宋"/>
          <w:color w:val="000000"/>
        </w:rPr>
        <w:t>。</w:t>
      </w:r>
    </w:p>
    <w:p>
      <w:pPr>
        <w:spacing w:line="360" w:lineRule="auto"/>
        <w:rPr>
          <w:rFonts w:hint="eastAsia"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8.3</w:t>
      </w:r>
      <w:r>
        <w:rPr>
          <w:rFonts w:hint="eastAsia" w:ascii="仿宋_GB2312" w:hAnsi="宋体" w:eastAsia="仿宋_GB2312"/>
        </w:rPr>
        <w:t>磋商过程中可能实质性变动的内容：供应商报价及服务方案、承诺。采购需求中的商务、服务要求以及合同草案条款等。实质性变动的内容，须经磋商小组提出，最终涉及变动事项，供应商应授权代表人进行最终确认，签字或盖章有效。</w:t>
      </w:r>
    </w:p>
    <w:p>
      <w:pPr>
        <w:spacing w:line="360" w:lineRule="auto"/>
        <w:rPr>
          <w:rFonts w:hint="eastAsia" w:ascii="仿宋" w:hAnsi="仿宋" w:eastAsia="仿宋" w:cs="仿宋"/>
          <w:color w:val="000000"/>
        </w:rPr>
      </w:pPr>
      <w:r>
        <w:rPr>
          <w:rFonts w:ascii="仿宋" w:hAnsi="仿宋" w:eastAsia="仿宋" w:cs="仿宋"/>
          <w:color w:val="000000"/>
        </w:rPr>
        <w:t>18.3</w:t>
      </w:r>
      <w:r>
        <w:rPr>
          <w:rFonts w:hint="eastAsia" w:ascii="仿宋" w:hAnsi="仿宋" w:eastAsia="仿宋" w:cs="仿宋"/>
          <w:color w:val="000000"/>
        </w:rPr>
        <w:t>磋商小组可视情况要求供应商进行多轮磋商及报价。磋商中，任何一方不得向第三方透露与磋商有关的任何信息。</w:t>
      </w:r>
    </w:p>
    <w:bookmarkEnd w:id="94"/>
    <w:p>
      <w:pPr>
        <w:spacing w:line="360" w:lineRule="auto"/>
        <w:rPr>
          <w:rFonts w:hint="eastAsia"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8</w:t>
      </w:r>
      <w:r>
        <w:rPr>
          <w:rFonts w:hint="eastAsia" w:ascii="仿宋" w:hAnsi="仿宋" w:eastAsia="仿宋" w:cs="仿宋"/>
          <w:color w:val="000000"/>
        </w:rPr>
        <w:t>.4各轮报价有算术错误的，磋商小组按照以下原则对报价进行修正，修正的价格经供应商书面确认后具有约束力。供应商不接受或不确认修正后价格的，磋商小组</w:t>
      </w:r>
      <w:r>
        <w:rPr>
          <w:rFonts w:hint="eastAsia" w:ascii="仿宋" w:hAnsi="仿宋" w:eastAsia="仿宋" w:cs="仿宋"/>
          <w:b/>
          <w:bCs/>
          <w:color w:val="000000"/>
        </w:rPr>
        <w:t>应当否决其响应</w:t>
      </w:r>
      <w:r>
        <w:rPr>
          <w:rFonts w:hint="eastAsia" w:ascii="仿宋" w:hAnsi="仿宋" w:eastAsia="仿宋" w:cs="仿宋"/>
          <w:color w:val="000000"/>
        </w:rPr>
        <w:t>。</w:t>
      </w:r>
    </w:p>
    <w:p>
      <w:pPr>
        <w:spacing w:line="360" w:lineRule="auto"/>
        <w:rPr>
          <w:rFonts w:hint="eastAsia" w:ascii="仿宋" w:hAnsi="仿宋" w:eastAsia="仿宋" w:cs="仿宋"/>
          <w:color w:val="000000"/>
        </w:rPr>
      </w:pPr>
      <w:r>
        <w:rPr>
          <w:rFonts w:hint="eastAsia" w:ascii="仿宋" w:hAnsi="仿宋" w:eastAsia="仿宋" w:cs="仿宋"/>
          <w:color w:val="000000"/>
        </w:rPr>
        <w:t>（1）大写金额与小写金额不一致的，以大写金额为准；</w:t>
      </w:r>
    </w:p>
    <w:p>
      <w:pPr>
        <w:spacing w:line="360" w:lineRule="auto"/>
        <w:rPr>
          <w:rFonts w:hint="eastAsia" w:ascii="仿宋" w:hAnsi="仿宋" w:eastAsia="仿宋" w:cs="仿宋"/>
          <w:color w:val="000000"/>
        </w:rPr>
      </w:pPr>
      <w:r>
        <w:rPr>
          <w:rFonts w:hint="eastAsia" w:ascii="仿宋" w:hAnsi="仿宋" w:eastAsia="仿宋" w:cs="仿宋"/>
          <w:color w:val="000000"/>
        </w:rPr>
        <w:t>（2）总价金额与根据单价计算出的结果不一致的，以单价金额为准修正总价，但单价金额小数点有明显错误的除外。</w:t>
      </w:r>
    </w:p>
    <w:bookmarkEnd w:id="93"/>
    <w:p>
      <w:pPr>
        <w:pStyle w:val="7"/>
        <w:spacing w:before="0" w:after="0" w:line="360" w:lineRule="auto"/>
        <w:rPr>
          <w:rFonts w:hint="eastAsia" w:ascii="仿宋" w:hAnsi="仿宋" w:eastAsia="仿宋" w:cs="仿宋"/>
          <w:color w:val="000000"/>
          <w:sz w:val="24"/>
          <w:szCs w:val="24"/>
        </w:rPr>
      </w:pPr>
      <w:r>
        <w:rPr>
          <w:rFonts w:ascii="仿宋" w:hAnsi="仿宋" w:eastAsia="仿宋" w:cs="仿宋"/>
          <w:color w:val="000000"/>
          <w:sz w:val="24"/>
          <w:szCs w:val="24"/>
        </w:rPr>
        <w:t>19</w:t>
      </w:r>
      <w:r>
        <w:rPr>
          <w:rFonts w:hint="eastAsia" w:ascii="仿宋" w:hAnsi="仿宋" w:eastAsia="仿宋" w:cs="仿宋"/>
          <w:color w:val="000000"/>
          <w:sz w:val="24"/>
          <w:szCs w:val="24"/>
        </w:rPr>
        <w:t>.详细评审</w:t>
      </w:r>
    </w:p>
    <w:p>
      <w:pPr>
        <w:spacing w:line="360" w:lineRule="auto"/>
        <w:rPr>
          <w:rFonts w:hint="eastAsia" w:ascii="仿宋" w:hAnsi="仿宋" w:eastAsia="仿宋" w:cs="仿宋"/>
          <w:color w:val="000000"/>
        </w:rPr>
      </w:pPr>
      <w:r>
        <w:rPr>
          <w:rFonts w:ascii="仿宋" w:hAnsi="仿宋" w:eastAsia="仿宋" w:cs="仿宋"/>
          <w:color w:val="000000"/>
        </w:rPr>
        <w:t>19</w:t>
      </w:r>
      <w:r>
        <w:rPr>
          <w:rFonts w:hint="eastAsia" w:ascii="仿宋" w:hAnsi="仿宋" w:eastAsia="仿宋" w:cs="仿宋"/>
          <w:color w:val="000000"/>
        </w:rPr>
        <w:t>.1磋商小组采用综合评分法对提交最终报价的供应商的响应文件及其最终报价进行综合评分。综合评分法，是指响应文件满足磋商文件全部实质性要求且按评审因素的量化指标评审得分最高的供应商为成交候选人的评审方法。磋商文件中没有规定的评审标准不得作为评审依据。</w:t>
      </w:r>
    </w:p>
    <w:p>
      <w:pPr>
        <w:spacing w:line="360" w:lineRule="auto"/>
        <w:rPr>
          <w:rFonts w:hint="eastAsia" w:ascii="仿宋" w:hAnsi="仿宋" w:eastAsia="仿宋" w:cs="仿宋"/>
          <w:color w:val="000000"/>
        </w:rPr>
      </w:pPr>
      <w:r>
        <w:rPr>
          <w:rFonts w:ascii="仿宋" w:hAnsi="仿宋" w:eastAsia="仿宋" w:cs="仿宋"/>
          <w:color w:val="000000"/>
        </w:rPr>
        <w:t>19</w:t>
      </w:r>
      <w:r>
        <w:rPr>
          <w:rFonts w:hint="eastAsia" w:ascii="仿宋" w:hAnsi="仿宋" w:eastAsia="仿宋" w:cs="仿宋"/>
          <w:color w:val="000000"/>
        </w:rPr>
        <w:t>.2发生以下情形之一的，原则上做终止采购处理：</w:t>
      </w:r>
    </w:p>
    <w:p>
      <w:pPr>
        <w:spacing w:line="360" w:lineRule="auto"/>
        <w:rPr>
          <w:rFonts w:hint="eastAsia" w:ascii="仿宋" w:hAnsi="仿宋" w:eastAsia="仿宋" w:cs="仿宋"/>
          <w:color w:val="000000"/>
        </w:rPr>
      </w:pPr>
      <w:r>
        <w:rPr>
          <w:rFonts w:hint="eastAsia" w:ascii="仿宋" w:hAnsi="仿宋" w:eastAsia="仿宋" w:cs="仿宋"/>
          <w:color w:val="000000"/>
        </w:rPr>
        <w:t>（1）出现影响采购公正的违法、违规行为的；</w:t>
      </w:r>
    </w:p>
    <w:p>
      <w:pPr>
        <w:spacing w:line="360" w:lineRule="auto"/>
        <w:rPr>
          <w:rFonts w:hint="eastAsia" w:ascii="仿宋" w:hAnsi="仿宋" w:eastAsia="仿宋" w:cs="仿宋"/>
          <w:color w:val="000000"/>
        </w:rPr>
      </w:pPr>
      <w:r>
        <w:rPr>
          <w:rFonts w:hint="eastAsia" w:ascii="仿宋" w:hAnsi="仿宋" w:eastAsia="仿宋" w:cs="仿宋"/>
          <w:color w:val="000000"/>
        </w:rPr>
        <w:t>（2）成交候选人报价超过预算金额，采购需求方无法解决的；</w:t>
      </w:r>
    </w:p>
    <w:p>
      <w:pPr>
        <w:spacing w:line="360" w:lineRule="auto"/>
        <w:rPr>
          <w:rFonts w:hint="eastAsia" w:ascii="仿宋" w:hAnsi="仿宋" w:eastAsia="仿宋" w:cs="仿宋"/>
          <w:color w:val="000000"/>
        </w:rPr>
      </w:pPr>
      <w:r>
        <w:rPr>
          <w:rFonts w:hint="eastAsia" w:ascii="仿宋" w:hAnsi="仿宋" w:eastAsia="仿宋" w:cs="仿宋"/>
          <w:color w:val="000000"/>
        </w:rPr>
        <w:t xml:space="preserve">（3）成交人为N家（1＜N≤3）的项目，有效供应商少于2N家（不含本数）；成交人为N家（N＞3）的项目，有效供应商少于1.5N家（不含本数）； </w:t>
      </w:r>
    </w:p>
    <w:p>
      <w:pPr>
        <w:spacing w:line="360" w:lineRule="auto"/>
        <w:rPr>
          <w:rFonts w:hint="eastAsia" w:ascii="仿宋" w:hAnsi="仿宋" w:eastAsia="仿宋" w:cs="仿宋"/>
          <w:color w:val="000000"/>
        </w:rPr>
      </w:pPr>
      <w:r>
        <w:rPr>
          <w:rFonts w:hint="eastAsia" w:ascii="仿宋" w:hAnsi="仿宋" w:eastAsia="仿宋" w:cs="仿宋"/>
          <w:color w:val="000000"/>
        </w:rPr>
        <w:t>（4）因重大变故，采购任务取消。</w:t>
      </w:r>
    </w:p>
    <w:p>
      <w:pPr>
        <w:topLinePunct/>
        <w:spacing w:line="360" w:lineRule="auto"/>
        <w:rPr>
          <w:rFonts w:hint="eastAsia" w:ascii="仿宋" w:hAnsi="仿宋" w:eastAsia="仿宋" w:cs="宋体"/>
          <w:color w:val="000000"/>
        </w:rPr>
      </w:pPr>
      <w:r>
        <w:rPr>
          <w:rFonts w:ascii="仿宋" w:hAnsi="仿宋" w:eastAsia="仿宋" w:cs="仿宋"/>
          <w:color w:val="000000"/>
        </w:rPr>
        <w:t>19</w:t>
      </w:r>
      <w:r>
        <w:rPr>
          <w:rFonts w:hint="eastAsia" w:ascii="仿宋" w:hAnsi="仿宋" w:eastAsia="仿宋" w:cs="仿宋"/>
          <w:color w:val="000000"/>
        </w:rPr>
        <w:t>.</w:t>
      </w:r>
      <w:r>
        <w:rPr>
          <w:rFonts w:ascii="仿宋" w:hAnsi="仿宋" w:eastAsia="仿宋" w:cs="仿宋"/>
          <w:color w:val="000000"/>
        </w:rPr>
        <w:t>3</w:t>
      </w:r>
      <w:r>
        <w:rPr>
          <w:rFonts w:hint="eastAsia" w:ascii="仿宋" w:hAnsi="仿宋" w:eastAsia="仿宋" w:cs="仿宋"/>
          <w:color w:val="000000"/>
        </w:rPr>
        <w:t>成交候选人推荐原则</w:t>
      </w:r>
      <w:r>
        <w:rPr>
          <w:rFonts w:hint="eastAsia" w:ascii="仿宋" w:hAnsi="仿宋" w:eastAsia="仿宋" w:cs="仿宋"/>
          <w:color w:val="000000"/>
          <w:u w:val="single"/>
        </w:rPr>
        <w:t>详见本须知前附表</w:t>
      </w:r>
      <w:r>
        <w:rPr>
          <w:rFonts w:hint="eastAsia" w:ascii="仿宋" w:hAnsi="仿宋" w:eastAsia="仿宋" w:cs="仿宋"/>
          <w:color w:val="000000"/>
        </w:rPr>
        <w:t>。</w:t>
      </w:r>
      <w:r>
        <w:rPr>
          <w:rFonts w:hint="eastAsia" w:ascii="仿宋" w:hAnsi="仿宋" w:eastAsia="仿宋" w:cs="宋体"/>
          <w:color w:val="000000"/>
        </w:rPr>
        <w:t>成交候选人的经营、财务状况发生较大变化或者存在违法行为，采购人认为可能影响其履约能力的，应当在发出成交通知书前由原磋商小组会按照磋商文件规定的标准和方法审查确认。</w:t>
      </w:r>
    </w:p>
    <w:p>
      <w:pPr>
        <w:pStyle w:val="7"/>
        <w:spacing w:before="0" w:after="0" w:line="360" w:lineRule="auto"/>
        <w:rPr>
          <w:rFonts w:hint="eastAsia" w:ascii="仿宋" w:hAnsi="仿宋" w:eastAsia="仿宋" w:cs="仿宋"/>
          <w:color w:val="000000"/>
          <w:sz w:val="24"/>
          <w:szCs w:val="24"/>
        </w:rPr>
      </w:pPr>
      <w:r>
        <w:rPr>
          <w:rFonts w:ascii="仿宋" w:hAnsi="仿宋" w:eastAsia="仿宋" w:cs="仿宋"/>
          <w:color w:val="000000"/>
          <w:sz w:val="24"/>
          <w:szCs w:val="24"/>
        </w:rPr>
        <w:t>20</w:t>
      </w:r>
      <w:r>
        <w:rPr>
          <w:rFonts w:hint="eastAsia" w:ascii="仿宋" w:hAnsi="仿宋" w:eastAsia="仿宋" w:cs="仿宋"/>
          <w:color w:val="000000"/>
          <w:sz w:val="24"/>
          <w:szCs w:val="24"/>
        </w:rPr>
        <w:t>．特别声明</w:t>
      </w:r>
    </w:p>
    <w:p>
      <w:pPr>
        <w:snapToGrid w:val="0"/>
        <w:spacing w:line="360" w:lineRule="auto"/>
        <w:ind w:right="-57"/>
        <w:rPr>
          <w:rFonts w:hint="eastAsia" w:ascii="仿宋_GB2312" w:hAnsi="宋体" w:eastAsia="仿宋_GB2312"/>
        </w:rPr>
      </w:pPr>
      <w:r>
        <w:rPr>
          <w:rFonts w:ascii="仿宋_GB2312" w:hAnsi="宋体" w:eastAsia="仿宋_GB2312"/>
        </w:rPr>
        <w:t>20.1供应商</w:t>
      </w:r>
      <w:r>
        <w:rPr>
          <w:rFonts w:hint="eastAsia" w:ascii="仿宋_GB2312" w:hAnsi="宋体" w:eastAsia="仿宋_GB2312"/>
        </w:rPr>
        <w:t>提供虚假材料或文件的，自动丧失参加资格。</w:t>
      </w:r>
    </w:p>
    <w:p>
      <w:pPr>
        <w:snapToGrid w:val="0"/>
        <w:spacing w:line="360" w:lineRule="auto"/>
        <w:ind w:right="-57"/>
        <w:rPr>
          <w:rFonts w:hint="eastAsia" w:ascii="仿宋_GB2312" w:hAnsi="宋体" w:eastAsia="仿宋_GB2312"/>
        </w:rPr>
      </w:pPr>
      <w:r>
        <w:rPr>
          <w:rFonts w:ascii="仿宋_GB2312" w:hAnsi="宋体" w:eastAsia="仿宋_GB2312"/>
        </w:rPr>
        <w:t>20.2供应商</w:t>
      </w:r>
      <w:r>
        <w:rPr>
          <w:rFonts w:hint="eastAsia" w:ascii="仿宋_GB2312" w:hAnsi="宋体" w:eastAsia="仿宋_GB2312"/>
        </w:rPr>
        <w:t>未在响应文件中提及和承诺，但又未明确书面提出异议的事项，按本磋商磋商邀请函的有关要求执行。</w:t>
      </w:r>
    </w:p>
    <w:p>
      <w:pPr>
        <w:snapToGrid w:val="0"/>
        <w:spacing w:line="360" w:lineRule="auto"/>
        <w:ind w:right="-57"/>
        <w:rPr>
          <w:rFonts w:hint="eastAsia" w:ascii="仿宋_GB2312" w:hAnsi="宋体" w:eastAsia="仿宋_GB2312"/>
        </w:rPr>
      </w:pPr>
      <w:r>
        <w:rPr>
          <w:rFonts w:ascii="仿宋_GB2312" w:hAnsi="宋体" w:eastAsia="仿宋_GB2312"/>
        </w:rPr>
        <w:t>20.3</w:t>
      </w:r>
      <w:r>
        <w:rPr>
          <w:rFonts w:hint="eastAsia" w:ascii="仿宋_GB2312" w:hAnsi="宋体" w:eastAsia="仿宋_GB2312"/>
        </w:rPr>
        <w:t>供应商不应将本次采购理解为政府采购与招标。</w:t>
      </w:r>
    </w:p>
    <w:p>
      <w:pPr>
        <w:snapToGrid w:val="0"/>
        <w:spacing w:line="360" w:lineRule="auto"/>
        <w:ind w:right="-57"/>
        <w:rPr>
          <w:rFonts w:hint="eastAsia" w:ascii="仿宋_GB2312" w:hAnsi="宋体" w:eastAsia="仿宋_GB2312"/>
        </w:rPr>
      </w:pPr>
      <w:r>
        <w:rPr>
          <w:rFonts w:ascii="仿宋_GB2312" w:hAnsi="宋体" w:eastAsia="仿宋_GB2312"/>
        </w:rPr>
        <w:t>20.4供应商</w:t>
      </w:r>
      <w:r>
        <w:rPr>
          <w:rFonts w:hint="eastAsia" w:ascii="仿宋_GB2312" w:hAnsi="宋体" w:eastAsia="仿宋_GB2312"/>
        </w:rPr>
        <w:t>没有按规定时间和内容提供材料的，视为放弃。</w:t>
      </w:r>
    </w:p>
    <w:p>
      <w:pPr>
        <w:snapToGrid w:val="0"/>
        <w:spacing w:line="360" w:lineRule="auto"/>
        <w:ind w:right="-57"/>
        <w:rPr>
          <w:rFonts w:hint="eastAsia" w:ascii="仿宋_GB2312" w:hAnsi="宋体" w:eastAsia="仿宋_GB2312"/>
        </w:rPr>
      </w:pPr>
      <w:r>
        <w:rPr>
          <w:rFonts w:ascii="仿宋_GB2312" w:hAnsi="宋体" w:eastAsia="仿宋_GB2312"/>
        </w:rPr>
        <w:t>20.5</w:t>
      </w:r>
      <w:r>
        <w:rPr>
          <w:rFonts w:hint="eastAsia" w:ascii="仿宋_GB2312" w:hAnsi="宋体" w:eastAsia="仿宋_GB2312"/>
        </w:rPr>
        <w:t>磋商文件及附件之著作权受中国法律保护，所有文件仅限于供应商参加本次采购磋商使用，任何用于其他目的之复制或引用均应事先获得采购方书面许可。</w:t>
      </w:r>
    </w:p>
    <w:p>
      <w:pPr>
        <w:pStyle w:val="7"/>
        <w:spacing w:before="0" w:after="0" w:line="360" w:lineRule="auto"/>
        <w:rPr>
          <w:rFonts w:hint="eastAsia" w:ascii="仿宋" w:hAnsi="仿宋" w:eastAsia="仿宋" w:cs="仿宋"/>
          <w:color w:val="000000"/>
          <w:sz w:val="24"/>
          <w:szCs w:val="24"/>
        </w:rPr>
      </w:pPr>
      <w:r>
        <w:rPr>
          <w:rFonts w:ascii="仿宋" w:hAnsi="仿宋" w:eastAsia="仿宋" w:cs="仿宋"/>
          <w:color w:val="000000"/>
          <w:sz w:val="24"/>
          <w:szCs w:val="24"/>
        </w:rPr>
        <w:t>21</w:t>
      </w:r>
      <w:r>
        <w:rPr>
          <w:rFonts w:hint="eastAsia" w:ascii="仿宋" w:hAnsi="仿宋" w:eastAsia="仿宋" w:cs="仿宋"/>
          <w:color w:val="000000"/>
          <w:sz w:val="24"/>
          <w:szCs w:val="24"/>
        </w:rPr>
        <w:t>．确定成交供应商</w:t>
      </w:r>
    </w:p>
    <w:p>
      <w:pPr>
        <w:pStyle w:val="2"/>
        <w:snapToGrid w:val="0"/>
        <w:spacing w:after="0" w:line="360" w:lineRule="auto"/>
        <w:ind w:right="-57" w:firstLine="480" w:firstLineChars="200"/>
        <w:rPr>
          <w:rFonts w:hint="eastAsia" w:ascii="仿宋_GB2312" w:hAnsi="宋体" w:eastAsia="仿宋_GB2312"/>
        </w:rPr>
      </w:pPr>
      <w:r>
        <w:rPr>
          <w:rFonts w:hint="eastAsia" w:ascii="仿宋_GB2312" w:hAnsi="宋体" w:eastAsia="仿宋_GB2312"/>
        </w:rPr>
        <w:t>采购人确定成交供应商过程中，发现成交候选供应商有下列情形之一的，将取消其成交资格，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p>
    <w:p>
      <w:pPr>
        <w:pStyle w:val="2"/>
        <w:snapToGrid w:val="0"/>
        <w:spacing w:after="0" w:line="360" w:lineRule="auto"/>
        <w:ind w:right="-57" w:firstLine="424" w:firstLineChars="177"/>
        <w:rPr>
          <w:rFonts w:hint="eastAsia" w:ascii="仿宋_GB2312" w:hAnsi="宋体" w:eastAsia="仿宋_GB2312"/>
        </w:rPr>
      </w:pPr>
      <w:r>
        <w:rPr>
          <w:rFonts w:hint="eastAsia" w:ascii="仿宋_GB2312" w:hAnsi="宋体" w:eastAsia="仿宋_GB2312"/>
        </w:rPr>
        <w:t>（1）成交候选供应商存在违法、违纪行为的；</w:t>
      </w:r>
    </w:p>
    <w:p>
      <w:pPr>
        <w:pStyle w:val="2"/>
        <w:snapToGrid w:val="0"/>
        <w:spacing w:after="0" w:line="360" w:lineRule="auto"/>
        <w:ind w:right="-57" w:firstLine="424" w:firstLineChars="177"/>
        <w:rPr>
          <w:rFonts w:hint="eastAsia" w:ascii="仿宋_GB2312" w:hAnsi="宋体" w:eastAsia="仿宋_GB2312"/>
        </w:rPr>
      </w:pPr>
      <w:r>
        <w:rPr>
          <w:rFonts w:hint="eastAsia" w:ascii="仿宋_GB2312" w:hAnsi="宋体" w:eastAsia="仿宋_GB2312"/>
        </w:rPr>
        <w:t>（2）成交候选供应商因不可抗力、社会经济形势发生重大变化、破产、重组等原因确定无法履行采购合同的；</w:t>
      </w:r>
    </w:p>
    <w:p>
      <w:pPr>
        <w:pStyle w:val="2"/>
        <w:snapToGrid w:val="0"/>
        <w:spacing w:after="0" w:line="360" w:lineRule="auto"/>
        <w:ind w:right="-57" w:firstLine="424" w:firstLineChars="177"/>
        <w:rPr>
          <w:rFonts w:hint="eastAsia" w:ascii="仿宋_GB2312" w:hAnsi="宋体" w:eastAsia="仿宋_GB2312"/>
        </w:rPr>
      </w:pPr>
      <w:r>
        <w:rPr>
          <w:rFonts w:hint="eastAsia" w:ascii="仿宋_GB2312" w:hAnsi="宋体" w:eastAsia="仿宋_GB2312"/>
        </w:rPr>
        <w:t>（3）成交候选供应商书面自愿放弃成交，且无其他非法目的的；</w:t>
      </w:r>
    </w:p>
    <w:p>
      <w:pPr>
        <w:pStyle w:val="2"/>
        <w:snapToGrid w:val="0"/>
        <w:spacing w:after="0" w:line="360" w:lineRule="auto"/>
        <w:ind w:right="-57" w:firstLine="424" w:firstLineChars="177"/>
        <w:rPr>
          <w:rFonts w:hint="eastAsia" w:ascii="仿宋_GB2312" w:hAnsi="宋体" w:eastAsia="仿宋_GB2312"/>
        </w:rPr>
      </w:pPr>
      <w:r>
        <w:rPr>
          <w:rFonts w:hint="eastAsia" w:ascii="仿宋_GB2312" w:hAnsi="宋体" w:eastAsia="仿宋_GB2312"/>
        </w:rPr>
        <w:t>（</w:t>
      </w:r>
      <w:r>
        <w:rPr>
          <w:rFonts w:ascii="仿宋_GB2312" w:hAnsi="宋体" w:eastAsia="仿宋_GB2312"/>
        </w:rPr>
        <w:t>4</w:t>
      </w:r>
      <w:r>
        <w:rPr>
          <w:rFonts w:hint="eastAsia" w:ascii="仿宋_GB2312" w:hAnsi="宋体" w:eastAsia="仿宋_GB2312"/>
        </w:rPr>
        <w:t>）成交候选供应商在提交响应文件截止时间后撤回响应文件的；</w:t>
      </w:r>
    </w:p>
    <w:p>
      <w:pPr>
        <w:pStyle w:val="2"/>
        <w:snapToGrid w:val="0"/>
        <w:spacing w:after="0" w:line="360" w:lineRule="auto"/>
        <w:ind w:right="-57" w:firstLine="424" w:firstLineChars="177"/>
        <w:rPr>
          <w:rFonts w:hint="eastAsia" w:ascii="仿宋_GB2312" w:hAnsi="宋体" w:eastAsia="仿宋_GB2312"/>
        </w:rPr>
      </w:pPr>
      <w:r>
        <w:rPr>
          <w:rFonts w:hint="eastAsia" w:ascii="仿宋_GB2312" w:hAnsi="宋体" w:eastAsia="仿宋_GB2312"/>
        </w:rPr>
        <w:t>（</w:t>
      </w:r>
      <w:r>
        <w:rPr>
          <w:rFonts w:ascii="仿宋_GB2312" w:hAnsi="宋体" w:eastAsia="仿宋_GB2312"/>
        </w:rPr>
        <w:t>5</w:t>
      </w:r>
      <w:r>
        <w:rPr>
          <w:rFonts w:hint="eastAsia" w:ascii="仿宋_GB2312" w:hAnsi="宋体" w:eastAsia="仿宋_GB2312"/>
        </w:rPr>
        <w:t>）成交候选供应商在响应文件中提供虚假材料的；</w:t>
      </w:r>
    </w:p>
    <w:p>
      <w:pPr>
        <w:pStyle w:val="2"/>
        <w:snapToGrid w:val="0"/>
        <w:spacing w:after="0" w:line="360" w:lineRule="auto"/>
        <w:ind w:right="-57" w:firstLine="424" w:firstLineChars="177"/>
        <w:rPr>
          <w:rFonts w:hint="eastAsia" w:ascii="仿宋_GB2312" w:hAnsi="宋体" w:eastAsia="仿宋_GB2312"/>
        </w:rPr>
      </w:pPr>
      <w:r>
        <w:rPr>
          <w:rFonts w:hint="eastAsia" w:ascii="仿宋_GB2312" w:hAnsi="宋体" w:eastAsia="仿宋_GB2312"/>
        </w:rPr>
        <w:t>（</w:t>
      </w:r>
      <w:r>
        <w:rPr>
          <w:rFonts w:ascii="仿宋_GB2312" w:hAnsi="宋体" w:eastAsia="仿宋_GB2312"/>
        </w:rPr>
        <w:t>6</w:t>
      </w:r>
      <w:r>
        <w:rPr>
          <w:rFonts w:hint="eastAsia" w:ascii="仿宋_GB2312" w:hAnsi="宋体" w:eastAsia="仿宋_GB2312"/>
        </w:rPr>
        <w:t>）除因不可抗力或磋商文件认可的情形以外，成交供应商不与采购人签订合同的；</w:t>
      </w:r>
    </w:p>
    <w:p>
      <w:pPr>
        <w:pStyle w:val="2"/>
        <w:snapToGrid w:val="0"/>
        <w:spacing w:after="0" w:line="360" w:lineRule="auto"/>
        <w:ind w:right="-57" w:firstLine="424" w:firstLineChars="177"/>
        <w:rPr>
          <w:rFonts w:hint="eastAsia" w:ascii="仿宋_GB2312" w:hAnsi="宋体" w:eastAsia="仿宋_GB2312"/>
        </w:rPr>
      </w:pPr>
      <w:r>
        <w:rPr>
          <w:rFonts w:hint="eastAsia" w:ascii="仿宋_GB2312" w:hAnsi="宋体" w:eastAsia="仿宋_GB2312"/>
        </w:rPr>
        <w:t>（</w:t>
      </w:r>
      <w:r>
        <w:rPr>
          <w:rFonts w:ascii="仿宋_GB2312" w:hAnsi="宋体" w:eastAsia="仿宋_GB2312"/>
        </w:rPr>
        <w:t>7</w:t>
      </w:r>
      <w:r>
        <w:rPr>
          <w:rFonts w:hint="eastAsia" w:ascii="仿宋_GB2312" w:hAnsi="宋体" w:eastAsia="仿宋_GB2312"/>
        </w:rPr>
        <w:t>）成交候选供应商与采购人或者其他供应商恶意串通的；</w:t>
      </w:r>
    </w:p>
    <w:p>
      <w:pPr>
        <w:pStyle w:val="2"/>
        <w:snapToGrid w:val="0"/>
        <w:spacing w:after="0" w:line="360" w:lineRule="auto"/>
        <w:ind w:right="-57" w:firstLine="424" w:firstLineChars="177"/>
        <w:rPr>
          <w:rFonts w:hint="eastAsia" w:ascii="仿宋_GB2312" w:hAnsi="宋体" w:eastAsia="仿宋_GB2312"/>
        </w:rPr>
      </w:pPr>
      <w:r>
        <w:rPr>
          <w:rFonts w:hint="eastAsia" w:ascii="仿宋_GB2312" w:hAnsi="宋体" w:eastAsia="仿宋_GB2312"/>
        </w:rPr>
        <w:t>（</w:t>
      </w:r>
      <w:r>
        <w:rPr>
          <w:rFonts w:ascii="仿宋_GB2312" w:hAnsi="宋体" w:eastAsia="仿宋_GB2312"/>
        </w:rPr>
        <w:t>8</w:t>
      </w:r>
      <w:r>
        <w:rPr>
          <w:rFonts w:hint="eastAsia" w:ascii="仿宋_GB2312" w:hAnsi="宋体" w:eastAsia="仿宋_GB2312"/>
        </w:rPr>
        <w:t>）成交供应商在签订合同时向采购人提出附加条件或要求变更实质性合同条款的；</w:t>
      </w:r>
    </w:p>
    <w:p>
      <w:pPr>
        <w:pStyle w:val="2"/>
        <w:snapToGrid w:val="0"/>
        <w:spacing w:after="0" w:line="360" w:lineRule="auto"/>
        <w:ind w:right="-57" w:firstLine="424" w:firstLineChars="177"/>
        <w:rPr>
          <w:rFonts w:hint="eastAsia" w:ascii="仿宋" w:hAnsi="仿宋" w:eastAsia="仿宋" w:cs="仿宋"/>
          <w:lang w:bidi="ar"/>
        </w:rPr>
      </w:pPr>
      <w:r>
        <w:rPr>
          <w:rFonts w:hint="eastAsia" w:ascii="仿宋_GB2312" w:hAnsi="宋体" w:eastAsia="仿宋_GB2312"/>
        </w:rPr>
        <w:t>（</w:t>
      </w:r>
      <w:r>
        <w:rPr>
          <w:rFonts w:ascii="仿宋_GB2312" w:hAnsi="宋体" w:eastAsia="仿宋_GB2312"/>
        </w:rPr>
        <w:t>9</w:t>
      </w:r>
      <w:r>
        <w:rPr>
          <w:rFonts w:hint="eastAsia" w:ascii="仿宋_GB2312" w:hAnsi="宋体" w:eastAsia="仿宋_GB2312"/>
        </w:rPr>
        <w:t>）</w:t>
      </w:r>
      <w:r>
        <w:rPr>
          <w:rFonts w:hint="eastAsia" w:ascii="仿宋" w:hAnsi="仿宋" w:eastAsia="仿宋" w:cs="仿宋"/>
          <w:lang w:bidi="ar"/>
        </w:rPr>
        <w:t>供应商有恶意欺诈、弄虚作假、围标串标、哄抬标价、徇私行贿等法律法规中所列违规行为的；</w:t>
      </w:r>
    </w:p>
    <w:p>
      <w:pPr>
        <w:pStyle w:val="2"/>
        <w:snapToGrid w:val="0"/>
        <w:spacing w:after="0" w:line="360" w:lineRule="auto"/>
        <w:ind w:right="-57" w:firstLine="424" w:firstLineChars="177"/>
        <w:rPr>
          <w:rFonts w:hint="eastAsia" w:ascii="仿宋" w:hAnsi="仿宋" w:eastAsia="仿宋" w:cs="仿宋"/>
          <w:lang w:bidi="ar"/>
        </w:rPr>
      </w:pPr>
      <w:r>
        <w:rPr>
          <w:rFonts w:hint="eastAsia" w:ascii="仿宋" w:hAnsi="仿宋" w:eastAsia="仿宋" w:cs="仿宋"/>
          <w:lang w:bidi="ar"/>
        </w:rPr>
        <w:t>（1</w:t>
      </w:r>
      <w:r>
        <w:rPr>
          <w:rFonts w:ascii="仿宋" w:hAnsi="仿宋" w:eastAsia="仿宋" w:cs="仿宋"/>
          <w:lang w:bidi="ar"/>
        </w:rPr>
        <w:t>0</w:t>
      </w:r>
      <w:r>
        <w:rPr>
          <w:rFonts w:hint="eastAsia" w:ascii="仿宋" w:hAnsi="仿宋" w:eastAsia="仿宋" w:cs="仿宋"/>
          <w:lang w:bidi="ar"/>
        </w:rPr>
        <w:t>）成交供应商不按照磋商文件要求提交履约保证金的；</w:t>
      </w:r>
    </w:p>
    <w:p>
      <w:pPr>
        <w:pStyle w:val="2"/>
        <w:snapToGrid w:val="0"/>
        <w:spacing w:after="0" w:line="360" w:lineRule="auto"/>
        <w:ind w:right="-57" w:firstLine="424" w:firstLineChars="177"/>
        <w:rPr>
          <w:rFonts w:hint="eastAsia" w:ascii="仿宋_GB2312" w:hAnsi="宋体" w:eastAsia="仿宋_GB2312"/>
        </w:rPr>
      </w:pPr>
      <w:r>
        <w:rPr>
          <w:rFonts w:hint="eastAsia" w:ascii="仿宋_GB2312" w:hAnsi="宋体" w:eastAsia="仿宋_GB2312"/>
        </w:rPr>
        <w:t>（</w:t>
      </w:r>
      <w:r>
        <w:rPr>
          <w:rFonts w:ascii="仿宋_GB2312" w:hAnsi="宋体" w:eastAsia="仿宋_GB2312"/>
        </w:rPr>
        <w:t>11</w:t>
      </w:r>
      <w:r>
        <w:rPr>
          <w:rFonts w:hint="eastAsia" w:ascii="仿宋_GB2312" w:hAnsi="宋体" w:eastAsia="仿宋_GB2312"/>
        </w:rPr>
        <w:t>）其他不应确定成交供应商的情形。</w:t>
      </w:r>
    </w:p>
    <w:p>
      <w:pPr>
        <w:pStyle w:val="6"/>
        <w:spacing w:before="0" w:after="0" w:line="360" w:lineRule="auto"/>
        <w:ind w:firstLine="482"/>
        <w:rPr>
          <w:rFonts w:hint="eastAsia" w:ascii="仿宋" w:hAnsi="仿宋" w:eastAsia="仿宋" w:cs="仿宋"/>
          <w:color w:val="000000"/>
          <w:sz w:val="24"/>
          <w:szCs w:val="24"/>
        </w:rPr>
      </w:pPr>
      <w:bookmarkStart w:id="95" w:name="_Toc13936"/>
      <w:bookmarkStart w:id="96" w:name="_Toc517281822"/>
      <w:bookmarkStart w:id="97" w:name="_Toc444891342"/>
      <w:bookmarkStart w:id="98" w:name="_Toc234223231"/>
      <w:bookmarkStart w:id="99" w:name="_Toc16781"/>
      <w:bookmarkStart w:id="100" w:name="_Toc19451"/>
      <w:bookmarkStart w:id="101" w:name="_Toc287600124"/>
      <w:bookmarkStart w:id="102" w:name="_Toc9911"/>
      <w:bookmarkStart w:id="103" w:name="_Toc28031"/>
      <w:bookmarkStart w:id="104" w:name="_Toc186737805"/>
      <w:bookmarkStart w:id="105" w:name="_Toc2322"/>
      <w:r>
        <w:rPr>
          <w:rFonts w:hint="eastAsia" w:ascii="仿宋" w:hAnsi="仿宋" w:eastAsia="仿宋" w:cs="仿宋"/>
          <w:color w:val="000000"/>
          <w:sz w:val="24"/>
          <w:szCs w:val="24"/>
        </w:rPr>
        <w:t>（六）授予合同</w:t>
      </w:r>
      <w:bookmarkEnd w:id="95"/>
      <w:bookmarkEnd w:id="96"/>
      <w:bookmarkEnd w:id="97"/>
      <w:bookmarkEnd w:id="98"/>
      <w:bookmarkEnd w:id="99"/>
      <w:bookmarkEnd w:id="100"/>
      <w:bookmarkEnd w:id="101"/>
      <w:bookmarkEnd w:id="102"/>
      <w:bookmarkEnd w:id="103"/>
      <w:bookmarkEnd w:id="104"/>
      <w:bookmarkEnd w:id="105"/>
    </w:p>
    <w:p>
      <w:pPr>
        <w:pStyle w:val="7"/>
        <w:spacing w:before="0" w:after="0" w:line="360" w:lineRule="auto"/>
        <w:rPr>
          <w:rFonts w:hint="eastAsia" w:ascii="仿宋" w:hAnsi="仿宋" w:eastAsia="仿宋" w:cs="仿宋"/>
          <w:color w:val="000000"/>
          <w:sz w:val="24"/>
          <w:szCs w:val="24"/>
        </w:rPr>
      </w:pPr>
      <w:bookmarkStart w:id="106" w:name="_Toc234223232"/>
      <w:r>
        <w:rPr>
          <w:rFonts w:hint="eastAsia" w:ascii="仿宋" w:hAnsi="仿宋" w:eastAsia="仿宋" w:cs="仿宋"/>
          <w:color w:val="000000"/>
          <w:sz w:val="24"/>
          <w:szCs w:val="24"/>
        </w:rPr>
        <w:t>2</w:t>
      </w:r>
      <w:r>
        <w:rPr>
          <w:rFonts w:ascii="仿宋" w:hAnsi="仿宋" w:eastAsia="仿宋" w:cs="仿宋"/>
          <w:color w:val="000000"/>
          <w:sz w:val="24"/>
          <w:szCs w:val="24"/>
        </w:rPr>
        <w:t>2.</w:t>
      </w:r>
      <w:r>
        <w:rPr>
          <w:rFonts w:hint="eastAsia" w:ascii="仿宋" w:hAnsi="仿宋" w:eastAsia="仿宋" w:cs="仿宋"/>
          <w:color w:val="000000"/>
          <w:sz w:val="24"/>
          <w:szCs w:val="24"/>
        </w:rPr>
        <w:t>确定</w:t>
      </w:r>
      <w:bookmarkEnd w:id="106"/>
      <w:r>
        <w:rPr>
          <w:rFonts w:hint="eastAsia" w:ascii="仿宋" w:hAnsi="仿宋" w:eastAsia="仿宋" w:cs="仿宋"/>
          <w:color w:val="000000"/>
          <w:sz w:val="24"/>
          <w:szCs w:val="24"/>
        </w:rPr>
        <w:t>成交人</w:t>
      </w:r>
    </w:p>
    <w:p>
      <w:pPr>
        <w:spacing w:line="360" w:lineRule="auto"/>
        <w:rPr>
          <w:rFonts w:hint="eastAsia" w:ascii="仿宋" w:hAnsi="仿宋" w:eastAsia="仿宋" w:cs="仿宋"/>
          <w:color w:val="000000"/>
        </w:rPr>
      </w:pPr>
      <w:r>
        <w:rPr>
          <w:rFonts w:ascii="仿宋" w:hAnsi="仿宋" w:eastAsia="仿宋" w:cs="仿宋"/>
          <w:color w:val="000000"/>
        </w:rPr>
        <w:t>23.1</w:t>
      </w:r>
      <w:r>
        <w:rPr>
          <w:rFonts w:hint="eastAsia" w:ascii="仿宋" w:hAnsi="仿宋" w:eastAsia="仿宋" w:cs="仿宋"/>
          <w:color w:val="000000"/>
        </w:rPr>
        <w:t>采购人依据磋商小组推荐的成交候选人名单确定成交人，成交人数量</w:t>
      </w:r>
      <w:r>
        <w:rPr>
          <w:rFonts w:hint="eastAsia" w:ascii="仿宋" w:hAnsi="仿宋" w:eastAsia="仿宋" w:cs="仿宋"/>
          <w:color w:val="000000"/>
          <w:u w:val="single"/>
        </w:rPr>
        <w:t>见本须知前附表</w:t>
      </w:r>
      <w:r>
        <w:rPr>
          <w:rFonts w:hint="eastAsia" w:ascii="仿宋" w:hAnsi="仿宋" w:eastAsia="仿宋" w:cs="仿宋"/>
          <w:color w:val="000000"/>
        </w:rPr>
        <w:t>。</w:t>
      </w:r>
    </w:p>
    <w:p>
      <w:pPr>
        <w:topLinePunct/>
        <w:spacing w:line="360" w:lineRule="auto"/>
        <w:rPr>
          <w:rFonts w:hint="eastAsia" w:ascii="仿宋" w:hAnsi="仿宋" w:eastAsia="仿宋" w:cs="宋体"/>
          <w:color w:val="000000"/>
        </w:rPr>
      </w:pPr>
      <w:r>
        <w:rPr>
          <w:rFonts w:ascii="仿宋" w:hAnsi="仿宋" w:eastAsia="仿宋" w:cs="宋体"/>
          <w:color w:val="000000"/>
        </w:rPr>
        <w:t>23.</w:t>
      </w:r>
      <w:r>
        <w:rPr>
          <w:rFonts w:hint="eastAsia" w:ascii="仿宋" w:hAnsi="仿宋" w:eastAsia="仿宋" w:cs="宋体"/>
          <w:color w:val="000000"/>
        </w:rPr>
        <w:t>2成交人确定后，采购人应当向成交人发出成交通知书。成交通知书对采购人和成交人均具有法律效力。成交人收到成交通知书后放弃成交的，应当承担法律责任。</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2</w:t>
      </w:r>
      <w:r>
        <w:rPr>
          <w:rFonts w:ascii="仿宋" w:hAnsi="仿宋" w:eastAsia="仿宋" w:cs="仿宋"/>
          <w:color w:val="000000"/>
          <w:sz w:val="24"/>
          <w:szCs w:val="24"/>
        </w:rPr>
        <w:t>3.</w:t>
      </w:r>
      <w:r>
        <w:rPr>
          <w:rFonts w:hint="eastAsia" w:ascii="仿宋" w:hAnsi="仿宋" w:eastAsia="仿宋" w:cs="仿宋"/>
          <w:color w:val="000000"/>
          <w:sz w:val="24"/>
          <w:szCs w:val="24"/>
        </w:rPr>
        <w:t>签订合同</w:t>
      </w:r>
    </w:p>
    <w:p>
      <w:pPr>
        <w:topLinePunct/>
        <w:spacing w:line="360" w:lineRule="auto"/>
        <w:rPr>
          <w:rFonts w:hint="eastAsia" w:ascii="仿宋" w:hAnsi="仿宋" w:eastAsia="仿宋" w:cs="仿宋"/>
          <w:color w:val="000000"/>
        </w:rPr>
      </w:pPr>
      <w:r>
        <w:rPr>
          <w:rFonts w:hint="eastAsia" w:ascii="仿宋" w:hAnsi="仿宋" w:eastAsia="仿宋" w:cs="仿宋"/>
          <w:color w:val="000000"/>
        </w:rPr>
        <w:t>2</w:t>
      </w:r>
      <w:r>
        <w:rPr>
          <w:rFonts w:ascii="仿宋" w:hAnsi="仿宋" w:eastAsia="仿宋" w:cs="仿宋"/>
          <w:color w:val="000000"/>
        </w:rPr>
        <w:t>3.1</w:t>
      </w:r>
      <w:r>
        <w:rPr>
          <w:rFonts w:hint="eastAsia" w:ascii="仿宋" w:hAnsi="仿宋" w:eastAsia="仿宋" w:cs="仿宋"/>
          <w:color w:val="000000"/>
        </w:rPr>
        <w:t>采购人与成交人按照磋商文件和成交人的响应文件</w:t>
      </w:r>
      <w:r>
        <w:rPr>
          <w:rFonts w:hint="eastAsia" w:ascii="仿宋" w:hAnsi="仿宋" w:eastAsia="仿宋" w:cs="宋体"/>
          <w:color w:val="000000"/>
        </w:rPr>
        <w:t>订立书面合同。合同的标的、价款、质量、履行期限等主要条款应当与</w:t>
      </w:r>
      <w:r>
        <w:rPr>
          <w:rFonts w:hint="eastAsia" w:ascii="仿宋" w:hAnsi="仿宋" w:eastAsia="仿宋" w:cs="仿宋"/>
          <w:color w:val="000000"/>
        </w:rPr>
        <w:t>磋商</w:t>
      </w:r>
      <w:r>
        <w:rPr>
          <w:rFonts w:hint="eastAsia" w:ascii="仿宋" w:hAnsi="仿宋" w:eastAsia="仿宋" w:cs="宋体"/>
          <w:color w:val="000000"/>
        </w:rPr>
        <w:t>文件和</w:t>
      </w:r>
      <w:r>
        <w:rPr>
          <w:rFonts w:hint="eastAsia" w:ascii="仿宋" w:hAnsi="仿宋" w:eastAsia="仿宋" w:cs="仿宋"/>
          <w:color w:val="000000"/>
        </w:rPr>
        <w:t>成交</w:t>
      </w:r>
      <w:r>
        <w:rPr>
          <w:rFonts w:hint="eastAsia" w:ascii="仿宋" w:hAnsi="仿宋" w:eastAsia="仿宋" w:cs="宋体"/>
          <w:color w:val="000000"/>
        </w:rPr>
        <w:t>人的</w:t>
      </w:r>
      <w:r>
        <w:rPr>
          <w:rFonts w:hint="eastAsia" w:ascii="仿宋" w:hAnsi="仿宋" w:eastAsia="仿宋" w:cs="仿宋"/>
          <w:color w:val="000000"/>
        </w:rPr>
        <w:t>响应</w:t>
      </w:r>
      <w:r>
        <w:rPr>
          <w:rFonts w:hint="eastAsia" w:ascii="仿宋" w:hAnsi="仿宋" w:eastAsia="仿宋" w:cs="宋体"/>
          <w:color w:val="000000"/>
        </w:rPr>
        <w:t>文件的内容一致。</w:t>
      </w:r>
    </w:p>
    <w:p>
      <w:pPr>
        <w:topLinePunct/>
        <w:spacing w:line="360" w:lineRule="auto"/>
        <w:rPr>
          <w:rFonts w:hint="eastAsia" w:ascii="仿宋" w:hAnsi="仿宋" w:eastAsia="仿宋" w:cs="宋体"/>
          <w:color w:val="000000"/>
        </w:rPr>
      </w:pPr>
      <w:r>
        <w:rPr>
          <w:rFonts w:hint="eastAsia" w:ascii="仿宋" w:hAnsi="仿宋" w:eastAsia="仿宋" w:cs="仿宋"/>
          <w:color w:val="000000"/>
        </w:rPr>
        <w:t>2</w:t>
      </w:r>
      <w:r>
        <w:rPr>
          <w:rFonts w:ascii="仿宋" w:hAnsi="仿宋" w:eastAsia="仿宋" w:cs="仿宋"/>
          <w:color w:val="000000"/>
        </w:rPr>
        <w:t>3.2</w:t>
      </w:r>
      <w:r>
        <w:rPr>
          <w:rFonts w:hint="eastAsia" w:ascii="仿宋" w:hAnsi="仿宋" w:eastAsia="仿宋" w:cs="仿宋"/>
          <w:color w:val="000000"/>
        </w:rPr>
        <w:t xml:space="preserve"> </w:t>
      </w:r>
      <w:r>
        <w:rPr>
          <w:rFonts w:hint="eastAsia" w:ascii="仿宋" w:hAnsi="仿宋" w:eastAsia="仿宋" w:cs="宋体"/>
          <w:color w:val="000000"/>
        </w:rPr>
        <w:t>成交人无正当理由不与采购人订立合同，在签订合同时向采购人提出附加条件，将取消其成交资格。给采购人造成损失的，成交人应当予以赔偿。</w:t>
      </w:r>
    </w:p>
    <w:p>
      <w:pPr>
        <w:topLinePunct/>
        <w:spacing w:line="360" w:lineRule="auto"/>
        <w:rPr>
          <w:rFonts w:hint="eastAsia" w:ascii="仿宋" w:hAnsi="仿宋" w:eastAsia="仿宋" w:cs="宋体"/>
          <w:color w:val="000000"/>
        </w:rPr>
      </w:pPr>
      <w:r>
        <w:rPr>
          <w:rFonts w:ascii="仿宋" w:hAnsi="仿宋" w:eastAsia="仿宋" w:cs="宋体"/>
          <w:color w:val="000000"/>
        </w:rPr>
        <w:t>23.3</w:t>
      </w:r>
      <w:r>
        <w:rPr>
          <w:rFonts w:hint="eastAsia" w:ascii="仿宋" w:hAnsi="仿宋" w:eastAsia="仿宋" w:cs="宋体"/>
          <w:color w:val="000000"/>
        </w:rPr>
        <w:t>磋商文件要求成交人提交履约保证金的，成交人应当按照</w:t>
      </w:r>
      <w:r>
        <w:rPr>
          <w:rFonts w:hint="eastAsia" w:ascii="仿宋" w:hAnsi="仿宋" w:eastAsia="仿宋" w:cs="宋体"/>
          <w:color w:val="000000"/>
          <w:u w:val="single"/>
        </w:rPr>
        <w:t>本须知前附表</w:t>
      </w:r>
      <w:r>
        <w:rPr>
          <w:rFonts w:hint="eastAsia" w:ascii="仿宋" w:hAnsi="仿宋" w:eastAsia="仿宋" w:cs="宋体"/>
          <w:color w:val="000000"/>
        </w:rPr>
        <w:t>要求的金额和方式递交。成交人如不按要求提交履约保证金，将取消其成交资格。</w:t>
      </w:r>
    </w:p>
    <w:p>
      <w:pPr>
        <w:topLinePunct/>
        <w:spacing w:line="360" w:lineRule="auto"/>
        <w:rPr>
          <w:rFonts w:hint="eastAsia" w:ascii="仿宋" w:hAnsi="仿宋" w:eastAsia="仿宋" w:cs="宋体"/>
          <w:color w:val="000000"/>
        </w:rPr>
      </w:pPr>
      <w:r>
        <w:rPr>
          <w:rFonts w:hint="eastAsia" w:ascii="仿宋" w:hAnsi="仿宋" w:eastAsia="仿宋" w:cs="宋体"/>
          <w:color w:val="000000"/>
        </w:rPr>
        <w:t>2</w:t>
      </w:r>
      <w:r>
        <w:rPr>
          <w:rFonts w:ascii="仿宋" w:hAnsi="仿宋" w:eastAsia="仿宋" w:cs="宋体"/>
          <w:color w:val="000000"/>
        </w:rPr>
        <w:t>3</w:t>
      </w:r>
      <w:r>
        <w:rPr>
          <w:rFonts w:hint="eastAsia" w:ascii="仿宋" w:hAnsi="仿宋" w:eastAsia="仿宋" w:cs="宋体"/>
          <w:color w:val="000000"/>
        </w:rPr>
        <w:t>.4成交供应商</w:t>
      </w:r>
      <w:r>
        <w:rPr>
          <w:rFonts w:ascii="仿宋" w:hAnsi="仿宋" w:eastAsia="仿宋" w:cs="宋体"/>
          <w:color w:val="000000"/>
        </w:rPr>
        <w:t>不履行与</w:t>
      </w:r>
      <w:r>
        <w:rPr>
          <w:rFonts w:hint="eastAsia" w:ascii="仿宋" w:hAnsi="仿宋" w:eastAsia="仿宋" w:cs="宋体"/>
          <w:color w:val="000000"/>
        </w:rPr>
        <w:t>采购</w:t>
      </w:r>
      <w:r>
        <w:rPr>
          <w:rFonts w:ascii="仿宋" w:hAnsi="仿宋" w:eastAsia="仿宋" w:cs="宋体"/>
          <w:color w:val="000000"/>
        </w:rPr>
        <w:t>人订立的合同的，</w:t>
      </w:r>
      <w:r>
        <w:rPr>
          <w:rFonts w:hint="eastAsia" w:ascii="仿宋" w:hAnsi="仿宋" w:eastAsia="仿宋" w:cs="宋体"/>
          <w:color w:val="000000"/>
        </w:rPr>
        <w:t>履约</w:t>
      </w:r>
      <w:r>
        <w:rPr>
          <w:rFonts w:ascii="仿宋" w:hAnsi="仿宋" w:eastAsia="仿宋" w:cs="宋体"/>
          <w:color w:val="000000"/>
        </w:rPr>
        <w:t>保证金不予退还，给</w:t>
      </w:r>
      <w:r>
        <w:rPr>
          <w:rFonts w:hint="eastAsia" w:ascii="仿宋" w:hAnsi="仿宋" w:eastAsia="仿宋" w:cs="宋体"/>
          <w:color w:val="000000"/>
        </w:rPr>
        <w:t>采购</w:t>
      </w:r>
      <w:r>
        <w:rPr>
          <w:rFonts w:ascii="仿宋" w:hAnsi="仿宋" w:eastAsia="仿宋" w:cs="宋体"/>
          <w:color w:val="000000"/>
        </w:rPr>
        <w:t>人造成的损失超过履约保证金数额的，还应当对超过部分予以赔偿；没有提交履约保证金的，应当对</w:t>
      </w:r>
      <w:r>
        <w:rPr>
          <w:rFonts w:hint="eastAsia" w:ascii="仿宋" w:hAnsi="仿宋" w:eastAsia="仿宋" w:cs="宋体"/>
          <w:color w:val="000000"/>
        </w:rPr>
        <w:t>采购</w:t>
      </w:r>
      <w:r>
        <w:rPr>
          <w:rFonts w:ascii="仿宋" w:hAnsi="仿宋" w:eastAsia="仿宋" w:cs="宋体"/>
          <w:color w:val="000000"/>
        </w:rPr>
        <w:t>人的损失承担赔偿责任。</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3"/>
      </w:pPr>
    </w:p>
    <w:p/>
    <w:p>
      <w:pPr>
        <w:pStyle w:val="2"/>
      </w:pPr>
    </w:p>
    <w:p>
      <w:pPr>
        <w:pStyle w:val="3"/>
      </w:pPr>
    </w:p>
    <w:p>
      <w:pPr>
        <w:pStyle w:val="4"/>
        <w:spacing w:before="0" w:after="0"/>
        <w:jc w:val="left"/>
        <w:rPr>
          <w:rFonts w:hint="eastAsia" w:ascii="仿宋" w:hAnsi="仿宋" w:eastAsia="仿宋" w:cs="仿宋"/>
          <w:sz w:val="28"/>
          <w:szCs w:val="28"/>
        </w:rPr>
      </w:pPr>
      <w:bookmarkStart w:id="107" w:name="_Toc10670"/>
      <w:bookmarkStart w:id="108" w:name="_Toc186737806"/>
      <w:bookmarkStart w:id="109" w:name="_Toc8109"/>
      <w:r>
        <w:rPr>
          <w:rFonts w:hint="eastAsia" w:ascii="仿宋" w:hAnsi="仿宋" w:eastAsia="仿宋" w:cs="仿宋"/>
          <w:sz w:val="28"/>
          <w:szCs w:val="28"/>
        </w:rPr>
        <w:t>第三章 评审办法</w:t>
      </w:r>
      <w:bookmarkEnd w:id="107"/>
      <w:bookmarkEnd w:id="108"/>
    </w:p>
    <w:p>
      <w:pPr>
        <w:pStyle w:val="5"/>
        <w:jc w:val="left"/>
        <w:rPr>
          <w:rFonts w:hint="eastAsia" w:ascii="仿宋" w:hAnsi="仿宋" w:eastAsia="仿宋" w:cs="仿宋"/>
          <w:color w:val="000000"/>
          <w:sz w:val="24"/>
          <w:szCs w:val="24"/>
        </w:rPr>
      </w:pPr>
      <w:bookmarkStart w:id="110" w:name="_Toc7201"/>
      <w:bookmarkStart w:id="111" w:name="_Toc186737807"/>
      <w:bookmarkStart w:id="112" w:name="_Toc517281825"/>
      <w:bookmarkStart w:id="113" w:name="_Toc444891344"/>
      <w:bookmarkStart w:id="114" w:name="_Toc227057964"/>
      <w:bookmarkStart w:id="115" w:name="_Toc226969358"/>
      <w:r>
        <w:rPr>
          <w:rFonts w:hint="eastAsia" w:ascii="仿宋" w:hAnsi="仿宋" w:eastAsia="仿宋" w:cs="仿宋"/>
          <w:color w:val="000000"/>
          <w:sz w:val="24"/>
          <w:szCs w:val="24"/>
        </w:rPr>
        <w:t>一、评审程序</w:t>
      </w:r>
      <w:bookmarkEnd w:id="110"/>
      <w:bookmarkEnd w:id="111"/>
      <w:bookmarkEnd w:id="112"/>
      <w:bookmarkEnd w:id="113"/>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磋商小组对响应文件中的相关内容进行评审。评审按照以下程序进行：</w:t>
      </w:r>
    </w:p>
    <w:p>
      <w:pPr>
        <w:spacing w:line="360" w:lineRule="auto"/>
        <w:ind w:firstLine="420" w:firstLineChars="175"/>
        <w:rPr>
          <w:rFonts w:hint="eastAsia" w:ascii="仿宋" w:hAnsi="仿宋" w:eastAsia="仿宋" w:cs="仿宋"/>
          <w:color w:val="000000"/>
        </w:rPr>
      </w:pPr>
      <w:r>
        <w:rPr>
          <w:rFonts w:hint="eastAsia" w:ascii="仿宋" w:hAnsi="仿宋" w:eastAsia="仿宋" w:cs="仿宋"/>
          <w:color w:val="000000"/>
        </w:rPr>
        <w:t>1.熟悉磋商文件；</w:t>
      </w:r>
    </w:p>
    <w:p>
      <w:pPr>
        <w:spacing w:line="360" w:lineRule="auto"/>
        <w:ind w:firstLine="420" w:firstLineChars="175"/>
        <w:rPr>
          <w:rFonts w:hint="eastAsia" w:ascii="仿宋" w:hAnsi="仿宋" w:eastAsia="仿宋" w:cs="仿宋"/>
          <w:color w:val="000000"/>
        </w:rPr>
      </w:pPr>
      <w:r>
        <w:rPr>
          <w:rFonts w:hint="eastAsia" w:ascii="仿宋" w:hAnsi="仿宋" w:eastAsia="仿宋" w:cs="仿宋"/>
          <w:color w:val="000000"/>
        </w:rPr>
        <w:t>2.对响应文件进行初步评审，检查响应文件是否满足磋商文件的初审要求；初步评审中不符合评审标准的，将做否决磋商响应处理；</w:t>
      </w:r>
    </w:p>
    <w:p>
      <w:pPr>
        <w:spacing w:line="360" w:lineRule="auto"/>
        <w:ind w:firstLine="420" w:firstLineChars="175"/>
        <w:rPr>
          <w:rFonts w:hint="eastAsia" w:ascii="仿宋" w:hAnsi="仿宋" w:eastAsia="仿宋" w:cs="仿宋"/>
          <w:color w:val="000000"/>
        </w:rPr>
      </w:pPr>
      <w:r>
        <w:rPr>
          <w:rFonts w:hint="eastAsia" w:ascii="仿宋" w:hAnsi="仿宋" w:eastAsia="仿宋" w:cs="仿宋"/>
          <w:color w:val="000000"/>
        </w:rPr>
        <w:t>3.供应商有以下情形之一的，磋商小组应当否决其磋商响应：</w:t>
      </w:r>
    </w:p>
    <w:p>
      <w:pPr>
        <w:spacing w:line="360" w:lineRule="auto"/>
        <w:ind w:firstLine="420" w:firstLineChars="175"/>
        <w:rPr>
          <w:rFonts w:hint="eastAsia" w:ascii="仿宋" w:hAnsi="仿宋" w:eastAsia="仿宋" w:cs="仿宋"/>
        </w:rPr>
      </w:pPr>
      <w:r>
        <w:rPr>
          <w:rFonts w:hint="eastAsia" w:ascii="仿宋" w:hAnsi="仿宋" w:eastAsia="仿宋" w:cs="仿宋"/>
        </w:rPr>
        <w:t>（1）按照磋商公告要求已经递交电子响应文件，但未按要求递交纸质响应文件；</w:t>
      </w:r>
    </w:p>
    <w:p>
      <w:pPr>
        <w:spacing w:line="360" w:lineRule="auto"/>
        <w:ind w:firstLine="420" w:firstLineChars="175"/>
        <w:rPr>
          <w:rFonts w:hint="eastAsia" w:ascii="仿宋" w:hAnsi="仿宋" w:eastAsia="仿宋" w:cs="仿宋"/>
        </w:rPr>
      </w:pPr>
      <w:r>
        <w:rPr>
          <w:rFonts w:hint="eastAsia" w:ascii="仿宋" w:hAnsi="仿宋" w:eastAsia="仿宋" w:cs="仿宋"/>
        </w:rPr>
        <w:t>（2）响应文件未经供应商盖章和单位负责人签字；</w:t>
      </w:r>
    </w:p>
    <w:p>
      <w:pPr>
        <w:spacing w:line="360" w:lineRule="auto"/>
        <w:ind w:firstLine="420" w:firstLineChars="175"/>
        <w:rPr>
          <w:rFonts w:hint="eastAsia" w:ascii="仿宋" w:hAnsi="仿宋" w:eastAsia="仿宋" w:cs="仿宋"/>
        </w:rPr>
      </w:pPr>
      <w:r>
        <w:rPr>
          <w:rFonts w:hint="eastAsia" w:ascii="仿宋" w:hAnsi="仿宋" w:eastAsia="仿宋" w:cs="仿宋"/>
        </w:rPr>
        <w:t>（3）允许联合体响应的，联合体没有递交共同响应协议；</w:t>
      </w:r>
    </w:p>
    <w:p>
      <w:pPr>
        <w:spacing w:line="360" w:lineRule="auto"/>
        <w:ind w:firstLine="420" w:firstLineChars="175"/>
        <w:rPr>
          <w:rFonts w:hint="eastAsia" w:ascii="仿宋" w:hAnsi="仿宋" w:eastAsia="仿宋" w:cs="仿宋"/>
        </w:rPr>
      </w:pPr>
      <w:r>
        <w:rPr>
          <w:rFonts w:hint="eastAsia" w:ascii="仿宋" w:hAnsi="仿宋" w:eastAsia="仿宋" w:cs="仿宋"/>
        </w:rPr>
        <w:t>（4）不符合国家或者磋商文件规定的资格条件；</w:t>
      </w:r>
    </w:p>
    <w:p>
      <w:pPr>
        <w:spacing w:line="360" w:lineRule="auto"/>
        <w:ind w:firstLine="420" w:firstLineChars="175"/>
        <w:rPr>
          <w:rFonts w:hint="eastAsia" w:ascii="仿宋" w:hAnsi="仿宋" w:eastAsia="仿宋" w:cs="仿宋"/>
        </w:rPr>
      </w:pPr>
      <w:r>
        <w:rPr>
          <w:rFonts w:hint="eastAsia" w:ascii="仿宋" w:hAnsi="仿宋" w:eastAsia="仿宋" w:cs="仿宋"/>
        </w:rPr>
        <w:t>（5）同一供应商提交两个以上不同的响应文件或者响应报价，但磋商文件要求提交备选文件的除外；</w:t>
      </w:r>
    </w:p>
    <w:p>
      <w:pPr>
        <w:spacing w:line="360" w:lineRule="auto"/>
        <w:ind w:firstLine="420" w:firstLineChars="175"/>
        <w:rPr>
          <w:rFonts w:hint="eastAsia" w:ascii="仿宋" w:hAnsi="仿宋" w:eastAsia="仿宋" w:cs="宋体"/>
          <w:color w:val="000000"/>
        </w:rPr>
      </w:pPr>
      <w:r>
        <w:rPr>
          <w:rFonts w:hint="eastAsia" w:ascii="仿宋" w:hAnsi="仿宋" w:eastAsia="仿宋" w:cs="仿宋"/>
        </w:rPr>
        <w:t>（6）</w:t>
      </w:r>
      <w:r>
        <w:rPr>
          <w:rFonts w:hint="eastAsia" w:ascii="仿宋" w:hAnsi="仿宋" w:eastAsia="仿宋" w:cs="宋体"/>
          <w:color w:val="000000"/>
        </w:rPr>
        <w:t>最终报价低于成本或者高于磋商文件设定的最高投标限价；</w:t>
      </w:r>
    </w:p>
    <w:p>
      <w:pPr>
        <w:spacing w:line="360" w:lineRule="auto"/>
        <w:ind w:firstLine="420" w:firstLineChars="175"/>
        <w:rPr>
          <w:rFonts w:hint="eastAsia" w:ascii="仿宋" w:hAnsi="仿宋" w:eastAsia="仿宋" w:cs="宋体"/>
          <w:color w:val="000000"/>
        </w:rPr>
      </w:pPr>
      <w:r>
        <w:rPr>
          <w:rFonts w:hint="eastAsia" w:ascii="仿宋" w:hAnsi="仿宋" w:eastAsia="仿宋" w:cs="宋体"/>
          <w:color w:val="000000"/>
        </w:rPr>
        <w:t xml:space="preserve">（7）响应文件未对磋商文件的实质性要求和条件作出响应； </w:t>
      </w:r>
    </w:p>
    <w:p>
      <w:pPr>
        <w:spacing w:line="360" w:lineRule="auto"/>
        <w:ind w:firstLine="420" w:firstLineChars="175"/>
        <w:rPr>
          <w:rFonts w:hint="eastAsia" w:ascii="仿宋" w:hAnsi="仿宋" w:eastAsia="仿宋" w:cs="宋体"/>
          <w:color w:val="000000"/>
        </w:rPr>
      </w:pPr>
      <w:r>
        <w:rPr>
          <w:rFonts w:hint="eastAsia" w:ascii="仿宋" w:hAnsi="仿宋" w:eastAsia="仿宋" w:cs="宋体"/>
          <w:color w:val="000000"/>
        </w:rPr>
        <w:t>（8）供应商有串通投标、弄虚作假、行贿等违法行为；</w:t>
      </w:r>
    </w:p>
    <w:p>
      <w:pPr>
        <w:spacing w:line="360" w:lineRule="auto"/>
        <w:ind w:firstLine="420" w:firstLineChars="175"/>
        <w:rPr>
          <w:rFonts w:hint="eastAsia" w:ascii="仿宋" w:hAnsi="仿宋" w:eastAsia="仿宋" w:cs="宋体"/>
          <w:color w:val="000000"/>
        </w:rPr>
      </w:pPr>
      <w:r>
        <w:rPr>
          <w:rFonts w:hint="eastAsia" w:ascii="仿宋" w:hAnsi="仿宋" w:eastAsia="仿宋" w:cs="宋体"/>
          <w:color w:val="000000"/>
        </w:rPr>
        <w:t>（9）不接受或不确认因算术性错误进行的价格修正；</w:t>
      </w:r>
    </w:p>
    <w:p>
      <w:pPr>
        <w:spacing w:line="360" w:lineRule="auto"/>
        <w:ind w:firstLine="420" w:firstLineChars="175"/>
        <w:rPr>
          <w:rFonts w:hint="eastAsia" w:ascii="仿宋" w:hAnsi="仿宋" w:eastAsia="仿宋" w:cs="宋体"/>
          <w:color w:val="000000"/>
        </w:rPr>
      </w:pPr>
      <w:r>
        <w:rPr>
          <w:rFonts w:hint="eastAsia" w:ascii="仿宋" w:hAnsi="仿宋" w:eastAsia="仿宋" w:cs="宋体"/>
          <w:color w:val="000000"/>
        </w:rPr>
        <w:t>（10）响应文件附有采购人不能接受的条件；</w:t>
      </w:r>
    </w:p>
    <w:p>
      <w:pPr>
        <w:spacing w:line="360" w:lineRule="auto"/>
        <w:ind w:firstLine="420" w:firstLineChars="175"/>
        <w:rPr>
          <w:rFonts w:hint="eastAsia" w:ascii="仿宋" w:hAnsi="仿宋" w:eastAsia="仿宋" w:cs="宋体"/>
          <w:color w:val="000000"/>
        </w:rPr>
      </w:pPr>
      <w:r>
        <w:rPr>
          <w:rFonts w:hint="eastAsia" w:ascii="仿宋" w:hAnsi="仿宋" w:eastAsia="仿宋" w:cs="宋体"/>
          <w:color w:val="000000"/>
        </w:rPr>
        <w:t>（11）不符合磋商文件中规定的其他实质性要求。</w:t>
      </w:r>
    </w:p>
    <w:p>
      <w:pPr>
        <w:spacing w:line="360" w:lineRule="auto"/>
        <w:ind w:firstLine="420" w:firstLineChars="175"/>
        <w:rPr>
          <w:rFonts w:hint="eastAsia" w:ascii="仿宋" w:hAnsi="仿宋" w:eastAsia="仿宋" w:cs="仿宋"/>
        </w:rPr>
      </w:pPr>
      <w:r>
        <w:rPr>
          <w:rFonts w:hint="eastAsia" w:ascii="仿宋" w:hAnsi="仿宋" w:eastAsia="仿宋" w:cs="仿宋"/>
          <w:color w:val="000000"/>
        </w:rPr>
        <w:t>4.初步评审</w:t>
      </w:r>
      <w:r>
        <w:rPr>
          <w:rFonts w:hint="eastAsia" w:ascii="仿宋" w:hAnsi="仿宋" w:eastAsia="仿宋" w:cs="仿宋"/>
          <w:color w:val="000000"/>
          <w:lang w:val="zh-CN"/>
        </w:rPr>
        <w:t>内容允许在磋商过程中按磋商小组规定的时间内补充，若未在规定时间内补充则将导致响应无效。</w:t>
      </w:r>
    </w:p>
    <w:p>
      <w:pPr>
        <w:spacing w:line="360" w:lineRule="auto"/>
        <w:ind w:firstLine="420" w:firstLineChars="175"/>
        <w:rPr>
          <w:rFonts w:hint="eastAsia" w:ascii="仿宋" w:hAnsi="仿宋" w:eastAsia="仿宋" w:cs="仿宋"/>
        </w:rPr>
      </w:pPr>
      <w:r>
        <w:rPr>
          <w:rFonts w:hint="eastAsia" w:ascii="仿宋" w:hAnsi="仿宋" w:eastAsia="仿宋" w:cs="仿宋"/>
        </w:rPr>
        <w:t>5.通过初步评审的供应商分别进行磋商；</w:t>
      </w:r>
    </w:p>
    <w:p>
      <w:pPr>
        <w:spacing w:line="360" w:lineRule="auto"/>
        <w:ind w:firstLine="420" w:firstLineChars="175"/>
        <w:rPr>
          <w:rFonts w:hint="eastAsia" w:ascii="仿宋" w:hAnsi="仿宋" w:eastAsia="仿宋" w:cs="仿宋"/>
        </w:rPr>
      </w:pPr>
      <w:r>
        <w:rPr>
          <w:rFonts w:hint="eastAsia" w:ascii="仿宋" w:hAnsi="仿宋" w:eastAsia="仿宋" w:cs="仿宋"/>
        </w:rPr>
        <w:t>6.通过初步评审的供应商进行最终报价；</w:t>
      </w:r>
    </w:p>
    <w:p>
      <w:pPr>
        <w:spacing w:line="360" w:lineRule="auto"/>
        <w:ind w:firstLine="420" w:firstLineChars="175"/>
        <w:rPr>
          <w:rFonts w:hint="eastAsia" w:ascii="仿宋" w:hAnsi="仿宋" w:eastAsia="仿宋" w:cs="仿宋"/>
        </w:rPr>
      </w:pPr>
      <w:r>
        <w:rPr>
          <w:rFonts w:hint="eastAsia" w:ascii="仿宋" w:hAnsi="仿宋" w:eastAsia="仿宋" w:cs="仿宋"/>
        </w:rPr>
        <w:t>7.通过初步评审的响应文件进行详细评审及打分；</w:t>
      </w:r>
    </w:p>
    <w:p>
      <w:pPr>
        <w:spacing w:line="360" w:lineRule="auto"/>
        <w:ind w:firstLine="420" w:firstLineChars="175"/>
        <w:rPr>
          <w:rFonts w:hint="eastAsia" w:ascii="仿宋" w:hAnsi="仿宋" w:eastAsia="仿宋" w:cs="仿宋"/>
          <w:color w:val="000000"/>
        </w:rPr>
      </w:pPr>
      <w:r>
        <w:rPr>
          <w:rFonts w:hint="eastAsia" w:ascii="仿宋" w:hAnsi="仿宋" w:eastAsia="仿宋" w:cs="仿宋"/>
        </w:rPr>
        <w:t>8.按照综合评分由高到低的次序推荐成交候选人，提交评审结果，评审结果应</w:t>
      </w:r>
      <w:r>
        <w:rPr>
          <w:rFonts w:hint="eastAsia" w:ascii="仿宋" w:hAnsi="仿宋" w:eastAsia="仿宋" w:cs="仿宋"/>
          <w:color w:val="000000"/>
        </w:rPr>
        <w:t>包含评审情况说明、排名次序、推荐成交候选人名单及其他说明事项。</w:t>
      </w:r>
    </w:p>
    <w:p>
      <w:pPr>
        <w:spacing w:line="360" w:lineRule="auto"/>
        <w:ind w:firstLine="420" w:firstLineChars="175"/>
        <w:rPr>
          <w:rFonts w:hint="eastAsia" w:ascii="仿宋" w:hAnsi="仿宋" w:eastAsia="仿宋" w:cs="仿宋"/>
          <w:color w:val="000000"/>
          <w:highlight w:val="yellow"/>
        </w:rPr>
      </w:pPr>
    </w:p>
    <w:p>
      <w:pPr>
        <w:pStyle w:val="5"/>
        <w:jc w:val="left"/>
        <w:rPr>
          <w:rFonts w:hint="eastAsia" w:ascii="仿宋" w:hAnsi="仿宋" w:eastAsia="仿宋" w:cs="仿宋"/>
          <w:color w:val="000000"/>
          <w:sz w:val="24"/>
          <w:szCs w:val="24"/>
        </w:rPr>
      </w:pPr>
      <w:bookmarkStart w:id="116" w:name="_Toc517281826"/>
      <w:bookmarkStart w:id="117" w:name="_Toc444891345"/>
      <w:r>
        <w:rPr>
          <w:rFonts w:hint="eastAsia" w:ascii="仿宋" w:hAnsi="仿宋" w:eastAsia="仿宋" w:cs="仿宋"/>
          <w:color w:val="000000"/>
          <w:sz w:val="24"/>
          <w:szCs w:val="24"/>
        </w:rPr>
        <w:br w:type="page"/>
      </w:r>
      <w:bookmarkStart w:id="118" w:name="_Toc186737808"/>
      <w:bookmarkStart w:id="119" w:name="_Toc32019"/>
    </w:p>
    <w:p>
      <w:pPr>
        <w:pStyle w:val="5"/>
        <w:jc w:val="left"/>
        <w:rPr>
          <w:rFonts w:hint="eastAsia" w:ascii="仿宋" w:hAnsi="仿宋" w:eastAsia="仿宋" w:cs="仿宋"/>
          <w:color w:val="000000"/>
          <w:sz w:val="24"/>
          <w:szCs w:val="24"/>
        </w:rPr>
      </w:pPr>
      <w:r>
        <w:rPr>
          <w:rFonts w:hint="eastAsia" w:ascii="仿宋" w:hAnsi="仿宋" w:eastAsia="仿宋" w:cs="仿宋"/>
          <w:color w:val="000000"/>
          <w:sz w:val="24"/>
          <w:szCs w:val="24"/>
        </w:rPr>
        <w:t>二、初步评审</w:t>
      </w:r>
      <w:bookmarkEnd w:id="116"/>
      <w:bookmarkEnd w:id="117"/>
      <w:bookmarkEnd w:id="118"/>
      <w:bookmarkEnd w:id="119"/>
    </w:p>
    <w:bookmarkEnd w:id="114"/>
    <w:bookmarkEnd w:id="115"/>
    <w:tbl>
      <w:tblPr>
        <w:tblStyle w:val="30"/>
        <w:tblW w:w="5000"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667"/>
        <w:gridCol w:w="1169"/>
        <w:gridCol w:w="1950"/>
        <w:gridCol w:w="6068"/>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Align w:val="center"/>
          </w:tcPr>
          <w:p>
            <w:pPr>
              <w:spacing w:line="360" w:lineRule="auto"/>
              <w:jc w:val="center"/>
              <w:rPr>
                <w:rFonts w:hint="eastAsia" w:ascii="仿宋" w:hAnsi="仿宋" w:eastAsia="仿宋" w:cs="仿宋"/>
                <w:b/>
                <w:color w:val="000000"/>
                <w:szCs w:val="21"/>
              </w:rPr>
            </w:pPr>
            <w:r>
              <w:rPr>
                <w:rFonts w:hint="eastAsia" w:ascii="仿宋" w:hAnsi="仿宋" w:eastAsia="仿宋" w:cs="仿宋"/>
                <w:b/>
                <w:color w:val="000000"/>
                <w:szCs w:val="21"/>
              </w:rPr>
              <w:t>序号</w:t>
            </w:r>
          </w:p>
        </w:tc>
        <w:tc>
          <w:tcPr>
            <w:tcW w:w="593" w:type="pct"/>
          </w:tcPr>
          <w:p>
            <w:pPr>
              <w:spacing w:before="24" w:after="24" w:line="360" w:lineRule="auto"/>
              <w:jc w:val="center"/>
              <w:rPr>
                <w:rFonts w:hint="eastAsia" w:ascii="仿宋" w:hAnsi="仿宋" w:eastAsia="仿宋" w:cs="仿宋"/>
                <w:b/>
                <w:color w:val="000000"/>
                <w:szCs w:val="21"/>
              </w:rPr>
            </w:pPr>
            <w:r>
              <w:rPr>
                <w:rFonts w:hint="eastAsia" w:ascii="仿宋" w:hAnsi="仿宋" w:eastAsia="仿宋" w:cs="仿宋"/>
                <w:b/>
                <w:color w:val="000000"/>
                <w:szCs w:val="21"/>
              </w:rPr>
              <w:t>评审环节</w:t>
            </w:r>
          </w:p>
        </w:tc>
        <w:tc>
          <w:tcPr>
            <w:tcW w:w="989" w:type="pct"/>
            <w:vAlign w:val="center"/>
          </w:tcPr>
          <w:p>
            <w:pPr>
              <w:spacing w:before="24" w:after="24" w:line="360" w:lineRule="auto"/>
              <w:jc w:val="center"/>
              <w:rPr>
                <w:rFonts w:hint="eastAsia" w:ascii="仿宋" w:hAnsi="仿宋" w:eastAsia="仿宋" w:cs="仿宋"/>
                <w:b/>
                <w:color w:val="000000"/>
                <w:szCs w:val="21"/>
              </w:rPr>
            </w:pPr>
            <w:r>
              <w:rPr>
                <w:rFonts w:hint="eastAsia" w:ascii="仿宋" w:hAnsi="仿宋" w:eastAsia="仿宋" w:cs="仿宋"/>
                <w:b/>
                <w:color w:val="000000"/>
                <w:szCs w:val="21"/>
              </w:rPr>
              <w:t>评审因素</w:t>
            </w:r>
          </w:p>
        </w:tc>
        <w:tc>
          <w:tcPr>
            <w:tcW w:w="3077" w:type="pct"/>
            <w:vAlign w:val="center"/>
          </w:tcPr>
          <w:p>
            <w:pPr>
              <w:spacing w:line="360" w:lineRule="auto"/>
              <w:jc w:val="center"/>
              <w:rPr>
                <w:rFonts w:hint="eastAsia" w:ascii="仿宋" w:hAnsi="仿宋" w:eastAsia="仿宋" w:cs="仿宋"/>
                <w:b/>
                <w:color w:val="000000"/>
                <w:szCs w:val="21"/>
              </w:rPr>
            </w:pPr>
            <w:r>
              <w:rPr>
                <w:rFonts w:hint="eastAsia" w:ascii="仿宋" w:hAnsi="仿宋" w:eastAsia="仿宋" w:cs="仿宋"/>
                <w:b/>
                <w:color w:val="000000"/>
                <w:szCs w:val="21"/>
              </w:rPr>
              <w:t>评审标准</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restart"/>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1</w:t>
            </w:r>
          </w:p>
        </w:tc>
        <w:tc>
          <w:tcPr>
            <w:tcW w:w="593" w:type="pct"/>
            <w:vMerge w:val="restart"/>
            <w:vAlign w:val="center"/>
          </w:tcPr>
          <w:p>
            <w:pPr>
              <w:spacing w:before="24" w:after="24"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形式评审标准</w:t>
            </w:r>
          </w:p>
        </w:tc>
        <w:tc>
          <w:tcPr>
            <w:tcW w:w="989" w:type="pct"/>
            <w:vAlign w:val="center"/>
          </w:tcPr>
          <w:p>
            <w:pPr>
              <w:spacing w:before="24" w:after="24" w:line="276" w:lineRule="auto"/>
              <w:jc w:val="center"/>
              <w:rPr>
                <w:rFonts w:hint="eastAsia" w:ascii="仿宋" w:hAnsi="仿宋" w:eastAsia="仿宋" w:cs="仿宋"/>
                <w:color w:val="000000"/>
                <w:szCs w:val="21"/>
              </w:rPr>
            </w:pPr>
            <w:r>
              <w:rPr>
                <w:rFonts w:hint="eastAsia" w:ascii="仿宋" w:hAnsi="仿宋" w:eastAsia="仿宋" w:cs="仿宋"/>
                <w:color w:val="000000"/>
                <w:szCs w:val="21"/>
              </w:rPr>
              <w:t>供应商名称</w:t>
            </w:r>
          </w:p>
        </w:tc>
        <w:tc>
          <w:tcPr>
            <w:tcW w:w="3077" w:type="pct"/>
            <w:vAlign w:val="center"/>
          </w:tcPr>
          <w:p>
            <w:pPr>
              <w:spacing w:before="24" w:after="24" w:line="276" w:lineRule="auto"/>
              <w:rPr>
                <w:rFonts w:hint="eastAsia" w:ascii="仿宋" w:hAnsi="仿宋" w:eastAsia="仿宋" w:cs="仿宋"/>
                <w:color w:val="000000"/>
                <w:szCs w:val="21"/>
              </w:rPr>
            </w:pPr>
            <w:r>
              <w:rPr>
                <w:rFonts w:hint="eastAsia" w:ascii="仿宋" w:hAnsi="仿宋" w:eastAsia="仿宋" w:cs="Cambria Math"/>
                <w:color w:val="000000"/>
                <w:szCs w:val="21"/>
              </w:rPr>
              <w:t>与企业营业执照、单位公章等保持一致。</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hint="eastAsia" w:ascii="仿宋" w:hAnsi="仿宋" w:eastAsia="仿宋" w:cs="仿宋"/>
                <w:color w:val="000000"/>
                <w:szCs w:val="21"/>
              </w:rPr>
            </w:pPr>
          </w:p>
        </w:tc>
        <w:tc>
          <w:tcPr>
            <w:tcW w:w="593" w:type="pct"/>
            <w:vMerge w:val="continue"/>
          </w:tcPr>
          <w:p>
            <w:pPr>
              <w:spacing w:before="24" w:after="24" w:line="360" w:lineRule="auto"/>
              <w:jc w:val="center"/>
              <w:rPr>
                <w:rFonts w:hint="eastAsia" w:ascii="仿宋" w:hAnsi="仿宋" w:eastAsia="仿宋" w:cs="仿宋"/>
                <w:color w:val="000000"/>
                <w:szCs w:val="21"/>
              </w:rPr>
            </w:pPr>
          </w:p>
        </w:tc>
        <w:tc>
          <w:tcPr>
            <w:tcW w:w="989" w:type="pct"/>
            <w:vAlign w:val="center"/>
          </w:tcPr>
          <w:p>
            <w:pPr>
              <w:spacing w:before="24" w:after="24" w:line="276" w:lineRule="auto"/>
              <w:jc w:val="center"/>
              <w:rPr>
                <w:rFonts w:hint="eastAsia" w:ascii="仿宋" w:hAnsi="仿宋" w:eastAsia="仿宋" w:cs="仿宋"/>
                <w:color w:val="000000"/>
                <w:spacing w:val="-4"/>
                <w:szCs w:val="21"/>
              </w:rPr>
            </w:pPr>
            <w:r>
              <w:rPr>
                <w:rFonts w:hint="eastAsia" w:ascii="仿宋" w:hAnsi="仿宋" w:eastAsia="仿宋" w:cs="仿宋"/>
                <w:color w:val="000000"/>
                <w:szCs w:val="21"/>
              </w:rPr>
              <w:t>法定代表人（负责人）身份证明</w:t>
            </w:r>
          </w:p>
        </w:tc>
        <w:tc>
          <w:tcPr>
            <w:tcW w:w="3077" w:type="pct"/>
            <w:vAlign w:val="center"/>
          </w:tcPr>
          <w:p>
            <w:pPr>
              <w:pStyle w:val="74"/>
              <w:topLinePunct/>
              <w:jc w:val="left"/>
              <w:rPr>
                <w:rFonts w:hint="eastAsia" w:ascii="仿宋" w:hAnsi="仿宋" w:eastAsia="仿宋" w:cs="仿宋"/>
                <w:color w:val="000000"/>
                <w:sz w:val="21"/>
                <w:szCs w:val="21"/>
              </w:rPr>
            </w:pPr>
            <w:r>
              <w:rPr>
                <w:rFonts w:hint="eastAsia" w:ascii="仿宋" w:hAnsi="仿宋" w:eastAsia="仿宋" w:cs="仿宋"/>
                <w:color w:val="000000"/>
                <w:sz w:val="21"/>
                <w:szCs w:val="21"/>
              </w:rPr>
              <w:t>1、提供法定代表人（负责人）身份证复印件。</w:t>
            </w:r>
          </w:p>
          <w:p>
            <w:pPr>
              <w:pStyle w:val="73"/>
              <w:tabs>
                <w:tab w:val="left" w:pos="630"/>
              </w:tabs>
              <w:topLinePunct/>
              <w:spacing w:before="62" w:beforeLines="20" w:after="62" w:afterLines="20" w:line="276" w:lineRule="auto"/>
              <w:rPr>
                <w:rFonts w:hint="eastAsia" w:ascii="仿宋" w:hAnsi="仿宋" w:eastAsia="仿宋" w:cs="仿宋"/>
                <w:color w:val="000000"/>
                <w:sz w:val="21"/>
                <w:szCs w:val="21"/>
              </w:rPr>
            </w:pPr>
            <w:r>
              <w:rPr>
                <w:rFonts w:hint="eastAsia" w:ascii="仿宋" w:hAnsi="仿宋" w:eastAsia="仿宋" w:cs="仿宋"/>
                <w:color w:val="000000"/>
                <w:sz w:val="22"/>
              </w:rPr>
              <w:t>2、落款加盖公章。</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hint="eastAsia" w:ascii="仿宋" w:hAnsi="仿宋" w:eastAsia="仿宋" w:cs="仿宋"/>
                <w:color w:val="000000"/>
                <w:szCs w:val="21"/>
              </w:rPr>
            </w:pPr>
          </w:p>
        </w:tc>
        <w:tc>
          <w:tcPr>
            <w:tcW w:w="593" w:type="pct"/>
            <w:vMerge w:val="continue"/>
          </w:tcPr>
          <w:p>
            <w:pPr>
              <w:spacing w:before="24" w:after="24" w:line="360" w:lineRule="auto"/>
              <w:jc w:val="center"/>
              <w:rPr>
                <w:rFonts w:hint="eastAsia" w:ascii="仿宋" w:hAnsi="仿宋" w:eastAsia="仿宋" w:cs="仿宋"/>
                <w:color w:val="000000"/>
                <w:szCs w:val="21"/>
              </w:rPr>
            </w:pPr>
          </w:p>
        </w:tc>
        <w:tc>
          <w:tcPr>
            <w:tcW w:w="989" w:type="pct"/>
            <w:vAlign w:val="center"/>
          </w:tcPr>
          <w:p>
            <w:pPr>
              <w:spacing w:before="24" w:after="24" w:line="276" w:lineRule="auto"/>
              <w:jc w:val="center"/>
              <w:rPr>
                <w:rFonts w:hint="eastAsia" w:ascii="仿宋" w:hAnsi="仿宋" w:eastAsia="仿宋" w:cs="仿宋"/>
                <w:color w:val="000000"/>
                <w:szCs w:val="21"/>
              </w:rPr>
            </w:pPr>
            <w:r>
              <w:rPr>
                <w:rFonts w:hint="eastAsia" w:ascii="仿宋" w:hAnsi="仿宋" w:eastAsia="仿宋" w:cs="仿宋"/>
                <w:color w:val="000000"/>
                <w:szCs w:val="21"/>
              </w:rPr>
              <w:t>法定代表人（负责人）授权委托书</w:t>
            </w:r>
          </w:p>
        </w:tc>
        <w:tc>
          <w:tcPr>
            <w:tcW w:w="3077" w:type="pct"/>
            <w:vAlign w:val="center"/>
          </w:tcPr>
          <w:p>
            <w:pPr>
              <w:pStyle w:val="74"/>
              <w:topLinePunct/>
              <w:spacing w:line="276" w:lineRule="auto"/>
              <w:rPr>
                <w:rFonts w:hint="eastAsia" w:ascii="仿宋" w:hAnsi="仿宋" w:eastAsia="仿宋" w:cs="仿宋"/>
                <w:color w:val="000000"/>
                <w:sz w:val="21"/>
                <w:szCs w:val="21"/>
              </w:rPr>
            </w:pPr>
            <w:r>
              <w:rPr>
                <w:rFonts w:hint="eastAsia" w:ascii="仿宋" w:hAnsi="仿宋" w:eastAsia="仿宋" w:cs="仿宋"/>
                <w:color w:val="000000"/>
                <w:sz w:val="21"/>
                <w:szCs w:val="21"/>
              </w:rPr>
              <w:t>1、提供委托代理人身份证复印件。</w:t>
            </w:r>
          </w:p>
          <w:p>
            <w:pPr>
              <w:pStyle w:val="74"/>
              <w:topLinePunct/>
              <w:spacing w:line="276" w:lineRule="auto"/>
              <w:rPr>
                <w:rFonts w:hint="eastAsia" w:ascii="仿宋" w:hAnsi="仿宋" w:eastAsia="仿宋" w:cs="Cambria Math"/>
                <w:color w:val="000000"/>
                <w:sz w:val="21"/>
                <w:szCs w:val="21"/>
              </w:rPr>
            </w:pPr>
            <w:r>
              <w:rPr>
                <w:rFonts w:hint="eastAsia" w:ascii="仿宋" w:hAnsi="仿宋" w:eastAsia="仿宋" w:cs="仿宋"/>
                <w:color w:val="000000"/>
                <w:sz w:val="22"/>
              </w:rPr>
              <w:t>2、落款</w:t>
            </w:r>
            <w:r>
              <w:rPr>
                <w:rFonts w:hint="eastAsia" w:ascii="仿宋" w:hAnsi="仿宋" w:eastAsia="仿宋" w:cs="仿宋"/>
                <w:bCs/>
                <w:color w:val="000000"/>
                <w:sz w:val="22"/>
              </w:rPr>
              <w:t>加盖公章</w:t>
            </w:r>
            <w:r>
              <w:rPr>
                <w:rFonts w:hint="eastAsia" w:ascii="仿宋" w:hAnsi="仿宋" w:eastAsia="仿宋" w:cs="仿宋"/>
                <w:b/>
                <w:bCs/>
                <w:color w:val="000000"/>
                <w:sz w:val="22"/>
              </w:rPr>
              <w:t>并由</w:t>
            </w:r>
            <w:r>
              <w:rPr>
                <w:rFonts w:hint="eastAsia" w:ascii="仿宋" w:hAnsi="仿宋" w:eastAsia="仿宋" w:cs="仿宋"/>
                <w:color w:val="000000"/>
                <w:sz w:val="22"/>
              </w:rPr>
              <w:t>法定代表人（负责人）签字</w:t>
            </w:r>
            <w:r>
              <w:rPr>
                <w:rFonts w:hint="eastAsia" w:ascii="仿宋" w:hAnsi="仿宋" w:eastAsia="仿宋" w:cs="仿宋"/>
                <w:b/>
                <w:bCs/>
                <w:color w:val="000000"/>
                <w:sz w:val="22"/>
              </w:rPr>
              <w:t>和</w:t>
            </w:r>
            <w:r>
              <w:rPr>
                <w:rFonts w:hint="eastAsia" w:ascii="仿宋" w:hAnsi="仿宋" w:eastAsia="仿宋" w:cs="仿宋"/>
                <w:color w:val="000000"/>
                <w:sz w:val="22"/>
              </w:rPr>
              <w:t>其委托代理人</w:t>
            </w:r>
            <w:r>
              <w:rPr>
                <w:rFonts w:hint="eastAsia" w:ascii="仿宋" w:hAnsi="仿宋" w:eastAsia="仿宋" w:cs="仿宋"/>
                <w:b/>
                <w:bCs/>
                <w:color w:val="000000"/>
                <w:sz w:val="22"/>
              </w:rPr>
              <w:t>双方</w:t>
            </w:r>
            <w:r>
              <w:rPr>
                <w:rFonts w:hint="eastAsia" w:ascii="仿宋" w:hAnsi="仿宋" w:eastAsia="仿宋" w:cs="仿宋"/>
                <w:bCs/>
                <w:color w:val="000000"/>
                <w:sz w:val="22"/>
              </w:rPr>
              <w:t>签字。</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hint="eastAsia" w:ascii="仿宋" w:hAnsi="仿宋" w:eastAsia="仿宋" w:cs="仿宋"/>
                <w:color w:val="000000"/>
                <w:szCs w:val="21"/>
              </w:rPr>
            </w:pPr>
          </w:p>
        </w:tc>
        <w:tc>
          <w:tcPr>
            <w:tcW w:w="593" w:type="pct"/>
            <w:vMerge w:val="continue"/>
          </w:tcPr>
          <w:p>
            <w:pPr>
              <w:spacing w:before="24" w:after="24" w:line="360" w:lineRule="auto"/>
              <w:jc w:val="center"/>
              <w:rPr>
                <w:rFonts w:hint="eastAsia" w:ascii="仿宋" w:hAnsi="仿宋" w:eastAsia="仿宋" w:cs="仿宋"/>
                <w:color w:val="000000"/>
                <w:szCs w:val="21"/>
              </w:rPr>
            </w:pPr>
          </w:p>
        </w:tc>
        <w:tc>
          <w:tcPr>
            <w:tcW w:w="989" w:type="pct"/>
            <w:vAlign w:val="center"/>
          </w:tcPr>
          <w:p>
            <w:pPr>
              <w:spacing w:before="24" w:after="24" w:line="276" w:lineRule="auto"/>
              <w:jc w:val="center"/>
              <w:rPr>
                <w:rFonts w:hint="eastAsia" w:ascii="仿宋" w:hAnsi="仿宋" w:eastAsia="仿宋" w:cs="仿宋"/>
                <w:color w:val="000000"/>
                <w:szCs w:val="21"/>
              </w:rPr>
            </w:pPr>
            <w:r>
              <w:rPr>
                <w:rFonts w:hint="eastAsia" w:ascii="仿宋" w:hAnsi="仿宋" w:eastAsia="仿宋" w:cs="仿宋"/>
                <w:color w:val="000000"/>
                <w:szCs w:val="21"/>
              </w:rPr>
              <w:t>响应文件签字或盖章</w:t>
            </w:r>
          </w:p>
        </w:tc>
        <w:tc>
          <w:tcPr>
            <w:tcW w:w="3077" w:type="pct"/>
            <w:vAlign w:val="center"/>
          </w:tcPr>
          <w:p>
            <w:pPr>
              <w:spacing w:before="24" w:after="24"/>
              <w:rPr>
                <w:rFonts w:hint="eastAsia" w:ascii="仿宋" w:hAnsi="仿宋" w:eastAsia="仿宋" w:cs="宋体"/>
                <w:color w:val="000000"/>
                <w:szCs w:val="21"/>
              </w:rPr>
            </w:pPr>
            <w:r>
              <w:rPr>
                <w:rFonts w:hint="eastAsia" w:ascii="仿宋" w:hAnsi="仿宋" w:eastAsia="仿宋" w:cs="宋体"/>
                <w:color w:val="000000"/>
                <w:szCs w:val="21"/>
              </w:rPr>
              <w:t>1、上述两款以外的响应文件格式中有落款的文件，</w:t>
            </w:r>
            <w:r>
              <w:rPr>
                <w:rFonts w:hint="eastAsia" w:ascii="仿宋" w:hAnsi="仿宋" w:eastAsia="仿宋" w:cs="宋体"/>
                <w:b/>
                <w:color w:val="000000"/>
                <w:szCs w:val="21"/>
              </w:rPr>
              <w:t>均需</w:t>
            </w:r>
            <w:r>
              <w:rPr>
                <w:rFonts w:hint="eastAsia" w:ascii="仿宋" w:hAnsi="仿宋" w:eastAsia="仿宋" w:cs="宋体"/>
                <w:color w:val="000000"/>
                <w:szCs w:val="21"/>
              </w:rPr>
              <w:t>加盖公章</w:t>
            </w:r>
            <w:r>
              <w:rPr>
                <w:rFonts w:hint="eastAsia" w:ascii="仿宋" w:hAnsi="仿宋" w:eastAsia="仿宋" w:cs="宋体"/>
                <w:b/>
                <w:color w:val="000000"/>
                <w:szCs w:val="21"/>
              </w:rPr>
              <w:t>或</w:t>
            </w:r>
            <w:r>
              <w:rPr>
                <w:rFonts w:hint="eastAsia" w:ascii="仿宋" w:hAnsi="仿宋" w:eastAsia="仿宋" w:cs="宋体"/>
                <w:color w:val="000000"/>
                <w:szCs w:val="21"/>
              </w:rPr>
              <w:t>由法定代表人（负责人）签字</w:t>
            </w:r>
            <w:r>
              <w:rPr>
                <w:rFonts w:hint="eastAsia" w:ascii="仿宋" w:hAnsi="仿宋" w:eastAsia="仿宋" w:cs="宋体"/>
                <w:b/>
                <w:color w:val="000000"/>
                <w:szCs w:val="21"/>
              </w:rPr>
              <w:t>或</w:t>
            </w:r>
            <w:r>
              <w:rPr>
                <w:rFonts w:hint="eastAsia" w:ascii="仿宋" w:hAnsi="仿宋" w:eastAsia="仿宋" w:cs="宋体"/>
                <w:color w:val="000000"/>
                <w:szCs w:val="21"/>
              </w:rPr>
              <w:t>其委托代理人签字。</w:t>
            </w:r>
          </w:p>
          <w:p>
            <w:pPr>
              <w:pStyle w:val="62"/>
              <w:spacing w:before="62" w:beforeLines="20" w:after="62" w:afterLines="20" w:line="276" w:lineRule="auto"/>
              <w:rPr>
                <w:rFonts w:hint="eastAsia" w:ascii="仿宋" w:hAnsi="仿宋" w:eastAsia="仿宋"/>
                <w:color w:val="000000"/>
              </w:rPr>
            </w:pPr>
            <w:r>
              <w:rPr>
                <w:rFonts w:hint="eastAsia" w:ascii="仿宋" w:hAnsi="仿宋" w:eastAsia="仿宋"/>
                <w:color w:val="000000"/>
              </w:rPr>
              <w:t>2、响应文件的所有签字处均指手写签字</w:t>
            </w:r>
            <w:r>
              <w:rPr>
                <w:rFonts w:hint="eastAsia" w:ascii="仿宋" w:hAnsi="仿宋" w:eastAsia="仿宋"/>
                <w:b/>
                <w:color w:val="000000"/>
              </w:rPr>
              <w:t>或</w:t>
            </w:r>
            <w:r>
              <w:rPr>
                <w:rFonts w:hint="eastAsia" w:ascii="仿宋" w:hAnsi="仿宋" w:eastAsia="仿宋"/>
                <w:color w:val="000000"/>
              </w:rPr>
              <w:t>签名章/印章</w:t>
            </w:r>
            <w:r>
              <w:rPr>
                <w:rFonts w:hint="eastAsia" w:ascii="仿宋" w:hAnsi="仿宋" w:eastAsia="仿宋"/>
                <w:b/>
                <w:bCs/>
                <w:color w:val="000000"/>
              </w:rPr>
              <w:t>或</w:t>
            </w:r>
            <w:r>
              <w:rPr>
                <w:rFonts w:hint="eastAsia" w:ascii="仿宋" w:hAnsi="仿宋" w:eastAsia="仿宋"/>
                <w:color w:val="000000"/>
              </w:rPr>
              <w:t>CA签名章，</w:t>
            </w:r>
            <w:r>
              <w:rPr>
                <w:rFonts w:hint="eastAsia" w:ascii="仿宋" w:hAnsi="仿宋" w:eastAsia="仿宋"/>
                <w:b/>
                <w:color w:val="000000"/>
              </w:rPr>
              <w:t>不得</w:t>
            </w:r>
            <w:r>
              <w:rPr>
                <w:rFonts w:hint="eastAsia" w:ascii="仿宋" w:hAnsi="仿宋" w:eastAsia="仿宋"/>
                <w:color w:val="000000"/>
              </w:rPr>
              <w:t>以打印体代替。</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restart"/>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2</w:t>
            </w:r>
          </w:p>
        </w:tc>
        <w:tc>
          <w:tcPr>
            <w:tcW w:w="593" w:type="pct"/>
            <w:vMerge w:val="restart"/>
            <w:vAlign w:val="center"/>
          </w:tcPr>
          <w:p>
            <w:pPr>
              <w:spacing w:before="24" w:after="24" w:line="360" w:lineRule="auto"/>
              <w:jc w:val="center"/>
              <w:rPr>
                <w:rFonts w:hint="eastAsia" w:ascii="仿宋" w:hAnsi="仿宋" w:eastAsia="仿宋" w:cs="仿宋"/>
                <w:color w:val="000000"/>
                <w:szCs w:val="21"/>
              </w:rPr>
            </w:pPr>
            <w:r>
              <w:rPr>
                <w:rFonts w:hint="eastAsia" w:ascii="仿宋" w:hAnsi="仿宋" w:eastAsia="仿宋" w:cs="仿宋"/>
                <w:color w:val="000000"/>
                <w:szCs w:val="21"/>
              </w:rPr>
              <w:t>资格评审标准</w:t>
            </w:r>
          </w:p>
        </w:tc>
        <w:tc>
          <w:tcPr>
            <w:tcW w:w="989" w:type="pct"/>
            <w:vAlign w:val="center"/>
          </w:tcPr>
          <w:p>
            <w:pPr>
              <w:spacing w:before="24" w:after="24" w:line="276" w:lineRule="auto"/>
              <w:jc w:val="center"/>
              <w:rPr>
                <w:rFonts w:hint="eastAsia" w:ascii="仿宋" w:hAnsi="仿宋" w:eastAsia="仿宋" w:cs="仿宋"/>
                <w:color w:val="000000"/>
                <w:szCs w:val="21"/>
              </w:rPr>
            </w:pPr>
            <w:r>
              <w:rPr>
                <w:rFonts w:hint="eastAsia" w:ascii="仿宋" w:hAnsi="仿宋" w:eastAsia="仿宋" w:cs="仿宋"/>
                <w:color w:val="000000"/>
                <w:szCs w:val="21"/>
              </w:rPr>
              <w:t>营业执照</w:t>
            </w:r>
          </w:p>
        </w:tc>
        <w:tc>
          <w:tcPr>
            <w:tcW w:w="3077" w:type="pct"/>
            <w:vAlign w:val="center"/>
          </w:tcPr>
          <w:p>
            <w:pPr>
              <w:spacing w:before="24" w:after="24" w:line="276" w:lineRule="auto"/>
              <w:rPr>
                <w:rFonts w:hint="eastAsia" w:ascii="仿宋" w:hAnsi="仿宋" w:eastAsia="仿宋" w:cs="仿宋"/>
                <w:color w:val="000000"/>
                <w:szCs w:val="21"/>
              </w:rPr>
            </w:pPr>
            <w:r>
              <w:rPr>
                <w:rFonts w:hint="eastAsia" w:ascii="仿宋" w:hAnsi="仿宋" w:eastAsia="仿宋" w:cs="仿宋"/>
                <w:color w:val="000000"/>
                <w:szCs w:val="21"/>
              </w:rPr>
              <w:t>符合第一章“竞争性磋商邀请”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hint="eastAsia" w:ascii="仿宋" w:hAnsi="仿宋" w:eastAsia="仿宋" w:cs="仿宋"/>
                <w:color w:val="000000"/>
                <w:szCs w:val="21"/>
              </w:rPr>
            </w:pPr>
          </w:p>
        </w:tc>
        <w:tc>
          <w:tcPr>
            <w:tcW w:w="593" w:type="pct"/>
            <w:vMerge w:val="continue"/>
            <w:vAlign w:val="center"/>
          </w:tcPr>
          <w:p>
            <w:pPr>
              <w:spacing w:before="24" w:after="24" w:line="360" w:lineRule="auto"/>
              <w:jc w:val="center"/>
              <w:rPr>
                <w:rFonts w:hint="eastAsia" w:ascii="仿宋" w:hAnsi="仿宋" w:eastAsia="仿宋" w:cs="仿宋"/>
                <w:color w:val="000000"/>
                <w:szCs w:val="21"/>
              </w:rPr>
            </w:pPr>
          </w:p>
        </w:tc>
        <w:tc>
          <w:tcPr>
            <w:tcW w:w="989" w:type="pct"/>
            <w:vAlign w:val="center"/>
          </w:tcPr>
          <w:p>
            <w:pPr>
              <w:spacing w:before="24" w:after="24"/>
              <w:jc w:val="center"/>
              <w:rPr>
                <w:rFonts w:hint="eastAsia" w:ascii="仿宋" w:hAnsi="仿宋" w:eastAsia="仿宋" w:cs="仿宋"/>
                <w:color w:val="000000"/>
                <w:szCs w:val="21"/>
              </w:rPr>
            </w:pPr>
            <w:r>
              <w:rPr>
                <w:rFonts w:hint="eastAsia" w:ascii="仿宋" w:hAnsi="仿宋" w:eastAsia="仿宋" w:cs="仿宋"/>
                <w:color w:val="000000"/>
                <w:szCs w:val="21"/>
              </w:rPr>
              <w:t>无违法违规记录</w:t>
            </w:r>
          </w:p>
        </w:tc>
        <w:tc>
          <w:tcPr>
            <w:tcW w:w="3077" w:type="pct"/>
            <w:vAlign w:val="center"/>
          </w:tcPr>
          <w:p>
            <w:pPr>
              <w:spacing w:before="24" w:after="24" w:line="276" w:lineRule="auto"/>
              <w:rPr>
                <w:rFonts w:hint="eastAsia" w:ascii="仿宋" w:hAnsi="仿宋" w:eastAsia="仿宋" w:cs="仿宋"/>
                <w:color w:val="000000"/>
                <w:szCs w:val="21"/>
              </w:rPr>
            </w:pPr>
            <w:r>
              <w:rPr>
                <w:rFonts w:hint="eastAsia" w:ascii="仿宋" w:hAnsi="仿宋" w:eastAsia="仿宋" w:cs="仿宋"/>
                <w:color w:val="000000"/>
                <w:szCs w:val="21"/>
              </w:rPr>
              <w:t>符合第一章“竞争性磋商邀请”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hint="eastAsia" w:ascii="仿宋" w:hAnsi="仿宋" w:eastAsia="仿宋" w:cs="仿宋"/>
                <w:color w:val="000000"/>
                <w:szCs w:val="21"/>
              </w:rPr>
            </w:pPr>
          </w:p>
        </w:tc>
        <w:tc>
          <w:tcPr>
            <w:tcW w:w="593" w:type="pct"/>
            <w:vMerge w:val="continue"/>
            <w:vAlign w:val="center"/>
          </w:tcPr>
          <w:p>
            <w:pPr>
              <w:spacing w:before="24" w:after="24" w:line="360" w:lineRule="auto"/>
              <w:jc w:val="center"/>
              <w:rPr>
                <w:rFonts w:hint="eastAsia" w:ascii="仿宋" w:hAnsi="仿宋" w:eastAsia="仿宋" w:cs="仿宋"/>
                <w:color w:val="000000"/>
                <w:szCs w:val="21"/>
              </w:rPr>
            </w:pPr>
          </w:p>
        </w:tc>
        <w:tc>
          <w:tcPr>
            <w:tcW w:w="989" w:type="pct"/>
            <w:vAlign w:val="center"/>
          </w:tcPr>
          <w:p>
            <w:pPr>
              <w:spacing w:before="24" w:after="24"/>
              <w:jc w:val="center"/>
              <w:rPr>
                <w:rFonts w:hint="eastAsia" w:ascii="仿宋" w:hAnsi="仿宋" w:eastAsia="仿宋" w:cs="仿宋"/>
                <w:color w:val="000000"/>
                <w:szCs w:val="21"/>
              </w:rPr>
            </w:pPr>
            <w:r>
              <w:rPr>
                <w:rFonts w:hint="eastAsia" w:ascii="仿宋" w:hAnsi="仿宋" w:eastAsia="仿宋" w:cs="Monaco"/>
                <w:color w:val="000000"/>
                <w:szCs w:val="21"/>
              </w:rPr>
              <w:t>未被列入黑名单</w:t>
            </w:r>
          </w:p>
        </w:tc>
        <w:tc>
          <w:tcPr>
            <w:tcW w:w="3077" w:type="pct"/>
            <w:vAlign w:val="center"/>
          </w:tcPr>
          <w:p>
            <w:pPr>
              <w:spacing w:before="24" w:after="24" w:line="276" w:lineRule="auto"/>
              <w:rPr>
                <w:rFonts w:hint="eastAsia" w:ascii="仿宋" w:hAnsi="仿宋" w:eastAsia="仿宋" w:cs="仿宋"/>
                <w:color w:val="000000"/>
                <w:szCs w:val="21"/>
              </w:rPr>
            </w:pPr>
            <w:r>
              <w:rPr>
                <w:rFonts w:hint="eastAsia" w:ascii="仿宋" w:hAnsi="仿宋" w:eastAsia="仿宋" w:cs="仿宋"/>
                <w:color w:val="000000"/>
                <w:szCs w:val="21"/>
              </w:rPr>
              <w:t>符合第一章“竞争性磋商邀请”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hint="eastAsia" w:ascii="仿宋" w:hAnsi="仿宋" w:eastAsia="仿宋" w:cs="仿宋"/>
                <w:color w:val="000000"/>
                <w:szCs w:val="21"/>
              </w:rPr>
            </w:pPr>
          </w:p>
        </w:tc>
        <w:tc>
          <w:tcPr>
            <w:tcW w:w="593" w:type="pct"/>
            <w:vMerge w:val="continue"/>
          </w:tcPr>
          <w:p>
            <w:pPr>
              <w:spacing w:before="24" w:after="24" w:line="360" w:lineRule="auto"/>
              <w:jc w:val="center"/>
              <w:rPr>
                <w:rFonts w:hint="eastAsia" w:ascii="仿宋" w:hAnsi="仿宋" w:eastAsia="仿宋" w:cs="仿宋"/>
                <w:color w:val="000000"/>
                <w:szCs w:val="21"/>
              </w:rPr>
            </w:pPr>
          </w:p>
        </w:tc>
        <w:tc>
          <w:tcPr>
            <w:tcW w:w="989" w:type="pct"/>
            <w:vAlign w:val="center"/>
          </w:tcPr>
          <w:p>
            <w:pPr>
              <w:spacing w:before="24" w:after="24"/>
              <w:jc w:val="center"/>
              <w:rPr>
                <w:rFonts w:hint="eastAsia" w:ascii="仿宋" w:hAnsi="仿宋" w:eastAsia="仿宋" w:cs="仿宋"/>
                <w:color w:val="000000"/>
                <w:szCs w:val="21"/>
              </w:rPr>
            </w:pPr>
            <w:r>
              <w:rPr>
                <w:rFonts w:hint="eastAsia" w:ascii="仿宋" w:hAnsi="仿宋" w:eastAsia="仿宋" w:cs="Cambria Math"/>
                <w:color w:val="000000"/>
                <w:szCs w:val="21"/>
              </w:rPr>
              <w:t>控股及管理关系</w:t>
            </w:r>
          </w:p>
        </w:tc>
        <w:tc>
          <w:tcPr>
            <w:tcW w:w="3077" w:type="pct"/>
            <w:vAlign w:val="center"/>
          </w:tcPr>
          <w:p>
            <w:pPr>
              <w:spacing w:before="24" w:after="24" w:line="276" w:lineRule="auto"/>
              <w:rPr>
                <w:rFonts w:hint="eastAsia" w:ascii="仿宋" w:hAnsi="仿宋" w:eastAsia="仿宋" w:cs="仿宋"/>
                <w:color w:val="000000"/>
                <w:szCs w:val="21"/>
              </w:rPr>
            </w:pPr>
            <w:r>
              <w:rPr>
                <w:rFonts w:hint="eastAsia" w:ascii="仿宋" w:hAnsi="仿宋" w:eastAsia="仿宋" w:cs="仿宋"/>
                <w:color w:val="000000"/>
                <w:szCs w:val="21"/>
              </w:rPr>
              <w:t>符合第一章“竞争性磋商邀请”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restart"/>
            <w:vAlign w:val="center"/>
          </w:tcPr>
          <w:p>
            <w:pPr>
              <w:spacing w:line="360" w:lineRule="auto"/>
              <w:jc w:val="center"/>
              <w:rPr>
                <w:rFonts w:hint="eastAsia" w:ascii="仿宋" w:hAnsi="仿宋" w:eastAsia="仿宋" w:cs="仿宋"/>
                <w:color w:val="000000"/>
                <w:szCs w:val="21"/>
              </w:rPr>
            </w:pPr>
            <w:r>
              <w:rPr>
                <w:rFonts w:ascii="仿宋" w:hAnsi="仿宋" w:eastAsia="仿宋" w:cs="仿宋"/>
                <w:color w:val="000000"/>
                <w:szCs w:val="21"/>
              </w:rPr>
              <w:t>3</w:t>
            </w:r>
          </w:p>
        </w:tc>
        <w:tc>
          <w:tcPr>
            <w:tcW w:w="593" w:type="pct"/>
            <w:vMerge w:val="restart"/>
            <w:vAlign w:val="center"/>
          </w:tcPr>
          <w:p>
            <w:pPr>
              <w:spacing w:before="24" w:after="24"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响应性评审标准</w:t>
            </w:r>
          </w:p>
        </w:tc>
        <w:tc>
          <w:tcPr>
            <w:tcW w:w="989" w:type="pct"/>
            <w:vAlign w:val="center"/>
          </w:tcPr>
          <w:p>
            <w:pPr>
              <w:spacing w:before="24" w:after="24" w:line="276" w:lineRule="auto"/>
              <w:jc w:val="center"/>
              <w:rPr>
                <w:rFonts w:hint="eastAsia" w:ascii="仿宋" w:hAnsi="仿宋" w:eastAsia="仿宋" w:cs="仿宋"/>
                <w:color w:val="000000"/>
                <w:szCs w:val="21"/>
              </w:rPr>
            </w:pPr>
            <w:r>
              <w:rPr>
                <w:rFonts w:hint="eastAsia" w:ascii="仿宋" w:hAnsi="仿宋" w:eastAsia="仿宋" w:cs="仿宋"/>
                <w:color w:val="000000"/>
                <w:szCs w:val="21"/>
              </w:rPr>
              <w:t>响应函</w:t>
            </w:r>
          </w:p>
        </w:tc>
        <w:tc>
          <w:tcPr>
            <w:tcW w:w="3077" w:type="pct"/>
            <w:vAlign w:val="center"/>
          </w:tcPr>
          <w:p>
            <w:pPr>
              <w:spacing w:before="24" w:after="24" w:line="276" w:lineRule="auto"/>
              <w:rPr>
                <w:rFonts w:hint="eastAsia" w:ascii="仿宋" w:hAnsi="仿宋" w:eastAsia="仿宋" w:cs="仿宋"/>
                <w:color w:val="000000"/>
                <w:szCs w:val="21"/>
              </w:rPr>
            </w:pPr>
            <w:r>
              <w:rPr>
                <w:rFonts w:hint="eastAsia" w:ascii="仿宋" w:hAnsi="仿宋" w:eastAsia="仿宋"/>
                <w:color w:val="000000"/>
                <w:szCs w:val="21"/>
              </w:rPr>
              <w:t>除填写双方名称、项目名称外，未修改原文内容</w:t>
            </w:r>
            <w:r>
              <w:rPr>
                <w:rFonts w:hint="eastAsia" w:ascii="仿宋" w:hAnsi="仿宋" w:eastAsia="仿宋" w:cs="Cambria Math"/>
                <w:color w:val="000000"/>
                <w:szCs w:val="21"/>
              </w:rPr>
              <w:t>。</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hint="eastAsia" w:ascii="仿宋" w:hAnsi="仿宋" w:eastAsia="仿宋" w:cs="仿宋"/>
                <w:color w:val="000000"/>
                <w:szCs w:val="21"/>
              </w:rPr>
            </w:pPr>
          </w:p>
        </w:tc>
        <w:tc>
          <w:tcPr>
            <w:tcW w:w="593" w:type="pct"/>
            <w:vMerge w:val="continue"/>
            <w:vAlign w:val="center"/>
          </w:tcPr>
          <w:p>
            <w:pPr>
              <w:spacing w:before="24" w:after="24" w:line="360" w:lineRule="auto"/>
              <w:jc w:val="center"/>
              <w:rPr>
                <w:rFonts w:hint="eastAsia" w:ascii="仿宋" w:hAnsi="仿宋" w:eastAsia="仿宋" w:cs="仿宋"/>
                <w:color w:val="000000"/>
                <w:szCs w:val="21"/>
              </w:rPr>
            </w:pPr>
          </w:p>
        </w:tc>
        <w:tc>
          <w:tcPr>
            <w:tcW w:w="989" w:type="pct"/>
            <w:vAlign w:val="center"/>
          </w:tcPr>
          <w:p>
            <w:pPr>
              <w:spacing w:before="24" w:after="24" w:line="276" w:lineRule="auto"/>
              <w:jc w:val="center"/>
              <w:rPr>
                <w:rFonts w:hint="eastAsia" w:ascii="仿宋" w:hAnsi="仿宋" w:eastAsia="仿宋" w:cs="Cambria Math"/>
                <w:color w:val="000000"/>
                <w:szCs w:val="21"/>
              </w:rPr>
            </w:pPr>
            <w:r>
              <w:rPr>
                <w:rFonts w:hint="eastAsia" w:ascii="仿宋" w:hAnsi="仿宋" w:eastAsia="仿宋" w:cs="宋体"/>
                <w:color w:val="000000"/>
                <w:szCs w:val="21"/>
              </w:rPr>
              <w:t>供应商行为准则承诺书</w:t>
            </w:r>
          </w:p>
        </w:tc>
        <w:tc>
          <w:tcPr>
            <w:tcW w:w="3077" w:type="pct"/>
            <w:vAlign w:val="center"/>
          </w:tcPr>
          <w:p>
            <w:pPr>
              <w:spacing w:before="24" w:after="24" w:line="276" w:lineRule="auto"/>
              <w:rPr>
                <w:rFonts w:hint="eastAsia" w:ascii="仿宋" w:hAnsi="仿宋" w:eastAsia="仿宋" w:cs="Cambria Math"/>
                <w:color w:val="000000"/>
                <w:szCs w:val="21"/>
              </w:rPr>
            </w:pPr>
            <w:r>
              <w:rPr>
                <w:rFonts w:hint="eastAsia" w:ascii="仿宋" w:hAnsi="仿宋" w:eastAsia="仿宋" w:cs="仿宋"/>
                <w:color w:val="000000"/>
                <w:szCs w:val="21"/>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hint="eastAsia" w:ascii="仿宋" w:hAnsi="仿宋" w:eastAsia="仿宋" w:cs="仿宋"/>
                <w:color w:val="000000"/>
                <w:szCs w:val="21"/>
              </w:rPr>
            </w:pPr>
          </w:p>
        </w:tc>
        <w:tc>
          <w:tcPr>
            <w:tcW w:w="593" w:type="pct"/>
            <w:vMerge w:val="continue"/>
            <w:vAlign w:val="center"/>
          </w:tcPr>
          <w:p>
            <w:pPr>
              <w:spacing w:before="24" w:after="24" w:line="360" w:lineRule="auto"/>
              <w:jc w:val="center"/>
              <w:rPr>
                <w:rFonts w:hint="eastAsia" w:ascii="仿宋" w:hAnsi="仿宋" w:eastAsia="仿宋" w:cs="仿宋"/>
                <w:color w:val="000000"/>
                <w:szCs w:val="21"/>
              </w:rPr>
            </w:pPr>
          </w:p>
        </w:tc>
        <w:tc>
          <w:tcPr>
            <w:tcW w:w="989" w:type="pct"/>
            <w:vAlign w:val="center"/>
          </w:tcPr>
          <w:p>
            <w:pPr>
              <w:spacing w:before="24" w:after="24" w:line="276" w:lineRule="auto"/>
              <w:jc w:val="center"/>
              <w:rPr>
                <w:rFonts w:hint="eastAsia" w:ascii="仿宋" w:hAnsi="仿宋" w:eastAsia="仿宋" w:cs="Cambria Math"/>
                <w:color w:val="000000"/>
                <w:szCs w:val="21"/>
              </w:rPr>
            </w:pPr>
            <w:r>
              <w:rPr>
                <w:rFonts w:hint="eastAsia" w:ascii="仿宋" w:hAnsi="仿宋" w:eastAsia="仿宋" w:cs="宋体"/>
                <w:color w:val="000000"/>
                <w:szCs w:val="21"/>
              </w:rPr>
              <w:t>供应商廉洁诚信承诺书</w:t>
            </w:r>
          </w:p>
        </w:tc>
        <w:tc>
          <w:tcPr>
            <w:tcW w:w="3077" w:type="pct"/>
            <w:vAlign w:val="center"/>
          </w:tcPr>
          <w:p>
            <w:pPr>
              <w:spacing w:before="24" w:after="24" w:line="276" w:lineRule="auto"/>
              <w:rPr>
                <w:rFonts w:hint="eastAsia" w:ascii="仿宋" w:hAnsi="仿宋" w:eastAsia="仿宋" w:cs="Cambria Math"/>
                <w:color w:val="000000"/>
                <w:szCs w:val="21"/>
              </w:rPr>
            </w:pPr>
            <w:r>
              <w:rPr>
                <w:rFonts w:hint="eastAsia" w:ascii="仿宋" w:hAnsi="仿宋" w:eastAsia="仿宋" w:cs="仿宋"/>
                <w:color w:val="000000"/>
                <w:szCs w:val="21"/>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hint="eastAsia" w:ascii="仿宋" w:hAnsi="仿宋" w:eastAsia="仿宋" w:cs="仿宋"/>
                <w:color w:val="000000"/>
                <w:szCs w:val="21"/>
              </w:rPr>
            </w:pPr>
          </w:p>
        </w:tc>
        <w:tc>
          <w:tcPr>
            <w:tcW w:w="593" w:type="pct"/>
            <w:vMerge w:val="continue"/>
            <w:vAlign w:val="center"/>
          </w:tcPr>
          <w:p>
            <w:pPr>
              <w:spacing w:before="24" w:after="24" w:line="360" w:lineRule="auto"/>
              <w:jc w:val="center"/>
              <w:rPr>
                <w:rFonts w:hint="eastAsia" w:ascii="仿宋" w:hAnsi="仿宋" w:eastAsia="仿宋" w:cs="仿宋"/>
                <w:color w:val="000000"/>
                <w:szCs w:val="21"/>
              </w:rPr>
            </w:pPr>
          </w:p>
        </w:tc>
        <w:tc>
          <w:tcPr>
            <w:tcW w:w="989" w:type="pct"/>
            <w:vAlign w:val="center"/>
          </w:tcPr>
          <w:p>
            <w:pPr>
              <w:spacing w:before="24" w:after="24" w:line="276" w:lineRule="auto"/>
              <w:jc w:val="center"/>
              <w:rPr>
                <w:rFonts w:hint="eastAsia" w:ascii="仿宋" w:hAnsi="仿宋" w:eastAsia="仿宋" w:cs="仿宋"/>
                <w:szCs w:val="21"/>
              </w:rPr>
            </w:pPr>
            <w:r>
              <w:rPr>
                <w:rFonts w:hint="eastAsia" w:ascii="仿宋" w:hAnsi="仿宋" w:eastAsia="仿宋" w:cs="Cambria Math"/>
                <w:szCs w:val="21"/>
              </w:rPr>
              <w:t>供应商偏离应答</w:t>
            </w:r>
          </w:p>
        </w:tc>
        <w:tc>
          <w:tcPr>
            <w:tcW w:w="3077" w:type="pct"/>
            <w:vAlign w:val="center"/>
          </w:tcPr>
          <w:p>
            <w:pPr>
              <w:spacing w:before="24" w:after="24" w:line="276" w:lineRule="auto"/>
              <w:rPr>
                <w:rFonts w:hint="eastAsia" w:ascii="仿宋" w:hAnsi="仿宋" w:eastAsia="仿宋" w:cs="仿宋"/>
                <w:szCs w:val="21"/>
              </w:rPr>
            </w:pPr>
            <w:r>
              <w:rPr>
                <w:rFonts w:hint="eastAsia" w:ascii="仿宋" w:hAnsi="仿宋" w:eastAsia="仿宋" w:cs="仿宋"/>
                <w:szCs w:val="21"/>
              </w:rPr>
              <w:t>《供应商须知应答偏离表》、《合同条款应答偏离表》、《采购需求应答偏离表》》进行了符合第二章“供应商须知”的应答</w:t>
            </w:r>
          </w:p>
        </w:tc>
      </w:tr>
    </w:tbl>
    <w:p>
      <w:pPr>
        <w:pStyle w:val="5"/>
        <w:ind w:firstLine="482" w:firstLineChars="200"/>
        <w:jc w:val="left"/>
        <w:rPr>
          <w:rFonts w:hint="eastAsia" w:ascii="仿宋" w:hAnsi="仿宋" w:eastAsia="仿宋" w:cs="仿宋"/>
          <w:color w:val="000000"/>
          <w:sz w:val="24"/>
          <w:szCs w:val="24"/>
        </w:rPr>
      </w:pPr>
      <w:bookmarkStart w:id="120" w:name="_Toc25550"/>
      <w:bookmarkStart w:id="121" w:name="_Toc186737809"/>
      <w:r>
        <w:rPr>
          <w:rFonts w:hint="eastAsia" w:ascii="仿宋" w:hAnsi="仿宋" w:eastAsia="仿宋" w:cs="仿宋"/>
          <w:color w:val="000000"/>
          <w:sz w:val="24"/>
          <w:szCs w:val="24"/>
        </w:rPr>
        <w:t>三、详细评审</w:t>
      </w:r>
      <w:bookmarkEnd w:id="120"/>
      <w:bookmarkEnd w:id="121"/>
    </w:p>
    <w:p>
      <w:pPr>
        <w:pStyle w:val="2"/>
        <w:snapToGrid w:val="0"/>
        <w:spacing w:after="0" w:line="360" w:lineRule="auto"/>
        <w:ind w:left="141" w:right="223" w:firstLine="480"/>
        <w:jc w:val="both"/>
        <w:rPr>
          <w:rFonts w:ascii="仿宋_GB2312" w:eastAsia="仿宋_GB2312"/>
        </w:rPr>
      </w:pPr>
      <w:r>
        <w:rPr>
          <w:rFonts w:hint="eastAsia" w:ascii="仿宋_GB2312" w:eastAsia="仿宋_GB2312"/>
        </w:rPr>
        <w:t>3</w:t>
      </w:r>
      <w:r>
        <w:rPr>
          <w:rFonts w:ascii="仿宋_GB2312" w:eastAsia="仿宋_GB2312"/>
        </w:rPr>
        <w:t>.1</w:t>
      </w:r>
      <w:r>
        <w:rPr>
          <w:rFonts w:hint="eastAsia" w:ascii="仿宋_GB2312" w:eastAsia="仿宋_GB2312"/>
        </w:rPr>
        <w:t>本项目采用综合评分法</w:t>
      </w:r>
    </w:p>
    <w:p>
      <w:pPr>
        <w:pStyle w:val="2"/>
        <w:snapToGrid w:val="0"/>
        <w:spacing w:after="0" w:line="360" w:lineRule="auto"/>
        <w:ind w:left="138" w:right="228" w:firstLine="480"/>
        <w:jc w:val="both"/>
        <w:rPr>
          <w:rFonts w:ascii="仿宋_GB2312" w:eastAsia="仿宋_GB2312"/>
        </w:rPr>
      </w:pPr>
      <w:r>
        <w:rPr>
          <w:rFonts w:ascii="仿宋_GB2312" w:eastAsia="仿宋_GB2312"/>
        </w:rPr>
        <w:t>3.2</w:t>
      </w:r>
      <w:r>
        <w:rPr>
          <w:rFonts w:hint="eastAsia" w:ascii="仿宋_GB2312" w:eastAsia="仿宋_GB2312"/>
        </w:rPr>
        <w:t xml:space="preserve"> 评分明细：</w:t>
      </w:r>
    </w:p>
    <w:p>
      <w:pPr>
        <w:pStyle w:val="2"/>
        <w:snapToGrid w:val="0"/>
        <w:spacing w:after="0" w:line="360" w:lineRule="auto"/>
        <w:ind w:left="138" w:right="228" w:firstLine="480"/>
        <w:jc w:val="both"/>
        <w:rPr>
          <w:rFonts w:ascii="仿宋_GB2312" w:eastAsia="仿宋_GB2312"/>
        </w:rPr>
      </w:pPr>
      <w:r>
        <w:rPr>
          <w:rFonts w:hint="eastAsia" w:ascii="仿宋_GB2312" w:eastAsia="仿宋_GB2312"/>
        </w:rPr>
        <w:t>采购评审标准由项目</w:t>
      </w:r>
      <w:r>
        <w:rPr>
          <w:rFonts w:hint="eastAsia" w:ascii="楷体" w:hAnsi="楷体" w:eastAsia="楷体" w:cs="仿宋_GB2312"/>
          <w:iCs/>
          <w:szCs w:val="32"/>
        </w:rPr>
        <w:t>最终报价、技术质量和服务水平</w:t>
      </w:r>
      <w:r>
        <w:rPr>
          <w:rFonts w:hint="eastAsia" w:ascii="仿宋_GB2312" w:eastAsia="仿宋_GB2312"/>
        </w:rPr>
        <w:t>三项标准构成，评审专家将依据磋商邀请文件要求，结合项目最终报价表、技术方案、服务方案等情况进行评分。各有效供应商的综合得分为各评审专家所评分值的算术平均值，若总得分相同，以价格得分高者排序在先。将把合同授予被确定为实质上响应磋商文件要求且评标得分最高的供应商。</w:t>
      </w:r>
    </w:p>
    <w:p>
      <w:pPr>
        <w:pStyle w:val="2"/>
        <w:snapToGrid w:val="0"/>
        <w:spacing w:after="0" w:line="360" w:lineRule="auto"/>
        <w:ind w:left="141" w:right="223" w:firstLine="480"/>
        <w:jc w:val="both"/>
        <w:rPr>
          <w:rFonts w:ascii="仿宋_GB2312" w:eastAsia="仿宋_GB2312"/>
        </w:rPr>
      </w:pPr>
      <w:r>
        <w:rPr>
          <w:rFonts w:hint="eastAsia" w:ascii="仿宋_GB2312" w:eastAsia="仿宋_GB2312"/>
        </w:rPr>
        <w:t>评审标准如下：</w:t>
      </w:r>
    </w:p>
    <w:tbl>
      <w:tblPr>
        <w:tblStyle w:val="30"/>
        <w:tblW w:w="88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0"/>
        <w:gridCol w:w="6537"/>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tblHeader/>
          <w:jc w:val="center"/>
        </w:trPr>
        <w:tc>
          <w:tcPr>
            <w:tcW w:w="1340" w:type="dxa"/>
            <w:vAlign w:val="center"/>
          </w:tcPr>
          <w:p>
            <w:pPr>
              <w:spacing w:line="320" w:lineRule="exact"/>
              <w:jc w:val="center"/>
              <w:rPr>
                <w:rFonts w:hint="eastAsia" w:ascii="楷体" w:hAnsi="楷体" w:eastAsia="楷体" w:cs="仿宋_GB2312"/>
                <w:iCs/>
                <w:szCs w:val="32"/>
              </w:rPr>
            </w:pPr>
            <w:r>
              <w:rPr>
                <w:rFonts w:ascii="楷体" w:hAnsi="楷体" w:eastAsia="楷体" w:cs="仿宋_GB2312"/>
                <w:iCs/>
                <w:szCs w:val="32"/>
              </w:rPr>
              <w:t>项 目</w:t>
            </w:r>
          </w:p>
        </w:tc>
        <w:tc>
          <w:tcPr>
            <w:tcW w:w="6537" w:type="dxa"/>
            <w:vAlign w:val="center"/>
          </w:tcPr>
          <w:p>
            <w:pPr>
              <w:spacing w:line="320" w:lineRule="exact"/>
              <w:jc w:val="center"/>
              <w:rPr>
                <w:rFonts w:hint="eastAsia" w:ascii="楷体" w:hAnsi="楷体" w:eastAsia="楷体" w:cs="仿宋_GB2312"/>
                <w:iCs/>
                <w:szCs w:val="32"/>
              </w:rPr>
            </w:pPr>
            <w:r>
              <w:rPr>
                <w:rFonts w:ascii="楷体" w:hAnsi="楷体" w:eastAsia="楷体" w:cs="仿宋_GB2312"/>
                <w:iCs/>
                <w:szCs w:val="32"/>
              </w:rPr>
              <w:t>评分内容</w:t>
            </w:r>
          </w:p>
        </w:tc>
        <w:tc>
          <w:tcPr>
            <w:tcW w:w="1005" w:type="dxa"/>
            <w:vAlign w:val="center"/>
          </w:tcPr>
          <w:p>
            <w:pPr>
              <w:spacing w:line="320" w:lineRule="exact"/>
              <w:jc w:val="center"/>
              <w:rPr>
                <w:rFonts w:hint="eastAsia" w:ascii="楷体" w:hAnsi="楷体" w:eastAsia="楷体" w:cs="仿宋_GB2312"/>
                <w:iCs/>
                <w:szCs w:val="32"/>
              </w:rPr>
            </w:pPr>
            <w:r>
              <w:rPr>
                <w:rFonts w:ascii="楷体" w:hAnsi="楷体" w:eastAsia="楷体" w:cs="仿宋_GB2312"/>
                <w:iCs/>
                <w:szCs w:val="32"/>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882" w:type="dxa"/>
            <w:gridSpan w:val="3"/>
            <w:vAlign w:val="center"/>
          </w:tcPr>
          <w:p>
            <w:pPr>
              <w:spacing w:line="320" w:lineRule="exact"/>
              <w:rPr>
                <w:rFonts w:hint="eastAsia" w:ascii="楷体" w:hAnsi="楷体" w:eastAsia="楷体" w:cs="仿宋_GB2312"/>
                <w:iCs/>
                <w:szCs w:val="32"/>
              </w:rPr>
            </w:pPr>
            <w:r>
              <w:rPr>
                <w:rFonts w:hint="eastAsia" w:ascii="楷体" w:hAnsi="楷体" w:eastAsia="楷体" w:cs="仿宋_GB2312"/>
                <w:iCs/>
                <w:szCs w:val="32"/>
              </w:rPr>
              <w:t>一、价格评审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340" w:type="dxa"/>
            <w:vAlign w:val="center"/>
          </w:tcPr>
          <w:p>
            <w:pPr>
              <w:spacing w:line="320" w:lineRule="exact"/>
              <w:jc w:val="center"/>
              <w:rPr>
                <w:rFonts w:hint="eastAsia" w:ascii="楷体" w:hAnsi="楷体" w:eastAsia="楷体" w:cs="仿宋_GB2312"/>
                <w:iCs/>
                <w:szCs w:val="32"/>
              </w:rPr>
            </w:pPr>
            <w:r>
              <w:rPr>
                <w:rFonts w:ascii="楷体" w:hAnsi="楷体" w:eastAsia="楷体" w:cs="仿宋_GB2312"/>
                <w:iCs/>
                <w:szCs w:val="32"/>
              </w:rPr>
              <w:t>价格得分</w:t>
            </w:r>
            <w:r>
              <w:rPr>
                <w:rFonts w:hint="eastAsia" w:ascii="楷体" w:hAnsi="楷体" w:eastAsia="楷体" w:cs="仿宋_GB2312"/>
                <w:iCs/>
                <w:szCs w:val="32"/>
                <w:highlight w:val="none"/>
              </w:rPr>
              <w:t>（40</w:t>
            </w:r>
            <w:r>
              <w:rPr>
                <w:rFonts w:ascii="楷体" w:hAnsi="楷体" w:eastAsia="楷体" w:cs="仿宋_GB2312"/>
                <w:iCs/>
                <w:szCs w:val="32"/>
                <w:highlight w:val="none"/>
              </w:rPr>
              <w:t>）</w:t>
            </w:r>
          </w:p>
        </w:tc>
        <w:tc>
          <w:tcPr>
            <w:tcW w:w="6537" w:type="dxa"/>
            <w:vAlign w:val="center"/>
          </w:tcPr>
          <w:p>
            <w:pPr>
              <w:spacing w:line="320" w:lineRule="exact"/>
              <w:rPr>
                <w:rFonts w:hint="eastAsia" w:ascii="楷体" w:hAnsi="楷体" w:eastAsia="楷体" w:cs="仿宋_GB2312"/>
                <w:iCs/>
                <w:szCs w:val="32"/>
              </w:rPr>
            </w:pPr>
            <w:r>
              <w:rPr>
                <w:rFonts w:hint="eastAsia" w:ascii="楷体" w:hAnsi="楷体" w:eastAsia="楷体" w:cs="仿宋_GB2312"/>
                <w:iCs/>
                <w:szCs w:val="32"/>
              </w:rPr>
              <w:t>评分法中的价格分采用低价优先法计算，即满足招标文件要求且最低的评审价格为评标基准价，等于评标基准价得</w:t>
            </w:r>
            <w:r>
              <w:rPr>
                <w:rFonts w:hint="eastAsia" w:ascii="楷体" w:hAnsi="楷体" w:eastAsia="楷体" w:cs="仿宋_GB2312"/>
                <w:iCs/>
                <w:szCs w:val="32"/>
                <w:lang w:val="en-US" w:eastAsia="zh-CN"/>
              </w:rPr>
              <w:t>40</w:t>
            </w:r>
            <w:r>
              <w:rPr>
                <w:rFonts w:hint="eastAsia" w:ascii="楷体" w:hAnsi="楷体" w:eastAsia="楷体" w:cs="仿宋_GB2312"/>
                <w:iCs/>
                <w:szCs w:val="32"/>
              </w:rPr>
              <w:t>分。其他供应商的价格分统一按照下列公式计算，精确到小数点后两位：</w:t>
            </w:r>
          </w:p>
          <w:p>
            <w:pPr>
              <w:spacing w:line="320" w:lineRule="exact"/>
              <w:rPr>
                <w:rFonts w:hint="eastAsia" w:ascii="楷体" w:hAnsi="楷体" w:eastAsia="楷体" w:cs="仿宋_GB2312"/>
                <w:iCs/>
                <w:szCs w:val="32"/>
              </w:rPr>
            </w:pPr>
            <w:r>
              <w:rPr>
                <w:rFonts w:hint="eastAsia" w:ascii="楷体" w:hAnsi="楷体" w:eastAsia="楷体" w:cs="仿宋_GB2312"/>
                <w:iCs/>
                <w:szCs w:val="32"/>
              </w:rPr>
              <w:t>供应商报价得分＝（评标基准价/评审价格）×</w:t>
            </w:r>
            <w:r>
              <w:rPr>
                <w:rFonts w:hint="eastAsia" w:ascii="楷体" w:hAnsi="楷体" w:eastAsia="楷体" w:cs="仿宋_GB2312"/>
                <w:iCs/>
                <w:szCs w:val="32"/>
                <w:highlight w:val="none"/>
              </w:rPr>
              <w:t>4</w:t>
            </w:r>
            <w:r>
              <w:rPr>
                <w:rFonts w:ascii="楷体" w:hAnsi="楷体" w:eastAsia="楷体" w:cs="仿宋_GB2312"/>
                <w:iCs/>
                <w:szCs w:val="32"/>
                <w:highlight w:val="none"/>
              </w:rPr>
              <w:t>0</w:t>
            </w:r>
            <w:r>
              <w:rPr>
                <w:rFonts w:hint="eastAsia" w:ascii="楷体" w:hAnsi="楷体" w:eastAsia="楷体" w:cs="仿宋_GB2312"/>
                <w:iCs/>
                <w:szCs w:val="32"/>
                <w:highlight w:val="none"/>
              </w:rPr>
              <w:t>；</w:t>
            </w:r>
          </w:p>
          <w:p>
            <w:pPr>
              <w:spacing w:line="320" w:lineRule="exact"/>
              <w:rPr>
                <w:rFonts w:hint="eastAsia" w:ascii="楷体" w:hAnsi="楷体" w:eastAsia="楷体" w:cs="仿宋_GB2312"/>
                <w:iCs/>
                <w:szCs w:val="32"/>
              </w:rPr>
            </w:pPr>
            <w:r>
              <w:rPr>
                <w:rFonts w:hint="eastAsia" w:ascii="楷体" w:hAnsi="楷体" w:eastAsia="楷体" w:cs="仿宋_GB2312"/>
                <w:iCs/>
                <w:szCs w:val="32"/>
              </w:rPr>
              <w:t>评审价格按照如下方式定义：</w:t>
            </w:r>
          </w:p>
          <w:p>
            <w:pPr>
              <w:spacing w:line="320" w:lineRule="exact"/>
              <w:rPr>
                <w:rFonts w:hint="eastAsia" w:ascii="楷体" w:hAnsi="楷体" w:eastAsia="楷体" w:cs="仿宋_GB2312"/>
                <w:iCs/>
                <w:szCs w:val="32"/>
              </w:rPr>
            </w:pPr>
            <w:r>
              <w:rPr>
                <w:rFonts w:hint="eastAsia" w:ascii="楷体" w:hAnsi="楷体" w:eastAsia="楷体" w:cs="仿宋_GB2312"/>
                <w:iCs/>
                <w:szCs w:val="32"/>
              </w:rPr>
              <w:t>对于承诺提供增值税专用发票的供应商，评审价格即不含税的投标总价净价；</w:t>
            </w:r>
          </w:p>
          <w:p>
            <w:pPr>
              <w:spacing w:line="320" w:lineRule="exact"/>
              <w:rPr>
                <w:rFonts w:hint="eastAsia" w:ascii="楷体" w:hAnsi="楷体" w:eastAsia="楷体" w:cs="仿宋_GB2312"/>
                <w:iCs/>
                <w:szCs w:val="32"/>
              </w:rPr>
            </w:pPr>
            <w:r>
              <w:rPr>
                <w:rFonts w:hint="eastAsia" w:ascii="楷体" w:hAnsi="楷体" w:eastAsia="楷体" w:cs="仿宋_GB2312"/>
                <w:iCs/>
                <w:szCs w:val="32"/>
              </w:rPr>
              <w:t>对于不能提供增值税专用发票的供应商，评审价格是含税的投标总价。</w:t>
            </w:r>
          </w:p>
        </w:tc>
        <w:tc>
          <w:tcPr>
            <w:tcW w:w="1005" w:type="dxa"/>
            <w:vAlign w:val="center"/>
          </w:tcPr>
          <w:p>
            <w:pPr>
              <w:spacing w:line="320" w:lineRule="exact"/>
              <w:jc w:val="center"/>
              <w:rPr>
                <w:rFonts w:hint="eastAsia" w:ascii="楷体" w:hAnsi="楷体" w:eastAsia="楷体" w:cs="仿宋_GB2312"/>
                <w:iCs/>
                <w:szCs w:val="32"/>
              </w:rPr>
            </w:pPr>
            <w:r>
              <w:rPr>
                <w:rFonts w:hint="eastAsia" w:ascii="楷体" w:hAnsi="楷体" w:eastAsia="楷体" w:cs="仿宋_GB2312"/>
                <w:iCs/>
                <w:szCs w:val="32"/>
                <w:highlight w:val="none"/>
              </w:rPr>
              <w:t>4</w:t>
            </w:r>
            <w:r>
              <w:rPr>
                <w:rFonts w:ascii="楷体" w:hAnsi="楷体" w:eastAsia="楷体" w:cs="仿宋_GB2312"/>
                <w:iCs/>
                <w:szCs w:val="32"/>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882" w:type="dxa"/>
            <w:gridSpan w:val="3"/>
            <w:vAlign w:val="center"/>
          </w:tcPr>
          <w:p>
            <w:pPr>
              <w:spacing w:line="320" w:lineRule="exact"/>
              <w:rPr>
                <w:rFonts w:hint="eastAsia" w:ascii="楷体" w:hAnsi="楷体" w:eastAsia="楷体" w:cs="仿宋_GB2312"/>
                <w:iCs/>
                <w:szCs w:val="32"/>
              </w:rPr>
            </w:pPr>
            <w:r>
              <w:rPr>
                <w:rFonts w:hint="eastAsia" w:ascii="楷体" w:hAnsi="楷体" w:eastAsia="楷体" w:cs="仿宋_GB2312"/>
                <w:iCs/>
                <w:szCs w:val="32"/>
              </w:rPr>
              <w:t>二、技术和服务评审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340" w:type="dxa"/>
            <w:vMerge w:val="restart"/>
            <w:shd w:val="clear" w:color="auto" w:fill="auto"/>
            <w:vAlign w:val="center"/>
          </w:tcPr>
          <w:p>
            <w:pPr>
              <w:snapToGrid w:val="0"/>
              <w:spacing w:line="320" w:lineRule="exact"/>
              <w:jc w:val="center"/>
              <w:rPr>
                <w:rFonts w:hint="eastAsia" w:ascii="楷体" w:hAnsi="楷体" w:eastAsia="楷体" w:cs="仿宋_GB2312"/>
                <w:szCs w:val="32"/>
                <w:highlight w:val="none"/>
              </w:rPr>
            </w:pPr>
            <w:r>
              <w:rPr>
                <w:rFonts w:hint="eastAsia" w:ascii="楷体" w:hAnsi="楷体" w:eastAsia="楷体" w:cs="仿宋_GB2312"/>
                <w:szCs w:val="32"/>
                <w:highlight w:val="none"/>
              </w:rPr>
              <w:t>技术质量得分</w:t>
            </w:r>
          </w:p>
          <w:p>
            <w:pPr>
              <w:snapToGrid w:val="0"/>
              <w:spacing w:line="320" w:lineRule="exact"/>
              <w:jc w:val="center"/>
              <w:rPr>
                <w:rFonts w:hint="eastAsia" w:ascii="楷体" w:hAnsi="楷体" w:eastAsia="楷体" w:cs="仿宋_GB2312"/>
                <w:iCs/>
                <w:szCs w:val="32"/>
                <w:highlight w:val="none"/>
              </w:rPr>
            </w:pPr>
            <w:r>
              <w:rPr>
                <w:rFonts w:hint="eastAsia" w:ascii="楷体" w:hAnsi="楷体" w:eastAsia="楷体" w:cs="仿宋_GB2312"/>
                <w:szCs w:val="32"/>
                <w:highlight w:val="none"/>
              </w:rPr>
              <w:t>（50）</w:t>
            </w:r>
          </w:p>
        </w:tc>
        <w:tc>
          <w:tcPr>
            <w:tcW w:w="6537" w:type="dxa"/>
            <w:vAlign w:val="center"/>
          </w:tcPr>
          <w:p>
            <w:pPr>
              <w:spacing w:line="320" w:lineRule="exact"/>
              <w:rPr>
                <w:rFonts w:hint="eastAsia" w:ascii="楷体" w:hAnsi="楷体" w:eastAsia="楷体" w:cs="仿宋_GB2312"/>
                <w:szCs w:val="32"/>
                <w:highlight w:val="none"/>
              </w:rPr>
            </w:pPr>
            <w:r>
              <w:rPr>
                <w:rFonts w:hint="eastAsia" w:ascii="楷体" w:hAnsi="楷体" w:eastAsia="楷体" w:cs="仿宋_GB2312"/>
                <w:szCs w:val="32"/>
                <w:highlight w:val="none"/>
              </w:rPr>
              <w:t>“▲项”满足要求得基准分，负偏离一项扣6分。</w:t>
            </w:r>
          </w:p>
          <w:p>
            <w:pPr>
              <w:pStyle w:val="2"/>
              <w:rPr>
                <w:rFonts w:hint="eastAsia" w:ascii="楷体" w:hAnsi="楷体" w:eastAsia="楷体" w:cs="仿宋_GB2312"/>
                <w:iCs/>
                <w:szCs w:val="32"/>
                <w:highlight w:val="none"/>
              </w:rPr>
            </w:pPr>
            <w:r>
              <w:rPr>
                <w:rFonts w:hint="eastAsia" w:ascii="楷体" w:hAnsi="楷体" w:eastAsia="楷体" w:cs="仿宋_GB2312"/>
                <w:szCs w:val="32"/>
                <w:highlight w:val="none"/>
              </w:rPr>
              <w:t>其余普通条款一条负偏离扣3分。“▲项”有3项不满足，不得分。</w:t>
            </w:r>
          </w:p>
        </w:tc>
        <w:tc>
          <w:tcPr>
            <w:tcW w:w="1005" w:type="dxa"/>
            <w:vAlign w:val="center"/>
          </w:tcPr>
          <w:p>
            <w:pPr>
              <w:snapToGrid w:val="0"/>
              <w:spacing w:line="320" w:lineRule="exact"/>
              <w:jc w:val="center"/>
              <w:rPr>
                <w:rFonts w:hint="eastAsia" w:ascii="楷体" w:hAnsi="楷体" w:eastAsia="楷体" w:cs="仿宋_GB2312"/>
                <w:iCs/>
                <w:szCs w:val="32"/>
                <w:highlight w:val="none"/>
              </w:rPr>
            </w:pPr>
            <w:r>
              <w:rPr>
                <w:rFonts w:hint="eastAsia" w:ascii="楷体" w:hAnsi="楷体" w:eastAsia="楷体" w:cs="仿宋_GB2312"/>
                <w:szCs w:val="32"/>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340" w:type="dxa"/>
            <w:vMerge w:val="continue"/>
            <w:shd w:val="clear" w:color="auto" w:fill="auto"/>
            <w:vAlign w:val="center"/>
          </w:tcPr>
          <w:p>
            <w:pPr>
              <w:snapToGrid w:val="0"/>
              <w:spacing w:line="320" w:lineRule="exact"/>
              <w:jc w:val="center"/>
              <w:rPr>
                <w:rFonts w:hint="eastAsia" w:ascii="楷体" w:hAnsi="楷体" w:eastAsia="楷体" w:cs="仿宋_GB2312"/>
                <w:iCs/>
                <w:szCs w:val="32"/>
                <w:highlight w:val="none"/>
              </w:rPr>
            </w:pPr>
          </w:p>
        </w:tc>
        <w:tc>
          <w:tcPr>
            <w:tcW w:w="6537" w:type="dxa"/>
            <w:vAlign w:val="center"/>
          </w:tcPr>
          <w:p>
            <w:pPr>
              <w:spacing w:line="320" w:lineRule="exact"/>
              <w:rPr>
                <w:rFonts w:hint="eastAsia" w:ascii="楷体" w:hAnsi="楷体" w:eastAsia="楷体" w:cs="仿宋_GB2312"/>
                <w:iCs/>
                <w:szCs w:val="32"/>
                <w:highlight w:val="none"/>
              </w:rPr>
            </w:pPr>
            <w:r>
              <w:rPr>
                <w:rFonts w:hint="eastAsia" w:ascii="楷体" w:hAnsi="楷体" w:eastAsia="楷体" w:cs="仿宋_GB2312"/>
                <w:szCs w:val="32"/>
                <w:highlight w:val="none"/>
              </w:rPr>
              <w:t>在满足招标文件要求工期的前提下，投标人从项目管理、实施计划、人员保障、质量保障、安全管理体系与措施、培训方案等方面制定完整、合理、可行的实施方案， 从方案完整性、合理性、可行性、满足项目实施的保障程度等方面进行综合评比，由评委按方案的综合优劣进行评审，方案优，得</w:t>
            </w:r>
            <w:r>
              <w:rPr>
                <w:rFonts w:hint="eastAsia" w:ascii="楷体" w:hAnsi="楷体" w:eastAsia="楷体" w:cs="仿宋_GB2312"/>
                <w:szCs w:val="32"/>
                <w:highlight w:val="none"/>
                <w:lang w:val="en-US" w:eastAsia="zh-CN"/>
              </w:rPr>
              <w:t>7-10</w:t>
            </w:r>
            <w:r>
              <w:rPr>
                <w:rFonts w:hint="eastAsia" w:ascii="楷体" w:hAnsi="楷体" w:eastAsia="楷体" w:cs="仿宋_GB2312"/>
                <w:szCs w:val="32"/>
                <w:highlight w:val="none"/>
              </w:rPr>
              <w:t>分；方案良，得</w:t>
            </w:r>
            <w:r>
              <w:rPr>
                <w:rFonts w:hint="eastAsia" w:ascii="楷体" w:hAnsi="楷体" w:eastAsia="楷体" w:cs="仿宋_GB2312"/>
                <w:szCs w:val="32"/>
                <w:highlight w:val="none"/>
                <w:lang w:val="en-US" w:eastAsia="zh-CN"/>
              </w:rPr>
              <w:t>4-6</w:t>
            </w:r>
            <w:r>
              <w:rPr>
                <w:rFonts w:hint="eastAsia" w:ascii="楷体" w:hAnsi="楷体" w:eastAsia="楷体" w:cs="仿宋_GB2312"/>
                <w:szCs w:val="32"/>
                <w:highlight w:val="none"/>
              </w:rPr>
              <w:t>分；方案一般，得1</w:t>
            </w:r>
            <w:r>
              <w:rPr>
                <w:rFonts w:hint="eastAsia" w:ascii="楷体" w:hAnsi="楷体" w:eastAsia="楷体" w:cs="仿宋_GB2312"/>
                <w:szCs w:val="32"/>
                <w:highlight w:val="none"/>
                <w:lang w:val="en-US" w:eastAsia="zh-CN"/>
              </w:rPr>
              <w:t>-3</w:t>
            </w:r>
            <w:r>
              <w:rPr>
                <w:rFonts w:hint="eastAsia" w:ascii="楷体" w:hAnsi="楷体" w:eastAsia="楷体" w:cs="仿宋_GB2312"/>
                <w:szCs w:val="32"/>
                <w:highlight w:val="none"/>
              </w:rPr>
              <w:t>分； 无实施方案不得分。</w:t>
            </w:r>
          </w:p>
        </w:tc>
        <w:tc>
          <w:tcPr>
            <w:tcW w:w="1005" w:type="dxa"/>
            <w:vAlign w:val="center"/>
          </w:tcPr>
          <w:p>
            <w:pPr>
              <w:snapToGrid w:val="0"/>
              <w:spacing w:line="320" w:lineRule="exact"/>
              <w:jc w:val="center"/>
              <w:rPr>
                <w:rFonts w:hint="eastAsia" w:ascii="楷体" w:hAnsi="楷体" w:eastAsia="楷体" w:cs="仿宋_GB2312"/>
                <w:iCs/>
                <w:szCs w:val="32"/>
                <w:highlight w:val="none"/>
              </w:rPr>
            </w:pPr>
            <w:r>
              <w:rPr>
                <w:rFonts w:hint="eastAsia" w:ascii="楷体" w:hAnsi="楷体" w:eastAsia="楷体" w:cs="仿宋_GB2312"/>
                <w:szCs w:val="32"/>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340" w:type="dxa"/>
            <w:vMerge w:val="continue"/>
            <w:shd w:val="clear" w:color="auto" w:fill="auto"/>
            <w:vAlign w:val="center"/>
          </w:tcPr>
          <w:p>
            <w:pPr>
              <w:snapToGrid w:val="0"/>
              <w:spacing w:line="320" w:lineRule="exact"/>
              <w:rPr>
                <w:rFonts w:hint="eastAsia" w:ascii="楷体" w:hAnsi="楷体" w:eastAsia="楷体" w:cs="仿宋_GB2312"/>
                <w:iCs/>
                <w:szCs w:val="32"/>
                <w:highlight w:val="none"/>
              </w:rPr>
            </w:pPr>
          </w:p>
        </w:tc>
        <w:tc>
          <w:tcPr>
            <w:tcW w:w="6537" w:type="dxa"/>
            <w:vAlign w:val="center"/>
          </w:tcPr>
          <w:p>
            <w:pPr>
              <w:spacing w:line="320" w:lineRule="exact"/>
              <w:rPr>
                <w:rFonts w:hint="eastAsia" w:ascii="楷体" w:hAnsi="楷体" w:eastAsia="楷体" w:cs="仿宋_GB2312"/>
                <w:iCs/>
                <w:szCs w:val="32"/>
                <w:highlight w:val="none"/>
              </w:rPr>
            </w:pPr>
            <w:r>
              <w:rPr>
                <w:rFonts w:hint="eastAsia" w:ascii="楷体" w:hAnsi="楷体" w:eastAsia="楷体" w:cs="仿宋_GB2312"/>
                <w:szCs w:val="32"/>
                <w:highlight w:val="none"/>
              </w:rPr>
              <w:t>投标人能准确理解该项目建设需求，提供清晰技术支持方案、业务流程制定完整、合理、可行的实施方案， 从方案完整性、合理性、可行性、满足项目实施的保障程度等方面进行综合评比，由评委按方案的综合优劣进行评审，方案优，得</w:t>
            </w:r>
            <w:r>
              <w:rPr>
                <w:rFonts w:hint="eastAsia" w:ascii="楷体" w:hAnsi="楷体" w:eastAsia="楷体" w:cs="仿宋_GB2312"/>
                <w:szCs w:val="32"/>
                <w:highlight w:val="none"/>
                <w:lang w:val="en-US" w:eastAsia="zh-CN"/>
              </w:rPr>
              <w:t>7</w:t>
            </w:r>
            <w:r>
              <w:rPr>
                <w:rFonts w:hint="eastAsia" w:ascii="楷体" w:hAnsi="楷体" w:eastAsia="楷体" w:cs="仿宋_GB2312"/>
                <w:szCs w:val="32"/>
                <w:highlight w:val="none"/>
              </w:rPr>
              <w:t>-</w:t>
            </w:r>
            <w:r>
              <w:rPr>
                <w:rFonts w:hint="eastAsia" w:ascii="楷体" w:hAnsi="楷体" w:eastAsia="楷体" w:cs="仿宋_GB2312"/>
                <w:szCs w:val="32"/>
                <w:highlight w:val="none"/>
                <w:lang w:val="en-US" w:eastAsia="zh-CN"/>
              </w:rPr>
              <w:t>10</w:t>
            </w:r>
            <w:r>
              <w:rPr>
                <w:rFonts w:hint="eastAsia" w:ascii="楷体" w:hAnsi="楷体" w:eastAsia="楷体" w:cs="仿宋_GB2312"/>
                <w:szCs w:val="32"/>
                <w:highlight w:val="none"/>
              </w:rPr>
              <w:t>分；方案良，得</w:t>
            </w:r>
            <w:r>
              <w:rPr>
                <w:rFonts w:hint="eastAsia" w:ascii="楷体" w:hAnsi="楷体" w:eastAsia="楷体" w:cs="仿宋_GB2312"/>
                <w:szCs w:val="32"/>
                <w:highlight w:val="none"/>
                <w:lang w:val="en-US" w:eastAsia="zh-CN"/>
              </w:rPr>
              <w:t>4-6</w:t>
            </w:r>
            <w:r>
              <w:rPr>
                <w:rFonts w:hint="eastAsia" w:ascii="楷体" w:hAnsi="楷体" w:eastAsia="楷体" w:cs="仿宋_GB2312"/>
                <w:szCs w:val="32"/>
                <w:highlight w:val="none"/>
              </w:rPr>
              <w:t>分；方案一般，得 1</w:t>
            </w:r>
            <w:r>
              <w:rPr>
                <w:rFonts w:hint="eastAsia" w:ascii="楷体" w:hAnsi="楷体" w:eastAsia="楷体" w:cs="仿宋_GB2312"/>
                <w:szCs w:val="32"/>
                <w:highlight w:val="none"/>
                <w:lang w:val="en-US" w:eastAsia="zh-CN"/>
              </w:rPr>
              <w:t>-3</w:t>
            </w:r>
            <w:r>
              <w:rPr>
                <w:rFonts w:hint="eastAsia" w:ascii="楷体" w:hAnsi="楷体" w:eastAsia="楷体" w:cs="仿宋_GB2312"/>
                <w:szCs w:val="32"/>
                <w:highlight w:val="none"/>
              </w:rPr>
              <w:t>分；无实施方案不得分。</w:t>
            </w:r>
          </w:p>
        </w:tc>
        <w:tc>
          <w:tcPr>
            <w:tcW w:w="1005" w:type="dxa"/>
            <w:vAlign w:val="center"/>
          </w:tcPr>
          <w:p>
            <w:pPr>
              <w:snapToGrid w:val="0"/>
              <w:spacing w:line="320" w:lineRule="exact"/>
              <w:jc w:val="center"/>
              <w:rPr>
                <w:rFonts w:hint="eastAsia" w:ascii="楷体" w:hAnsi="楷体" w:eastAsia="楷体" w:cs="仿宋_GB2312"/>
                <w:iCs/>
                <w:szCs w:val="32"/>
                <w:highlight w:val="none"/>
              </w:rPr>
            </w:pPr>
            <w:r>
              <w:rPr>
                <w:rFonts w:hint="eastAsia" w:ascii="楷体" w:hAnsi="楷体" w:eastAsia="楷体" w:cs="仿宋_GB2312"/>
                <w:szCs w:val="32"/>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340" w:type="dxa"/>
            <w:vMerge w:val="restart"/>
            <w:shd w:val="clear" w:color="auto" w:fill="auto"/>
            <w:vAlign w:val="center"/>
          </w:tcPr>
          <w:p>
            <w:pPr>
              <w:snapToGrid w:val="0"/>
              <w:spacing w:line="320" w:lineRule="exact"/>
              <w:jc w:val="center"/>
              <w:rPr>
                <w:rFonts w:hint="eastAsia" w:ascii="楷体" w:hAnsi="楷体" w:eastAsia="楷体" w:cs="仿宋_GB2312"/>
                <w:iCs/>
                <w:szCs w:val="32"/>
                <w:highlight w:val="none"/>
              </w:rPr>
            </w:pPr>
            <w:r>
              <w:rPr>
                <w:rFonts w:ascii="楷体" w:hAnsi="楷体" w:eastAsia="楷体" w:cs="仿宋_GB2312"/>
                <w:iCs/>
                <w:szCs w:val="32"/>
                <w:highlight w:val="none"/>
              </w:rPr>
              <w:t>服务</w:t>
            </w:r>
            <w:r>
              <w:rPr>
                <w:rFonts w:hint="eastAsia" w:ascii="楷体" w:hAnsi="楷体" w:eastAsia="楷体" w:cs="仿宋_GB2312"/>
                <w:iCs/>
                <w:szCs w:val="32"/>
                <w:highlight w:val="none"/>
              </w:rPr>
              <w:t>水平</w:t>
            </w:r>
          </w:p>
          <w:p>
            <w:pPr>
              <w:snapToGrid w:val="0"/>
              <w:spacing w:line="320" w:lineRule="exact"/>
              <w:jc w:val="center"/>
              <w:rPr>
                <w:rFonts w:hint="eastAsia" w:ascii="楷体" w:hAnsi="楷体" w:eastAsia="楷体" w:cs="仿宋_GB2312"/>
                <w:iCs/>
                <w:szCs w:val="32"/>
                <w:highlight w:val="none"/>
              </w:rPr>
            </w:pPr>
            <w:r>
              <w:rPr>
                <w:rFonts w:ascii="楷体" w:hAnsi="楷体" w:eastAsia="楷体" w:cs="仿宋_GB2312"/>
                <w:iCs/>
                <w:szCs w:val="32"/>
                <w:highlight w:val="none"/>
              </w:rPr>
              <w:t>评分</w:t>
            </w:r>
          </w:p>
          <w:p>
            <w:pPr>
              <w:snapToGrid w:val="0"/>
              <w:spacing w:line="320" w:lineRule="exact"/>
              <w:jc w:val="center"/>
              <w:rPr>
                <w:rFonts w:hint="eastAsia" w:ascii="楷体" w:hAnsi="楷体" w:eastAsia="楷体" w:cs="仿宋_GB2312"/>
                <w:iCs/>
                <w:szCs w:val="32"/>
                <w:highlight w:val="none"/>
              </w:rPr>
            </w:pPr>
            <w:r>
              <w:rPr>
                <w:rFonts w:hint="eastAsia" w:ascii="楷体" w:hAnsi="楷体" w:eastAsia="楷体" w:cs="仿宋_GB2312"/>
                <w:iCs/>
                <w:szCs w:val="32"/>
                <w:highlight w:val="none"/>
              </w:rPr>
              <w:t>（10</w:t>
            </w:r>
            <w:r>
              <w:rPr>
                <w:rFonts w:ascii="楷体" w:hAnsi="楷体" w:eastAsia="楷体" w:cs="仿宋_GB2312"/>
                <w:iCs/>
                <w:szCs w:val="32"/>
                <w:highlight w:val="none"/>
              </w:rPr>
              <w:t>）</w:t>
            </w:r>
          </w:p>
        </w:tc>
        <w:tc>
          <w:tcPr>
            <w:tcW w:w="6537" w:type="dxa"/>
            <w:vAlign w:val="center"/>
          </w:tcPr>
          <w:p>
            <w:pPr>
              <w:spacing w:line="320" w:lineRule="exact"/>
              <w:rPr>
                <w:rFonts w:hint="eastAsia" w:ascii="楷体" w:hAnsi="楷体" w:eastAsia="楷体" w:cs="仿宋_GB2312"/>
                <w:iCs/>
                <w:szCs w:val="32"/>
                <w:highlight w:val="none"/>
              </w:rPr>
            </w:pPr>
            <w:r>
              <w:rPr>
                <w:rFonts w:hint="eastAsia" w:ascii="楷体" w:hAnsi="楷体" w:eastAsia="楷体" w:cs="仿宋_GB2312"/>
                <w:iCs/>
                <w:szCs w:val="32"/>
                <w:highlight w:val="none"/>
              </w:rPr>
              <w:t>投标人在成都本地有售后服务网点和技术人员的得5分；投标人在国内售后服务网点和技术人员的得1分；（需提供网点场地产权证书或租赁合同和人员社保证明）；</w:t>
            </w:r>
          </w:p>
        </w:tc>
        <w:tc>
          <w:tcPr>
            <w:tcW w:w="1005" w:type="dxa"/>
            <w:vAlign w:val="center"/>
          </w:tcPr>
          <w:p>
            <w:pPr>
              <w:snapToGrid w:val="0"/>
              <w:spacing w:line="320" w:lineRule="exact"/>
              <w:jc w:val="center"/>
              <w:rPr>
                <w:rFonts w:hint="eastAsia" w:ascii="楷体" w:hAnsi="楷体" w:eastAsia="楷体" w:cs="仿宋_GB2312"/>
                <w:iCs/>
                <w:szCs w:val="32"/>
                <w:highlight w:val="none"/>
              </w:rPr>
            </w:pPr>
            <w:r>
              <w:rPr>
                <w:rFonts w:hint="eastAsia" w:ascii="楷体" w:hAnsi="楷体" w:eastAsia="楷体" w:cs="仿宋_GB2312"/>
                <w:iCs/>
                <w:szCs w:val="32"/>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340" w:type="dxa"/>
            <w:vMerge w:val="continue"/>
            <w:shd w:val="clear" w:color="auto" w:fill="auto"/>
            <w:vAlign w:val="center"/>
          </w:tcPr>
          <w:p>
            <w:pPr>
              <w:snapToGrid w:val="0"/>
              <w:spacing w:line="320" w:lineRule="exact"/>
              <w:jc w:val="center"/>
              <w:rPr>
                <w:rFonts w:hint="eastAsia" w:ascii="楷体" w:hAnsi="楷体" w:eastAsia="楷体" w:cs="仿宋_GB2312"/>
                <w:iCs/>
                <w:szCs w:val="32"/>
                <w:highlight w:val="none"/>
              </w:rPr>
            </w:pPr>
          </w:p>
        </w:tc>
        <w:tc>
          <w:tcPr>
            <w:tcW w:w="6537" w:type="dxa"/>
            <w:vAlign w:val="center"/>
          </w:tcPr>
          <w:p>
            <w:pPr>
              <w:spacing w:line="320" w:lineRule="exact"/>
              <w:rPr>
                <w:rFonts w:hint="eastAsia" w:ascii="楷体" w:hAnsi="楷体" w:eastAsia="楷体" w:cs="仿宋_GB2312"/>
                <w:iCs/>
                <w:szCs w:val="32"/>
                <w:highlight w:val="none"/>
              </w:rPr>
            </w:pPr>
            <w:r>
              <w:rPr>
                <w:rFonts w:hint="eastAsia" w:ascii="楷体" w:hAnsi="楷体" w:eastAsia="楷体" w:cs="仿宋_GB2312"/>
                <w:iCs/>
                <w:szCs w:val="32"/>
                <w:highlight w:val="none"/>
              </w:rPr>
              <w:t>投标人承诺提供 7×24 小时售后服务响应，在接到故障报修电话超过24小时响应的得0分；6小时以上24小时以内的得2分；2小时以上6小时以内的得5分；</w:t>
            </w:r>
          </w:p>
        </w:tc>
        <w:tc>
          <w:tcPr>
            <w:tcW w:w="1005" w:type="dxa"/>
            <w:vAlign w:val="center"/>
          </w:tcPr>
          <w:p>
            <w:pPr>
              <w:snapToGrid w:val="0"/>
              <w:spacing w:line="320" w:lineRule="exact"/>
              <w:jc w:val="center"/>
              <w:rPr>
                <w:rFonts w:hint="eastAsia" w:ascii="楷体" w:hAnsi="楷体" w:eastAsia="楷体" w:cs="仿宋_GB2312"/>
                <w:iCs/>
                <w:szCs w:val="32"/>
                <w:highlight w:val="none"/>
              </w:rPr>
            </w:pPr>
            <w:r>
              <w:rPr>
                <w:rFonts w:hint="eastAsia" w:ascii="楷体" w:hAnsi="楷体" w:eastAsia="楷体" w:cs="仿宋_GB2312"/>
                <w:iCs/>
                <w:szCs w:val="32"/>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877" w:type="dxa"/>
            <w:gridSpan w:val="2"/>
            <w:vAlign w:val="center"/>
          </w:tcPr>
          <w:p>
            <w:pPr>
              <w:spacing w:line="320" w:lineRule="exact"/>
              <w:jc w:val="center"/>
              <w:rPr>
                <w:rFonts w:hint="eastAsia" w:ascii="楷体" w:hAnsi="楷体" w:eastAsia="楷体" w:cs="仿宋_GB2312"/>
                <w:iCs/>
                <w:szCs w:val="32"/>
              </w:rPr>
            </w:pPr>
            <w:r>
              <w:rPr>
                <w:rFonts w:hint="eastAsia" w:ascii="楷体" w:hAnsi="楷体" w:eastAsia="楷体" w:cs="仿宋_GB2312"/>
                <w:iCs/>
                <w:szCs w:val="32"/>
              </w:rPr>
              <w:t>合计</w:t>
            </w:r>
          </w:p>
        </w:tc>
        <w:tc>
          <w:tcPr>
            <w:tcW w:w="1005" w:type="dxa"/>
            <w:vAlign w:val="center"/>
          </w:tcPr>
          <w:p>
            <w:pPr>
              <w:snapToGrid w:val="0"/>
              <w:spacing w:line="320" w:lineRule="exact"/>
              <w:jc w:val="center"/>
              <w:rPr>
                <w:rFonts w:hint="eastAsia" w:ascii="楷体" w:hAnsi="楷体" w:eastAsia="楷体" w:cs="仿宋_GB2312"/>
                <w:iCs/>
                <w:szCs w:val="32"/>
              </w:rPr>
            </w:pPr>
            <w:r>
              <w:rPr>
                <w:rFonts w:hint="eastAsia" w:ascii="楷体" w:hAnsi="楷体" w:eastAsia="楷体" w:cs="仿宋_GB2312"/>
                <w:iCs/>
                <w:szCs w:val="32"/>
              </w:rPr>
              <w:t>100</w:t>
            </w:r>
          </w:p>
        </w:tc>
      </w:tr>
    </w:tbl>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3"/>
      </w:pPr>
    </w:p>
    <w:p/>
    <w:bookmarkEnd w:id="109"/>
    <w:p>
      <w:pPr>
        <w:pStyle w:val="4"/>
        <w:numPr>
          <w:ilvl w:val="0"/>
          <w:numId w:val="3"/>
        </w:numPr>
        <w:spacing w:before="0" w:after="0"/>
        <w:jc w:val="left"/>
        <w:rPr>
          <w:rFonts w:hint="eastAsia" w:ascii="仿宋" w:hAnsi="仿宋" w:eastAsia="仿宋" w:cs="仿宋"/>
          <w:color w:val="FF0000"/>
          <w:sz w:val="28"/>
          <w:szCs w:val="28"/>
        </w:rPr>
      </w:pPr>
      <w:bookmarkStart w:id="122" w:name="_Toc15254"/>
      <w:bookmarkStart w:id="123" w:name="_Toc186737810"/>
      <w:r>
        <w:rPr>
          <w:rFonts w:hint="eastAsia" w:ascii="仿宋" w:hAnsi="仿宋" w:eastAsia="仿宋" w:cs="仿宋"/>
          <w:color w:val="FF0000"/>
          <w:sz w:val="28"/>
          <w:szCs w:val="28"/>
        </w:rPr>
        <w:t>合同条</w:t>
      </w:r>
      <w:bookmarkEnd w:id="122"/>
      <w:r>
        <w:rPr>
          <w:rFonts w:hint="eastAsia" w:ascii="仿宋" w:hAnsi="仿宋" w:eastAsia="仿宋" w:cs="仿宋"/>
          <w:color w:val="FF0000"/>
          <w:sz w:val="28"/>
          <w:szCs w:val="28"/>
        </w:rPr>
        <w:t>款</w:t>
      </w:r>
      <w:bookmarkEnd w:id="123"/>
    </w:p>
    <w:p>
      <w:pPr>
        <w:snapToGrid w:val="0"/>
        <w:spacing w:line="360" w:lineRule="auto"/>
        <w:rPr>
          <w:rFonts w:hint="eastAsia" w:ascii="仿宋" w:hAnsi="仿宋" w:eastAsia="仿宋" w:cs="仿宋"/>
        </w:rPr>
      </w:pPr>
      <w:r>
        <w:rPr>
          <w:rFonts w:hint="eastAsia" w:ascii="仿宋" w:hAnsi="仿宋" w:eastAsia="仿宋" w:cs="仿宋"/>
          <w:b/>
        </w:rPr>
        <w:t xml:space="preserve">甲方（委托方）: </w:t>
      </w:r>
      <w:r>
        <w:rPr>
          <w:rFonts w:hint="eastAsia" w:ascii="仿宋" w:hAnsi="仿宋" w:eastAsia="仿宋" w:cs="仿宋"/>
        </w:rPr>
        <w:t>中国人民财产保险股份有限公司成都市分公司</w:t>
      </w:r>
    </w:p>
    <w:p>
      <w:pPr>
        <w:snapToGrid w:val="0"/>
        <w:spacing w:line="360" w:lineRule="auto"/>
        <w:rPr>
          <w:rFonts w:hint="eastAsia" w:ascii="仿宋" w:hAnsi="仿宋" w:eastAsia="仿宋" w:cs="仿宋"/>
        </w:rPr>
      </w:pPr>
      <w:r>
        <w:rPr>
          <w:rFonts w:hint="eastAsia" w:ascii="仿宋" w:hAnsi="仿宋" w:eastAsia="仿宋" w:cs="仿宋"/>
          <w:b/>
        </w:rPr>
        <w:t xml:space="preserve">地  址: </w:t>
      </w:r>
      <w:r>
        <w:rPr>
          <w:rFonts w:hint="eastAsia" w:ascii="仿宋" w:hAnsi="仿宋" w:eastAsia="仿宋" w:cs="仿宋"/>
        </w:rPr>
        <w:t>成都市武侯区老马路7号</w:t>
      </w:r>
    </w:p>
    <w:p>
      <w:pPr>
        <w:snapToGrid w:val="0"/>
        <w:spacing w:line="360" w:lineRule="auto"/>
        <w:rPr>
          <w:rFonts w:hint="eastAsia" w:ascii="仿宋" w:hAnsi="仿宋" w:eastAsia="仿宋" w:cs="仿宋"/>
        </w:rPr>
      </w:pPr>
      <w:r>
        <w:rPr>
          <w:rFonts w:hint="eastAsia" w:ascii="仿宋" w:hAnsi="仿宋" w:eastAsia="仿宋" w:cs="仿宋"/>
          <w:b/>
          <w:bCs/>
        </w:rPr>
        <w:t>法定代表人：</w:t>
      </w:r>
      <w:r>
        <w:rPr>
          <w:rFonts w:hint="eastAsia" w:ascii="仿宋" w:hAnsi="仿宋" w:eastAsia="仿宋" w:cs="仿宋"/>
        </w:rPr>
        <w:t>曹利军</w:t>
      </w:r>
    </w:p>
    <w:p>
      <w:pPr>
        <w:snapToGrid w:val="0"/>
        <w:spacing w:line="360" w:lineRule="auto"/>
        <w:rPr>
          <w:rFonts w:hint="eastAsia" w:ascii="仿宋" w:hAnsi="仿宋" w:eastAsia="仿宋" w:cs="仿宋"/>
          <w:u w:val="single"/>
        </w:rPr>
      </w:pPr>
    </w:p>
    <w:p>
      <w:pPr>
        <w:snapToGrid w:val="0"/>
        <w:spacing w:line="360" w:lineRule="auto"/>
        <w:rPr>
          <w:rFonts w:hint="eastAsia" w:ascii="仿宋" w:hAnsi="仿宋" w:eastAsia="仿宋" w:cs="仿宋"/>
        </w:rPr>
      </w:pPr>
      <w:r>
        <w:rPr>
          <w:rFonts w:hint="eastAsia" w:ascii="仿宋" w:hAnsi="仿宋" w:eastAsia="仿宋" w:cs="仿宋"/>
          <w:b/>
        </w:rPr>
        <w:t>乙方（受托方）:</w:t>
      </w:r>
      <w:r>
        <w:rPr>
          <w:rFonts w:hint="eastAsia" w:ascii="仿宋" w:hAnsi="仿宋" w:eastAsia="仿宋" w:cs="仿宋"/>
        </w:rPr>
        <w:t xml:space="preserve"> </w:t>
      </w:r>
    </w:p>
    <w:p>
      <w:pPr>
        <w:snapToGrid w:val="0"/>
        <w:spacing w:line="360" w:lineRule="auto"/>
        <w:rPr>
          <w:rFonts w:hint="eastAsia" w:ascii="仿宋" w:hAnsi="仿宋" w:eastAsia="仿宋" w:cs="仿宋"/>
          <w:bCs/>
        </w:rPr>
      </w:pPr>
      <w:r>
        <w:rPr>
          <w:rFonts w:hint="eastAsia" w:ascii="仿宋" w:hAnsi="仿宋" w:eastAsia="仿宋" w:cs="仿宋"/>
          <w:b/>
        </w:rPr>
        <w:t>地  址:</w:t>
      </w:r>
    </w:p>
    <w:p>
      <w:pPr>
        <w:snapToGrid w:val="0"/>
        <w:spacing w:line="360" w:lineRule="auto"/>
        <w:rPr>
          <w:rFonts w:hint="eastAsia" w:ascii="仿宋" w:hAnsi="仿宋" w:eastAsia="仿宋" w:cs="仿宋"/>
        </w:rPr>
      </w:pPr>
      <w:r>
        <w:rPr>
          <w:rFonts w:hint="eastAsia" w:ascii="仿宋" w:hAnsi="仿宋" w:eastAsia="仿宋" w:cs="仿宋"/>
          <w:b/>
        </w:rPr>
        <w:t>法定代表</w:t>
      </w:r>
      <w:r>
        <w:rPr>
          <w:rFonts w:hint="eastAsia" w:ascii="仿宋" w:hAnsi="仿宋" w:eastAsia="仿宋" w:cs="仿宋"/>
          <w:b/>
          <w:bCs/>
        </w:rPr>
        <w:t>人：</w:t>
      </w:r>
      <w:r>
        <w:rPr>
          <w:rFonts w:hint="eastAsia" w:ascii="仿宋" w:hAnsi="仿宋" w:eastAsia="仿宋" w:cs="仿宋"/>
        </w:rPr>
        <w:t xml:space="preserve">                                  </w:t>
      </w:r>
    </w:p>
    <w:p>
      <w:pPr>
        <w:rPr>
          <w:rFonts w:hint="eastAsia" w:ascii="仿宋" w:hAnsi="仿宋" w:eastAsia="仿宋" w:cs="仿宋"/>
        </w:rPr>
      </w:pPr>
    </w:p>
    <w:p>
      <w:pPr>
        <w:spacing w:beforeAutospacing="1" w:afterAutospacing="1" w:line="600" w:lineRule="exact"/>
        <w:jc w:val="center"/>
        <w:rPr>
          <w:rFonts w:hint="eastAsia" w:ascii="仿宋" w:hAnsi="仿宋" w:eastAsia="仿宋" w:cs="仿宋"/>
        </w:rPr>
      </w:pPr>
      <w:r>
        <w:rPr>
          <w:rFonts w:hint="eastAsia" w:ascii="仿宋" w:hAnsi="仿宋" w:eastAsia="仿宋" w:cs="仿宋"/>
          <w:b/>
          <w:bCs/>
        </w:rPr>
        <w:t>商务部分</w:t>
      </w:r>
    </w:p>
    <w:p>
      <w:pPr>
        <w:spacing w:beforeAutospacing="1" w:afterAutospacing="1" w:line="600" w:lineRule="exact"/>
        <w:rPr>
          <w:rFonts w:hint="eastAsia" w:ascii="仿宋" w:hAnsi="仿宋" w:eastAsia="仿宋" w:cs="仿宋"/>
        </w:rPr>
      </w:pPr>
      <w:r>
        <w:rPr>
          <w:rFonts w:hint="eastAsia" w:ascii="仿宋" w:hAnsi="仿宋" w:eastAsia="仿宋" w:cs="仿宋"/>
          <w:b/>
        </w:rPr>
        <w:t>    第一条</w:t>
      </w:r>
      <w:r>
        <w:rPr>
          <w:rFonts w:hint="eastAsia" w:ascii="仿宋" w:hAnsi="仿宋" w:eastAsia="仿宋" w:cs="仿宋"/>
        </w:rPr>
        <w:t xml:space="preserve"> </w:t>
      </w:r>
      <w:r>
        <w:rPr>
          <w:rFonts w:hint="eastAsia" w:ascii="仿宋" w:hAnsi="仿宋" w:eastAsia="仿宋" w:cs="仿宋"/>
          <w:b/>
          <w:bCs/>
        </w:rPr>
        <w:t>项目内容及要求</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（一） 本合同项下甲乙双方约定的项目内容及要求见本合同【附件】。</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（二） 甲乙双方同意涉及本合同的一切事宜均应以书面形式提交，双方应及时响应。</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（三） 在项目实施过程中，如因乙方原因造成项目出现异常且在10个工作日内乙方未能有效解决问题，给甲方造成损失的，则甲方有权终止该项目并拒绝支付剩余款项，并保留追偿损失的权利。</w:t>
      </w:r>
    </w:p>
    <w:p>
      <w:pPr>
        <w:spacing w:beforeAutospacing="1" w:afterAutospacing="1" w:line="600" w:lineRule="exact"/>
        <w:rPr>
          <w:rFonts w:hint="eastAsia" w:ascii="仿宋" w:hAnsi="仿宋" w:eastAsia="仿宋" w:cs="仿宋"/>
        </w:rPr>
      </w:pPr>
      <w:r>
        <w:rPr>
          <w:rFonts w:hint="eastAsia" w:ascii="仿宋" w:hAnsi="仿宋" w:eastAsia="仿宋" w:cs="仿宋"/>
          <w:b/>
        </w:rPr>
        <w:t>    第二条</w:t>
      </w:r>
      <w:r>
        <w:rPr>
          <w:rFonts w:hint="eastAsia" w:ascii="仿宋" w:hAnsi="仿宋" w:eastAsia="仿宋" w:cs="仿宋"/>
        </w:rPr>
        <w:t xml:space="preserve"> </w:t>
      </w:r>
      <w:r>
        <w:rPr>
          <w:rFonts w:hint="eastAsia" w:ascii="仿宋" w:hAnsi="仿宋" w:eastAsia="仿宋" w:cs="仿宋"/>
          <w:b/>
          <w:bCs/>
        </w:rPr>
        <w:t>合同价格</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（一） 本合同总价款为_______元（大写：_______）。合同价格明细见【附件】。</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（二） 合同费用为甲方购买乙方提供的本合同项下约定服务所发生的一切费用，包括但不限于软件产品价款、所涉知识产权费用、运费、服务费用、乙方报酬及乙方应负税金等；除此之外，甲方不再就本合同项下乙方提供的服务另行支付任何其他费用。</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（三） 本合同付款安排见【附件】。</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（四） 由于乙方未提供或未及时提供足额有效的增值税专用发票，或乙方变更账户信息但未提前通知甲方而导致的付款迟延，甲方不承担任何责任。</w:t>
      </w:r>
    </w:p>
    <w:p>
      <w:pPr>
        <w:spacing w:beforeAutospacing="1" w:afterAutospacing="1" w:line="600" w:lineRule="exact"/>
        <w:rPr>
          <w:rFonts w:hint="eastAsia" w:ascii="仿宋" w:hAnsi="仿宋" w:eastAsia="仿宋" w:cs="仿宋"/>
        </w:rPr>
      </w:pPr>
      <w:r>
        <w:rPr>
          <w:rFonts w:hint="eastAsia" w:ascii="仿宋" w:hAnsi="仿宋" w:eastAsia="仿宋" w:cs="仿宋"/>
          <w:b/>
        </w:rPr>
        <w:t>    第三条</w:t>
      </w:r>
      <w:r>
        <w:rPr>
          <w:rFonts w:hint="eastAsia" w:ascii="仿宋" w:hAnsi="仿宋" w:eastAsia="仿宋" w:cs="仿宋"/>
        </w:rPr>
        <w:t xml:space="preserve"> 双方的权利和义务</w:t>
      </w:r>
      <w:r>
        <w:rPr>
          <w:rFonts w:hint="eastAsia" w:ascii="仿宋" w:hAnsi="仿宋" w:eastAsia="仿宋" w:cs="仿宋"/>
        </w:rPr>
        <w:br w:type="textWrapping"/>
      </w:r>
      <w:r>
        <w:rPr>
          <w:rFonts w:hint="eastAsia" w:ascii="仿宋" w:hAnsi="仿宋" w:eastAsia="仿宋" w:cs="仿宋"/>
          <w:b/>
          <w:bCs/>
        </w:rPr>
        <w:t>双方的权利和义务</w:t>
      </w:r>
      <w:r>
        <w:rPr>
          <w:rFonts w:hint="eastAsia" w:ascii="仿宋" w:hAnsi="仿宋" w:eastAsia="仿宋" w:cs="仿宋"/>
        </w:rPr>
        <w:br w:type="textWrapping"/>
      </w:r>
      <w:r>
        <w:rPr>
          <w:rFonts w:hint="eastAsia" w:ascii="仿宋" w:hAnsi="仿宋" w:eastAsia="仿宋" w:cs="仿宋"/>
        </w:rPr>
        <w:t>除本合同约定的双方的权利义务外，甲乙双方在本合同项下的其他权利和义务见【附件】的约定。</w:t>
      </w:r>
    </w:p>
    <w:p>
      <w:pPr>
        <w:spacing w:beforeAutospacing="1" w:afterAutospacing="1" w:line="600" w:lineRule="exact"/>
        <w:rPr>
          <w:rFonts w:hint="eastAsia" w:ascii="仿宋" w:hAnsi="仿宋" w:eastAsia="仿宋" w:cs="仿宋"/>
        </w:rPr>
      </w:pPr>
      <w:r>
        <w:rPr>
          <w:rFonts w:hint="eastAsia" w:ascii="仿宋" w:hAnsi="仿宋" w:eastAsia="仿宋" w:cs="仿宋"/>
          <w:b/>
        </w:rPr>
        <w:t>    第四条</w:t>
      </w:r>
      <w:r>
        <w:rPr>
          <w:rFonts w:hint="eastAsia" w:ascii="仿宋" w:hAnsi="仿宋" w:eastAsia="仿宋" w:cs="仿宋"/>
        </w:rPr>
        <w:t xml:space="preserve"> </w:t>
      </w:r>
      <w:r>
        <w:rPr>
          <w:rFonts w:hint="eastAsia" w:ascii="仿宋" w:hAnsi="仿宋" w:eastAsia="仿宋" w:cs="仿宋"/>
          <w:b/>
          <w:bCs/>
        </w:rPr>
        <w:t>交付和验收</w:t>
      </w:r>
    </w:p>
    <w:p>
      <w:pPr>
        <w:spacing w:beforeAutospacing="1" w:afterAutospacing="1" w:line="600" w:lineRule="exact"/>
        <w:rPr>
          <w:rFonts w:hint="eastAsia" w:ascii="仿宋" w:hAnsi="仿宋" w:eastAsia="仿宋" w:cs="仿宋"/>
          <w:highlight w:val="none"/>
        </w:rPr>
      </w:pPr>
      <w:r>
        <w:rPr>
          <w:rFonts w:hint="eastAsia" w:ascii="仿宋" w:hAnsi="仿宋" w:eastAsia="仿宋" w:cs="仿宋"/>
        </w:rPr>
        <w:t xml:space="preserve">  </w:t>
      </w:r>
      <w:r>
        <w:rPr>
          <w:rFonts w:hint="eastAsia" w:ascii="仿宋" w:hAnsi="仿宋" w:eastAsia="仿宋" w:cs="仿宋"/>
          <w:highlight w:val="yellow"/>
        </w:rPr>
        <w:t xml:space="preserve"> </w:t>
      </w:r>
      <w:r>
        <w:rPr>
          <w:rFonts w:hint="eastAsia" w:ascii="仿宋" w:hAnsi="仿宋" w:eastAsia="仿宋" w:cs="仿宋"/>
          <w:highlight w:val="none"/>
        </w:rPr>
        <w:t>（一） 乙方应按合同约定的交付时间交付本合同项目，并完成服务交付。交付和质量标准信息见【附件】。</w:t>
      </w:r>
    </w:p>
    <w:p>
      <w:pPr>
        <w:spacing w:beforeAutospacing="1" w:afterAutospacing="1" w:line="600" w:lineRule="exact"/>
        <w:rPr>
          <w:rFonts w:hint="eastAsia" w:ascii="仿宋" w:hAnsi="仿宋" w:eastAsia="仿宋" w:cs="仿宋"/>
          <w:highlight w:val="none"/>
        </w:rPr>
      </w:pPr>
      <w:r>
        <w:rPr>
          <w:rFonts w:hint="eastAsia" w:ascii="仿宋" w:hAnsi="仿宋" w:eastAsia="仿宋" w:cs="仿宋"/>
          <w:highlight w:val="none"/>
        </w:rPr>
        <w:t xml:space="preserve">   （二） 验收流程及标准</w:t>
      </w:r>
    </w:p>
    <w:p>
      <w:pPr>
        <w:pStyle w:val="2"/>
        <w:ind w:firstLine="240" w:firstLineChars="100"/>
        <w:rPr>
          <w:rFonts w:hint="eastAsia" w:ascii="仿宋" w:hAnsi="仿宋" w:eastAsia="仿宋" w:cs="仿宋"/>
          <w:highlight w:val="none"/>
        </w:rPr>
      </w:pPr>
      <w:r>
        <w:rPr>
          <w:rFonts w:hint="eastAsia"/>
          <w:highlight w:val="none"/>
        </w:rPr>
        <w:t>（</w:t>
      </w:r>
      <w:r>
        <w:rPr>
          <w:rFonts w:hint="eastAsia" w:ascii="仿宋" w:hAnsi="仿宋" w:eastAsia="仿宋" w:cs="仿宋"/>
          <w:highlight w:val="none"/>
        </w:rPr>
        <w:t>1）乙方完成当次服务后应当通知甲方进行验收，甲方应及时组织验收。</w:t>
      </w:r>
    </w:p>
    <w:p>
      <w:pPr>
        <w:pStyle w:val="3"/>
        <w:ind w:firstLine="240"/>
        <w:rPr>
          <w:rFonts w:hint="eastAsia" w:ascii="仿宋" w:hAnsi="仿宋" w:eastAsia="仿宋" w:cs="仿宋"/>
          <w:sz w:val="24"/>
          <w:highlight w:val="none"/>
        </w:rPr>
      </w:pPr>
      <w:r>
        <w:rPr>
          <w:rFonts w:hint="eastAsia" w:ascii="仿宋" w:hAnsi="仿宋" w:eastAsia="仿宋" w:cs="仿宋"/>
          <w:sz w:val="24"/>
          <w:highlight w:val="none"/>
        </w:rPr>
        <w:t>（2）甲方应当指定验收人在签收单上签字确认，确认的日期应当视为当次服务验收合格日期。</w:t>
      </w:r>
    </w:p>
    <w:p>
      <w:pPr>
        <w:pStyle w:val="2"/>
        <w:ind w:firstLine="240" w:firstLineChars="100"/>
        <w:rPr>
          <w:rFonts w:hint="eastAsia" w:ascii="仿宋" w:hAnsi="仿宋" w:eastAsia="仿宋" w:cs="仿宋"/>
          <w:highlight w:val="none"/>
        </w:rPr>
      </w:pPr>
      <w:r>
        <w:rPr>
          <w:rFonts w:hint="eastAsia" w:ascii="仿宋" w:hAnsi="仿宋" w:eastAsia="仿宋" w:cs="仿宋"/>
          <w:highlight w:val="none"/>
        </w:rPr>
        <w:t>（3）乙方按照服务内容完成服务后应当与甲方签字确认，如完成服务后</w:t>
      </w:r>
      <w:r>
        <w:rPr>
          <w:rFonts w:hint="eastAsia" w:ascii="仿宋" w:hAnsi="仿宋" w:eastAsia="仿宋" w:cs="仿宋"/>
          <w:highlight w:val="none"/>
          <w:u w:val="single"/>
        </w:rPr>
        <w:t xml:space="preserve">    </w:t>
      </w:r>
      <w:r>
        <w:rPr>
          <w:rFonts w:hint="eastAsia" w:ascii="仿宋" w:hAnsi="仿宋" w:eastAsia="仿宋" w:cs="仿宋"/>
          <w:highlight w:val="none"/>
        </w:rPr>
        <w:t>日内未签字确认，视为验收合格。</w:t>
      </w:r>
    </w:p>
    <w:p>
      <w:pPr>
        <w:spacing w:beforeAutospacing="1" w:afterAutospacing="1" w:line="600" w:lineRule="exact"/>
        <w:rPr>
          <w:rFonts w:hint="eastAsia" w:ascii="仿宋" w:hAnsi="仿宋" w:eastAsia="仿宋" w:cs="仿宋"/>
        </w:rPr>
      </w:pPr>
      <w:r>
        <w:rPr>
          <w:rFonts w:hint="eastAsia" w:ascii="仿宋" w:hAnsi="仿宋" w:eastAsia="仿宋" w:cs="仿宋"/>
          <w:b/>
        </w:rPr>
        <w:t>    第五条</w:t>
      </w:r>
      <w:r>
        <w:rPr>
          <w:rFonts w:hint="eastAsia" w:ascii="仿宋" w:hAnsi="仿宋" w:eastAsia="仿宋" w:cs="仿宋"/>
        </w:rPr>
        <w:t xml:space="preserve"> 违约责任</w:t>
      </w:r>
      <w:r>
        <w:rPr>
          <w:rFonts w:hint="eastAsia" w:ascii="仿宋" w:hAnsi="仿宋" w:eastAsia="仿宋" w:cs="仿宋"/>
        </w:rPr>
        <w:br w:type="textWrapping"/>
      </w:r>
      <w:r>
        <w:rPr>
          <w:rFonts w:hint="eastAsia" w:ascii="仿宋" w:hAnsi="仿宋" w:eastAsia="仿宋" w:cs="仿宋"/>
          <w:b/>
          <w:bCs/>
        </w:rPr>
        <w:t>违约责任</w:t>
      </w:r>
      <w:r>
        <w:rPr>
          <w:rFonts w:hint="eastAsia" w:ascii="仿宋" w:hAnsi="仿宋" w:eastAsia="仿宋" w:cs="仿宋"/>
        </w:rPr>
        <w:br w:type="textWrapping"/>
      </w:r>
      <w:r>
        <w:rPr>
          <w:rFonts w:hint="eastAsia" w:ascii="仿宋" w:hAnsi="仿宋" w:eastAsia="仿宋" w:cs="仿宋"/>
        </w:rPr>
        <w:t>甲、乙任一方或双方违约的，违约一方应当向相对方承担相应的违约责任。违约责任的具体约定见【附件】。</w:t>
      </w:r>
    </w:p>
    <w:p>
      <w:pPr>
        <w:spacing w:beforeAutospacing="1" w:afterAutospacing="1" w:line="600" w:lineRule="exact"/>
        <w:jc w:val="center"/>
        <w:rPr>
          <w:rFonts w:hint="eastAsia" w:ascii="仿宋" w:hAnsi="仿宋" w:eastAsia="仿宋" w:cs="仿宋"/>
        </w:rPr>
      </w:pPr>
      <w:r>
        <w:rPr>
          <w:rFonts w:hint="eastAsia" w:ascii="仿宋" w:hAnsi="仿宋" w:eastAsia="仿宋" w:cs="仿宋"/>
          <w:b/>
          <w:bCs/>
        </w:rPr>
        <w:t>通用部分</w:t>
      </w:r>
    </w:p>
    <w:p>
      <w:pPr>
        <w:spacing w:beforeAutospacing="1" w:afterAutospacing="1" w:line="600" w:lineRule="exact"/>
        <w:rPr>
          <w:rFonts w:hint="eastAsia" w:ascii="仿宋" w:hAnsi="仿宋" w:eastAsia="仿宋" w:cs="仿宋"/>
        </w:rPr>
      </w:pPr>
      <w:r>
        <w:rPr>
          <w:rFonts w:hint="eastAsia" w:ascii="仿宋" w:hAnsi="仿宋" w:eastAsia="仿宋" w:cs="仿宋"/>
          <w:b/>
        </w:rPr>
        <w:t>    第六条</w:t>
      </w:r>
      <w:r>
        <w:rPr>
          <w:rFonts w:hint="eastAsia" w:ascii="仿宋" w:hAnsi="仿宋" w:eastAsia="仿宋" w:cs="仿宋"/>
        </w:rPr>
        <w:t xml:space="preserve"> </w:t>
      </w:r>
      <w:r>
        <w:rPr>
          <w:rFonts w:hint="eastAsia" w:ascii="仿宋" w:hAnsi="仿宋" w:eastAsia="仿宋" w:cs="仿宋"/>
          <w:b/>
          <w:bCs/>
        </w:rPr>
        <w:t>双方的权利和义务</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（一） 甲方的权利和义务</w:t>
      </w:r>
      <w:r>
        <w:rPr>
          <w:rFonts w:hint="eastAsia" w:ascii="仿宋" w:hAnsi="仿宋" w:eastAsia="仿宋" w:cs="仿宋"/>
        </w:rPr>
        <w:br w:type="textWrapping"/>
      </w:r>
      <w:r>
        <w:rPr>
          <w:rFonts w:hint="eastAsia" w:ascii="仿宋" w:hAnsi="仿宋" w:eastAsia="仿宋" w:cs="仿宋"/>
        </w:rPr>
        <w:t>（1）甲方应为乙方服务人员提供相应的工作环境，并负责内部协调工作；</w:t>
      </w:r>
      <w:r>
        <w:rPr>
          <w:rFonts w:hint="eastAsia" w:ascii="仿宋" w:hAnsi="仿宋" w:eastAsia="仿宋" w:cs="仿宋"/>
        </w:rPr>
        <w:br w:type="textWrapping"/>
      </w:r>
      <w:r>
        <w:rPr>
          <w:rFonts w:hint="eastAsia" w:ascii="仿宋" w:hAnsi="仿宋" w:eastAsia="仿宋" w:cs="仿宋"/>
        </w:rPr>
        <w:t>（2）甲方应成立工作小组，对乙方技术服务人员进行监督管理及技术考核；</w:t>
      </w:r>
      <w:r>
        <w:rPr>
          <w:rFonts w:hint="eastAsia" w:ascii="仿宋" w:hAnsi="仿宋" w:eastAsia="仿宋" w:cs="仿宋"/>
        </w:rPr>
        <w:br w:type="textWrapping"/>
      </w:r>
      <w:r>
        <w:rPr>
          <w:rFonts w:hint="eastAsia" w:ascii="仿宋" w:hAnsi="仿宋" w:eastAsia="仿宋" w:cs="仿宋"/>
        </w:rPr>
        <w:t>（3）甲方有权按照合同约定要求乙方更换相关技术服务人员；</w:t>
      </w:r>
      <w:r>
        <w:rPr>
          <w:rFonts w:hint="eastAsia" w:ascii="仿宋" w:hAnsi="仿宋" w:eastAsia="仿宋" w:cs="仿宋"/>
        </w:rPr>
        <w:br w:type="textWrapping"/>
      </w:r>
      <w:r>
        <w:rPr>
          <w:rFonts w:hint="eastAsia" w:ascii="仿宋" w:hAnsi="仿宋" w:eastAsia="仿宋" w:cs="仿宋"/>
        </w:rPr>
        <w:t>（4）在后续技术服务采购中，甲方对乙方的技术服务人员具有优先选择权；</w:t>
      </w:r>
      <w:r>
        <w:rPr>
          <w:rFonts w:hint="eastAsia" w:ascii="仿宋" w:hAnsi="仿宋" w:eastAsia="仿宋" w:cs="仿宋"/>
        </w:rPr>
        <w:br w:type="textWrapping"/>
      </w:r>
      <w:r>
        <w:rPr>
          <w:rFonts w:hint="eastAsia" w:ascii="仿宋" w:hAnsi="仿宋" w:eastAsia="仿宋" w:cs="仿宋"/>
        </w:rPr>
        <w:t>（5）甲方应按照合同约定向乙方支付软件及服务费用；</w:t>
      </w:r>
      <w:r>
        <w:rPr>
          <w:rFonts w:hint="eastAsia" w:ascii="仿宋" w:hAnsi="仿宋" w:eastAsia="仿宋" w:cs="仿宋"/>
        </w:rPr>
        <w:br w:type="textWrapping"/>
      </w:r>
      <w:r>
        <w:rPr>
          <w:rFonts w:hint="eastAsia" w:ascii="仿宋" w:hAnsi="仿宋" w:eastAsia="仿宋" w:cs="仿宋"/>
        </w:rPr>
        <w:t>（6）甲方享有其它双方约定的权利、承担其它双方约定的义务。</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（二） 乙方的权利和义务</w:t>
      </w:r>
      <w:r>
        <w:rPr>
          <w:rFonts w:hint="eastAsia" w:ascii="仿宋" w:hAnsi="仿宋" w:eastAsia="仿宋" w:cs="仿宋"/>
        </w:rPr>
        <w:br w:type="textWrapping"/>
      </w:r>
      <w:r>
        <w:rPr>
          <w:rFonts w:hint="eastAsia" w:ascii="仿宋" w:hAnsi="仿宋" w:eastAsia="仿宋" w:cs="仿宋"/>
        </w:rPr>
        <w:t>（1）乙方有权获得甲方支付的合同价款；</w:t>
      </w:r>
      <w:r>
        <w:rPr>
          <w:rFonts w:hint="eastAsia" w:ascii="仿宋" w:hAnsi="仿宋" w:eastAsia="仿宋" w:cs="仿宋"/>
        </w:rPr>
        <w:br w:type="textWrapping"/>
      </w:r>
      <w:r>
        <w:rPr>
          <w:rFonts w:hint="eastAsia" w:ascii="仿宋" w:hAnsi="仿宋" w:eastAsia="仿宋" w:cs="仿宋"/>
        </w:rPr>
        <w:t>（2）乙方应按照合同约定向甲方提供合格的软件及服务；</w:t>
      </w:r>
      <w:r>
        <w:rPr>
          <w:rFonts w:hint="eastAsia" w:ascii="仿宋" w:hAnsi="仿宋" w:eastAsia="仿宋" w:cs="仿宋"/>
        </w:rPr>
        <w:br w:type="textWrapping"/>
      </w:r>
      <w:r>
        <w:rPr>
          <w:rFonts w:hint="eastAsia" w:ascii="仿宋" w:hAnsi="仿宋" w:eastAsia="仿宋" w:cs="仿宋"/>
        </w:rPr>
        <w:t>（3）乙方应该按照合同约定的期限完成本合同项目；</w:t>
      </w:r>
      <w:r>
        <w:rPr>
          <w:rFonts w:hint="eastAsia" w:ascii="仿宋" w:hAnsi="仿宋" w:eastAsia="仿宋" w:cs="仿宋"/>
        </w:rPr>
        <w:br w:type="textWrapping"/>
      </w:r>
      <w:r>
        <w:rPr>
          <w:rFonts w:hint="eastAsia" w:ascii="仿宋" w:hAnsi="仿宋" w:eastAsia="仿宋" w:cs="仿宋"/>
        </w:rPr>
        <w:t>（4）乙方的技术服务人员应服从甲方的工作安排，并按照合同约定履行相应软件开发、技术服务及维护、保修义务；</w:t>
      </w:r>
      <w:r>
        <w:rPr>
          <w:rFonts w:hint="eastAsia" w:ascii="仿宋" w:hAnsi="仿宋" w:eastAsia="仿宋" w:cs="仿宋"/>
        </w:rPr>
        <w:br w:type="textWrapping"/>
      </w:r>
      <w:r>
        <w:rPr>
          <w:rFonts w:hint="eastAsia" w:ascii="仿宋" w:hAnsi="仿宋" w:eastAsia="仿宋" w:cs="仿宋"/>
        </w:rPr>
        <w:t>（5）乙方应免费向甲方提供项目代码、需求说明书、设计说明书、测试报告等合同约定的内容；</w:t>
      </w:r>
      <w:r>
        <w:rPr>
          <w:rFonts w:hint="eastAsia" w:ascii="仿宋" w:hAnsi="仿宋" w:eastAsia="仿宋" w:cs="仿宋"/>
        </w:rPr>
        <w:br w:type="textWrapping"/>
      </w:r>
      <w:r>
        <w:rPr>
          <w:rFonts w:hint="eastAsia" w:ascii="仿宋" w:hAnsi="仿宋" w:eastAsia="仿宋" w:cs="仿宋"/>
        </w:rPr>
        <w:t>（6）乙方应免费向甲方提供技术咨询服务；</w:t>
      </w:r>
      <w:r>
        <w:rPr>
          <w:rFonts w:hint="eastAsia" w:ascii="仿宋" w:hAnsi="仿宋" w:eastAsia="仿宋" w:cs="仿宋"/>
        </w:rPr>
        <w:br w:type="textWrapping"/>
      </w:r>
      <w:r>
        <w:rPr>
          <w:rFonts w:hint="eastAsia" w:ascii="仿宋" w:hAnsi="仿宋" w:eastAsia="仿宋" w:cs="仿宋"/>
        </w:rPr>
        <w:t>（7）乙方应按照合同的约定的方式、标准对后续需求开发以外的项目开发收取收费；</w:t>
      </w:r>
      <w:r>
        <w:rPr>
          <w:rFonts w:hint="eastAsia" w:ascii="仿宋" w:hAnsi="仿宋" w:eastAsia="仿宋" w:cs="仿宋"/>
        </w:rPr>
        <w:br w:type="textWrapping"/>
      </w:r>
      <w:r>
        <w:rPr>
          <w:rFonts w:hint="eastAsia" w:ascii="仿宋" w:hAnsi="仿宋" w:eastAsia="仿宋" w:cs="仿宋"/>
        </w:rPr>
        <w:t>（8）甲方与乙方技术服务人员不存在任何形式的劳动关系，乙方技术服务人员因为劳动合同等发生的任何纠纷，或在甲方场所工作期间出现人身伤亡的，均与甲方无关，因此给甲方造成损失的，由乙方负责赔偿；</w:t>
      </w:r>
      <w:r>
        <w:rPr>
          <w:rFonts w:hint="eastAsia" w:ascii="仿宋" w:hAnsi="仿宋" w:eastAsia="仿宋" w:cs="仿宋"/>
        </w:rPr>
        <w:br w:type="textWrapping"/>
      </w:r>
      <w:r>
        <w:rPr>
          <w:rFonts w:hint="eastAsia" w:ascii="仿宋" w:hAnsi="仿宋" w:eastAsia="仿宋" w:cs="仿宋"/>
        </w:rPr>
        <w:t>（9）乙方应保证技术服务人员的稳定性，妥善处理人员交接；</w:t>
      </w:r>
      <w:r>
        <w:rPr>
          <w:rFonts w:hint="eastAsia" w:ascii="仿宋" w:hAnsi="仿宋" w:eastAsia="仿宋" w:cs="仿宋"/>
        </w:rPr>
        <w:br w:type="textWrapping"/>
      </w:r>
      <w:r>
        <w:rPr>
          <w:rFonts w:hint="eastAsia" w:ascii="仿宋" w:hAnsi="仿宋" w:eastAsia="仿宋" w:cs="仿宋"/>
        </w:rPr>
        <w:t>（10）乙方享有其它双方约定的权利、承担其它双方约定的义务。</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（三） ......</w:t>
      </w:r>
    </w:p>
    <w:p>
      <w:pPr>
        <w:spacing w:beforeAutospacing="1" w:afterAutospacing="1" w:line="600" w:lineRule="exact"/>
        <w:rPr>
          <w:rFonts w:hint="eastAsia" w:ascii="仿宋" w:hAnsi="仿宋" w:eastAsia="仿宋" w:cs="仿宋"/>
        </w:rPr>
      </w:pPr>
      <w:r>
        <w:rPr>
          <w:rFonts w:hint="eastAsia" w:ascii="仿宋" w:hAnsi="仿宋" w:eastAsia="仿宋" w:cs="仿宋"/>
          <w:b/>
        </w:rPr>
        <w:t>    第七条</w:t>
      </w:r>
      <w:r>
        <w:rPr>
          <w:rFonts w:hint="eastAsia" w:ascii="仿宋" w:hAnsi="仿宋" w:eastAsia="仿宋" w:cs="仿宋"/>
        </w:rPr>
        <w:t xml:space="preserve"> 数据安全</w:t>
      </w:r>
      <w:r>
        <w:rPr>
          <w:rFonts w:hint="eastAsia" w:ascii="仿宋" w:hAnsi="仿宋" w:eastAsia="仿宋" w:cs="仿宋"/>
        </w:rPr>
        <w:br w:type="textWrapping"/>
      </w:r>
      <w:r>
        <w:rPr>
          <w:rFonts w:hint="eastAsia" w:ascii="仿宋" w:hAnsi="仿宋" w:eastAsia="仿宋" w:cs="仿宋"/>
        </w:rPr>
        <w:br w:type="textWrapping"/>
      </w:r>
      <w:r>
        <w:rPr>
          <w:rFonts w:hint="eastAsia" w:ascii="仿宋" w:hAnsi="仿宋" w:eastAsia="仿宋" w:cs="仿宋"/>
          <w:b/>
          <w:bCs/>
        </w:rPr>
        <w:t>数据安全（接收外部数据和对外传输数据）</w:t>
      </w:r>
      <w:r>
        <w:rPr>
          <w:rFonts w:hint="eastAsia" w:ascii="仿宋" w:hAnsi="仿宋" w:eastAsia="仿宋" w:cs="仿宋"/>
        </w:rPr>
        <w:t xml:space="preserve"> </w:t>
      </w:r>
      <w:r>
        <w:rPr>
          <w:rFonts w:hint="eastAsia" w:ascii="仿宋" w:hAnsi="仿宋" w:eastAsia="仿宋" w:cs="仿宋"/>
        </w:rPr>
        <w:br w:type="textWrapping"/>
      </w:r>
      <w:r>
        <w:rPr>
          <w:rFonts w:hint="eastAsia" w:ascii="仿宋" w:hAnsi="仿宋" w:eastAsia="仿宋" w:cs="仿宋"/>
        </w:rPr>
        <w:t xml:space="preserve">（一）涉及个人信息的，乙方应承诺其已获得信息主体本人的书面授权或者法律效力等同于书面授权的其他授权方式。该授权应当明确载明信息主体同意授权乙方向甲方提供其信息，并开展数据处理活动；及转授权甲方向第三方机构_______提供其信息/或委托第三方机构_______处理其信息，并开展数据处理活动。 </w:t>
      </w:r>
      <w:r>
        <w:rPr>
          <w:rFonts w:hint="eastAsia" w:ascii="仿宋" w:hAnsi="仿宋" w:eastAsia="仿宋" w:cs="仿宋"/>
        </w:rPr>
        <w:br w:type="textWrapping"/>
      </w:r>
      <w:r>
        <w:rPr>
          <w:rFonts w:hint="eastAsia" w:ascii="仿宋" w:hAnsi="仿宋" w:eastAsia="仿宋" w:cs="仿宋"/>
        </w:rPr>
        <w:t xml:space="preserve">1.乙方应妥善留存信息主体的授权文件，甲方如须对乙方的授权文件进行抽查、核查、备份时，乙方应予配合。 </w:t>
      </w:r>
      <w:r>
        <w:rPr>
          <w:rFonts w:hint="eastAsia" w:ascii="仿宋" w:hAnsi="仿宋" w:eastAsia="仿宋" w:cs="仿宋"/>
        </w:rPr>
        <w:br w:type="textWrapping"/>
      </w:r>
      <w:r>
        <w:rPr>
          <w:rFonts w:hint="eastAsia" w:ascii="仿宋" w:hAnsi="仿宋" w:eastAsia="仿宋" w:cs="仿宋"/>
        </w:rPr>
        <w:t xml:space="preserve">2.乙方在获得信息主体的相关授权之前，有义务告知信息主体其对个人信息的处理目的、处理方式、个人信息种类、保存期限、行使个人信息相关权利的方式和程序，并向信息主体告知甲方的姓名、联系方式、处理目的、处理方式和个人信息的种类，取得信息主体的单独同意；涉及敏感个人信息的，还应当向信息主体告知处理敏感个人信息的必要性以及对个人权益的影响，法律、行政法规另有规定的除外。 </w:t>
      </w:r>
      <w:r>
        <w:rPr>
          <w:rFonts w:hint="eastAsia" w:ascii="仿宋" w:hAnsi="仿宋" w:eastAsia="仿宋" w:cs="仿宋"/>
        </w:rPr>
        <w:br w:type="textWrapping"/>
      </w:r>
      <w:r>
        <w:rPr>
          <w:rFonts w:hint="eastAsia" w:ascii="仿宋" w:hAnsi="仿宋" w:eastAsia="仿宋" w:cs="仿宋"/>
        </w:rPr>
        <w:t xml:space="preserve">3.乙方需取得信息主体在充分知情的前提下自愿、明确作出的合法有效授权。乙方与信息主体因授权、使用信息等问题引起的争议与甲方无关。 </w:t>
      </w:r>
      <w:r>
        <w:rPr>
          <w:rFonts w:hint="eastAsia" w:ascii="仿宋" w:hAnsi="仿宋" w:eastAsia="仿宋" w:cs="仿宋"/>
        </w:rPr>
        <w:br w:type="textWrapping"/>
      </w:r>
      <w:r>
        <w:rPr>
          <w:rFonts w:hint="eastAsia" w:ascii="仿宋" w:hAnsi="仿宋" w:eastAsia="仿宋" w:cs="仿宋"/>
        </w:rPr>
        <w:t xml:space="preserve">（二）涉及非个人信息的，乙方承诺其提供数据来源的合法合规性；且不涉及第三方商业秘密且已获得数据所有权、使用权人的合法授权。 </w:t>
      </w:r>
      <w:r>
        <w:rPr>
          <w:rFonts w:hint="eastAsia" w:ascii="仿宋" w:hAnsi="仿宋" w:eastAsia="仿宋" w:cs="仿宋"/>
        </w:rPr>
        <w:br w:type="textWrapping"/>
      </w:r>
      <w:r>
        <w:rPr>
          <w:rFonts w:hint="eastAsia" w:ascii="仿宋" w:hAnsi="仿宋" w:eastAsia="仿宋" w:cs="仿宋"/>
        </w:rPr>
        <w:t xml:space="preserve">（三）涉及公开信息爬取的，乙方应承诺数据来源合法，包括：明确爬虫行为已遵循ROBOTS协议、不存在规避或破解被爬取网站反爬虫措施的行为、承诺不存在其他《中华人民共和国反不正当竞争法》等法律法规禁止的行为。 </w:t>
      </w:r>
      <w:r>
        <w:rPr>
          <w:rFonts w:hint="eastAsia" w:ascii="仿宋" w:hAnsi="仿宋" w:eastAsia="仿宋" w:cs="仿宋"/>
        </w:rPr>
        <w:br w:type="textWrapping"/>
      </w:r>
      <w:r>
        <w:rPr>
          <w:rFonts w:hint="eastAsia" w:ascii="仿宋" w:hAnsi="仿宋" w:eastAsia="仿宋" w:cs="仿宋"/>
        </w:rPr>
        <w:t xml:space="preserve">（四）双方数据处理活动的地域限于中国境内（为本合同履行之目的，不包含香港、澳门、台湾地区），不得将数据传输至境外。 </w:t>
      </w:r>
      <w:r>
        <w:rPr>
          <w:rFonts w:hint="eastAsia" w:ascii="仿宋" w:hAnsi="仿宋" w:eastAsia="仿宋" w:cs="仿宋"/>
        </w:rPr>
        <w:br w:type="textWrapping"/>
      </w:r>
      <w:r>
        <w:rPr>
          <w:rFonts w:hint="eastAsia" w:ascii="仿宋" w:hAnsi="仿宋" w:eastAsia="仿宋" w:cs="仿宋"/>
        </w:rPr>
        <w:t xml:space="preserve">（五）乙方应当按照合同约定使用数据，遵循最小化原则。乙方应保证数据及信息的处理(包括收集、存储、使用、加工、传输、提供、公开、删除等)的安全，防止数据及信息被篡改或丢失、泄漏。 </w:t>
      </w:r>
      <w:r>
        <w:rPr>
          <w:rFonts w:hint="eastAsia" w:ascii="仿宋" w:hAnsi="仿宋" w:eastAsia="仿宋" w:cs="仿宋"/>
        </w:rPr>
        <w:br w:type="textWrapping"/>
      </w:r>
      <w:r>
        <w:rPr>
          <w:rFonts w:hint="eastAsia" w:ascii="仿宋" w:hAnsi="仿宋" w:eastAsia="仿宋" w:cs="仿宋"/>
        </w:rPr>
        <w:t xml:space="preserve">（六）乙方应保证数据使用不以垄断经营和不正当竞争为目的，不发生误导、欺诈、胁迫或者干扰等限制个人或者组织正当选择与决策的行为，遵循社会公德伦理。 </w:t>
      </w:r>
      <w:r>
        <w:rPr>
          <w:rFonts w:hint="eastAsia" w:ascii="仿宋" w:hAnsi="仿宋" w:eastAsia="仿宋" w:cs="仿宋"/>
        </w:rPr>
        <w:br w:type="textWrapping"/>
      </w:r>
      <w:r>
        <w:rPr>
          <w:rFonts w:hint="eastAsia" w:ascii="仿宋" w:hAnsi="仿宋" w:eastAsia="仿宋" w:cs="仿宋"/>
        </w:rPr>
        <w:t xml:space="preserve">（七）甲方有权对乙方处理涉及甲方业务及甲方传输的信息有关事宜进行监督。同时，乙方应建立《数据安全突发事件应急预案》，确定数据安全突发事件应急联系人。甲方所提供的数据发生安全事件后，乙方应启动应急预案进行处置，并将相关情况第一时间告知甲方。处置后两个工作日内，乙方将事件处置的评估总结和改进措施告知甲方。 </w:t>
      </w:r>
      <w:r>
        <w:rPr>
          <w:rFonts w:hint="eastAsia" w:ascii="仿宋" w:hAnsi="仿宋" w:eastAsia="仿宋" w:cs="仿宋"/>
        </w:rPr>
        <w:br w:type="textWrapping"/>
      </w:r>
      <w:r>
        <w:rPr>
          <w:rFonts w:hint="eastAsia" w:ascii="仿宋" w:hAnsi="仿宋" w:eastAsia="仿宋" w:cs="仿宋"/>
        </w:rPr>
        <w:t xml:space="preserve">（八）数据及信息的保存期限应符合实现本协议业务处理目的所必要的最短时间。乙方应在合作期满或终止后，及时删除各种介质上所存储的甲方提供的数据及信息。 </w:t>
      </w:r>
      <w:r>
        <w:rPr>
          <w:rFonts w:hint="eastAsia" w:ascii="仿宋" w:hAnsi="仿宋" w:eastAsia="仿宋" w:cs="仿宋"/>
        </w:rPr>
        <w:br w:type="textWrapping"/>
      </w:r>
      <w:r>
        <w:rPr>
          <w:rFonts w:hint="eastAsia" w:ascii="仿宋" w:hAnsi="仿宋" w:eastAsia="仿宋" w:cs="仿宋"/>
        </w:rPr>
        <w:t xml:space="preserve">（九）对数据及信息的处理(包括收集、存储、使用、加工、传输、提供、公开、删除等)仅在中华人民共和国境内（为本合同履行之目的，不包含香港、澳门、台湾地区），除非得到甲方事先书面同意，乙方不得使用、披露、分发或流传给任何第三人，但法律、行政法规另有规定的除外。 </w:t>
      </w:r>
      <w:r>
        <w:rPr>
          <w:rFonts w:hint="eastAsia" w:ascii="仿宋" w:hAnsi="仿宋" w:eastAsia="仿宋" w:cs="仿宋"/>
        </w:rPr>
        <w:br w:type="textWrapping"/>
      </w:r>
      <w:r>
        <w:rPr>
          <w:rFonts w:hint="eastAsia" w:ascii="仿宋" w:hAnsi="仿宋" w:eastAsia="仿宋" w:cs="仿宋"/>
        </w:rPr>
        <w:t>（十）若需开展数据测试，乙方的测试环境应与生产系统隔离，未经脱敏处理不得进入测试环境。</w:t>
      </w:r>
      <w:r>
        <w:rPr>
          <w:rFonts w:hint="eastAsia" w:ascii="仿宋" w:hAnsi="仿宋" w:eastAsia="仿宋" w:cs="仿宋"/>
        </w:rPr>
        <w:br w:type="textWrapping"/>
      </w:r>
      <w:r>
        <w:rPr>
          <w:rFonts w:hint="eastAsia" w:ascii="仿宋" w:hAnsi="仿宋" w:eastAsia="仿宋" w:cs="仿宋"/>
          <w:b/>
          <w:bCs/>
        </w:rPr>
        <w:t>数据安全（接收外部数据）</w:t>
      </w:r>
      <w:r>
        <w:rPr>
          <w:rFonts w:hint="eastAsia" w:ascii="仿宋" w:hAnsi="仿宋" w:eastAsia="仿宋" w:cs="仿宋"/>
        </w:rPr>
        <w:t xml:space="preserve"> </w:t>
      </w:r>
      <w:r>
        <w:rPr>
          <w:rFonts w:hint="eastAsia" w:ascii="仿宋" w:hAnsi="仿宋" w:eastAsia="仿宋" w:cs="仿宋"/>
        </w:rPr>
        <w:br w:type="textWrapping"/>
      </w:r>
      <w:r>
        <w:rPr>
          <w:rFonts w:hint="eastAsia" w:ascii="仿宋" w:hAnsi="仿宋" w:eastAsia="仿宋" w:cs="仿宋"/>
        </w:rPr>
        <w:t xml:space="preserve">（一）涉及个人信息的，乙方应承诺其已获得信息主体本人的书面授权或者法律效力等同于书面授权的其他授权方式。该授权应当明确载明信息主体同意授权乙方向甲方提供其信息，并开展数据处理活动；及转授权甲方向第三方机构_______提供其信息/或委托第三方机构_______处理其信息，并开展数据处理活动。 </w:t>
      </w:r>
      <w:r>
        <w:rPr>
          <w:rFonts w:hint="eastAsia" w:ascii="仿宋" w:hAnsi="仿宋" w:eastAsia="仿宋" w:cs="仿宋"/>
        </w:rPr>
        <w:br w:type="textWrapping"/>
      </w:r>
      <w:r>
        <w:rPr>
          <w:rFonts w:hint="eastAsia" w:ascii="仿宋" w:hAnsi="仿宋" w:eastAsia="仿宋" w:cs="仿宋"/>
        </w:rPr>
        <w:t xml:space="preserve">1.乙方应妥善留存信息主体的授权文件，甲方如须对乙方的授权文件进行抽查、核查、备份时，乙方应予配合。 </w:t>
      </w:r>
      <w:r>
        <w:rPr>
          <w:rFonts w:hint="eastAsia" w:ascii="仿宋" w:hAnsi="仿宋" w:eastAsia="仿宋" w:cs="仿宋"/>
        </w:rPr>
        <w:br w:type="textWrapping"/>
      </w:r>
      <w:r>
        <w:rPr>
          <w:rFonts w:hint="eastAsia" w:ascii="仿宋" w:hAnsi="仿宋" w:eastAsia="仿宋" w:cs="仿宋"/>
        </w:rPr>
        <w:t xml:space="preserve">2.乙方在获得信息主体的相关授权之前，有义务告知信息主体其对个人信息的处理目的、处理方式、个人信息种类、保存期限、行使个人信息相关权利的方式和程序，并向信息主体告知甲方的姓名、联系方式、处理目的、处理方式和个人信息的种类，取得信息主体的单独同意；涉及敏感个人信息的，还应当向信息主体告知处理敏感个人信息的必要性以及对个人权益的影响，法律、行政法规另有规定的除外。 </w:t>
      </w:r>
      <w:r>
        <w:rPr>
          <w:rFonts w:hint="eastAsia" w:ascii="仿宋" w:hAnsi="仿宋" w:eastAsia="仿宋" w:cs="仿宋"/>
        </w:rPr>
        <w:br w:type="textWrapping"/>
      </w:r>
      <w:r>
        <w:rPr>
          <w:rFonts w:hint="eastAsia" w:ascii="仿宋" w:hAnsi="仿宋" w:eastAsia="仿宋" w:cs="仿宋"/>
        </w:rPr>
        <w:t xml:space="preserve">3.乙方需取得信息主体在充分知情的前提下自愿、明确作出的合法有效授权。乙方与信息主体因授权、使用信息等问题引起的争议与甲方无关。 </w:t>
      </w:r>
      <w:r>
        <w:rPr>
          <w:rFonts w:hint="eastAsia" w:ascii="仿宋" w:hAnsi="仿宋" w:eastAsia="仿宋" w:cs="仿宋"/>
        </w:rPr>
        <w:br w:type="textWrapping"/>
      </w:r>
      <w:r>
        <w:rPr>
          <w:rFonts w:hint="eastAsia" w:ascii="仿宋" w:hAnsi="仿宋" w:eastAsia="仿宋" w:cs="仿宋"/>
        </w:rPr>
        <w:t xml:space="preserve">（二）涉及非个人信息的，乙方承诺其提供数据来源的合法合规性；且不涉及第三方商业秘密且已获得数据所有权、使用权人的合法授权。 </w:t>
      </w:r>
      <w:r>
        <w:rPr>
          <w:rFonts w:hint="eastAsia" w:ascii="仿宋" w:hAnsi="仿宋" w:eastAsia="仿宋" w:cs="仿宋"/>
        </w:rPr>
        <w:br w:type="textWrapping"/>
      </w:r>
      <w:r>
        <w:rPr>
          <w:rFonts w:hint="eastAsia" w:ascii="仿宋" w:hAnsi="仿宋" w:eastAsia="仿宋" w:cs="仿宋"/>
        </w:rPr>
        <w:t xml:space="preserve">（三）涉及公开信息爬取的，乙方应承诺数据来源合法，包括：明确爬虫行为已遵循ROBOTS协议、不存在规避或破解被爬取网站反爬虫措施的行为、承诺不存在其他《中华人民共和国反不正当竞争法》等法律法规禁止的行为。 </w:t>
      </w:r>
      <w:r>
        <w:rPr>
          <w:rFonts w:hint="eastAsia" w:ascii="仿宋" w:hAnsi="仿宋" w:eastAsia="仿宋" w:cs="仿宋"/>
        </w:rPr>
        <w:br w:type="textWrapping"/>
      </w:r>
      <w:r>
        <w:rPr>
          <w:rFonts w:hint="eastAsia" w:ascii="仿宋" w:hAnsi="仿宋" w:eastAsia="仿宋" w:cs="仿宋"/>
        </w:rPr>
        <w:t>（四）双方数据处理活动的地域限于中国境内（为本合同履行之目的，不包含香港、澳门、台湾地区），不得将数据传输至境外。</w:t>
      </w:r>
      <w:r>
        <w:rPr>
          <w:rFonts w:hint="eastAsia" w:ascii="仿宋" w:hAnsi="仿宋" w:eastAsia="仿宋" w:cs="仿宋"/>
        </w:rPr>
        <w:br w:type="textWrapping"/>
      </w:r>
      <w:r>
        <w:rPr>
          <w:rFonts w:hint="eastAsia" w:ascii="仿宋" w:hAnsi="仿宋" w:eastAsia="仿宋" w:cs="仿宋"/>
          <w:b/>
          <w:bCs/>
        </w:rPr>
        <w:t>数据安全（对外传输数据）</w:t>
      </w:r>
      <w:r>
        <w:rPr>
          <w:rFonts w:hint="eastAsia" w:ascii="仿宋" w:hAnsi="仿宋" w:eastAsia="仿宋" w:cs="仿宋"/>
        </w:rPr>
        <w:t xml:space="preserve"> </w:t>
      </w:r>
      <w:r>
        <w:rPr>
          <w:rFonts w:hint="eastAsia" w:ascii="仿宋" w:hAnsi="仿宋" w:eastAsia="仿宋" w:cs="仿宋"/>
        </w:rPr>
        <w:br w:type="textWrapping"/>
      </w:r>
      <w:r>
        <w:rPr>
          <w:rFonts w:hint="eastAsia" w:ascii="仿宋" w:hAnsi="仿宋" w:eastAsia="仿宋" w:cs="仿宋"/>
        </w:rPr>
        <w:t xml:space="preserve">（一）乙方应当按照合同约定使用数据，遵循最小化原则。乙方应保证数据及信息的处理(包括收集、存储、使用、加工、传输、提供、公开、删除等)的安全，防止数据及信息被篡改或丢失、泄漏。 </w:t>
      </w:r>
      <w:r>
        <w:rPr>
          <w:rFonts w:hint="eastAsia" w:ascii="仿宋" w:hAnsi="仿宋" w:eastAsia="仿宋" w:cs="仿宋"/>
        </w:rPr>
        <w:br w:type="textWrapping"/>
      </w:r>
      <w:r>
        <w:rPr>
          <w:rFonts w:hint="eastAsia" w:ascii="仿宋" w:hAnsi="仿宋" w:eastAsia="仿宋" w:cs="仿宋"/>
        </w:rPr>
        <w:t xml:space="preserve">（二）乙方应保证数据使用不以垄断经营和不正当竞争为目的，不发生误导、欺诈、胁迫或者干扰等限制个人或者组织正当选择与决策的行为，遵循社会公德伦理。 </w:t>
      </w:r>
      <w:r>
        <w:rPr>
          <w:rFonts w:hint="eastAsia" w:ascii="仿宋" w:hAnsi="仿宋" w:eastAsia="仿宋" w:cs="仿宋"/>
        </w:rPr>
        <w:br w:type="textWrapping"/>
      </w:r>
      <w:r>
        <w:rPr>
          <w:rFonts w:hint="eastAsia" w:ascii="仿宋" w:hAnsi="仿宋" w:eastAsia="仿宋" w:cs="仿宋"/>
        </w:rPr>
        <w:t xml:space="preserve">（三）甲方有权对乙方处理涉及甲方业务及甲方传输的信息有关事宜进行监督。同时，乙方应建立《数据安全突发事件应急预案》，确定数据安全突发事件应急联系人。甲方所提供的数据发生安全事件后，乙方应启动应急预案进行处置，并将相关情况第一时间告知甲方。处置后两个工作日内，乙方将事件处置的评估总结和改进措施告知甲方。 </w:t>
      </w:r>
      <w:r>
        <w:rPr>
          <w:rFonts w:hint="eastAsia" w:ascii="仿宋" w:hAnsi="仿宋" w:eastAsia="仿宋" w:cs="仿宋"/>
        </w:rPr>
        <w:br w:type="textWrapping"/>
      </w:r>
      <w:r>
        <w:rPr>
          <w:rFonts w:hint="eastAsia" w:ascii="仿宋" w:hAnsi="仿宋" w:eastAsia="仿宋" w:cs="仿宋"/>
        </w:rPr>
        <w:t xml:space="preserve">（四）数据及信息的保存期限应符合实现本协议业务处理目的所必要的最短时间。乙方应在合作期满或终止后，及时删除各种介质上所存储的甲方提供的数据及信息。 </w:t>
      </w:r>
      <w:r>
        <w:rPr>
          <w:rFonts w:hint="eastAsia" w:ascii="仿宋" w:hAnsi="仿宋" w:eastAsia="仿宋" w:cs="仿宋"/>
        </w:rPr>
        <w:br w:type="textWrapping"/>
      </w:r>
      <w:r>
        <w:rPr>
          <w:rFonts w:hint="eastAsia" w:ascii="仿宋" w:hAnsi="仿宋" w:eastAsia="仿宋" w:cs="仿宋"/>
        </w:rPr>
        <w:t xml:space="preserve">（五）对数据及信息的处理(包括收集、存储、使用、加工、传输、提供、公开、删除等)仅在中华人民共和国境内（为本合同履行之目的，不包含香港、澳门、台湾地区），除非得到甲方事先书面同意，乙方不得使用、披露、分发或流传给任何第三人，但法律、行政法规另有规定的除外。 </w:t>
      </w:r>
      <w:r>
        <w:rPr>
          <w:rFonts w:hint="eastAsia" w:ascii="仿宋" w:hAnsi="仿宋" w:eastAsia="仿宋" w:cs="仿宋"/>
        </w:rPr>
        <w:br w:type="textWrapping"/>
      </w:r>
      <w:r>
        <w:rPr>
          <w:rFonts w:hint="eastAsia" w:ascii="仿宋" w:hAnsi="仿宋" w:eastAsia="仿宋" w:cs="仿宋"/>
        </w:rPr>
        <w:t>（六）若需开展数据测试，乙方的测试环境应与生产系统隔离，未经脱敏处理不得进入测试环境。</w:t>
      </w:r>
    </w:p>
    <w:p>
      <w:pPr>
        <w:spacing w:beforeAutospacing="1" w:afterAutospacing="1" w:line="600" w:lineRule="exact"/>
        <w:rPr>
          <w:rFonts w:hint="eastAsia" w:ascii="仿宋" w:hAnsi="仿宋" w:eastAsia="仿宋" w:cs="仿宋"/>
        </w:rPr>
      </w:pPr>
      <w:r>
        <w:rPr>
          <w:rFonts w:hint="eastAsia" w:ascii="仿宋" w:hAnsi="仿宋" w:eastAsia="仿宋" w:cs="仿宋"/>
          <w:b/>
        </w:rPr>
        <w:t>    第八条</w:t>
      </w:r>
      <w:r>
        <w:rPr>
          <w:rFonts w:hint="eastAsia" w:ascii="仿宋" w:hAnsi="仿宋" w:eastAsia="仿宋" w:cs="仿宋"/>
        </w:rPr>
        <w:t xml:space="preserve"> 禁止转让</w:t>
      </w:r>
      <w:r>
        <w:rPr>
          <w:rFonts w:hint="eastAsia" w:ascii="仿宋" w:hAnsi="仿宋" w:eastAsia="仿宋" w:cs="仿宋"/>
        </w:rPr>
        <w:br w:type="textWrapping"/>
      </w:r>
      <w:r>
        <w:rPr>
          <w:rFonts w:hint="eastAsia" w:ascii="仿宋" w:hAnsi="仿宋" w:eastAsia="仿宋" w:cs="仿宋"/>
          <w:b/>
          <w:bCs/>
        </w:rPr>
        <w:t>禁止转让</w:t>
      </w:r>
      <w:r>
        <w:rPr>
          <w:rFonts w:hint="eastAsia" w:ascii="仿宋" w:hAnsi="仿宋" w:eastAsia="仿宋" w:cs="仿宋"/>
        </w:rPr>
        <w:br w:type="textWrapping"/>
      </w:r>
      <w:r>
        <w:rPr>
          <w:rFonts w:hint="eastAsia" w:ascii="仿宋" w:hAnsi="仿宋" w:eastAsia="仿宋" w:cs="仿宋"/>
        </w:rPr>
        <w:t>未经甲方事先书面同意，乙方不得将其本合同项下之全部义务或其中一部分义务转让给第三方执行。</w:t>
      </w:r>
    </w:p>
    <w:p>
      <w:pPr>
        <w:spacing w:beforeAutospacing="1" w:afterAutospacing="1" w:line="600" w:lineRule="exact"/>
        <w:rPr>
          <w:rFonts w:hint="eastAsia" w:ascii="仿宋" w:hAnsi="仿宋" w:eastAsia="仿宋" w:cs="仿宋"/>
        </w:rPr>
      </w:pPr>
      <w:r>
        <w:rPr>
          <w:rFonts w:hint="eastAsia" w:ascii="仿宋" w:hAnsi="仿宋" w:eastAsia="仿宋" w:cs="仿宋"/>
          <w:b/>
        </w:rPr>
        <w:t>    第九条</w:t>
      </w:r>
      <w:r>
        <w:rPr>
          <w:rFonts w:hint="eastAsia" w:ascii="仿宋" w:hAnsi="仿宋" w:eastAsia="仿宋" w:cs="仿宋"/>
        </w:rPr>
        <w:t xml:space="preserve"> 权利保证</w:t>
      </w:r>
      <w:r>
        <w:rPr>
          <w:rFonts w:hint="eastAsia" w:ascii="仿宋" w:hAnsi="仿宋" w:eastAsia="仿宋" w:cs="仿宋"/>
        </w:rPr>
        <w:br w:type="textWrapping"/>
      </w:r>
      <w:r>
        <w:rPr>
          <w:rFonts w:hint="eastAsia" w:ascii="仿宋" w:hAnsi="仿宋" w:eastAsia="仿宋" w:cs="仿宋"/>
          <w:b/>
          <w:bCs/>
        </w:rPr>
        <w:t>权利保证</w:t>
      </w:r>
      <w:r>
        <w:rPr>
          <w:rFonts w:hint="eastAsia" w:ascii="仿宋" w:hAnsi="仿宋" w:eastAsia="仿宋" w:cs="仿宋"/>
        </w:rPr>
        <w:br w:type="textWrapping"/>
      </w:r>
      <w:r>
        <w:rPr>
          <w:rFonts w:hint="eastAsia" w:ascii="仿宋" w:hAnsi="仿宋" w:eastAsia="仿宋" w:cs="仿宋"/>
        </w:rPr>
        <w:t>甲方根据本合同的条款通过乙方获取所采购的服务，所购服务专供甲方使用。乙方应确保所提供服务的完整性，并保证服务为产品或软件著作权人授权销售（证明文件见附件）的正版软件，甲方拥有本合同所购买服务期限内的使用权。乙方保证任何人将不会对甲方使用该软件提出任何异议和主张任何权利。</w:t>
      </w:r>
    </w:p>
    <w:p>
      <w:pPr>
        <w:spacing w:beforeAutospacing="1" w:afterAutospacing="1" w:line="600" w:lineRule="exact"/>
        <w:rPr>
          <w:rFonts w:hint="eastAsia" w:ascii="仿宋" w:hAnsi="仿宋" w:eastAsia="仿宋" w:cs="仿宋"/>
        </w:rPr>
      </w:pPr>
      <w:r>
        <w:rPr>
          <w:rFonts w:hint="eastAsia" w:ascii="仿宋" w:hAnsi="仿宋" w:eastAsia="仿宋" w:cs="仿宋"/>
          <w:b/>
        </w:rPr>
        <w:t>    第十条</w:t>
      </w:r>
      <w:r>
        <w:rPr>
          <w:rFonts w:hint="eastAsia" w:ascii="仿宋" w:hAnsi="仿宋" w:eastAsia="仿宋" w:cs="仿宋"/>
        </w:rPr>
        <w:t xml:space="preserve"> </w:t>
      </w:r>
      <w:r>
        <w:rPr>
          <w:rFonts w:hint="eastAsia" w:ascii="仿宋" w:hAnsi="仿宋" w:eastAsia="仿宋" w:cs="仿宋"/>
          <w:b/>
          <w:bCs/>
        </w:rPr>
        <w:t>违约责任</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（一） 非因乙方原因或不可抗力原因，如果甲方未能在合同约定的时间内向乙方支付相关合同价款，每迟延一日，甲方应向乙方支付延期支付价款的_______%作为违约金。</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（二） 非因甲方原因或不可抗力原因，如果乙方未能在约定的交付时间向甲方提供服务并取得甲方验收合格，每迟延一日，乙方应向甲方支付合同费用总额的_______%作为违约金。甲方有权从待付合同价款中扣除乙方应支付的违约金。乙方逾期超过约定日期10个工作日不能提供服务的，甲方可以解除本合同。</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（三） 乙方瑕疵履行的违约责任</w:t>
      </w:r>
      <w:r>
        <w:rPr>
          <w:rFonts w:hint="eastAsia" w:ascii="仿宋" w:hAnsi="仿宋" w:eastAsia="仿宋" w:cs="仿宋"/>
        </w:rPr>
        <w:br w:type="textWrapping"/>
      </w:r>
      <w:r>
        <w:rPr>
          <w:rFonts w:hint="eastAsia" w:ascii="仿宋" w:hAnsi="仿宋" w:eastAsia="仿宋" w:cs="仿宋"/>
        </w:rPr>
        <w:t>（1）非因甲方原因或不可抗力原因，乙方不能按合同要求提供服务或在服务过程中因失误给甲方造成损失，乙方应当按照合同费用总额的_______%支付违约金，违约金不足以弥补甲方损失的，由乙方继续承担赔偿责任。</w:t>
      </w:r>
      <w:r>
        <w:rPr>
          <w:rFonts w:hint="eastAsia" w:ascii="仿宋" w:hAnsi="仿宋" w:eastAsia="仿宋" w:cs="仿宋"/>
        </w:rPr>
        <w:br w:type="textWrapping"/>
      </w:r>
      <w:r>
        <w:rPr>
          <w:rFonts w:hint="eastAsia" w:ascii="仿宋" w:hAnsi="仿宋" w:eastAsia="仿宋" w:cs="仿宋"/>
        </w:rPr>
        <w:t>（2）乙方提供的原厂商的服务和授权存在缺陷的，乙方应当按照合同费用总额的_______%支付违约金；如乙方或原厂商未完成或不能达到合同相关规定给甲方造成损失的，由乙方承担全部赔偿责任。</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（四） 在项目实施过程中，根据甲方项目管理规则，如因乙方原因造成项目出现异常且在甲方指定时间内乙方未能有效解除问题并完全满足甲方需求的，则甲方有权终止该项目，并拒绝支付剩余款项，甲方有权要求乙方退回已收取的合同费用并按照合同费用总额的_______%支付违约金，甲方并保留追偿损失的权利。</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（五） 乙方确保其根据本合同完成并</w:t>
      </w:r>
      <w:r>
        <w:rPr>
          <w:rFonts w:hint="eastAsia" w:ascii="仿宋" w:hAnsi="仿宋" w:eastAsia="仿宋" w:cs="仿宋"/>
          <w:highlight w:val="none"/>
        </w:rPr>
        <w:t>向甲方提交的服务</w:t>
      </w:r>
      <w:r>
        <w:rPr>
          <w:rFonts w:hint="eastAsia" w:ascii="仿宋" w:hAnsi="仿宋" w:eastAsia="仿宋" w:cs="仿宋"/>
        </w:rPr>
        <w:t>不侵犯任何第三方权利。如乙方违反本保证，导致第三方主张权利或者甲方遭受索赔，乙方应负责解决并应当赔偿甲方为此而支付的一切费用以及因此而给甲方造成的全部损失（包括但不限于甲方支出的律师费、仲裁费、诉讼费以及给第三方的赔偿）。</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（六） 如果乙方违反本合同约定的保密义务，乙方应向甲方支付相当于本合同总价款_______%的违约金，甲方受到的损失超出违约金的部分，由乙方继续承担赔偿责任。</w:t>
      </w:r>
    </w:p>
    <w:p>
      <w:pPr>
        <w:spacing w:beforeAutospacing="1" w:afterAutospacing="1" w:line="600" w:lineRule="exact"/>
        <w:rPr>
          <w:rFonts w:hint="eastAsia"/>
        </w:rPr>
      </w:pPr>
      <w:r>
        <w:rPr>
          <w:rFonts w:hint="eastAsia" w:ascii="仿宋" w:hAnsi="仿宋" w:eastAsia="仿宋" w:cs="仿宋"/>
        </w:rPr>
        <w:t xml:space="preserve">   （七） 除本合同的约定外，因乙方的违约行为给甲方造成损失的，乙方应向甲方支付相当于本合同总价款_______%的违约金，如甲方受到的损失超过违约金的，超出部分由乙方继续承担赔偿责任。</w:t>
      </w:r>
    </w:p>
    <w:p>
      <w:pPr>
        <w:spacing w:beforeAutospacing="1" w:afterAutospacing="1" w:line="600" w:lineRule="exact"/>
        <w:rPr>
          <w:rFonts w:hint="eastAsia" w:ascii="仿宋" w:hAnsi="仿宋" w:eastAsia="仿宋" w:cs="仿宋"/>
        </w:rPr>
      </w:pPr>
      <w:r>
        <w:rPr>
          <w:rFonts w:hint="eastAsia" w:ascii="仿宋" w:hAnsi="仿宋" w:eastAsia="仿宋" w:cs="仿宋"/>
          <w:b/>
        </w:rPr>
        <w:t>    第十一条</w:t>
      </w:r>
      <w:r>
        <w:rPr>
          <w:rFonts w:hint="eastAsia" w:ascii="仿宋" w:hAnsi="仿宋" w:eastAsia="仿宋" w:cs="仿宋"/>
        </w:rPr>
        <w:t xml:space="preserve"> </w:t>
      </w:r>
      <w:r>
        <w:rPr>
          <w:rFonts w:hint="eastAsia" w:ascii="仿宋" w:hAnsi="仿宋" w:eastAsia="仿宋" w:cs="仿宋"/>
          <w:b/>
          <w:bCs/>
        </w:rPr>
        <w:t>保密义务</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（二） 乙方在本合同中所受领的保密信息应及时返还甲方或在甲方监督下予以销毁。乙方擅自留存备份信息，视为违反保密约定。</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（三） 无论本合同因何种原因终止，本保密条款依然有效。</w:t>
      </w:r>
    </w:p>
    <w:p>
      <w:pPr>
        <w:spacing w:beforeAutospacing="1" w:afterAutospacing="1" w:line="600" w:lineRule="exact"/>
        <w:rPr>
          <w:rFonts w:hint="eastAsia" w:ascii="仿宋" w:hAnsi="仿宋" w:eastAsia="仿宋" w:cs="仿宋"/>
        </w:rPr>
      </w:pPr>
      <w:r>
        <w:rPr>
          <w:rFonts w:hint="eastAsia" w:ascii="仿宋" w:hAnsi="仿宋" w:eastAsia="仿宋" w:cs="仿宋"/>
          <w:b/>
        </w:rPr>
        <w:t>    第十二条</w:t>
      </w:r>
      <w:r>
        <w:rPr>
          <w:rFonts w:hint="eastAsia" w:ascii="仿宋" w:hAnsi="仿宋" w:eastAsia="仿宋" w:cs="仿宋"/>
        </w:rPr>
        <w:t xml:space="preserve"> </w:t>
      </w:r>
      <w:r>
        <w:rPr>
          <w:rFonts w:hint="eastAsia" w:ascii="仿宋" w:hAnsi="仿宋" w:eastAsia="仿宋" w:cs="仿宋"/>
          <w:b/>
          <w:bCs/>
        </w:rPr>
        <w:t>不可抗力</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（三） 合同一方迟延履行后发生不可抗力的，不能免除其责任。</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（四） 不可抗力因素消除后，双方应立即进行磋商，就不可抗力所造成影响程度甲方有权决定是否继续履行或者终止本合同。</w:t>
      </w:r>
    </w:p>
    <w:p>
      <w:pPr>
        <w:spacing w:beforeAutospacing="1" w:afterAutospacing="1" w:line="600" w:lineRule="exact"/>
        <w:rPr>
          <w:rFonts w:hint="eastAsia" w:ascii="仿宋" w:hAnsi="仿宋" w:eastAsia="仿宋" w:cs="仿宋"/>
        </w:rPr>
      </w:pPr>
      <w:r>
        <w:rPr>
          <w:rFonts w:hint="eastAsia" w:ascii="仿宋" w:hAnsi="仿宋" w:eastAsia="仿宋" w:cs="仿宋"/>
          <w:b/>
        </w:rPr>
        <w:t>    第十三条</w:t>
      </w:r>
      <w:r>
        <w:rPr>
          <w:rFonts w:hint="eastAsia" w:ascii="仿宋" w:hAnsi="仿宋" w:eastAsia="仿宋" w:cs="仿宋"/>
        </w:rPr>
        <w:t xml:space="preserve"> 合同变更</w:t>
      </w:r>
      <w:r>
        <w:rPr>
          <w:rFonts w:hint="eastAsia" w:ascii="仿宋" w:hAnsi="仿宋" w:eastAsia="仿宋" w:cs="仿宋"/>
        </w:rPr>
        <w:br w:type="textWrapping"/>
      </w:r>
      <w:r>
        <w:rPr>
          <w:rFonts w:hint="eastAsia" w:ascii="仿宋" w:hAnsi="仿宋" w:eastAsia="仿宋" w:cs="仿宋"/>
          <w:b/>
          <w:bCs/>
        </w:rPr>
        <w:t>合同变更</w:t>
      </w:r>
      <w:r>
        <w:rPr>
          <w:rFonts w:hint="eastAsia" w:ascii="仿宋" w:hAnsi="仿宋" w:eastAsia="仿宋" w:cs="仿宋"/>
        </w:rPr>
        <w:br w:type="textWrapping"/>
      </w:r>
      <w:r>
        <w:rPr>
          <w:rFonts w:hint="eastAsia" w:ascii="仿宋" w:hAnsi="仿宋" w:eastAsia="仿宋" w:cs="仿宋"/>
        </w:rPr>
        <w:t>对本合同的任何变更或补充，须经甲乙双方协商一致，并另行签订书面补充协议。</w:t>
      </w:r>
    </w:p>
    <w:p>
      <w:pPr>
        <w:spacing w:beforeAutospacing="1" w:afterAutospacing="1" w:line="600" w:lineRule="exact"/>
        <w:rPr>
          <w:rFonts w:hint="eastAsia" w:ascii="仿宋" w:hAnsi="仿宋" w:eastAsia="仿宋" w:cs="仿宋"/>
        </w:rPr>
      </w:pPr>
      <w:r>
        <w:rPr>
          <w:rFonts w:hint="eastAsia" w:ascii="仿宋" w:hAnsi="仿宋" w:eastAsia="仿宋" w:cs="仿宋"/>
          <w:b/>
        </w:rPr>
        <w:t>    第十四条</w:t>
      </w:r>
      <w:r>
        <w:rPr>
          <w:rFonts w:hint="eastAsia" w:ascii="仿宋" w:hAnsi="仿宋" w:eastAsia="仿宋" w:cs="仿宋"/>
        </w:rPr>
        <w:t xml:space="preserve"> </w:t>
      </w:r>
      <w:r>
        <w:rPr>
          <w:rFonts w:hint="eastAsia" w:ascii="仿宋" w:hAnsi="仿宋" w:eastAsia="仿宋" w:cs="仿宋"/>
          <w:b/>
          <w:bCs/>
        </w:rPr>
        <w:t>合同特别终止</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（一） 甲乙双方同意在乙方出现下列情形时，甲方可以书面形式通知乙方（或者乙方的破产清算组或相关管理人）提出终止合同而不向其提供任何补偿：</w:t>
      </w:r>
      <w:r>
        <w:rPr>
          <w:rFonts w:hint="eastAsia" w:ascii="仿宋" w:hAnsi="仿宋" w:eastAsia="仿宋" w:cs="仿宋"/>
        </w:rPr>
        <w:br w:type="textWrapping"/>
      </w:r>
      <w:r>
        <w:rPr>
          <w:rFonts w:hint="eastAsia" w:ascii="仿宋" w:hAnsi="仿宋" w:eastAsia="仿宋" w:cs="仿宋"/>
        </w:rPr>
        <w:t>（1）乙方破产、解散（包括但不限于乙方股东会决议解散、乙方被吊销营业执照、被责令关闭、被撤销、被司法机关裁决解散等情形）；</w:t>
      </w:r>
      <w:r>
        <w:rPr>
          <w:rFonts w:hint="eastAsia" w:ascii="仿宋" w:hAnsi="仿宋" w:eastAsia="仿宋" w:cs="仿宋"/>
        </w:rPr>
        <w:br w:type="textWrapping"/>
      </w:r>
      <w:r>
        <w:rPr>
          <w:rFonts w:hint="eastAsia" w:ascii="仿宋" w:hAnsi="仿宋" w:eastAsia="仿宋" w:cs="仿宋"/>
        </w:rPr>
        <w:t>（2）乙方发生未经甲方书面同意的重大产权变更（包括但不限于合并、分立、注销等情形)；（如系上市公司）被勒令停止上市；以及任何原因背负重大债务导致无履行能力。</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（二） 如果因上述原因导致本合同终止，甲方已经采取或者将要采取任何补救措施的权利不受任何影响。</w:t>
      </w:r>
    </w:p>
    <w:p>
      <w:pPr>
        <w:spacing w:beforeAutospacing="1" w:afterAutospacing="1" w:line="600" w:lineRule="exact"/>
        <w:rPr>
          <w:rFonts w:hint="eastAsia" w:ascii="仿宋" w:hAnsi="仿宋" w:eastAsia="仿宋" w:cs="仿宋"/>
        </w:rPr>
      </w:pPr>
      <w:r>
        <w:rPr>
          <w:rFonts w:hint="eastAsia" w:ascii="仿宋" w:hAnsi="仿宋" w:eastAsia="仿宋" w:cs="仿宋"/>
          <w:b/>
        </w:rPr>
        <w:t>    第十五条</w:t>
      </w:r>
      <w:r>
        <w:rPr>
          <w:rFonts w:hint="eastAsia" w:ascii="仿宋" w:hAnsi="仿宋" w:eastAsia="仿宋" w:cs="仿宋"/>
        </w:rPr>
        <w:t xml:space="preserve"> </w:t>
      </w:r>
      <w:r>
        <w:rPr>
          <w:rFonts w:hint="eastAsia" w:ascii="仿宋" w:hAnsi="仿宋" w:eastAsia="仿宋" w:cs="仿宋"/>
          <w:b/>
          <w:bCs/>
        </w:rPr>
        <w:t>法律适用与争议解决</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（一） 本合同的订立、效力、解释、履行和争议的解决均适用中华人民共和国法律（不包括港澳台地区法律）。</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（二） 凡因本合同引起的或与本合同有关的任何争议，双方首先应友好协商解决。协商不成的，任何一方均可向甲方所在地有管辖权的法院提起诉讼。 </w:t>
      </w:r>
    </w:p>
    <w:p>
      <w:pPr>
        <w:spacing w:beforeAutospacing="1" w:afterAutospacing="1" w:line="600" w:lineRule="exact"/>
        <w:rPr>
          <w:rFonts w:hint="eastAsia" w:ascii="仿宋" w:hAnsi="仿宋" w:eastAsia="仿宋" w:cs="仿宋"/>
        </w:rPr>
      </w:pPr>
      <w:r>
        <w:rPr>
          <w:rFonts w:hint="eastAsia" w:ascii="仿宋" w:hAnsi="仿宋" w:eastAsia="仿宋" w:cs="仿宋"/>
          <w:b/>
        </w:rPr>
        <w:t>    第十六条</w:t>
      </w:r>
      <w:r>
        <w:rPr>
          <w:rFonts w:hint="eastAsia" w:ascii="仿宋" w:hAnsi="仿宋" w:eastAsia="仿宋" w:cs="仿宋"/>
        </w:rPr>
        <w:t xml:space="preserve"> </w:t>
      </w:r>
      <w:r>
        <w:rPr>
          <w:rFonts w:hint="eastAsia" w:ascii="仿宋" w:hAnsi="仿宋" w:eastAsia="仿宋" w:cs="仿宋"/>
          <w:b/>
          <w:bCs/>
        </w:rPr>
        <w:t>合同生效及其他</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（一） 本合同经甲乙双方法定代表人或授权代表签字并加盖公章或合同专用章后生效。</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（二） 本合同一式_______份，其中正本_______份，副本_______份。甲方执_______份正本，_______份副本；乙方执_______份正本，_______份副本。</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（三） ......</w:t>
      </w:r>
    </w:p>
    <w:p>
      <w:pPr>
        <w:spacing w:beforeAutospacing="1" w:afterAutospacing="1" w:line="600" w:lineRule="exact"/>
        <w:rPr>
          <w:rFonts w:hint="eastAsia" w:ascii="仿宋" w:hAnsi="仿宋" w:eastAsia="仿宋" w:cs="仿宋"/>
        </w:rPr>
      </w:pPr>
      <w:r>
        <w:rPr>
          <w:rFonts w:hint="eastAsia" w:ascii="仿宋" w:hAnsi="仿宋" w:eastAsia="仿宋" w:cs="仿宋"/>
          <w:b/>
        </w:rPr>
        <w:t>    第十七条</w:t>
      </w:r>
      <w:r>
        <w:rPr>
          <w:rFonts w:hint="eastAsia" w:ascii="仿宋" w:hAnsi="仿宋" w:eastAsia="仿宋" w:cs="仿宋"/>
        </w:rPr>
        <w:t xml:space="preserve"> </w:t>
      </w:r>
      <w:r>
        <w:rPr>
          <w:rFonts w:hint="eastAsia" w:ascii="仿宋" w:hAnsi="仿宋" w:eastAsia="仿宋" w:cs="仿宋"/>
          <w:b/>
          <w:bCs/>
        </w:rPr>
        <w:t>合同效力</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（一） 无论本合同是否有相反约定，本合同附件（如有）作为本合同的组成部分，与本合同具有同等法律效力，当附件条款与本合同条款发生冲突时，以本合同条款为准。</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（二） 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spacing w:beforeAutospacing="1" w:afterAutospacing="1" w:line="600" w:lineRule="exact"/>
        <w:rPr>
          <w:rFonts w:hint="eastAsia" w:ascii="仿宋" w:hAnsi="仿宋" w:eastAsia="仿宋" w:cs="仿宋"/>
        </w:rPr>
      </w:pPr>
      <w:r>
        <w:rPr>
          <w:rFonts w:hint="eastAsia" w:ascii="仿宋" w:hAnsi="仿宋" w:eastAsia="仿宋" w:cs="仿宋"/>
        </w:rPr>
        <w:t xml:space="preserve">   （三） 由于法律和法规、政策而导致本合同任何条款无效或无法执行，则该条款无效，但不影响剩余其他条款的效力。</w:t>
      </w:r>
    </w:p>
    <w:p>
      <w:pPr>
        <w:spacing w:beforeAutospacing="1" w:afterAutospacing="1" w:line="600" w:lineRule="exact"/>
        <w:rPr>
          <w:rFonts w:hint="eastAsia" w:ascii="仿宋" w:hAnsi="仿宋" w:eastAsia="仿宋" w:cs="仿宋"/>
        </w:rPr>
      </w:pPr>
      <w:r>
        <w:rPr>
          <w:rFonts w:hint="eastAsia" w:ascii="仿宋" w:hAnsi="仿宋" w:eastAsia="仿宋" w:cs="仿宋"/>
          <w:b/>
        </w:rPr>
        <w:t>    第十八条</w:t>
      </w:r>
      <w:r>
        <w:rPr>
          <w:rFonts w:hint="eastAsia" w:ascii="仿宋" w:hAnsi="仿宋" w:eastAsia="仿宋" w:cs="仿宋"/>
        </w:rPr>
        <w:t xml:space="preserve"> </w:t>
      </w:r>
      <w:r>
        <w:rPr>
          <w:rFonts w:hint="eastAsia" w:ascii="仿宋" w:hAnsi="仿宋" w:eastAsia="仿宋" w:cs="仿宋"/>
          <w:b/>
          <w:bCs/>
        </w:rPr>
        <w:t>附件的组成</w:t>
      </w:r>
    </w:p>
    <w:p>
      <w:pPr>
        <w:spacing w:line="360" w:lineRule="auto"/>
        <w:jc w:val="both"/>
        <w:rPr>
          <w:rFonts w:hint="eastAsia" w:ascii="仿宋" w:hAnsi="仿宋" w:eastAsia="仿宋" w:cs="仿宋"/>
          <w:b/>
          <w:bCs/>
        </w:rPr>
      </w:pPr>
      <w:r>
        <w:rPr>
          <w:rFonts w:hint="eastAsia" w:ascii="仿宋" w:hAnsi="仿宋" w:eastAsia="仿宋" w:cs="仿宋"/>
          <w:b/>
          <w:bCs/>
        </w:rPr>
        <w:t>附件一：合同项目和价格清单</w:t>
      </w:r>
    </w:p>
    <w:p>
      <w:pPr>
        <w:spacing w:line="360" w:lineRule="auto"/>
        <w:ind w:firstLine="480" w:firstLineChars="200"/>
        <w:rPr>
          <w:rFonts w:hint="eastAsia" w:ascii="仿宋" w:hAnsi="仿宋" w:eastAsia="仿宋" w:cs="仿宋"/>
        </w:rPr>
      </w:pPr>
      <w:r>
        <w:rPr>
          <w:rFonts w:hint="eastAsia" w:ascii="仿宋" w:hAnsi="仿宋" w:eastAsia="仿宋" w:cs="仿宋"/>
        </w:rPr>
        <w:t>1.项目名称及价格清单</w:t>
      </w:r>
    </w:p>
    <w:tbl>
      <w:tblPr>
        <w:tblStyle w:val="30"/>
        <w:tblW w:w="42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975"/>
        <w:gridCol w:w="2449"/>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2407" w:type="pct"/>
            <w:tcMar>
              <w:top w:w="15" w:type="dxa"/>
              <w:left w:w="15" w:type="dxa"/>
              <w:right w:w="15" w:type="dxa"/>
            </w:tcMar>
            <w:vAlign w:val="center"/>
          </w:tcPr>
          <w:p>
            <w:pPr>
              <w:jc w:val="center"/>
              <w:textAlignment w:val="center"/>
              <w:rPr>
                <w:rFonts w:hint="eastAsia" w:ascii="仿宋" w:hAnsi="仿宋" w:eastAsia="仿宋" w:cs="仿宋"/>
                <w:b/>
                <w:color w:val="000000"/>
              </w:rPr>
            </w:pPr>
            <w:r>
              <w:rPr>
                <w:rFonts w:hint="eastAsia" w:ascii="仿宋" w:hAnsi="仿宋" w:eastAsia="仿宋" w:cs="仿宋"/>
                <w:b/>
                <w:color w:val="000000"/>
                <w:lang w:bidi="ar"/>
              </w:rPr>
              <w:t>事项名称</w:t>
            </w:r>
          </w:p>
        </w:tc>
        <w:tc>
          <w:tcPr>
            <w:tcW w:w="1483" w:type="pct"/>
            <w:tcMar>
              <w:top w:w="15" w:type="dxa"/>
              <w:left w:w="15" w:type="dxa"/>
              <w:right w:w="15" w:type="dxa"/>
            </w:tcMar>
            <w:vAlign w:val="center"/>
          </w:tcPr>
          <w:p>
            <w:pPr>
              <w:jc w:val="center"/>
              <w:textAlignment w:val="center"/>
              <w:rPr>
                <w:rFonts w:hint="eastAsia" w:ascii="仿宋" w:hAnsi="仿宋" w:eastAsia="仿宋" w:cs="仿宋"/>
                <w:b/>
                <w:color w:val="000000"/>
              </w:rPr>
            </w:pPr>
            <w:r>
              <w:rPr>
                <w:rFonts w:hint="eastAsia" w:ascii="仿宋" w:hAnsi="仿宋" w:eastAsia="仿宋" w:cs="仿宋"/>
                <w:b/>
                <w:color w:val="000000"/>
                <w:lang w:bidi="ar"/>
              </w:rPr>
              <w:t>含税金额（元）</w:t>
            </w:r>
          </w:p>
        </w:tc>
        <w:tc>
          <w:tcPr>
            <w:tcW w:w="1109" w:type="pct"/>
            <w:tcMar>
              <w:top w:w="15" w:type="dxa"/>
              <w:left w:w="15" w:type="dxa"/>
              <w:right w:w="15" w:type="dxa"/>
            </w:tcMar>
            <w:vAlign w:val="center"/>
          </w:tcPr>
          <w:p>
            <w:pPr>
              <w:jc w:val="center"/>
              <w:textAlignment w:val="center"/>
              <w:rPr>
                <w:rFonts w:hint="eastAsia" w:ascii="仿宋" w:hAnsi="仿宋" w:eastAsia="仿宋" w:cs="仿宋"/>
                <w:b/>
                <w:color w:val="000000"/>
                <w:lang w:bidi="ar"/>
              </w:rPr>
            </w:pPr>
            <w:r>
              <w:rPr>
                <w:rFonts w:hint="eastAsia" w:ascii="仿宋" w:hAnsi="仿宋" w:eastAsia="仿宋" w:cs="仿宋"/>
                <w:b/>
                <w:color w:val="000000"/>
                <w:lang w:bidi="ar"/>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2407" w:type="pct"/>
            <w:shd w:val="clear" w:color="auto" w:fill="FFFFFF"/>
            <w:tcMar>
              <w:top w:w="15" w:type="dxa"/>
              <w:left w:w="15" w:type="dxa"/>
              <w:right w:w="15" w:type="dxa"/>
            </w:tcMar>
            <w:vAlign w:val="center"/>
          </w:tcPr>
          <w:p>
            <w:pPr>
              <w:jc w:val="center"/>
              <w:rPr>
                <w:rFonts w:hint="eastAsia" w:ascii="仿宋" w:hAnsi="仿宋" w:eastAsia="仿宋" w:cs="仿宋"/>
              </w:rPr>
            </w:pPr>
            <w:r>
              <w:rPr>
                <w:rFonts w:hint="eastAsia" w:ascii="仿宋" w:hAnsi="仿宋" w:eastAsia="仿宋" w:cs="仿宋"/>
                <w:color w:val="000000"/>
              </w:rPr>
              <w:t>XX服务</w:t>
            </w:r>
          </w:p>
        </w:tc>
        <w:tc>
          <w:tcPr>
            <w:tcW w:w="1483" w:type="pct"/>
            <w:tcMar>
              <w:top w:w="15" w:type="dxa"/>
              <w:left w:w="15" w:type="dxa"/>
              <w:right w:w="15" w:type="dxa"/>
            </w:tcMar>
            <w:vAlign w:val="center"/>
          </w:tcPr>
          <w:p>
            <w:pPr>
              <w:jc w:val="right"/>
              <w:textAlignment w:val="center"/>
              <w:rPr>
                <w:rFonts w:hint="eastAsia" w:ascii="仿宋" w:hAnsi="仿宋" w:eastAsia="仿宋" w:cs="仿宋"/>
                <w:color w:val="000000"/>
              </w:rPr>
            </w:pPr>
          </w:p>
        </w:tc>
        <w:tc>
          <w:tcPr>
            <w:tcW w:w="1109" w:type="pct"/>
            <w:tcMar>
              <w:top w:w="15" w:type="dxa"/>
              <w:left w:w="15" w:type="dxa"/>
              <w:right w:w="15" w:type="dxa"/>
            </w:tcMar>
            <w:vAlign w:val="center"/>
          </w:tcPr>
          <w:p>
            <w:pPr>
              <w:jc w:val="center"/>
              <w:textAlignment w:val="cente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2" w:hRule="atLeast"/>
          <w:jc w:val="center"/>
        </w:trPr>
        <w:tc>
          <w:tcPr>
            <w:tcW w:w="2407" w:type="pct"/>
            <w:shd w:val="clear" w:color="auto" w:fill="FFFFFF"/>
            <w:tcMar>
              <w:top w:w="15" w:type="dxa"/>
              <w:left w:w="15" w:type="dxa"/>
              <w:right w:w="15" w:type="dxa"/>
            </w:tcMar>
            <w:vAlign w:val="center"/>
          </w:tcPr>
          <w:p>
            <w:pPr>
              <w:jc w:val="center"/>
              <w:rPr>
                <w:rFonts w:hint="eastAsia" w:ascii="仿宋" w:hAnsi="仿宋" w:eastAsia="仿宋" w:cs="仿宋"/>
                <w:color w:val="000000"/>
              </w:rPr>
            </w:pPr>
            <w:r>
              <w:rPr>
                <w:rFonts w:hint="eastAsia" w:ascii="仿宋" w:hAnsi="仿宋" w:eastAsia="仿宋" w:cs="仿宋"/>
                <w:color w:val="000000"/>
              </w:rPr>
              <w:t>XX服务</w:t>
            </w:r>
          </w:p>
        </w:tc>
        <w:tc>
          <w:tcPr>
            <w:tcW w:w="1483" w:type="pct"/>
            <w:tcMar>
              <w:top w:w="15" w:type="dxa"/>
              <w:left w:w="15" w:type="dxa"/>
              <w:right w:w="15" w:type="dxa"/>
            </w:tcMar>
            <w:vAlign w:val="center"/>
          </w:tcPr>
          <w:p>
            <w:pPr>
              <w:jc w:val="right"/>
              <w:textAlignment w:val="center"/>
              <w:rPr>
                <w:rFonts w:hint="eastAsia" w:ascii="仿宋" w:hAnsi="仿宋" w:eastAsia="仿宋" w:cs="仿宋"/>
                <w:color w:val="000000"/>
              </w:rPr>
            </w:pPr>
          </w:p>
        </w:tc>
        <w:tc>
          <w:tcPr>
            <w:tcW w:w="1109" w:type="pct"/>
            <w:tcMar>
              <w:top w:w="15" w:type="dxa"/>
              <w:left w:w="15" w:type="dxa"/>
              <w:right w:w="15" w:type="dxa"/>
            </w:tcMar>
            <w:vAlign w:val="center"/>
          </w:tcPr>
          <w:p>
            <w:pPr>
              <w:jc w:val="center"/>
              <w:textAlignment w:val="center"/>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9" w:hRule="atLeast"/>
          <w:jc w:val="center"/>
        </w:trPr>
        <w:tc>
          <w:tcPr>
            <w:tcW w:w="2407" w:type="pct"/>
            <w:shd w:val="clear" w:color="auto" w:fill="FFFFFF"/>
            <w:tcMar>
              <w:top w:w="15" w:type="dxa"/>
              <w:left w:w="15" w:type="dxa"/>
              <w:right w:w="15" w:type="dxa"/>
            </w:tcMar>
            <w:vAlign w:val="center"/>
          </w:tcPr>
          <w:p>
            <w:pPr>
              <w:jc w:val="center"/>
              <w:rPr>
                <w:rFonts w:hint="eastAsia" w:ascii="仿宋" w:hAnsi="仿宋" w:eastAsia="仿宋" w:cs="仿宋"/>
                <w:b/>
                <w:bCs/>
                <w:color w:val="000000"/>
              </w:rPr>
            </w:pPr>
            <w:r>
              <w:rPr>
                <w:rFonts w:hint="eastAsia" w:ascii="仿宋" w:hAnsi="仿宋" w:eastAsia="仿宋" w:cs="仿宋"/>
                <w:b/>
                <w:bCs/>
                <w:color w:val="000000"/>
              </w:rPr>
              <w:t>合计：</w:t>
            </w:r>
          </w:p>
        </w:tc>
        <w:tc>
          <w:tcPr>
            <w:tcW w:w="1483" w:type="pct"/>
            <w:tcMar>
              <w:top w:w="15" w:type="dxa"/>
              <w:left w:w="15" w:type="dxa"/>
              <w:right w:w="15" w:type="dxa"/>
            </w:tcMar>
            <w:vAlign w:val="center"/>
          </w:tcPr>
          <w:p>
            <w:pPr>
              <w:jc w:val="right"/>
              <w:textAlignment w:val="center"/>
              <w:rPr>
                <w:rFonts w:hint="eastAsia" w:ascii="仿宋" w:hAnsi="仿宋" w:eastAsia="仿宋" w:cs="仿宋"/>
                <w:b/>
                <w:bCs/>
              </w:rPr>
            </w:pPr>
            <w:r>
              <w:rPr>
                <w:rFonts w:hint="eastAsia" w:ascii="仿宋" w:hAnsi="仿宋" w:eastAsia="仿宋" w:cs="仿宋"/>
                <w:b/>
                <w:bCs/>
              </w:rPr>
              <w:t>***</w:t>
            </w:r>
          </w:p>
          <w:p>
            <w:pPr>
              <w:pStyle w:val="5"/>
              <w:spacing w:line="240" w:lineRule="auto"/>
              <w:jc w:val="right"/>
              <w:rPr>
                <w:rFonts w:hint="eastAsia" w:ascii="仿宋" w:hAnsi="仿宋" w:eastAsia="仿宋" w:cs="仿宋"/>
                <w:sz w:val="24"/>
                <w:szCs w:val="24"/>
              </w:rPr>
            </w:pPr>
            <w:r>
              <w:rPr>
                <w:rFonts w:hint="eastAsia" w:ascii="仿宋" w:hAnsi="仿宋" w:eastAsia="仿宋" w:cs="仿宋"/>
                <w:sz w:val="24"/>
                <w:szCs w:val="24"/>
              </w:rPr>
              <w:t>（大写：***）</w:t>
            </w:r>
          </w:p>
        </w:tc>
        <w:tc>
          <w:tcPr>
            <w:tcW w:w="1109" w:type="pct"/>
            <w:tcMar>
              <w:top w:w="15" w:type="dxa"/>
              <w:left w:w="15" w:type="dxa"/>
              <w:right w:w="15" w:type="dxa"/>
            </w:tcMar>
            <w:vAlign w:val="center"/>
          </w:tcPr>
          <w:p>
            <w:pPr>
              <w:jc w:val="center"/>
              <w:textAlignment w:val="center"/>
              <w:rPr>
                <w:rFonts w:hint="eastAsia" w:ascii="仿宋" w:hAnsi="仿宋" w:eastAsia="仿宋" w:cs="仿宋"/>
                <w:b/>
                <w:bCs/>
                <w:color w:val="000000"/>
              </w:rPr>
            </w:pPr>
          </w:p>
        </w:tc>
      </w:tr>
    </w:tbl>
    <w:p>
      <w:pPr>
        <w:autoSpaceDE w:val="0"/>
        <w:autoSpaceDN w:val="0"/>
        <w:spacing w:line="360" w:lineRule="auto"/>
        <w:ind w:firstLine="480" w:firstLineChars="200"/>
        <w:jc w:val="both"/>
        <w:rPr>
          <w:rFonts w:hint="eastAsia" w:ascii="仿宋" w:hAnsi="仿宋" w:eastAsia="仿宋" w:cs="仿宋"/>
          <w:u w:val="single"/>
        </w:rPr>
      </w:pPr>
      <w:r>
        <w:rPr>
          <w:rFonts w:hint="eastAsia" w:ascii="仿宋" w:hAnsi="仿宋" w:eastAsia="仿宋" w:cs="仿宋"/>
        </w:rPr>
        <w:t>2.服务内容包括：             。</w:t>
      </w:r>
    </w:p>
    <w:p>
      <w:pPr>
        <w:autoSpaceDE w:val="0"/>
        <w:autoSpaceDN w:val="0"/>
        <w:spacing w:line="360" w:lineRule="auto"/>
        <w:ind w:firstLine="480" w:firstLineChars="200"/>
        <w:jc w:val="both"/>
        <w:rPr>
          <w:rFonts w:hint="eastAsia" w:ascii="仿宋" w:hAnsi="仿宋" w:eastAsia="仿宋" w:cs="仿宋"/>
        </w:rPr>
      </w:pPr>
      <w:r>
        <w:rPr>
          <w:rFonts w:hint="eastAsia" w:ascii="仿宋" w:hAnsi="仿宋" w:eastAsia="仿宋" w:cs="仿宋"/>
        </w:rPr>
        <w:t>3.乙方服务方式为：</w:t>
      </w:r>
      <w:r>
        <w:rPr>
          <w:rFonts w:hint="eastAsia" w:ascii="仿宋" w:hAnsi="仿宋" w:eastAsia="仿宋" w:cs="仿宋"/>
          <w:iCs/>
        </w:rPr>
        <w:t>乙方向甲方派出技术服务人员参与甲方项目的工作。</w:t>
      </w:r>
    </w:p>
    <w:p>
      <w:pPr>
        <w:spacing w:line="360" w:lineRule="auto"/>
        <w:ind w:firstLine="480" w:firstLineChars="200"/>
        <w:jc w:val="both"/>
        <w:rPr>
          <w:rFonts w:hint="eastAsia" w:ascii="仿宋" w:hAnsi="仿宋" w:eastAsia="仿宋" w:cs="仿宋"/>
        </w:rPr>
      </w:pPr>
      <w:r>
        <w:rPr>
          <w:rFonts w:hint="eastAsia" w:ascii="仿宋" w:hAnsi="仿宋" w:eastAsia="仿宋" w:cs="仿宋"/>
        </w:rPr>
        <w:t>4.经甲方认可，现由乙方向甲方派出技术服务人员，参与甲方项目，甲方全权安排乙方派出的技术服务人员的工作。</w:t>
      </w:r>
    </w:p>
    <w:p>
      <w:pPr>
        <w:spacing w:line="360" w:lineRule="auto"/>
        <w:ind w:firstLine="480" w:firstLineChars="200"/>
        <w:jc w:val="both"/>
        <w:rPr>
          <w:rFonts w:hint="eastAsia" w:ascii="仿宋" w:hAnsi="仿宋" w:eastAsia="仿宋" w:cs="仿宋"/>
        </w:rPr>
      </w:pPr>
      <w:r>
        <w:rPr>
          <w:rFonts w:hint="eastAsia" w:ascii="仿宋" w:hAnsi="仿宋" w:eastAsia="仿宋" w:cs="仿宋"/>
        </w:rPr>
        <w:t>5.技术转移</w:t>
      </w:r>
    </w:p>
    <w:p>
      <w:pPr>
        <w:spacing w:line="360" w:lineRule="auto"/>
        <w:ind w:firstLine="480" w:firstLineChars="200"/>
        <w:jc w:val="both"/>
        <w:rPr>
          <w:rFonts w:hint="eastAsia" w:ascii="仿宋" w:hAnsi="仿宋" w:eastAsia="仿宋" w:cs="仿宋"/>
        </w:rPr>
      </w:pPr>
      <w:r>
        <w:rPr>
          <w:rFonts w:hint="eastAsia" w:ascii="仿宋" w:hAnsi="仿宋" w:eastAsia="仿宋" w:cs="仿宋"/>
        </w:rPr>
        <w:t>为使软件能够高效、可靠地使用，乙方应保证在软件使用及后续服务阶段向甲方进行技术转移。技术转移必须有完整的文档说明（包括但不限于总体设计、详细设计、配置说明、测试说明、系统使用说明等项目管理各个阶段的全部文档）。</w:t>
      </w:r>
    </w:p>
    <w:p>
      <w:pPr>
        <w:spacing w:line="360" w:lineRule="auto"/>
        <w:ind w:firstLine="480" w:firstLineChars="200"/>
        <w:jc w:val="both"/>
        <w:rPr>
          <w:rFonts w:hint="eastAsia" w:ascii="仿宋" w:hAnsi="仿宋" w:eastAsia="仿宋" w:cs="仿宋"/>
        </w:rPr>
      </w:pPr>
      <w:r>
        <w:rPr>
          <w:rFonts w:hint="eastAsia" w:ascii="仿宋" w:hAnsi="仿宋" w:eastAsia="仿宋" w:cs="仿宋"/>
        </w:rPr>
        <w:t>(1)本项目期限内，乙方除提供软件的可执行版本外，还需在每次版本更新或客户化后适时更新并提供给甲方;</w:t>
      </w:r>
    </w:p>
    <w:p>
      <w:pPr>
        <w:spacing w:line="360" w:lineRule="auto"/>
        <w:ind w:firstLine="480" w:firstLineChars="200"/>
        <w:jc w:val="both"/>
        <w:rPr>
          <w:rFonts w:hint="eastAsia" w:ascii="仿宋" w:hAnsi="仿宋" w:eastAsia="仿宋" w:cs="仿宋"/>
        </w:rPr>
      </w:pPr>
      <w:r>
        <w:rPr>
          <w:rFonts w:hint="eastAsia" w:ascii="仿宋" w:hAnsi="仿宋" w:eastAsia="仿宋" w:cs="仿宋"/>
        </w:rPr>
        <w:t>(2)部署到测试环境和生产环境的软件可执行版本必须根据源代码生成，以保持源代码和执行代码的一致性;</w:t>
      </w:r>
    </w:p>
    <w:p>
      <w:pPr>
        <w:spacing w:line="360" w:lineRule="auto"/>
        <w:ind w:firstLine="480" w:firstLineChars="200"/>
        <w:jc w:val="both"/>
        <w:rPr>
          <w:rFonts w:hint="eastAsia" w:ascii="仿宋" w:hAnsi="仿宋" w:eastAsia="仿宋" w:cs="仿宋"/>
        </w:rPr>
      </w:pPr>
      <w:r>
        <w:rPr>
          <w:rFonts w:hint="eastAsia" w:ascii="仿宋" w:hAnsi="仿宋" w:eastAsia="仿宋" w:cs="仿宋"/>
        </w:rPr>
        <w:t>(3)乙方应当提供业务数据模型说明及数据库结构表，便于甲方进行系统维护;</w:t>
      </w:r>
    </w:p>
    <w:p>
      <w:pPr>
        <w:spacing w:line="360" w:lineRule="auto"/>
        <w:ind w:firstLine="480" w:firstLineChars="200"/>
        <w:jc w:val="both"/>
        <w:rPr>
          <w:rFonts w:hint="eastAsia" w:ascii="仿宋" w:hAnsi="仿宋" w:eastAsia="仿宋" w:cs="仿宋"/>
        </w:rPr>
      </w:pPr>
      <w:r>
        <w:rPr>
          <w:rFonts w:hint="eastAsia" w:ascii="仿宋" w:hAnsi="仿宋" w:eastAsia="仿宋" w:cs="仿宋"/>
        </w:rPr>
        <w:t>(4)乙方提供的各种文档应与其提供的系统功能相一致，技术文档应该全面、详细、准确;</w:t>
      </w:r>
    </w:p>
    <w:p>
      <w:pPr>
        <w:spacing w:line="360" w:lineRule="auto"/>
        <w:ind w:firstLine="480" w:firstLineChars="200"/>
        <w:jc w:val="both"/>
        <w:rPr>
          <w:rFonts w:hint="eastAsia" w:ascii="仿宋" w:hAnsi="仿宋" w:eastAsia="仿宋" w:cs="仿宋"/>
        </w:rPr>
      </w:pPr>
      <w:r>
        <w:rPr>
          <w:rFonts w:hint="eastAsia" w:ascii="仿宋" w:hAnsi="仿宋" w:eastAsia="仿宋" w:cs="仿宋"/>
        </w:rPr>
        <w:t>(5)乙方应提供项目实施总结文档，对项目实施过程中的主要技术问题给出详细解答;</w:t>
      </w:r>
    </w:p>
    <w:p>
      <w:pPr>
        <w:spacing w:line="360" w:lineRule="auto"/>
        <w:ind w:firstLine="480" w:firstLineChars="200"/>
        <w:jc w:val="both"/>
        <w:rPr>
          <w:rFonts w:hint="eastAsia" w:ascii="仿宋" w:hAnsi="仿宋" w:eastAsia="仿宋" w:cs="仿宋"/>
        </w:rPr>
      </w:pPr>
      <w:r>
        <w:rPr>
          <w:rFonts w:hint="eastAsia" w:ascii="仿宋" w:hAnsi="仿宋" w:eastAsia="仿宋" w:cs="仿宋"/>
        </w:rPr>
        <w:t>(6)乙方提供的文档应能够满足甲方对乙方所提供软件的安装、使用、维护的需要，乙方提供的技术文档包括但不限于：</w:t>
      </w:r>
    </w:p>
    <w:p>
      <w:pPr>
        <w:spacing w:line="360" w:lineRule="auto"/>
        <w:ind w:firstLine="480" w:firstLineChars="200"/>
        <w:jc w:val="both"/>
        <w:rPr>
          <w:rFonts w:hint="eastAsia" w:ascii="仿宋" w:hAnsi="仿宋" w:eastAsia="仿宋" w:cs="仿宋"/>
        </w:rPr>
      </w:pPr>
      <w:r>
        <w:rPr>
          <w:rFonts w:hint="eastAsia" w:ascii="仿宋" w:hAnsi="仿宋" w:eastAsia="仿宋" w:cs="仿宋"/>
        </w:rPr>
        <w:t>（A）技术手册；</w:t>
      </w:r>
    </w:p>
    <w:p>
      <w:pPr>
        <w:spacing w:line="360" w:lineRule="auto"/>
        <w:ind w:firstLine="480" w:firstLineChars="200"/>
        <w:jc w:val="both"/>
        <w:rPr>
          <w:rFonts w:hint="eastAsia" w:ascii="仿宋" w:hAnsi="仿宋" w:eastAsia="仿宋" w:cs="仿宋"/>
        </w:rPr>
      </w:pPr>
      <w:r>
        <w:rPr>
          <w:rFonts w:hint="eastAsia" w:ascii="仿宋" w:hAnsi="仿宋" w:eastAsia="仿宋" w:cs="仿宋"/>
        </w:rPr>
        <w:t>（B）用户操作手册；</w:t>
      </w:r>
    </w:p>
    <w:p>
      <w:pPr>
        <w:spacing w:line="360" w:lineRule="auto"/>
        <w:ind w:firstLine="480" w:firstLineChars="200"/>
        <w:jc w:val="both"/>
        <w:rPr>
          <w:rFonts w:hint="eastAsia" w:ascii="仿宋" w:hAnsi="仿宋" w:eastAsia="仿宋" w:cs="仿宋"/>
        </w:rPr>
      </w:pPr>
      <w:r>
        <w:rPr>
          <w:rFonts w:hint="eastAsia" w:ascii="仿宋" w:hAnsi="仿宋" w:eastAsia="仿宋" w:cs="仿宋"/>
        </w:rPr>
        <w:t>（C）系统配置及发布手册；</w:t>
      </w:r>
    </w:p>
    <w:p>
      <w:pPr>
        <w:spacing w:line="360" w:lineRule="auto"/>
        <w:ind w:firstLine="480" w:firstLineChars="200"/>
        <w:jc w:val="both"/>
        <w:rPr>
          <w:rFonts w:hint="eastAsia" w:ascii="仿宋" w:hAnsi="仿宋" w:eastAsia="仿宋" w:cs="仿宋"/>
        </w:rPr>
      </w:pPr>
      <w:r>
        <w:rPr>
          <w:rFonts w:hint="eastAsia" w:ascii="仿宋" w:hAnsi="仿宋" w:eastAsia="仿宋" w:cs="仿宋"/>
        </w:rPr>
        <w:t>（D）培训手册。</w:t>
      </w:r>
    </w:p>
    <w:p>
      <w:pPr>
        <w:spacing w:line="360" w:lineRule="auto"/>
        <w:ind w:firstLine="480" w:firstLineChars="200"/>
        <w:jc w:val="both"/>
        <w:rPr>
          <w:rFonts w:hint="eastAsia" w:ascii="仿宋" w:hAnsi="仿宋" w:eastAsia="仿宋" w:cs="仿宋"/>
        </w:rPr>
      </w:pPr>
      <w:r>
        <w:rPr>
          <w:rFonts w:hint="eastAsia" w:ascii="仿宋" w:hAnsi="仿宋" w:eastAsia="仿宋" w:cs="仿宋"/>
        </w:rPr>
        <w:t>(7)乙方在任何时候向甲方提供软件升级和增加客户化功能时，都应提供相应的技术文档;</w:t>
      </w:r>
    </w:p>
    <w:p>
      <w:pPr>
        <w:spacing w:line="360" w:lineRule="auto"/>
        <w:ind w:firstLine="480" w:firstLineChars="200"/>
        <w:jc w:val="both"/>
        <w:rPr>
          <w:rFonts w:hint="eastAsia" w:ascii="仿宋" w:hAnsi="仿宋" w:eastAsia="仿宋" w:cs="仿宋"/>
        </w:rPr>
      </w:pPr>
      <w:r>
        <w:rPr>
          <w:rFonts w:hint="eastAsia" w:ascii="仿宋" w:hAnsi="仿宋" w:eastAsia="仿宋" w:cs="仿宋"/>
        </w:rPr>
        <w:t>(8)乙方向甲方提供的所有技术资料应以中文为准;</w:t>
      </w:r>
    </w:p>
    <w:p>
      <w:pPr>
        <w:spacing w:line="360" w:lineRule="auto"/>
        <w:ind w:firstLine="480" w:firstLineChars="200"/>
        <w:jc w:val="both"/>
        <w:rPr>
          <w:rFonts w:hint="eastAsia" w:ascii="仿宋" w:hAnsi="仿宋" w:eastAsia="仿宋" w:cs="仿宋"/>
        </w:rPr>
      </w:pPr>
      <w:r>
        <w:rPr>
          <w:rFonts w:hint="eastAsia" w:ascii="仿宋" w:hAnsi="仿宋" w:eastAsia="仿宋" w:cs="仿宋"/>
        </w:rPr>
        <w:t>(9)乙方提供的文档和资料均应以磁介质（或光盘）和纸张为载体，文件格式为Word文档或PDF文档或其他可视化文件;</w:t>
      </w:r>
    </w:p>
    <w:p>
      <w:pPr>
        <w:spacing w:line="360" w:lineRule="auto"/>
        <w:ind w:firstLine="480" w:firstLineChars="200"/>
        <w:jc w:val="both"/>
        <w:rPr>
          <w:rFonts w:hint="eastAsia" w:ascii="仿宋" w:hAnsi="仿宋" w:eastAsia="仿宋" w:cs="仿宋"/>
        </w:rPr>
      </w:pPr>
      <w:r>
        <w:rPr>
          <w:rFonts w:hint="eastAsia" w:ascii="仿宋" w:hAnsi="仿宋" w:eastAsia="仿宋" w:cs="仿宋"/>
        </w:rPr>
        <w:t>(10)乙方提供软件版本及文档的同时，应推荐相应的版本管理工具;</w:t>
      </w:r>
    </w:p>
    <w:p>
      <w:pPr>
        <w:spacing w:line="360" w:lineRule="auto"/>
        <w:ind w:firstLine="480" w:firstLineChars="200"/>
        <w:jc w:val="both"/>
        <w:rPr>
          <w:rFonts w:hint="eastAsia" w:ascii="仿宋" w:hAnsi="仿宋" w:eastAsia="仿宋" w:cs="仿宋"/>
        </w:rPr>
      </w:pPr>
      <w:r>
        <w:rPr>
          <w:rFonts w:hint="eastAsia" w:ascii="仿宋" w:hAnsi="仿宋" w:eastAsia="仿宋" w:cs="仿宋"/>
        </w:rPr>
        <w:t>(11)乙方应就技术转移中涉及知识产权的内容给予说明，并提出相应的方案。</w:t>
      </w:r>
    </w:p>
    <w:p>
      <w:pPr>
        <w:jc w:val="both"/>
        <w:rPr>
          <w:rFonts w:hint="eastAsia" w:ascii="仿宋" w:hAnsi="仿宋" w:eastAsia="仿宋" w:cs="仿宋"/>
        </w:rPr>
      </w:pPr>
      <w:r>
        <w:rPr>
          <w:rFonts w:hint="eastAsia" w:ascii="仿宋" w:hAnsi="仿宋" w:eastAsia="仿宋" w:cs="仿宋"/>
        </w:rPr>
        <w:br w:type="page"/>
      </w:r>
    </w:p>
    <w:p>
      <w:pPr>
        <w:spacing w:line="360" w:lineRule="auto"/>
        <w:rPr>
          <w:rFonts w:hint="eastAsia" w:ascii="楷体" w:hAnsi="楷体" w:eastAsia="楷体"/>
          <w:b/>
          <w:bCs/>
        </w:rPr>
      </w:pPr>
      <w:r>
        <w:rPr>
          <w:rFonts w:hint="eastAsia" w:ascii="楷体" w:hAnsi="楷体" w:eastAsia="楷体"/>
          <w:b/>
          <w:bCs/>
        </w:rPr>
        <w:t>附件二：付款</w:t>
      </w:r>
    </w:p>
    <w:p>
      <w:pPr>
        <w:spacing w:line="360" w:lineRule="auto"/>
        <w:ind w:firstLine="480" w:firstLineChars="200"/>
        <w:jc w:val="both"/>
        <w:rPr>
          <w:rFonts w:hint="eastAsia" w:ascii="楷体" w:hAnsi="楷体" w:eastAsia="楷体"/>
        </w:rPr>
      </w:pPr>
      <w:r>
        <w:rPr>
          <w:rFonts w:hint="eastAsia" w:ascii="楷体" w:hAnsi="楷体" w:eastAsia="楷体"/>
        </w:rPr>
        <w:t>1.币种</w:t>
      </w:r>
    </w:p>
    <w:p>
      <w:pPr>
        <w:spacing w:line="360" w:lineRule="auto"/>
        <w:ind w:firstLine="480" w:firstLineChars="200"/>
        <w:jc w:val="both"/>
        <w:rPr>
          <w:rFonts w:hint="eastAsia" w:ascii="楷体" w:hAnsi="楷体" w:eastAsia="楷体"/>
        </w:rPr>
      </w:pPr>
      <w:r>
        <w:rPr>
          <w:rFonts w:hint="eastAsia" w:ascii="楷体" w:hAnsi="楷体" w:eastAsia="楷体"/>
        </w:rPr>
        <w:t>本合同使用货币种类为人民币。</w:t>
      </w:r>
    </w:p>
    <w:p>
      <w:pPr>
        <w:spacing w:line="360" w:lineRule="auto"/>
        <w:ind w:firstLine="480" w:firstLineChars="200"/>
        <w:jc w:val="both"/>
        <w:rPr>
          <w:rFonts w:hint="eastAsia" w:ascii="楷体" w:hAnsi="楷体" w:eastAsia="楷体"/>
        </w:rPr>
      </w:pPr>
      <w:r>
        <w:rPr>
          <w:rFonts w:hint="eastAsia" w:ascii="楷体" w:hAnsi="楷体" w:eastAsia="楷体"/>
        </w:rPr>
        <w:t>2.付款方式：转账。</w:t>
      </w:r>
    </w:p>
    <w:p>
      <w:pPr>
        <w:spacing w:line="360" w:lineRule="auto"/>
        <w:ind w:left="480"/>
        <w:jc w:val="both"/>
        <w:rPr>
          <w:rFonts w:hint="eastAsia" w:ascii="楷体" w:hAnsi="楷体" w:eastAsia="楷体"/>
        </w:rPr>
      </w:pPr>
      <w:r>
        <w:rPr>
          <w:rFonts w:hint="eastAsia" w:ascii="楷体" w:hAnsi="楷体" w:eastAsia="楷体"/>
        </w:rPr>
        <w:t>3.付款安排</w:t>
      </w:r>
    </w:p>
    <w:p>
      <w:pPr>
        <w:spacing w:line="360" w:lineRule="auto"/>
        <w:ind w:firstLine="480" w:firstLineChars="200"/>
        <w:jc w:val="both"/>
        <w:rPr>
          <w:rFonts w:hint="eastAsia" w:ascii="楷体" w:hAnsi="楷体" w:eastAsia="楷体"/>
        </w:rPr>
      </w:pPr>
      <w:r>
        <w:rPr>
          <w:rFonts w:hint="eastAsia" w:ascii="楷体" w:hAnsi="楷体" w:eastAsia="楷体"/>
        </w:rPr>
        <w:t>甲方分  次将合同费用支付给乙方，每次付款前乙方须向甲方出具书面的付款通知书，并根据甲方要求出具并寄送合法有效</w:t>
      </w:r>
      <w:r>
        <w:rPr>
          <w:rFonts w:ascii="楷体" w:hAnsi="楷体" w:eastAsia="楷体"/>
        </w:rPr>
        <w:t>的增值税专用</w:t>
      </w:r>
      <w:r>
        <w:rPr>
          <w:rFonts w:hint="eastAsia" w:ascii="楷体" w:hAnsi="楷体" w:eastAsia="楷体"/>
        </w:rPr>
        <w:t>发票，在甲方收到付款通知书及发票后按下述付款安排支付合同费用：</w:t>
      </w:r>
    </w:p>
    <w:p>
      <w:pPr>
        <w:spacing w:line="360" w:lineRule="auto"/>
        <w:ind w:firstLine="480" w:firstLineChars="200"/>
        <w:jc w:val="both"/>
        <w:rPr>
          <w:rFonts w:hint="eastAsia" w:ascii="楷体" w:hAnsi="楷体" w:eastAsia="楷体"/>
          <w:b/>
        </w:rPr>
      </w:pPr>
      <w:r>
        <w:rPr>
          <w:rFonts w:hint="eastAsia" w:ascii="楷体" w:hAnsi="楷体" w:eastAsia="楷体"/>
        </w:rPr>
        <w:t>（1）合同生效并经甲方确认服务完成交付/……，甲方支付乙方合同金额的</w:t>
      </w:r>
      <w:r>
        <w:rPr>
          <w:rFonts w:ascii="楷体" w:hAnsi="楷体" w:eastAsia="楷体"/>
          <w:highlight w:val="none"/>
        </w:rPr>
        <w:t>**</w:t>
      </w:r>
      <w:r>
        <w:rPr>
          <w:rFonts w:hint="eastAsia" w:ascii="楷体" w:hAnsi="楷体" w:eastAsia="楷体"/>
          <w:highlight w:val="none"/>
        </w:rPr>
        <w:t>%</w:t>
      </w:r>
      <w:r>
        <w:rPr>
          <w:rFonts w:hint="eastAsia" w:ascii="楷体" w:hAnsi="楷体" w:eastAsia="楷体"/>
          <w:b/>
          <w:highlight w:val="none"/>
        </w:rPr>
        <w:t>。</w:t>
      </w:r>
    </w:p>
    <w:p>
      <w:pPr>
        <w:spacing w:line="360" w:lineRule="auto"/>
        <w:ind w:left="199" w:leftChars="83" w:firstLine="240" w:firstLineChars="100"/>
        <w:jc w:val="both"/>
        <w:rPr>
          <w:rFonts w:hint="eastAsia" w:ascii="楷体" w:hAnsi="楷体" w:eastAsia="楷体"/>
        </w:rPr>
      </w:pPr>
      <w:r>
        <w:rPr>
          <w:rFonts w:hint="eastAsia" w:ascii="楷体" w:hAnsi="楷体" w:eastAsia="楷体"/>
        </w:rPr>
        <w:t>（2）*</w:t>
      </w:r>
      <w:r>
        <w:rPr>
          <w:rFonts w:ascii="楷体" w:hAnsi="楷体" w:eastAsia="楷体"/>
        </w:rPr>
        <w:t>***********</w:t>
      </w:r>
      <w:r>
        <w:rPr>
          <w:rFonts w:hint="eastAsia" w:ascii="楷体" w:hAnsi="楷体" w:eastAsia="楷体"/>
          <w:highlight w:val="none"/>
        </w:rPr>
        <w:t>（按服务次数季度结算）</w:t>
      </w:r>
    </w:p>
    <w:p>
      <w:pPr>
        <w:spacing w:line="360" w:lineRule="auto"/>
        <w:ind w:firstLine="480" w:firstLineChars="200"/>
        <w:jc w:val="both"/>
        <w:rPr>
          <w:rFonts w:hint="eastAsia" w:ascii="楷体" w:hAnsi="楷体" w:eastAsia="楷体"/>
        </w:rPr>
      </w:pPr>
      <w:r>
        <w:rPr>
          <w:rFonts w:hint="eastAsia" w:ascii="楷体" w:hAnsi="楷体" w:eastAsia="楷体"/>
        </w:rPr>
        <w:t>（3）</w:t>
      </w:r>
      <w:r>
        <w:rPr>
          <w:rFonts w:ascii="楷体" w:hAnsi="楷体" w:eastAsia="楷体"/>
        </w:rPr>
        <w:t>********</w:t>
      </w:r>
      <w:r>
        <w:rPr>
          <w:rFonts w:hint="eastAsia" w:ascii="楷体" w:hAnsi="楷体" w:eastAsia="楷体"/>
        </w:rPr>
        <w:t>后,以</w:t>
      </w:r>
      <w:r>
        <w:rPr>
          <w:rFonts w:ascii="楷体" w:hAnsi="楷体" w:eastAsia="楷体"/>
        </w:rPr>
        <w:t>合同</w:t>
      </w:r>
      <w:r>
        <w:rPr>
          <w:rFonts w:hint="eastAsia" w:ascii="楷体" w:hAnsi="楷体" w:eastAsia="楷体"/>
        </w:rPr>
        <w:t>费用</w:t>
      </w:r>
      <w:r>
        <w:rPr>
          <w:rFonts w:ascii="楷体" w:hAnsi="楷体" w:eastAsia="楷体"/>
        </w:rPr>
        <w:t>总额的**%为</w:t>
      </w:r>
      <w:r>
        <w:rPr>
          <w:rFonts w:hint="eastAsia" w:ascii="楷体" w:hAnsi="楷体" w:eastAsia="楷体"/>
        </w:rPr>
        <w:t>基准</w:t>
      </w:r>
      <w:r>
        <w:rPr>
          <w:rFonts w:ascii="楷体" w:hAnsi="楷体" w:eastAsia="楷体"/>
        </w:rPr>
        <w:t>费用</w:t>
      </w:r>
      <w:r>
        <w:rPr>
          <w:rFonts w:hint="eastAsia" w:ascii="楷体" w:hAnsi="楷体" w:eastAsia="楷体"/>
        </w:rPr>
        <w:t>，甲方根据根据满意度及相关考核情况结清合同金额的剩余费用。</w:t>
      </w:r>
    </w:p>
    <w:p>
      <w:pPr>
        <w:spacing w:line="360" w:lineRule="auto"/>
        <w:ind w:firstLine="480" w:firstLineChars="200"/>
        <w:jc w:val="both"/>
        <w:rPr>
          <w:rFonts w:hint="eastAsia" w:ascii="楷体" w:hAnsi="楷体" w:eastAsia="楷体" w:cs="Times New Roman"/>
        </w:rPr>
      </w:pPr>
      <w:r>
        <w:rPr>
          <w:rFonts w:hint="eastAsia" w:ascii="楷体" w:hAnsi="楷体" w:eastAsia="楷体" w:cs="Times New Roman"/>
        </w:rPr>
        <w:t>4.满意度挂钩的规则：</w:t>
      </w:r>
    </w:p>
    <w:p>
      <w:pPr>
        <w:spacing w:line="360" w:lineRule="auto"/>
        <w:jc w:val="both"/>
        <w:rPr>
          <w:rFonts w:hint="eastAsia" w:ascii="楷体" w:hAnsi="楷体" w:eastAsia="楷体"/>
          <w:b/>
        </w:rPr>
      </w:pPr>
    </w:p>
    <w:p>
      <w:pPr>
        <w:spacing w:line="360" w:lineRule="auto"/>
        <w:ind w:firstLine="480" w:firstLineChars="200"/>
        <w:jc w:val="both"/>
        <w:rPr>
          <w:rFonts w:hint="eastAsia" w:ascii="楷体" w:hAnsi="楷体" w:eastAsia="楷体" w:cs="Times New Roman"/>
        </w:rPr>
      </w:pPr>
      <w:r>
        <w:rPr>
          <w:rFonts w:hint="eastAsia" w:ascii="楷体" w:hAnsi="楷体" w:eastAsia="楷体" w:cs="Times New Roman"/>
        </w:rPr>
        <w:t>5.运维考核结果挂钩规则：</w:t>
      </w:r>
    </w:p>
    <w:p>
      <w:pPr>
        <w:spacing w:line="360" w:lineRule="auto"/>
        <w:ind w:firstLine="360" w:firstLineChars="150"/>
        <w:jc w:val="both"/>
        <w:rPr>
          <w:rFonts w:hint="eastAsia" w:ascii="楷体" w:hAnsi="楷体" w:eastAsia="楷体"/>
        </w:rPr>
      </w:pPr>
    </w:p>
    <w:p>
      <w:pPr>
        <w:spacing w:line="360" w:lineRule="auto"/>
        <w:ind w:firstLine="360" w:firstLineChars="150"/>
        <w:jc w:val="both"/>
        <w:rPr>
          <w:rFonts w:hint="eastAsia" w:ascii="楷体" w:hAnsi="楷体" w:eastAsia="楷体"/>
        </w:rPr>
      </w:pPr>
      <w:r>
        <w:rPr>
          <w:rFonts w:hint="eastAsia" w:ascii="楷体" w:hAnsi="楷体" w:eastAsia="楷体"/>
        </w:rPr>
        <w:t>6</w:t>
      </w:r>
      <w:r>
        <w:rPr>
          <w:rFonts w:ascii="楷体" w:hAnsi="楷体" w:eastAsia="楷体"/>
        </w:rPr>
        <w:t>.</w:t>
      </w:r>
      <w:r>
        <w:rPr>
          <w:rFonts w:hint="eastAsia" w:ascii="楷体" w:hAnsi="楷体" w:eastAsia="楷体"/>
        </w:rPr>
        <w:t>增值税专用发票的相关约定</w:t>
      </w:r>
    </w:p>
    <w:p>
      <w:pPr>
        <w:spacing w:line="360" w:lineRule="auto"/>
        <w:ind w:firstLine="360" w:firstLineChars="150"/>
        <w:jc w:val="both"/>
        <w:rPr>
          <w:rFonts w:hint="eastAsia" w:ascii="楷体" w:hAnsi="楷体" w:eastAsia="楷体"/>
        </w:rPr>
      </w:pPr>
      <w:r>
        <w:rPr>
          <w:rFonts w:hint="eastAsia" w:ascii="楷体" w:hAnsi="楷体" w:eastAsia="楷体"/>
        </w:rPr>
        <w:t xml:space="preserve">（1）乙方应向甲方开具增值税专用发票，甲方开票信息如下： </w:t>
      </w:r>
    </w:p>
    <w:tbl>
      <w:tblPr>
        <w:tblStyle w:val="30"/>
        <w:tblpPr w:leftFromText="180" w:rightFromText="180" w:vertAnchor="text" w:tblpX="250"/>
        <w:tblW w:w="7894" w:type="dxa"/>
        <w:tblInd w:w="0" w:type="dxa"/>
        <w:tblLayout w:type="fixed"/>
        <w:tblCellMar>
          <w:top w:w="0" w:type="dxa"/>
          <w:left w:w="0" w:type="dxa"/>
          <w:bottom w:w="0" w:type="dxa"/>
          <w:right w:w="0" w:type="dxa"/>
        </w:tblCellMar>
      </w:tblPr>
      <w:tblGrid>
        <w:gridCol w:w="2650"/>
        <w:gridCol w:w="5244"/>
      </w:tblGrid>
      <w:tr>
        <w:tblPrEx>
          <w:tblCellMar>
            <w:top w:w="0" w:type="dxa"/>
            <w:left w:w="0" w:type="dxa"/>
            <w:bottom w:w="0" w:type="dxa"/>
            <w:right w:w="0" w:type="dxa"/>
          </w:tblCellMar>
        </w:tblPrEx>
        <w:trPr>
          <w:trHeight w:val="414" w:hRule="atLeast"/>
        </w:trPr>
        <w:tc>
          <w:tcPr>
            <w:tcW w:w="2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r>
              <w:rPr>
                <w:rFonts w:hint="eastAsia" w:ascii="楷体" w:hAnsi="楷体" w:eastAsia="楷体"/>
              </w:rPr>
              <w:t>公司名称</w:t>
            </w:r>
          </w:p>
        </w:tc>
        <w:tc>
          <w:tcPr>
            <w:tcW w:w="5244" w:type="dxa"/>
            <w:tcBorders>
              <w:top w:val="single" w:color="auto" w:sz="8" w:space="0"/>
              <w:left w:val="nil"/>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p>
        </w:tc>
      </w:tr>
      <w:tr>
        <w:tblPrEx>
          <w:tblCellMar>
            <w:top w:w="0" w:type="dxa"/>
            <w:left w:w="0" w:type="dxa"/>
            <w:bottom w:w="0" w:type="dxa"/>
            <w:right w:w="0" w:type="dxa"/>
          </w:tblCellMar>
        </w:tblPrEx>
        <w:trPr>
          <w:trHeight w:val="414" w:hRule="atLeast"/>
        </w:trPr>
        <w:tc>
          <w:tcPr>
            <w:tcW w:w="2650"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r>
              <w:rPr>
                <w:rFonts w:hint="eastAsia" w:ascii="楷体" w:hAnsi="楷体" w:eastAsia="楷体"/>
              </w:rPr>
              <w:t>统一社会信用代码</w:t>
            </w:r>
          </w:p>
        </w:tc>
        <w:tc>
          <w:tcPr>
            <w:tcW w:w="5244" w:type="dxa"/>
            <w:tcBorders>
              <w:top w:val="nil"/>
              <w:left w:val="nil"/>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p>
        </w:tc>
      </w:tr>
      <w:tr>
        <w:tblPrEx>
          <w:tblCellMar>
            <w:top w:w="0" w:type="dxa"/>
            <w:left w:w="0" w:type="dxa"/>
            <w:bottom w:w="0" w:type="dxa"/>
            <w:right w:w="0" w:type="dxa"/>
          </w:tblCellMar>
        </w:tblPrEx>
        <w:trPr>
          <w:trHeight w:val="414" w:hRule="atLeast"/>
        </w:trPr>
        <w:tc>
          <w:tcPr>
            <w:tcW w:w="2650"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r>
              <w:rPr>
                <w:rFonts w:hint="eastAsia" w:ascii="楷体" w:hAnsi="楷体" w:eastAsia="楷体"/>
              </w:rPr>
              <w:t>税务登记地址</w:t>
            </w:r>
          </w:p>
        </w:tc>
        <w:tc>
          <w:tcPr>
            <w:tcW w:w="5244" w:type="dxa"/>
            <w:tcBorders>
              <w:top w:val="nil"/>
              <w:left w:val="nil"/>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p>
        </w:tc>
      </w:tr>
      <w:tr>
        <w:tblPrEx>
          <w:tblCellMar>
            <w:top w:w="0" w:type="dxa"/>
            <w:left w:w="0" w:type="dxa"/>
            <w:bottom w:w="0" w:type="dxa"/>
            <w:right w:w="0" w:type="dxa"/>
          </w:tblCellMar>
        </w:tblPrEx>
        <w:trPr>
          <w:trHeight w:val="414" w:hRule="atLeast"/>
        </w:trPr>
        <w:tc>
          <w:tcPr>
            <w:tcW w:w="2650"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r>
              <w:rPr>
                <w:rFonts w:hint="eastAsia" w:ascii="楷体" w:hAnsi="楷体" w:eastAsia="楷体"/>
              </w:rPr>
              <w:t>开户银行</w:t>
            </w:r>
          </w:p>
        </w:tc>
        <w:tc>
          <w:tcPr>
            <w:tcW w:w="5244" w:type="dxa"/>
            <w:tcBorders>
              <w:top w:val="nil"/>
              <w:left w:val="nil"/>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p>
        </w:tc>
      </w:tr>
      <w:tr>
        <w:tblPrEx>
          <w:tblCellMar>
            <w:top w:w="0" w:type="dxa"/>
            <w:left w:w="0" w:type="dxa"/>
            <w:bottom w:w="0" w:type="dxa"/>
            <w:right w:w="0" w:type="dxa"/>
          </w:tblCellMar>
        </w:tblPrEx>
        <w:trPr>
          <w:trHeight w:val="414" w:hRule="atLeast"/>
        </w:trPr>
        <w:tc>
          <w:tcPr>
            <w:tcW w:w="2650"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r>
              <w:rPr>
                <w:rFonts w:hint="eastAsia" w:ascii="楷体" w:hAnsi="楷体" w:eastAsia="楷体"/>
              </w:rPr>
              <w:t>银行账号</w:t>
            </w:r>
          </w:p>
        </w:tc>
        <w:tc>
          <w:tcPr>
            <w:tcW w:w="5244" w:type="dxa"/>
            <w:tcBorders>
              <w:top w:val="nil"/>
              <w:left w:val="nil"/>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p>
        </w:tc>
      </w:tr>
      <w:tr>
        <w:tblPrEx>
          <w:tblCellMar>
            <w:top w:w="0" w:type="dxa"/>
            <w:left w:w="0" w:type="dxa"/>
            <w:bottom w:w="0" w:type="dxa"/>
            <w:right w:w="0" w:type="dxa"/>
          </w:tblCellMar>
        </w:tblPrEx>
        <w:trPr>
          <w:trHeight w:val="414" w:hRule="atLeast"/>
        </w:trPr>
        <w:tc>
          <w:tcPr>
            <w:tcW w:w="2650"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r>
              <w:rPr>
                <w:rFonts w:hint="eastAsia" w:ascii="楷体" w:hAnsi="楷体" w:eastAsia="楷体"/>
              </w:rPr>
              <w:t>电</w:t>
            </w:r>
            <w:r>
              <w:rPr>
                <w:rFonts w:eastAsia="楷体" w:cs="Calibri"/>
              </w:rPr>
              <w:t>    </w:t>
            </w:r>
            <w:r>
              <w:rPr>
                <w:rFonts w:hint="eastAsia" w:ascii="楷体" w:hAnsi="楷体" w:eastAsia="楷体"/>
              </w:rPr>
              <w:t xml:space="preserve">  话</w:t>
            </w:r>
          </w:p>
        </w:tc>
        <w:tc>
          <w:tcPr>
            <w:tcW w:w="5244" w:type="dxa"/>
            <w:tcBorders>
              <w:top w:val="nil"/>
              <w:left w:val="nil"/>
              <w:bottom w:val="single" w:color="auto" w:sz="8" w:space="0"/>
              <w:right w:val="single" w:color="auto" w:sz="8" w:space="0"/>
            </w:tcBorders>
            <w:tcMar>
              <w:top w:w="0" w:type="dxa"/>
              <w:left w:w="108" w:type="dxa"/>
              <w:bottom w:w="0" w:type="dxa"/>
              <w:right w:w="108" w:type="dxa"/>
            </w:tcMar>
          </w:tcPr>
          <w:p>
            <w:pPr>
              <w:pStyle w:val="52"/>
              <w:spacing w:before="100" w:beforeAutospacing="1" w:after="100" w:afterAutospacing="1" w:line="400" w:lineRule="exact"/>
              <w:ind w:firstLine="480"/>
              <w:rPr>
                <w:rFonts w:hint="eastAsia" w:ascii="楷体" w:hAnsi="楷体" w:eastAsia="楷体"/>
              </w:rPr>
            </w:pPr>
          </w:p>
        </w:tc>
      </w:tr>
    </w:tbl>
    <w:p>
      <w:pPr>
        <w:spacing w:line="360" w:lineRule="auto"/>
        <w:ind w:firstLine="360" w:firstLineChars="150"/>
        <w:jc w:val="both"/>
        <w:rPr>
          <w:rFonts w:hint="eastAsia" w:ascii="楷体" w:hAnsi="楷体" w:eastAsia="楷体"/>
        </w:rPr>
      </w:pPr>
    </w:p>
    <w:p>
      <w:pPr>
        <w:spacing w:line="360" w:lineRule="auto"/>
        <w:ind w:firstLine="360" w:firstLineChars="150"/>
        <w:jc w:val="both"/>
        <w:rPr>
          <w:rFonts w:hint="eastAsia" w:ascii="楷体" w:hAnsi="楷体" w:eastAsia="楷体"/>
        </w:rPr>
      </w:pPr>
    </w:p>
    <w:p>
      <w:pPr>
        <w:spacing w:line="360" w:lineRule="auto"/>
        <w:ind w:firstLine="360" w:firstLineChars="150"/>
        <w:jc w:val="both"/>
        <w:rPr>
          <w:rFonts w:hint="eastAsia" w:ascii="楷体" w:hAnsi="楷体" w:eastAsia="楷体"/>
        </w:rPr>
      </w:pPr>
    </w:p>
    <w:p>
      <w:pPr>
        <w:spacing w:line="360" w:lineRule="auto"/>
        <w:ind w:firstLine="360" w:firstLineChars="150"/>
        <w:jc w:val="both"/>
        <w:rPr>
          <w:rFonts w:hint="eastAsia" w:ascii="楷体" w:hAnsi="楷体" w:eastAsia="楷体"/>
        </w:rPr>
      </w:pPr>
    </w:p>
    <w:p>
      <w:pPr>
        <w:spacing w:line="360" w:lineRule="auto"/>
        <w:ind w:firstLine="360" w:firstLineChars="150"/>
        <w:jc w:val="both"/>
        <w:rPr>
          <w:rFonts w:hint="eastAsia" w:ascii="楷体" w:hAnsi="楷体" w:eastAsia="楷体"/>
        </w:rPr>
      </w:pPr>
    </w:p>
    <w:p>
      <w:pPr>
        <w:spacing w:line="360" w:lineRule="auto"/>
        <w:ind w:firstLine="360" w:firstLineChars="150"/>
        <w:jc w:val="both"/>
        <w:rPr>
          <w:rFonts w:hint="eastAsia" w:ascii="楷体" w:hAnsi="楷体" w:eastAsia="楷体"/>
        </w:rPr>
      </w:pPr>
    </w:p>
    <w:p>
      <w:pPr>
        <w:spacing w:line="360" w:lineRule="auto"/>
        <w:ind w:firstLine="360" w:firstLineChars="150"/>
        <w:jc w:val="both"/>
        <w:rPr>
          <w:rFonts w:hint="eastAsia" w:ascii="楷体" w:hAnsi="楷体" w:eastAsia="楷体"/>
        </w:rPr>
      </w:pPr>
      <w:r>
        <w:rPr>
          <w:rFonts w:hint="eastAsia" w:ascii="楷体" w:hAnsi="楷体" w:eastAsia="楷体"/>
        </w:rPr>
        <w:t>（2）乙方同时向甲方公司及其分支机构提供服务的，双方应在合同中约定甲方的分支机构和对应的价款。乙方应分别对清单中的费用承担方开具相应金额的增值税专用发票；</w:t>
      </w:r>
    </w:p>
    <w:p>
      <w:pPr>
        <w:spacing w:line="360" w:lineRule="auto"/>
        <w:ind w:firstLine="360" w:firstLineChars="150"/>
        <w:jc w:val="both"/>
        <w:rPr>
          <w:rFonts w:hint="eastAsia" w:ascii="楷体" w:hAnsi="楷体" w:eastAsia="楷体"/>
        </w:rPr>
      </w:pPr>
      <w:r>
        <w:rPr>
          <w:rFonts w:hint="eastAsia" w:ascii="楷体" w:hAnsi="楷体" w:eastAsia="楷体"/>
        </w:rPr>
        <w:t xml:space="preserve">（3）乙方应在每次增值税专用发票开具后的30个自然日内向甲方提交相应增值税专用发票，否则甲方有权拒收发票。经多次分批的增值税专用发票的开具、提交以及双方收付款，乙方开具并提交甲方的增值税专用发票的价税合计金额应与甲方已经支付的价税合计款项保持一致； </w:t>
      </w:r>
    </w:p>
    <w:p>
      <w:pPr>
        <w:spacing w:line="360" w:lineRule="auto"/>
        <w:ind w:firstLine="360" w:firstLineChars="150"/>
        <w:jc w:val="both"/>
        <w:rPr>
          <w:rFonts w:hint="eastAsia" w:ascii="楷体" w:hAnsi="楷体" w:eastAsia="楷体"/>
        </w:rPr>
      </w:pPr>
      <w:r>
        <w:rPr>
          <w:rFonts w:hint="eastAsia" w:ascii="楷体" w:hAnsi="楷体" w:eastAsia="楷体"/>
        </w:rPr>
        <w:t>（4）乙方必须严格遵照相关税收法规和文件，开具合法的增值税专用发票。因乙方开具的增值税专用发票不符合税收法规与税务机关相关规定而给甲方造成经济损失的，乙方负责赔偿。即乙方如不能提供增值税专用发票，则采购对应的进项税额由乙方承担；如提供的票面税率与承诺不一致，则差额由乙方承担；</w:t>
      </w:r>
    </w:p>
    <w:p>
      <w:pPr>
        <w:spacing w:line="360" w:lineRule="auto"/>
        <w:ind w:firstLine="360" w:firstLineChars="150"/>
        <w:jc w:val="both"/>
        <w:rPr>
          <w:rFonts w:hint="eastAsia" w:ascii="楷体" w:hAnsi="楷体" w:eastAsia="楷体"/>
        </w:rPr>
      </w:pPr>
      <w:r>
        <w:rPr>
          <w:rFonts w:hint="eastAsia" w:ascii="楷体" w:hAnsi="楷体" w:eastAsia="楷体"/>
        </w:rPr>
        <w:t>（5）乙方开具的增值税专用发票在送达甲方前如发生丢失、灭失或被盗等情况，导致相应票据未能顺利送达甲方的，乙方应负责按相关税收法律法规的规定提供相应资料，以保证甲方顺利获得抵扣，否则甲方因此遭受的经济损失由乙方负责赔偿；</w:t>
      </w:r>
    </w:p>
    <w:p>
      <w:pPr>
        <w:spacing w:line="360" w:lineRule="auto"/>
        <w:ind w:firstLine="360" w:firstLineChars="150"/>
        <w:jc w:val="both"/>
        <w:rPr>
          <w:rFonts w:hint="eastAsia" w:ascii="楷体" w:hAnsi="楷体" w:eastAsia="楷体"/>
        </w:rPr>
      </w:pPr>
      <w:r>
        <w:rPr>
          <w:rFonts w:hint="eastAsia" w:ascii="楷体" w:hAnsi="楷体" w:eastAsia="楷体"/>
        </w:rPr>
        <w:t>（6）为保证取得的发票可以及时并成功获得抵扣，乙方开具的增值税专用发票送达并经甲方签收后，若发生丢失，乙方应积极协助甲方，按照相关税收法规和文件的规定提供相应资料，并确保甲方顺利获得抵扣；</w:t>
      </w:r>
    </w:p>
    <w:p>
      <w:pPr>
        <w:spacing w:line="360" w:lineRule="auto"/>
        <w:ind w:firstLine="360" w:firstLineChars="150"/>
        <w:jc w:val="both"/>
        <w:rPr>
          <w:rFonts w:hint="eastAsia" w:ascii="楷体" w:hAnsi="楷体" w:eastAsia="楷体"/>
        </w:rPr>
      </w:pPr>
      <w:r>
        <w:rPr>
          <w:rFonts w:hint="eastAsia" w:ascii="楷体" w:hAnsi="楷体" w:eastAsia="楷体"/>
        </w:rPr>
        <w:t>（7）本合同项下的业务发生销售折让、销售退回或其它按照国家规定需要开具红字发票或重新开票的情况，乙方有义务按照国家税收规定向甲方开具红字发票或重新开票。如果乙方需要甲方提供开具红字发票或重新开票的有关资料，甲方应视具体情况予以提供。</w:t>
      </w:r>
    </w:p>
    <w:p>
      <w:pPr>
        <w:spacing w:line="360" w:lineRule="auto"/>
        <w:ind w:firstLine="360" w:firstLineChars="150"/>
        <w:rPr>
          <w:rFonts w:hint="eastAsia" w:ascii="楷体" w:hAnsi="楷体" w:eastAsia="楷体"/>
        </w:rPr>
      </w:pPr>
    </w:p>
    <w:p>
      <w:r>
        <w:br w:type="page"/>
      </w:r>
    </w:p>
    <w:p>
      <w:pPr>
        <w:spacing w:line="360" w:lineRule="auto"/>
        <w:rPr>
          <w:rFonts w:hint="eastAsia" w:ascii="楷体" w:hAnsi="楷体" w:eastAsia="楷体"/>
          <w:b/>
          <w:bCs/>
        </w:rPr>
      </w:pPr>
      <w:r>
        <w:rPr>
          <w:rFonts w:hint="eastAsia" w:ascii="楷体" w:hAnsi="楷体" w:eastAsia="楷体"/>
          <w:b/>
          <w:bCs/>
        </w:rPr>
        <w:t>附件三：双方的权利和义务</w:t>
      </w:r>
    </w:p>
    <w:p>
      <w:pPr>
        <w:spacing w:line="360" w:lineRule="auto"/>
        <w:ind w:firstLine="480" w:firstLineChars="200"/>
        <w:jc w:val="both"/>
        <w:rPr>
          <w:rFonts w:hint="eastAsia" w:ascii="楷体_GB2312" w:hAnsi="宋体" w:eastAsia="楷体_GB2312"/>
        </w:rPr>
      </w:pPr>
      <w:r>
        <w:rPr>
          <w:rFonts w:ascii="楷体_GB2312" w:hAnsi="宋体" w:eastAsia="楷体_GB2312"/>
        </w:rPr>
        <w:t>1</w:t>
      </w:r>
      <w:r>
        <w:rPr>
          <w:rFonts w:hint="eastAsia" w:ascii="楷体_GB2312" w:hAnsi="宋体" w:eastAsia="楷体_GB2312"/>
        </w:rPr>
        <w:t>.根据服务的具体要求，乙方有义务指定相应的工程师提供服务。如甲方对乙方工程师的服务不满意，乙方应按照甲方的要求更换工程师。</w:t>
      </w:r>
    </w:p>
    <w:p>
      <w:pPr>
        <w:spacing w:line="360" w:lineRule="auto"/>
        <w:ind w:firstLine="480" w:firstLineChars="200"/>
        <w:jc w:val="both"/>
        <w:rPr>
          <w:rFonts w:hint="eastAsia" w:ascii="楷体_GB2312" w:hAnsi="宋体" w:eastAsia="楷体_GB2312"/>
        </w:rPr>
      </w:pPr>
      <w:r>
        <w:rPr>
          <w:rFonts w:ascii="楷体_GB2312" w:hAnsi="宋体" w:eastAsia="楷体_GB2312"/>
        </w:rPr>
        <w:t>2</w:t>
      </w:r>
      <w:r>
        <w:rPr>
          <w:rFonts w:hint="eastAsia" w:ascii="楷体_GB2312" w:hAnsi="宋体" w:eastAsia="楷体_GB2312"/>
        </w:rPr>
        <w:t>.若乙方未按约定提供服务，甲方可另行找他人提供服务，费用可从甲方应付乙方款项中直接扣除或由乙方另行支付给甲方。</w:t>
      </w:r>
    </w:p>
    <w:p>
      <w:pPr>
        <w:spacing w:line="360" w:lineRule="auto"/>
        <w:ind w:firstLine="480" w:firstLineChars="200"/>
        <w:jc w:val="both"/>
        <w:rPr>
          <w:rFonts w:hint="eastAsia" w:ascii="楷体_GB2312" w:hAnsi="宋体" w:eastAsia="楷体_GB2312"/>
        </w:rPr>
      </w:pPr>
      <w:r>
        <w:rPr>
          <w:rFonts w:hint="eastAsia" w:ascii="楷体_GB2312" w:hAnsi="宋体" w:eastAsia="楷体_GB2312"/>
        </w:rPr>
        <w:t>3.乙方应确保所提供的产品或服务不存在后门、恶意代码等安全隐患，并保证产品或服务人员不会窃取、收集甲方的数据信息。</w:t>
      </w:r>
    </w:p>
    <w:p>
      <w:pPr>
        <w:spacing w:line="360" w:lineRule="auto"/>
        <w:ind w:firstLine="480" w:firstLineChars="200"/>
        <w:jc w:val="both"/>
        <w:rPr>
          <w:rFonts w:hint="eastAsia" w:ascii="楷体_GB2312" w:hAnsi="宋体" w:eastAsia="楷体_GB2312"/>
        </w:rPr>
      </w:pPr>
      <w:r>
        <w:rPr>
          <w:rFonts w:hint="eastAsia" w:ascii="楷体_GB2312" w:hAnsi="宋体" w:eastAsia="楷体_GB2312"/>
        </w:rPr>
        <w:t>4.乙方技术服务人员应遵守甲方的安全保密等规章制度。</w:t>
      </w:r>
    </w:p>
    <w:p>
      <w:pPr>
        <w:spacing w:line="360" w:lineRule="auto"/>
        <w:ind w:firstLine="480" w:firstLineChars="200"/>
        <w:jc w:val="both"/>
        <w:rPr>
          <w:rFonts w:hint="eastAsia" w:ascii="楷体_GB2312" w:hAnsi="宋体" w:eastAsia="楷体_GB2312"/>
        </w:rPr>
      </w:pPr>
      <w:r>
        <w:rPr>
          <w:rFonts w:hint="eastAsia" w:ascii="楷体_GB2312" w:hAnsi="宋体" w:eastAsia="楷体_GB2312"/>
        </w:rPr>
        <w:t>5.乙方不得将本合同项目全部或部分工作转包或分包第三方承担。</w:t>
      </w:r>
    </w:p>
    <w:p>
      <w:r>
        <w:br w:type="page"/>
      </w:r>
    </w:p>
    <w:p>
      <w:pPr>
        <w:spacing w:line="360" w:lineRule="auto"/>
        <w:jc w:val="both"/>
        <w:rPr>
          <w:rFonts w:hint="eastAsia" w:ascii="楷体" w:hAnsi="楷体" w:eastAsia="楷体"/>
          <w:b/>
          <w:bCs/>
        </w:rPr>
      </w:pPr>
      <w:r>
        <w:rPr>
          <w:rFonts w:hint="eastAsia" w:ascii="楷体" w:hAnsi="楷体" w:eastAsia="楷体"/>
          <w:b/>
          <w:bCs/>
        </w:rPr>
        <w:t>附件四：交付与质量标准</w:t>
      </w:r>
    </w:p>
    <w:p>
      <w:pPr>
        <w:spacing w:line="360" w:lineRule="auto"/>
        <w:ind w:firstLine="480" w:firstLineChars="200"/>
        <w:jc w:val="both"/>
        <w:rPr>
          <w:rFonts w:hint="eastAsia" w:ascii="楷体" w:hAnsi="楷体" w:eastAsia="楷体"/>
        </w:rPr>
      </w:pPr>
      <w:r>
        <w:rPr>
          <w:rFonts w:hint="eastAsia" w:ascii="楷体" w:hAnsi="楷体" w:eastAsia="楷体"/>
        </w:rPr>
        <w:t>1.自本合同生效之日起，乙方应在</w:t>
      </w:r>
      <w:r>
        <w:rPr>
          <w:rFonts w:hint="eastAsia" w:ascii="楷体" w:hAnsi="楷体" w:eastAsia="楷体"/>
          <w:u w:val="single"/>
        </w:rPr>
        <w:t>**</w:t>
      </w:r>
      <w:r>
        <w:rPr>
          <w:rFonts w:hint="eastAsia" w:ascii="楷体" w:hAnsi="楷体" w:eastAsia="楷体"/>
        </w:rPr>
        <w:t>个工作日内完成服务内容，甲、乙双方相关人员一起依照合同清单进行验收。</w:t>
      </w:r>
    </w:p>
    <w:p>
      <w:pPr>
        <w:spacing w:line="360" w:lineRule="auto"/>
        <w:ind w:firstLine="480" w:firstLineChars="200"/>
        <w:jc w:val="both"/>
        <w:rPr>
          <w:rFonts w:hint="eastAsia" w:ascii="楷体" w:hAnsi="楷体" w:eastAsia="楷体"/>
        </w:rPr>
      </w:pPr>
      <w:r>
        <w:rPr>
          <w:rFonts w:ascii="楷体" w:hAnsi="楷体" w:eastAsia="楷体"/>
        </w:rPr>
        <w:t>2</w:t>
      </w:r>
      <w:r>
        <w:rPr>
          <w:rFonts w:hint="eastAsia" w:ascii="楷体" w:hAnsi="楷体" w:eastAsia="楷体"/>
        </w:rPr>
        <w:t>.安装验收：甲方应提供安装运行环境并对乙方服务提供必要的支持和配合。乙方完成合同附件一中约定的项目需求并安装后向甲方提出终验申请，甲方确认验收标准</w:t>
      </w:r>
      <w:r>
        <w:rPr>
          <w:rFonts w:hint="eastAsia" w:ascii="楷体" w:hAnsi="楷体" w:eastAsia="楷体"/>
          <w:lang w:eastAsia="zh-CN"/>
        </w:rPr>
        <w:t>（</w:t>
      </w:r>
      <w:r>
        <w:rPr>
          <w:rFonts w:hint="eastAsia" w:ascii="楷体" w:hAnsi="楷体" w:eastAsia="楷体"/>
          <w:lang w:val="en-US" w:eastAsia="zh-CN"/>
        </w:rPr>
        <w:t>具备与平台的通讯能力、卫星定位能力、声光报警能力</w:t>
      </w:r>
      <w:r>
        <w:rPr>
          <w:rFonts w:hint="eastAsia" w:ascii="楷体" w:hAnsi="楷体" w:eastAsia="楷体"/>
          <w:lang w:eastAsia="zh-CN"/>
        </w:rPr>
        <w:t>）</w:t>
      </w:r>
      <w:r>
        <w:rPr>
          <w:rFonts w:hint="eastAsia" w:ascii="楷体" w:hAnsi="楷体" w:eastAsia="楷体"/>
        </w:rPr>
        <w:t>，并与乙方组成验收小组在十个工作日内对项目进行验收，形成验收报告。</w:t>
      </w:r>
    </w:p>
    <w:p>
      <w:pPr>
        <w:spacing w:line="360" w:lineRule="auto"/>
        <w:ind w:firstLine="480" w:firstLineChars="200"/>
        <w:jc w:val="both"/>
        <w:rPr>
          <w:rFonts w:hint="eastAsia" w:ascii="楷体" w:hAnsi="楷体" w:eastAsia="楷体"/>
        </w:rPr>
      </w:pPr>
      <w:r>
        <w:rPr>
          <w:rFonts w:ascii="楷体" w:hAnsi="楷体" w:eastAsia="楷体"/>
        </w:rPr>
        <w:t>3</w:t>
      </w:r>
      <w:r>
        <w:rPr>
          <w:rFonts w:hint="eastAsia" w:ascii="楷体" w:hAnsi="楷体" w:eastAsia="楷体"/>
        </w:rPr>
        <w:t>.如甲方在产品验收中对产品提出异议，其中包括但不限于对产品外观、产地、质量、功能、性能、安全性等方面的问题，乙方应无条件更换该产品，并依照本条款上述的规定，重新组织验收。</w:t>
      </w:r>
    </w:p>
    <w:p>
      <w:pPr>
        <w:spacing w:line="360" w:lineRule="auto"/>
        <w:ind w:firstLine="480" w:firstLineChars="200"/>
        <w:jc w:val="both"/>
        <w:rPr>
          <w:rFonts w:hint="eastAsia" w:ascii="楷体" w:hAnsi="楷体" w:eastAsia="楷体" w:cs="Times New Roman"/>
        </w:rPr>
      </w:pPr>
      <w:r>
        <w:rPr>
          <w:rFonts w:hint="eastAsia" w:ascii="楷体" w:hAnsi="楷体" w:eastAsia="楷体" w:cs="Times New Roman"/>
        </w:rPr>
        <w:t>4.如果连续经过</w:t>
      </w:r>
      <w:r>
        <w:rPr>
          <w:rFonts w:hint="eastAsia" w:ascii="楷体" w:hAnsi="楷体" w:eastAsia="楷体"/>
          <w:u w:val="single"/>
        </w:rPr>
        <w:t>**</w:t>
      </w:r>
      <w:r>
        <w:rPr>
          <w:rFonts w:hint="eastAsia" w:ascii="楷体" w:hAnsi="楷体" w:eastAsia="楷体" w:cs="Times New Roman"/>
        </w:rPr>
        <w:t>次验收均不合格或自首次验收工作完成之日起</w:t>
      </w:r>
      <w:r>
        <w:rPr>
          <w:rFonts w:hint="eastAsia" w:ascii="楷体" w:hAnsi="楷体" w:eastAsia="楷体"/>
          <w:u w:val="single"/>
        </w:rPr>
        <w:t>**</w:t>
      </w:r>
      <w:r>
        <w:rPr>
          <w:rFonts w:hint="eastAsia" w:ascii="楷体" w:hAnsi="楷体" w:eastAsia="楷体" w:cs="Times New Roman"/>
        </w:rPr>
        <w:t>日内仍不能验收合格的（以最先届至的期限为准），甲方有权解除合同，并要求乙方退还甲方已经支付的全部款项，乙方按照合同费用总额的</w:t>
      </w:r>
      <w:r>
        <w:rPr>
          <w:rFonts w:hint="eastAsia" w:ascii="楷体" w:hAnsi="楷体" w:eastAsia="楷体"/>
          <w:u w:val="single"/>
        </w:rPr>
        <w:t>**</w:t>
      </w:r>
      <w:r>
        <w:rPr>
          <w:rFonts w:hint="eastAsia" w:ascii="楷体" w:hAnsi="楷体" w:eastAsia="楷体" w:cs="Times New Roman"/>
        </w:rPr>
        <w:t>%支付违约金，以及承担因此而给甲方造成的全部损失。</w:t>
      </w:r>
    </w:p>
    <w:p>
      <w:pPr>
        <w:rPr>
          <w:rFonts w:hint="eastAsia" w:ascii="楷体" w:hAnsi="楷体" w:eastAsia="楷体" w:cs="楷体"/>
        </w:rPr>
      </w:pPr>
      <w:r>
        <w:rPr>
          <w:rFonts w:hint="eastAsia" w:ascii="楷体" w:hAnsi="楷体" w:eastAsia="楷体" w:cs="楷体"/>
        </w:rPr>
        <w:br w:type="page"/>
      </w:r>
    </w:p>
    <w:p>
      <w:pPr>
        <w:spacing w:line="360" w:lineRule="auto"/>
        <w:rPr>
          <w:rFonts w:hint="eastAsia" w:ascii="楷体" w:hAnsi="楷体" w:eastAsia="楷体"/>
          <w:b/>
          <w:bCs/>
        </w:rPr>
      </w:pPr>
      <w:r>
        <w:rPr>
          <w:rFonts w:hint="eastAsia" w:ascii="楷体" w:hAnsi="楷体" w:eastAsia="楷体"/>
          <w:b/>
          <w:bCs/>
        </w:rPr>
        <w:t>附件五：违约责任</w:t>
      </w:r>
    </w:p>
    <w:p>
      <w:pPr>
        <w:spacing w:line="360" w:lineRule="auto"/>
        <w:ind w:firstLine="480" w:firstLineChars="200"/>
        <w:jc w:val="both"/>
        <w:rPr>
          <w:rFonts w:hint="eastAsia" w:ascii="楷体" w:hAnsi="楷体" w:eastAsia="楷体"/>
        </w:rPr>
      </w:pPr>
      <w:r>
        <w:rPr>
          <w:rFonts w:hint="eastAsia" w:ascii="楷体" w:hAnsi="楷体" w:eastAsia="楷体"/>
        </w:rPr>
        <w:t>除合同约定的违约责任以外，任何一方存在以下约定情形的，应承担相应的违约责任：</w:t>
      </w:r>
    </w:p>
    <w:p>
      <w:pPr>
        <w:rPr>
          <w:rFonts w:hint="eastAsia" w:ascii="楷体" w:hAnsi="楷体" w:eastAsia="楷体" w:cs="楷体"/>
        </w:rPr>
      </w:pPr>
      <w:r>
        <w:rPr>
          <w:rFonts w:hint="eastAsia" w:ascii="楷体" w:hAnsi="楷体" w:eastAsia="楷体" w:cs="楷体"/>
        </w:rPr>
        <w:br w:type="page"/>
      </w:r>
    </w:p>
    <w:p>
      <w:pPr>
        <w:spacing w:line="360" w:lineRule="auto"/>
        <w:rPr>
          <w:rFonts w:hint="eastAsia" w:ascii="楷体" w:hAnsi="楷体" w:eastAsia="楷体"/>
          <w:b/>
          <w:bCs/>
        </w:rPr>
      </w:pPr>
      <w:r>
        <w:rPr>
          <w:rFonts w:hint="eastAsia" w:ascii="楷体" w:hAnsi="楷体" w:eastAsia="楷体"/>
          <w:b/>
          <w:bCs/>
        </w:rPr>
        <w:t>附件六：软件著作权证明文件、原厂授权函</w:t>
      </w:r>
    </w:p>
    <w:p>
      <w:pPr>
        <w:rPr>
          <w:rFonts w:hint="eastAsia" w:ascii="楷体" w:hAnsi="楷体" w:eastAsia="楷体" w:cs="楷体"/>
        </w:rPr>
      </w:pPr>
      <w:r>
        <w:rPr>
          <w:rFonts w:hint="eastAsia" w:ascii="楷体" w:hAnsi="楷体" w:eastAsia="楷体" w:cs="楷体"/>
        </w:rPr>
        <w:br w:type="page"/>
      </w:r>
    </w:p>
    <w:p>
      <w:pPr>
        <w:pStyle w:val="4"/>
        <w:ind w:left="0" w:firstLine="0"/>
        <w:rPr>
          <w:rFonts w:hint="eastAsia"/>
        </w:rPr>
      </w:pPr>
      <w:r>
        <w:rPr>
          <w:rFonts w:hint="eastAsia" w:ascii="楷体" w:hAnsi="楷体" w:eastAsia="楷体" w:cs="楷体"/>
        </w:rPr>
        <w:t>附件</w:t>
      </w:r>
      <w:r>
        <w:rPr>
          <w:rFonts w:hint="eastAsia" w:ascii="楷体" w:hAnsi="楷体" w:cs="楷体"/>
        </w:rPr>
        <w:t>七</w:t>
      </w:r>
      <w:r>
        <w:rPr>
          <w:rFonts w:hint="eastAsia" w:ascii="楷体" w:hAnsi="楷体" w:eastAsia="楷体" w:cs="楷体"/>
        </w:rPr>
        <w:t>：</w:t>
      </w:r>
    </w:p>
    <w:p>
      <w:pPr>
        <w:widowControl w:val="0"/>
        <w:adjustRightInd w:val="0"/>
        <w:spacing w:before="312" w:beforeLines="100" w:after="312" w:afterLines="100" w:line="300" w:lineRule="auto"/>
        <w:jc w:val="center"/>
        <w:rPr>
          <w:rFonts w:hint="eastAsia" w:ascii="楷体" w:hAnsi="楷体" w:eastAsia="楷体" w:cs="楷体"/>
          <w:b/>
          <w:bCs/>
          <w:spacing w:val="20"/>
          <w:sz w:val="28"/>
          <w:szCs w:val="28"/>
        </w:rPr>
      </w:pPr>
      <w:r>
        <w:rPr>
          <w:rFonts w:hint="eastAsia" w:ascii="楷体" w:hAnsi="楷体" w:eastAsia="楷体" w:cs="楷体"/>
          <w:b/>
          <w:bCs/>
          <w:spacing w:val="20"/>
          <w:kern w:val="2"/>
          <w:sz w:val="28"/>
          <w:szCs w:val="28"/>
          <w:lang w:bidi="ar"/>
        </w:rPr>
        <w:t>廉洁诚信协议</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根据《中华人民共和国民法典》《中华人民共和国反不正当竞争法》《关于禁止商业贿赂行为的暂行规定》等法律、法规及部门规章等有关规定，为了维护公平竞争的市场秩序和公正透明的商业环境，防止各类谋取不正当利益的违法违规违纪行为的发生，双方经协商一致订立本协议，以资共同遵守。</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第一条  总则</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1.1甲乙双方均应当严格遵守国家法律法规和甲方集中采购管理、供应商管理的相关要求，不从事任何违法违规违纪行为。坚持诚实守信原则，恪守商业道德和职业道德，规范商务人员廉洁从业行为。</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1.2采取有效措施，约束双方及双方相关主体自觉履行廉洁从业义务，不得弄虚作假、串通操纵、损公肥私，防止商业贿赂、利益输送、关联交易等各种谋取不正当利益行为发生，维护好双方企业形象、产品品牌和合法权益。</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1.3本协议所称相关主体，对任何一方而言，包括但不限于以下单位或者个人：</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（1）一方或其关联方之工作人员；</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（2）受一方委托办理相关事务的单位或者个人；</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（3）利用职权或者影响力影响交易的单位或者个人；</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（4）前述相关人员的亲属；</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（5）与前述相关主体存在利害关系的其他单位或者人员。</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乙方相关主体实施违反本协议约定之行为的，均应视为乙方实施行为。</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1.4一方监督发现对方相关主体在业务合作中存在违规行为的，应当及时提醒并有权向对方纪检部门举报。情节严重构成犯罪的，任何一方均有权向司法机关报案，追究相关单位或者人员的刑事责任。</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第二条  商业贿赂</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2.1本协议所称商业贿赂，是指乙方或乙方相关主体为获取或意图获取交易机会或者竞争优势，采用财物或者其他形式贿赂甲方或甲方相关主体的行为。</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2.2本条第1款所称财物，是指乙方为促成合作，采用金钱（包括各种币钞和其他具有支付、结算功能的各类有价币、卡、券或账户，有价证券，减免债务、提供资金借贷，或代为还款还贷，或给予其他具有折扣、储值功能的券、卡等）、实物（包括各种高档生活用品、奢侈消费品、工艺品、收藏品等，房屋、车辆等大宗商品，以及其他具有一定经济价值的各种礼品、藏品或物品，虽然不具有支付、结算功能但具有一定面额的票、卡、提货单等，以租借等方式长期免费或低价供给、使用的物品等），或者以报销各种费用等方式，给付甲方或甲方相关主体的财物。</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2.3本条第1款所称其他形式，包括但不限于：</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（1）以任何方式实施商业贿赂或违规提供回扣、折扣、宴请与游玩活动或其他不正当利益；</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（2）为甲方或甲方相关主体安排有可能影响公平、公正交易的宴请、健身、娱乐等活动；</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（3）为甲方或甲方相关主体投资入股、个人借款或买卖股票、债券等提供方便；</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（4）为甲方或甲方相关主体购买或装修住房、婚丧嫁娶、配偶子女上学或工作安排以及出国出境、旅游等提供方便；</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（5）违反规定为甲方或甲方相关主体在乙方相关企业工作、挂名兼职、合伙经营、介绍承揽业务等提供方便；</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（6）向甲方或甲方相关主体提供借款、融资、担保等；</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（7）给予或承诺给予其不正当利益的其他行为；</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（8）其他违反国家法律法规或商业道德准则的影响公正交易的行为。</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第三条  回扣</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3.1本协议所称回扣，是指乙方促成合作时在账外暗中以现金、实物或者其他方式退给甲方或甲方相关主体一定比例的商品或服务价款。</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3.2本条第1款所称账外，是指未在依法设立的反映其生产经营活动或者行政事业经费收支的财务账上按照财务会计制度规定明确如实记载，包括不记入财务账、转入其他财务账或者做假账等。</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3.3乙方在账外暗中给予甲方相关主体回扣的，视为实施商业贿赂行为。</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第四条  折扣</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4.1本协议所称折扣，是指乙方在销售商品或提供服务时，以明示并如实入账的方式给予甲方的价格优惠，包括支付价款时对价款总额按一定比例即时予以扣除和支付价款总额后再按一定比例予以退还两种形式。</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4.2乙方提供的商品或服务，可以以明示方式给予甲方折扣。乙方给予甲方折扣的，必须在采购协议中予以明确并如实入账。</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4.3本条第1款所称如实入账，是指根据采购或合作协议约定的金额和支付方式，在依法设立的反映甲方生产经营活动收支的财务账上按照财务会计制度规定明确如实记载。</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4.4乙方违反本条约定的，视为实施商业贿赂行为。</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第五条  宴请与游玩活动</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5.1乙方不得为甲方相关主体提供各种场合、各种规格的餐饮请吃、住宿等。但因公务活动持续到用餐时间，乙方基于公认的商务礼仪和便利而参照接待甲方普通员工餐标准安排的工作餐除外，且乙方提供的工作餐应当从简。</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5.2乙方不得为甲方相关主体提供各种形式的旅游、健身、KTV、酒吧、按摩、赌博、色情等娱乐休闲活动。</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5.3乙方违反本条约定的，视为实施商业贿赂行为。</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第六条  禁止行为</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双方一致同意双方或双方相关主体的如下行为是应当禁止的营私舞弊或腐败行为：</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6.1甲方及甲方相关主体向乙方索要或收受财物或其他形式的财产性利益、非财产性利益。</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6.2乙方及乙方相关主体向甲方或甲方相关主体提供财物或其他形式的财产性利益、非财产性利益，包括但不限于：</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（1）报销甲方相关主体的私人费用；</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（2）提供超过宴请标准的宴请或娱乐活动；</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（3）介绍甲方相关主体亲友到乙方处工作；</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（4）提出、邀请或事实上接受甲方相关主体在乙方参股或参与乙方经营活动；</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（5）组织或向甲方相关主体提供旅游等代偿活动利益；</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（6）向甲方相关主体提供借款、融资、担保等；</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（7）给予或承诺给予甲方相关主体不正当利益的其他行为；</w:t>
      </w:r>
    </w:p>
    <w:p>
      <w:pPr>
        <w:widowControl w:val="0"/>
        <w:adjustRightInd w:val="0"/>
        <w:spacing w:after="312" w:afterLines="100" w:line="360" w:lineRule="atLeast"/>
        <w:ind w:firstLine="480" w:firstLineChars="200"/>
        <w:jc w:val="both"/>
        <w:rPr>
          <w:rFonts w:hint="eastAsia" w:ascii="楷体" w:hAnsi="楷体" w:eastAsia="楷体" w:cs="楷体"/>
        </w:rPr>
      </w:pPr>
      <w:r>
        <w:rPr>
          <w:rFonts w:hint="eastAsia" w:ascii="楷体" w:hAnsi="楷体" w:eastAsia="楷体" w:cs="楷体"/>
          <w:kern w:val="2"/>
          <w:szCs w:val="20"/>
          <w:lang w:bidi="ar"/>
        </w:rPr>
        <w:t>（8）其他违反本协议约定、国家法律法规或商业道德准则的影响公正交易的行为。</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第七条  乙方承诺</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乙方承诺在双方的商务接洽、合同关系、交易过程中遵守如下要求：</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7.1 避免利害关系</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在采购过程中主动申报与甲方及甲方相关主体的关联及利害关系，包括乙方经办合作或交易事宜的相关主体与甲方及甲方相关主体的关联及利害关系，避免任何可能影响公平竞争的关系或利益冲突，主动披露任何可能影响采购或合作决策的利益关系，并采取必要的措施确保采购及合作过程的公正性。</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7.2 恪守廉洁自律原则</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7.2.1不以任何方式实施本协议所述的商业贿赂行为、营私舞弊或腐败行为等禁止行为，也不会以任何方式向甲方或甲方相关主体索要金钱、实物等不正当利益，或收受甲方或甲方相关主体给予的金钱、实物等不正当利益。</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7.2.2支持甲方的廉洁诚信建设，承诺承担实名举报的义务，若乙方或乙方相关主体对甲方或甲方相关主体的索贿行为不拒绝、不申报，并满足其要求的，则该行为视同乙方实施商业贿赂行为。</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7.3 恪守诚实信用原则</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7.3.1在与甲方的业务往来过程中，向甲方提供的信息、文件、资料、数据及相关书面和口头陈述等保证真实、准确和完整，并不存在任何虚假、误导和重大遗漏，且已按甲方要求向甲方提供或披露了与该等文件资料有关的其他辅助文件资料和信息。</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7.3.2严格遵守向甲方做出的承诺、双方签署的合同、协议和备忘录等，确保产品质量和服务质量，不隐瞒任何可能对甲方利益造成影响的信息，积极配合甲方的审计。</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7.3.3严格遵守甲方的供应商行为准则、合作协议、保密承诺书等政策文件中的相关规定。</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7.3.4严格遵守甲方的品牌管理的相关规定，未经甲方授权不擅自使用甲方字样、授权合作伙伴等类似容易对外产生混淆的字样。</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7.3.5严格遵守国家相关法律法规及甲方的管理规定，不参与任何违法活动。</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7.3.6承诺实事求是，不对内部或社会传递任何虚假信息，严格遵守保密协议，不透露任何甲方的商业机密。</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7.3.7未经甲方同意，不向任何新闻媒体、第三方述及有关甲方工作人员恪守商业道德方面的评价、信息。</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7.3.8依法合规参加招投标活动和业务合作并诚实守则，不出借、转让资质证书，不伙同他人串标、围标或非法排挤竞争对手，不以他人名义参与或者以其他方式弄虚作假，不夸大自身技术和提供服务的能力，损害甲方合法权益。</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7.4 确保信息公开透明</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7.4.1主动向甲方披露与采购项目相关的信息，包括乙方真实情况、产品价格、技术参数、服务团队信息、履约情况等。</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7.4.2不利用非法手段向甲方及甲方相关主体打探有关涉及甲方及甲方相关主体的商业秘密、人员信息、采购信息等。</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7.5 积极配合监督举报</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7.5.1乙方承诺积极配合甲方或第三方机构的监督和检查，对发现的违规行为及时纠正，并严肃处理涉嫌违规的相关主体，确保采购过程和项目合作的公正性和透明度。甲方对乙方及乙方相关主体涉嫌违法违规违纪的商业行为进行调查时，乙方有配合提供证据、作证的义务。</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7.5.2如乙方有知悉或怀疑甲方相关主体有违反上述约定的，应及时采取措施并有权向甲方纪检部门举报。甲方会对所有信息提供者及所提供的全部资料严格保密。</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7.6 加强内部廉洁管理</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7.6.1加强内部管理：加强对员工的廉洁教育和培训，提高员工的道德素质和法律意识，建立健全内部管理制度，确保员工行为的合规性和廉洁性。</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7.6.2设立监督机制：通过专门的监督机构或人员，对乙方的业务活动进行实时监督，确保员工行为的合规性。</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7.6.3建立举报制度：鼓励员工积极举报违规行为，对举报人予以保护并给予奖励。</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第八条  违约责任</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8.1若甲方人员违反本协议第六条规定的，按照甲方内部管理权限，依据有关法律和规定给予处分或组织处理，涉嫌犯罪的，移交司法机关追究刑事责任。</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8.2如乙方违反本协议任何约定或承诺，甲方有权依据甲方采购管理、供应商管理和采购文件相关要求，对乙方进行严肃处理，相关处罚结果记入供应商诚信档案。</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8.3 如乙方违反本协议任何约定或承诺，</w:t>
      </w:r>
      <w:r>
        <w:rPr>
          <w:rFonts w:hint="eastAsia" w:ascii="楷体" w:hAnsi="楷体" w:eastAsia="楷体" w:cs="楷体"/>
          <w:b/>
          <w:bCs/>
          <w:kern w:val="2"/>
          <w:szCs w:val="20"/>
          <w:lang w:bidi="ar"/>
        </w:rPr>
        <w:t>甲方及甲方子公司有权根据情节严重程度选择单方全面终止与乙方的合同及合作，且无需承担任何责任。乙方给甲方造成损失的，甲方有权要求乙方承担全部赔偿责任。</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8.4</w:t>
      </w:r>
      <w:r>
        <w:rPr>
          <w:rFonts w:hint="eastAsia" w:ascii="楷体" w:hAnsi="楷体" w:eastAsia="楷体" w:cs="楷体"/>
          <w:b/>
          <w:bCs/>
          <w:kern w:val="2"/>
          <w:szCs w:val="20"/>
          <w:lang w:bidi="ar"/>
        </w:rPr>
        <w:t>甲方及甲方子公司按照前述条款要求乙方承担赔偿责任的，</w:t>
      </w:r>
      <w:r>
        <w:rPr>
          <w:rFonts w:hint="eastAsia" w:ascii="楷体" w:hAnsi="楷体" w:eastAsia="楷体" w:cs="楷体"/>
          <w:kern w:val="2"/>
          <w:szCs w:val="20"/>
          <w:lang w:bidi="ar"/>
        </w:rPr>
        <w:t>乙方应于甲方发出赔偿通知之日起【10】个工作日内支付，如未及时支付，甲方及甲方子公司有权从主合同款项中直接扣除。</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8.5乙方知悉并同意，对于上述情形的处理甲方有完全的判断权和自主权。</w:t>
      </w:r>
    </w:p>
    <w:p>
      <w:pPr>
        <w:widowControl w:val="0"/>
        <w:adjustRightInd w:val="0"/>
        <w:spacing w:before="312" w:beforeLines="100" w:after="312" w:afterLines="100" w:line="300" w:lineRule="auto"/>
        <w:ind w:firstLine="482" w:firstLineChars="200"/>
        <w:jc w:val="both"/>
        <w:rPr>
          <w:rFonts w:hint="eastAsia" w:ascii="楷体" w:hAnsi="楷体" w:eastAsia="楷体" w:cs="楷体"/>
          <w:b/>
          <w:bCs/>
        </w:rPr>
      </w:pPr>
      <w:r>
        <w:rPr>
          <w:rFonts w:hint="eastAsia" w:ascii="楷体" w:hAnsi="楷体" w:eastAsia="楷体" w:cs="楷体"/>
          <w:b/>
          <w:bCs/>
          <w:kern w:val="2"/>
          <w:szCs w:val="20"/>
          <w:lang w:bidi="ar"/>
        </w:rPr>
        <w:t>第九条  附则</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9.1本协议的标题及各条款的标题仅为检索方便而设置，具体内容应当以各条款的具体规定为准，而不应参考该标题进行解释。</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9.2除非另有书面规定，甲方未能行使或者延迟行使在本协议项下的任何权利，不得被视为放弃行使该等权利，且任何权利的单独或部分行使亦不得妨碍该等权利的进一步或其他任何权利的行使。甲方在任何时候放弃追究乙方违反本协议任何条款约定的违约行为的，不得被视为甲方放弃追究其他各方面的违约行为。</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9.3本协议之解释、效力、履行及其他未尽事宜均依中华人民共和国（仅为本协议之目的，不含香港特别行政区、澳门特别行政区和台湾地区）法律为准，任何关于本协议产生的争议，由双方协商解决，协商不成的，双方同意任何一方均可向甲方所在地有管辖权的法院提起诉讼。</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9.4本协议未尽事宜以双方签订的主合同为准。本协议与主合同约定不一致的，根据约定内容对双方提出的廉洁诚信要求，以较为严格的约定为准。若双方未签订主合同或主合同终止、解除的，本协议应独立执行。</w:t>
      </w:r>
    </w:p>
    <w:p>
      <w:pPr>
        <w:widowControl w:val="0"/>
        <w:adjustRightInd w:val="0"/>
        <w:spacing w:before="312" w:beforeLines="100" w:after="312" w:afterLines="100" w:line="300" w:lineRule="auto"/>
        <w:ind w:firstLine="480" w:firstLineChars="200"/>
        <w:jc w:val="both"/>
        <w:rPr>
          <w:rFonts w:hint="eastAsia" w:ascii="楷体" w:hAnsi="楷体" w:eastAsia="楷体" w:cs="楷体"/>
        </w:rPr>
      </w:pPr>
      <w:r>
        <w:rPr>
          <w:rFonts w:hint="eastAsia" w:ascii="楷体" w:hAnsi="楷体" w:eastAsia="楷体" w:cs="楷体"/>
          <w:kern w:val="2"/>
          <w:szCs w:val="20"/>
          <w:lang w:bidi="ar"/>
        </w:rPr>
        <w:t>9.5本协议长期有效。</w:t>
      </w:r>
    </w:p>
    <w:p>
      <w:pPr>
        <w:rPr>
          <w:rFonts w:hint="eastAsia"/>
          <w:lang w:val="en-US" w:eastAsia="zh-CN"/>
        </w:rPr>
      </w:pPr>
      <w:r>
        <w:rPr>
          <w:rFonts w:hint="eastAsia"/>
          <w:lang w:val="en-US" w:eastAsia="zh-CN"/>
        </w:rPr>
        <w:br w:type="page"/>
      </w:r>
    </w:p>
    <w:p>
      <w:pPr>
        <w:pStyle w:val="4"/>
        <w:pageBreakBefore/>
        <w:ind w:left="0" w:firstLine="3052" w:firstLineChars="1090"/>
        <w:jc w:val="left"/>
        <w:rPr>
          <w:rFonts w:hint="eastAsia" w:ascii="仿宋_GB2312" w:hAnsi="宋体" w:eastAsia="仿宋_GB2312"/>
          <w:b w:val="0"/>
          <w:bCs w:val="0"/>
          <w:color w:val="000000" w:themeColor="text1"/>
          <w:sz w:val="28"/>
          <w:szCs w:val="28"/>
          <w14:textFill>
            <w14:solidFill>
              <w14:schemeClr w14:val="tx1"/>
            </w14:solidFill>
          </w14:textFill>
        </w:rPr>
      </w:pPr>
      <w:bookmarkStart w:id="124" w:name="_Toc4181"/>
      <w:bookmarkStart w:id="125" w:name="_Toc186737811"/>
      <w:r>
        <w:rPr>
          <w:rFonts w:hint="eastAsia" w:ascii="仿宋_GB2312" w:hAnsi="宋体" w:eastAsia="仿宋_GB2312"/>
          <w:b w:val="0"/>
          <w:bCs w:val="0"/>
          <w:color w:val="000000" w:themeColor="text1"/>
          <w:sz w:val="28"/>
          <w:szCs w:val="28"/>
          <w14:textFill>
            <w14:solidFill>
              <w14:schemeClr w14:val="tx1"/>
            </w14:solidFill>
          </w14:textFill>
        </w:rPr>
        <w:t>第五章 采购</w:t>
      </w:r>
      <w:bookmarkEnd w:id="124"/>
      <w:r>
        <w:rPr>
          <w:rFonts w:hint="eastAsia" w:ascii="仿宋_GB2312" w:hAnsi="宋体" w:eastAsia="仿宋_GB2312"/>
          <w:b w:val="0"/>
          <w:bCs w:val="0"/>
          <w:color w:val="000000" w:themeColor="text1"/>
          <w:sz w:val="28"/>
          <w:szCs w:val="28"/>
          <w14:textFill>
            <w14:solidFill>
              <w14:schemeClr w14:val="tx1"/>
            </w14:solidFill>
          </w14:textFill>
        </w:rPr>
        <w:t>需求</w:t>
      </w:r>
      <w:bookmarkEnd w:id="125"/>
    </w:p>
    <w:p>
      <w:pPr>
        <w:spacing w:line="360" w:lineRule="auto"/>
        <w:ind w:firstLine="480" w:firstLineChars="200"/>
        <w:rPr>
          <w:rFonts w:hint="eastAsia" w:ascii="楷体" w:hAnsi="楷体" w:eastAsia="楷体" w:cs="仿宋_GB2312"/>
          <w:color w:val="000000" w:themeColor="text1"/>
          <w:szCs w:val="32"/>
          <w14:textFill>
            <w14:solidFill>
              <w14:schemeClr w14:val="tx1"/>
            </w14:solidFill>
          </w14:textFill>
        </w:rPr>
      </w:pPr>
      <w:r>
        <w:rPr>
          <w:rFonts w:ascii="楷体" w:hAnsi="楷体" w:eastAsia="楷体" w:cs="仿宋_GB2312"/>
          <w:color w:val="000000" w:themeColor="text1"/>
          <w:szCs w:val="32"/>
          <w14:textFill>
            <w14:solidFill>
              <w14:schemeClr w14:val="tx1"/>
            </w14:solidFill>
          </w14:textFill>
        </w:rPr>
        <w:t>根据采购项目具体需求进行描述</w:t>
      </w:r>
      <w:r>
        <w:rPr>
          <w:rFonts w:hint="eastAsia" w:ascii="楷体" w:hAnsi="楷体" w:eastAsia="楷体" w:cs="仿宋_GB2312"/>
          <w:color w:val="000000" w:themeColor="text1"/>
          <w:szCs w:val="32"/>
          <w14:textFill>
            <w14:solidFill>
              <w14:schemeClr w14:val="tx1"/>
            </w14:solidFill>
          </w14:textFill>
        </w:rPr>
        <w:t>，</w:t>
      </w:r>
      <w:r>
        <w:rPr>
          <w:rFonts w:ascii="楷体" w:hAnsi="楷体" w:eastAsia="楷体" w:cs="仿宋_GB2312"/>
          <w:color w:val="000000" w:themeColor="text1"/>
          <w:szCs w:val="32"/>
          <w14:textFill>
            <w14:solidFill>
              <w14:schemeClr w14:val="tx1"/>
            </w14:solidFill>
          </w14:textFill>
        </w:rPr>
        <w:t>应包括但不限于以下描述</w:t>
      </w:r>
      <w:r>
        <w:rPr>
          <w:rFonts w:hint="eastAsia" w:ascii="楷体" w:hAnsi="楷体" w:eastAsia="楷体" w:cs="仿宋_GB2312"/>
          <w:color w:val="000000" w:themeColor="text1"/>
          <w:szCs w:val="32"/>
          <w14:textFill>
            <w14:solidFill>
              <w14:schemeClr w14:val="tx1"/>
            </w14:solidFill>
          </w14:textFill>
        </w:rPr>
        <w:t>：</w:t>
      </w:r>
    </w:p>
    <w:p>
      <w:pPr>
        <w:numPr>
          <w:ilvl w:val="0"/>
          <w:numId w:val="4"/>
        </w:numPr>
        <w:spacing w:line="360" w:lineRule="auto"/>
        <w:ind w:firstLine="482" w:firstLineChars="200"/>
        <w:rPr>
          <w:rFonts w:hint="eastAsia" w:ascii="楷体" w:hAnsi="楷体" w:eastAsia="楷体" w:cs="仿宋_GB2312"/>
          <w:b/>
          <w:bCs/>
          <w:color w:val="000000" w:themeColor="text1"/>
          <w:szCs w:val="32"/>
          <w14:textFill>
            <w14:solidFill>
              <w14:schemeClr w14:val="tx1"/>
            </w14:solidFill>
          </w14:textFill>
        </w:rPr>
      </w:pPr>
      <w:r>
        <w:rPr>
          <w:rFonts w:ascii="楷体" w:hAnsi="楷体" w:eastAsia="楷体" w:cs="仿宋_GB2312"/>
          <w:b/>
          <w:bCs/>
          <w:color w:val="000000" w:themeColor="text1"/>
          <w:szCs w:val="32"/>
          <w14:textFill>
            <w14:solidFill>
              <w14:schemeClr w14:val="tx1"/>
            </w14:solidFill>
          </w14:textFill>
        </w:rPr>
        <w:t>采购项目背景</w:t>
      </w:r>
    </w:p>
    <w:p>
      <w:pPr>
        <w:spacing w:line="360" w:lineRule="auto"/>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2023年5月，国务院、中央委员公布《无人驾驶航空器飞行管理暂行条例》，并自2024年1月1日起施行。《条例》中</w:t>
      </w:r>
      <w:r>
        <w:rPr>
          <w:rFonts w:ascii="楷体" w:hAnsi="楷体" w:eastAsia="楷体" w:cs="仿宋_GB2312"/>
          <w:color w:val="000000" w:themeColor="text1"/>
          <w:szCs w:val="32"/>
          <w14:textFill>
            <w14:solidFill>
              <w14:schemeClr w14:val="tx1"/>
            </w14:solidFill>
          </w14:textFill>
        </w:rPr>
        <w:t>第十二条</w:t>
      </w:r>
      <w:r>
        <w:rPr>
          <w:rFonts w:hint="eastAsia" w:ascii="楷体" w:hAnsi="楷体" w:eastAsia="楷体" w:cs="仿宋_GB2312"/>
          <w:color w:val="000000" w:themeColor="text1"/>
          <w:szCs w:val="32"/>
          <w14:textFill>
            <w14:solidFill>
              <w14:schemeClr w14:val="tx1"/>
            </w14:solidFill>
          </w14:textFill>
        </w:rPr>
        <w:t>，提到“</w:t>
      </w:r>
      <w:r>
        <w:rPr>
          <w:rFonts w:ascii="楷体" w:hAnsi="楷体" w:eastAsia="楷体" w:cs="仿宋_GB2312"/>
          <w:color w:val="000000" w:themeColor="text1"/>
          <w:szCs w:val="32"/>
          <w14:textFill>
            <w14:solidFill>
              <w14:schemeClr w14:val="tx1"/>
            </w14:solidFill>
          </w14:textFill>
        </w:rPr>
        <w:t>使用民用无人驾驶航空器从事经营性飞行活动，以及使用小型、中型、大型民用无人驾驶航空器从事非经营性飞行活动，应当依法投保责任保险。</w:t>
      </w:r>
      <w:r>
        <w:rPr>
          <w:rFonts w:hint="eastAsia" w:ascii="楷体" w:hAnsi="楷体" w:eastAsia="楷体" w:cs="仿宋_GB2312"/>
          <w:color w:val="000000" w:themeColor="text1"/>
          <w:szCs w:val="32"/>
          <w14:textFill>
            <w14:solidFill>
              <w14:schemeClr w14:val="tx1"/>
            </w14:solidFill>
          </w14:textFill>
        </w:rPr>
        <w:t>”基于上述要求，大部分政府事业单位及企业在购买三者险的同时会购买机身保险，并涉及飞丢等相关专项需求。这对保险公司如何对无人机准确定位，确定无人机飞行事故的真实性提出了很高的要求。为进一步降低无人机事故发生率，提升无人机项目风险预防能力，降低无人机保险运营成本。故本次采购无人机事故预防服务，落实风险减量管理。</w:t>
      </w:r>
    </w:p>
    <w:p>
      <w:pPr>
        <w:numPr>
          <w:ilvl w:val="0"/>
          <w:numId w:val="4"/>
        </w:numPr>
        <w:spacing w:line="360" w:lineRule="auto"/>
        <w:ind w:firstLine="482" w:firstLineChars="200"/>
        <w:rPr>
          <w:rFonts w:hint="eastAsia" w:ascii="楷体" w:hAnsi="楷体" w:eastAsia="楷体" w:cs="仿宋_GB2312"/>
          <w:b/>
          <w:bCs/>
          <w:color w:val="000000" w:themeColor="text1"/>
          <w:szCs w:val="32"/>
          <w14:textFill>
            <w14:solidFill>
              <w14:schemeClr w14:val="tx1"/>
            </w14:solidFill>
          </w14:textFill>
        </w:rPr>
      </w:pPr>
      <w:r>
        <w:rPr>
          <w:rFonts w:ascii="楷体" w:hAnsi="楷体" w:eastAsia="楷体" w:cs="仿宋_GB2312"/>
          <w:b/>
          <w:bCs/>
          <w:color w:val="000000" w:themeColor="text1"/>
          <w:szCs w:val="32"/>
          <w14:textFill>
            <w14:solidFill>
              <w14:schemeClr w14:val="tx1"/>
            </w14:solidFill>
          </w14:textFill>
        </w:rPr>
        <w:t>采购内容</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采购1000台无人机事故预防服务，包括无人机定位功能服务、无人机智能化管理平台，可实现无人机位置、姿态等信息监控和辅助遗失后无人机找寻。</w:t>
      </w:r>
    </w:p>
    <w:p>
      <w:pPr>
        <w:numPr>
          <w:ilvl w:val="0"/>
          <w:numId w:val="4"/>
        </w:numPr>
        <w:spacing w:line="360" w:lineRule="auto"/>
        <w:ind w:firstLine="482"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b/>
          <w:bCs/>
          <w:color w:val="000000" w:themeColor="text1"/>
          <w:szCs w:val="32"/>
          <w14:textFill>
            <w14:solidFill>
              <w14:schemeClr w14:val="tx1"/>
            </w14:solidFill>
          </w14:textFill>
        </w:rPr>
        <w:t>采购数量</w:t>
      </w:r>
    </w:p>
    <w:p>
      <w:pPr>
        <w:pStyle w:val="2"/>
        <w:rPr>
          <w:rFonts w:eastAsia="楷体"/>
        </w:rPr>
      </w:pPr>
      <w:r>
        <w:rPr>
          <w:rFonts w:hint="eastAsia" w:ascii="楷体" w:hAnsi="楷体" w:eastAsia="楷体" w:cs="仿宋_GB2312"/>
          <w:color w:val="000000" w:themeColor="text1"/>
          <w:szCs w:val="32"/>
          <w14:textFill>
            <w14:solidFill>
              <w14:schemeClr w14:val="tx1"/>
            </w14:solidFill>
          </w14:textFill>
        </w:rPr>
        <w:t xml:space="preserve">   预计采购1000台无人机事故预防服务，单价450元/</w:t>
      </w:r>
      <w:r>
        <w:rPr>
          <w:rFonts w:hint="eastAsia" w:ascii="楷体" w:hAnsi="楷体" w:eastAsia="楷体" w:cs="仿宋_GB2312"/>
          <w:color w:val="000000" w:themeColor="text1"/>
          <w:szCs w:val="32"/>
          <w:shd w:val="clear" w:color="auto" w:fill="FFFF00"/>
          <w14:textFill>
            <w14:solidFill>
              <w14:schemeClr w14:val="tx1"/>
            </w14:solidFill>
          </w14:textFill>
        </w:rPr>
        <w:t>次</w:t>
      </w:r>
      <w:r>
        <w:rPr>
          <w:rFonts w:hint="eastAsia" w:ascii="楷体" w:hAnsi="楷体" w:eastAsia="楷体" w:cs="仿宋_GB2312"/>
          <w:color w:val="000000" w:themeColor="text1"/>
          <w:szCs w:val="32"/>
          <w14:textFill>
            <w14:solidFill>
              <w14:schemeClr w14:val="tx1"/>
            </w14:solidFill>
          </w14:textFill>
        </w:rPr>
        <w:t>/年，总计450000元。无人机事故预防服务系统具体要求如下：</w:t>
      </w:r>
    </w:p>
    <w:tbl>
      <w:tblPr>
        <w:tblStyle w:val="3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4"/>
        <w:gridCol w:w="1275"/>
        <w:gridCol w:w="6187"/>
        <w:gridCol w:w="657"/>
        <w:gridCol w:w="5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9196" w:type="dxa"/>
            <w:gridSpan w:val="5"/>
          </w:tcPr>
          <w:p>
            <w:pPr>
              <w:pStyle w:val="38"/>
              <w:spacing w:before="81"/>
              <w:ind w:left="805"/>
              <w:jc w:val="center"/>
              <w:rPr>
                <w:rFonts w:hint="eastAsia"/>
                <w:b/>
                <w:color w:val="000000" w:themeColor="text1"/>
                <w:sz w:val="36"/>
                <w:highlight w:val="none"/>
                <w:lang w:eastAsia="zh-CN"/>
                <w14:textFill>
                  <w14:solidFill>
                    <w14:schemeClr w14:val="tx1"/>
                  </w14:solidFill>
                </w14:textFill>
              </w:rPr>
            </w:pPr>
            <w:r>
              <w:rPr>
                <w:rFonts w:hint="eastAsia"/>
                <w:b/>
                <w:color w:val="000000" w:themeColor="text1"/>
                <w:sz w:val="36"/>
                <w:highlight w:val="none"/>
                <w:lang w:eastAsia="zh-CN"/>
                <w14:textFill>
                  <w14:solidFill>
                    <w14:schemeClr w14:val="tx1"/>
                  </w14:solidFill>
                </w14:textFill>
              </w:rPr>
              <w:t>无人机事故预防服务系统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534" w:type="dxa"/>
            <w:shd w:val="clear" w:color="auto" w:fill="auto"/>
          </w:tcPr>
          <w:p>
            <w:pPr>
              <w:pStyle w:val="38"/>
              <w:spacing w:before="16"/>
              <w:ind w:left="155"/>
              <w:rPr>
                <w:rFonts w:hint="eastAsia"/>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序</w:t>
            </w:r>
          </w:p>
          <w:p>
            <w:pPr>
              <w:pStyle w:val="38"/>
              <w:spacing w:before="30" w:line="276" w:lineRule="exact"/>
              <w:ind w:left="155"/>
              <w:rPr>
                <w:rFonts w:hint="eastAsia"/>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号</w:t>
            </w:r>
          </w:p>
        </w:tc>
        <w:tc>
          <w:tcPr>
            <w:tcW w:w="1275" w:type="dxa"/>
            <w:shd w:val="clear" w:color="auto" w:fill="auto"/>
          </w:tcPr>
          <w:p>
            <w:pPr>
              <w:pStyle w:val="38"/>
              <w:spacing w:before="172"/>
              <w:ind w:left="89" w:right="76"/>
              <w:jc w:val="center"/>
              <w:rPr>
                <w:rFonts w:hint="eastAsia"/>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项目名称</w:t>
            </w:r>
          </w:p>
        </w:tc>
        <w:tc>
          <w:tcPr>
            <w:tcW w:w="6187" w:type="dxa"/>
            <w:shd w:val="clear" w:color="auto" w:fill="auto"/>
          </w:tcPr>
          <w:p>
            <w:pPr>
              <w:pStyle w:val="38"/>
              <w:spacing w:before="172"/>
              <w:ind w:left="1442"/>
              <w:rPr>
                <w:rFonts w:hint="eastAsia"/>
                <w:b/>
                <w:color w:val="000000" w:themeColor="text1"/>
                <w:highlight w:val="none"/>
                <w:lang w:eastAsia="zh-CN"/>
                <w14:textFill>
                  <w14:solidFill>
                    <w14:schemeClr w14:val="tx1"/>
                  </w14:solidFill>
                </w14:textFill>
              </w:rPr>
            </w:pPr>
            <w:r>
              <w:rPr>
                <w:b/>
                <w:color w:val="000000" w:themeColor="text1"/>
                <w:highlight w:val="none"/>
                <w:lang w:eastAsia="zh-CN"/>
                <w14:textFill>
                  <w14:solidFill>
                    <w14:schemeClr w14:val="tx1"/>
                  </w14:solidFill>
                </w14:textFill>
              </w:rPr>
              <w:t>主要技术（性能）指标或规格要求</w:t>
            </w:r>
          </w:p>
        </w:tc>
        <w:tc>
          <w:tcPr>
            <w:tcW w:w="657" w:type="dxa"/>
            <w:shd w:val="clear" w:color="auto" w:fill="auto"/>
          </w:tcPr>
          <w:p>
            <w:pPr>
              <w:pStyle w:val="38"/>
              <w:spacing w:before="16"/>
              <w:ind w:left="218"/>
              <w:rPr>
                <w:rFonts w:hint="eastAsia"/>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单</w:t>
            </w:r>
          </w:p>
          <w:p>
            <w:pPr>
              <w:pStyle w:val="38"/>
              <w:spacing w:before="30" w:line="276" w:lineRule="exact"/>
              <w:ind w:left="218"/>
              <w:rPr>
                <w:rFonts w:hint="eastAsia"/>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位</w:t>
            </w:r>
          </w:p>
        </w:tc>
        <w:tc>
          <w:tcPr>
            <w:tcW w:w="543" w:type="dxa"/>
            <w:shd w:val="clear" w:color="auto" w:fill="auto"/>
          </w:tcPr>
          <w:p>
            <w:pPr>
              <w:pStyle w:val="38"/>
              <w:spacing w:before="16"/>
              <w:ind w:left="161"/>
              <w:rPr>
                <w:rFonts w:hint="eastAsia"/>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数</w:t>
            </w:r>
          </w:p>
          <w:p>
            <w:pPr>
              <w:pStyle w:val="38"/>
              <w:spacing w:before="30" w:line="276" w:lineRule="exact"/>
              <w:ind w:left="161"/>
              <w:rPr>
                <w:rFonts w:hint="eastAsia"/>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jc w:val="center"/>
        </w:trPr>
        <w:tc>
          <w:tcPr>
            <w:tcW w:w="534" w:type="dxa"/>
          </w:tcPr>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spacing w:before="12"/>
              <w:rPr>
                <w:rFonts w:hint="eastAsia"/>
                <w:color w:val="000000" w:themeColor="text1"/>
                <w:sz w:val="21"/>
                <w:szCs w:val="21"/>
                <w:highlight w:val="none"/>
                <w14:textFill>
                  <w14:solidFill>
                    <w14:schemeClr w14:val="tx1"/>
                  </w14:solidFill>
                </w14:textFill>
              </w:rPr>
            </w:pPr>
          </w:p>
          <w:p>
            <w:pPr>
              <w:pStyle w:val="38"/>
              <w:ind w:left="6"/>
              <w:jc w:val="center"/>
              <w:rPr>
                <w:rFonts w:hint="eastAsia"/>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1275" w:type="dxa"/>
          </w:tcPr>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spacing w:before="151" w:line="292" w:lineRule="auto"/>
              <w:ind w:left="108" w:right="156"/>
              <w:rPr>
                <w:rFonts w:hint="eastAsia"/>
                <w:color w:val="000000" w:themeColor="text1"/>
                <w:sz w:val="21"/>
                <w:szCs w:val="21"/>
                <w:highlight w:val="none"/>
                <w:lang w:eastAsia="zh-CN"/>
                <w14:textFill>
                  <w14:solidFill>
                    <w14:schemeClr w14:val="tx1"/>
                  </w14:solidFill>
                </w14:textFill>
              </w:rPr>
            </w:pPr>
            <w:bookmarkStart w:id="126" w:name="OLE_LINK1"/>
            <w:r>
              <w:rPr>
                <w:rFonts w:hint="eastAsia"/>
                <w:color w:val="000000" w:themeColor="text1"/>
                <w:sz w:val="21"/>
                <w:szCs w:val="21"/>
                <w:highlight w:val="none"/>
                <w14:textFill>
                  <w14:solidFill>
                    <w14:schemeClr w14:val="tx1"/>
                  </w14:solidFill>
                </w14:textFill>
              </w:rPr>
              <w:t>无人机定位</w:t>
            </w:r>
            <w:bookmarkEnd w:id="126"/>
            <w:r>
              <w:rPr>
                <w:rFonts w:hint="eastAsia"/>
                <w:color w:val="000000" w:themeColor="text1"/>
                <w:sz w:val="21"/>
                <w:szCs w:val="21"/>
                <w:highlight w:val="none"/>
                <w:lang w:eastAsia="zh-CN"/>
                <w14:textFill>
                  <w14:solidFill>
                    <w14:schemeClr w14:val="tx1"/>
                  </w14:solidFill>
                </w14:textFill>
              </w:rPr>
              <w:t>服务</w:t>
            </w:r>
          </w:p>
        </w:tc>
        <w:tc>
          <w:tcPr>
            <w:tcW w:w="6187" w:type="dxa"/>
          </w:tcPr>
          <w:p>
            <w:pPr>
              <w:pStyle w:val="38"/>
              <w:spacing w:before="55"/>
              <w:ind w:left="107"/>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1.支持BDS/GPS/LBS多重定位</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2.内置GNSS天线和LTE天线</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3.支持4G Cat.1通信</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4.内置可充电锂电池，电池容量≥500mAh</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5.数据上报周期可配置（</w:t>
            </w:r>
            <w:r>
              <w:rPr>
                <w:rFonts w:hint="eastAsia"/>
                <w:color w:val="000000" w:themeColor="text1"/>
                <w:sz w:val="21"/>
                <w:szCs w:val="21"/>
                <w:highlight w:val="none"/>
                <w:lang w:val="en-US" w:eastAsia="zh-CN"/>
                <w14:textFill>
                  <w14:solidFill>
                    <w14:schemeClr w14:val="tx1"/>
                  </w14:solidFill>
                </w14:textFill>
              </w:rPr>
              <w:t>现场演示</w:t>
            </w:r>
            <w:r>
              <w:rPr>
                <w:rFonts w:hint="eastAsia"/>
                <w:color w:val="000000" w:themeColor="text1"/>
                <w:sz w:val="21"/>
                <w:szCs w:val="21"/>
                <w:highlight w:val="none"/>
                <w:lang w:eastAsia="zh-CN"/>
                <w14:textFill>
                  <w14:solidFill>
                    <w14:schemeClr w14:val="tx1"/>
                  </w14:solidFill>
                </w14:textFill>
              </w:rPr>
              <w:t>）</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 xml:space="preserve">6. </w:t>
            </w:r>
            <w:r>
              <w:rPr>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内置蜂鸣器（现场演示）</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7.</w:t>
            </w:r>
            <w:r>
              <w:rPr>
                <w:color w:val="000000" w:themeColor="text1"/>
                <w:sz w:val="21"/>
                <w:szCs w:val="21"/>
                <w:highlight w:val="none"/>
                <w:lang w:eastAsia="zh-CN"/>
                <w14:textFill>
                  <w14:solidFill>
                    <w14:schemeClr w14:val="tx1"/>
                  </w14:solidFill>
                </w14:textFill>
              </w:rPr>
              <w:t xml:space="preserve"> ▲</w:t>
            </w:r>
            <w:r>
              <w:rPr>
                <w:rFonts w:hint="eastAsia"/>
                <w:color w:val="000000" w:themeColor="text1"/>
                <w:sz w:val="21"/>
                <w:szCs w:val="21"/>
                <w:highlight w:val="none"/>
                <w:lang w:eastAsia="zh-CN"/>
                <w14:textFill>
                  <w14:solidFill>
                    <w14:schemeClr w14:val="tx1"/>
                  </w14:solidFill>
                </w14:textFill>
              </w:rPr>
              <w:t>内置强光报警灯（现场演示）</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8.</w:t>
            </w:r>
            <w:r>
              <w:rPr>
                <w:color w:val="000000" w:themeColor="text1"/>
                <w:sz w:val="21"/>
                <w:szCs w:val="21"/>
                <w:highlight w:val="none"/>
                <w:lang w:eastAsia="zh-CN"/>
                <w14:textFill>
                  <w14:solidFill>
                    <w14:schemeClr w14:val="tx1"/>
                  </w14:solidFill>
                </w14:textFill>
              </w:rPr>
              <w:t xml:space="preserve"> ▲</w:t>
            </w:r>
            <w:r>
              <w:rPr>
                <w:rFonts w:hint="eastAsia"/>
                <w:color w:val="000000" w:themeColor="text1"/>
                <w:sz w:val="21"/>
                <w:szCs w:val="21"/>
                <w:highlight w:val="none"/>
                <w:lang w:eastAsia="zh-CN"/>
                <w14:textFill>
                  <w14:solidFill>
                    <w14:schemeClr w14:val="tx1"/>
                  </w14:solidFill>
                </w14:textFill>
              </w:rPr>
              <w:t>支持输出姿态数据(俯仰、横滚)</w:t>
            </w:r>
            <w:r>
              <w:rPr>
                <w:color w:val="000000" w:themeColor="text1"/>
                <w:sz w:val="21"/>
                <w:szCs w:val="21"/>
                <w:highlight w:val="none"/>
                <w:lang w:eastAsia="zh-CN"/>
                <w14:textFill>
                  <w14:solidFill>
                    <w14:schemeClr w14:val="tx1"/>
                  </w14:solidFill>
                </w14:textFill>
              </w:rPr>
              <w:t xml:space="preserve"> </w:t>
            </w:r>
            <w:r>
              <w:rPr>
                <w:rFonts w:hint="eastAsia"/>
                <w:color w:val="000000" w:themeColor="text1"/>
                <w:sz w:val="21"/>
                <w:szCs w:val="21"/>
                <w:highlight w:val="none"/>
                <w:lang w:eastAsia="zh-CN"/>
                <w14:textFill>
                  <w14:solidFill>
                    <w14:schemeClr w14:val="tx1"/>
                  </w14:solidFill>
                </w14:textFill>
              </w:rPr>
              <w:t>（平台演示，平台截图）</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9.</w:t>
            </w:r>
            <w:r>
              <w:rPr>
                <w:color w:val="000000" w:themeColor="text1"/>
                <w:sz w:val="21"/>
                <w:szCs w:val="21"/>
                <w:highlight w:val="none"/>
                <w:lang w:eastAsia="zh-CN"/>
                <w14:textFill>
                  <w14:solidFill>
                    <w14:schemeClr w14:val="tx1"/>
                  </w14:solidFill>
                </w14:textFill>
              </w:rPr>
              <w:t xml:space="preserve"> ▲</w:t>
            </w:r>
            <w:r>
              <w:rPr>
                <w:rFonts w:hint="eastAsia"/>
                <w:color w:val="000000" w:themeColor="text1"/>
                <w:sz w:val="21"/>
                <w:szCs w:val="21"/>
                <w:highlight w:val="none"/>
                <w:lang w:eastAsia="zh-CN"/>
                <w14:textFill>
                  <w14:solidFill>
                    <w14:schemeClr w14:val="tx1"/>
                  </w14:solidFill>
                </w14:textFill>
              </w:rPr>
              <w:t>支持无人机的起飞、降落、坠落等行为的检测; （平台演示，平台截图）</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10.</w:t>
            </w:r>
            <w:r>
              <w:rPr>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具备不少于三种类别的状态指示灯（</w:t>
            </w:r>
            <w:r>
              <w:rPr>
                <w:rFonts w:hint="eastAsia"/>
                <w:color w:val="000000" w:themeColor="text1"/>
                <w:sz w:val="21"/>
                <w:szCs w:val="21"/>
                <w:highlight w:val="none"/>
                <w:lang w:val="en-US" w:eastAsia="zh-CN"/>
                <w14:textFill>
                  <w14:solidFill>
                    <w14:schemeClr w14:val="tx1"/>
                  </w14:solidFill>
                </w14:textFill>
              </w:rPr>
              <w:t>现场演示</w:t>
            </w:r>
            <w:r>
              <w:rPr>
                <w:rFonts w:hint="eastAsia"/>
                <w:color w:val="000000" w:themeColor="text1"/>
                <w:sz w:val="21"/>
                <w:szCs w:val="21"/>
                <w:highlight w:val="none"/>
                <w:lang w:eastAsia="zh-CN"/>
                <w14:textFill>
                  <w14:solidFill>
                    <w14:schemeClr w14:val="tx1"/>
                  </w14:solidFill>
                </w14:textFill>
              </w:rPr>
              <w:t>）</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11.</w:t>
            </w:r>
            <w:r>
              <w:rPr>
                <w:color w:val="000000" w:themeColor="text1"/>
                <w:sz w:val="21"/>
                <w:szCs w:val="21"/>
                <w:highlight w:val="none"/>
                <w:lang w:eastAsia="zh-CN"/>
                <w14:textFill>
                  <w14:solidFill>
                    <w14:schemeClr w14:val="tx1"/>
                  </w14:solidFill>
                </w14:textFill>
              </w:rPr>
              <w:t>规格尺寸</w:t>
            </w:r>
            <w:r>
              <w:rPr>
                <w:rFonts w:hint="eastAsia"/>
                <w:color w:val="000000" w:themeColor="text1"/>
                <w:sz w:val="21"/>
                <w:szCs w:val="21"/>
                <w:highlight w:val="none"/>
                <w:lang w:eastAsia="zh-CN"/>
                <w14:textFill>
                  <w14:solidFill>
                    <w14:schemeClr w14:val="tx1"/>
                  </w14:solidFill>
                </w14:textFill>
              </w:rPr>
              <w:t>：≤55mm*40mm*20mm；</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12.</w:t>
            </w:r>
            <w:r>
              <w:rPr>
                <w:color w:val="000000" w:themeColor="text1"/>
                <w:sz w:val="21"/>
                <w:szCs w:val="21"/>
                <w:highlight w:val="none"/>
                <w:lang w:eastAsia="zh-CN"/>
                <w14:textFill>
                  <w14:solidFill>
                    <w14:schemeClr w14:val="tx1"/>
                  </w14:solidFill>
                </w14:textFill>
              </w:rPr>
              <w:t>产品重量</w:t>
            </w:r>
            <w:r>
              <w:rPr>
                <w:rFonts w:hint="eastAsia"/>
                <w:color w:val="000000" w:themeColor="text1"/>
                <w:sz w:val="21"/>
                <w:szCs w:val="21"/>
                <w:highlight w:val="none"/>
                <w:lang w:eastAsia="zh-CN"/>
                <w14:textFill>
                  <w14:solidFill>
                    <w14:schemeClr w14:val="tx1"/>
                  </w14:solidFill>
                </w14:textFill>
              </w:rPr>
              <w:t>：≤40g；</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13.定位精度(CEP50)：≤3m；</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14.</w:t>
            </w:r>
            <w:r>
              <w:rPr>
                <w:color w:val="000000" w:themeColor="text1"/>
                <w:sz w:val="21"/>
                <w:szCs w:val="21"/>
                <w:highlight w:val="none"/>
                <w:lang w:eastAsia="zh-CN"/>
                <w14:textFill>
                  <w14:solidFill>
                    <w14:schemeClr w14:val="tx1"/>
                  </w14:solidFill>
                </w14:textFill>
              </w:rPr>
              <w:t xml:space="preserve"> ▲</w:t>
            </w:r>
            <w:r>
              <w:rPr>
                <w:rFonts w:hint="eastAsia"/>
                <w:color w:val="000000" w:themeColor="text1"/>
                <w:sz w:val="21"/>
                <w:szCs w:val="21"/>
                <w:highlight w:val="none"/>
                <w:lang w:eastAsia="zh-CN"/>
                <w14:textFill>
                  <w14:solidFill>
                    <w14:schemeClr w14:val="tx1"/>
                  </w14:solidFill>
                </w14:textFill>
              </w:rPr>
              <w:t>磁吸充电接口（</w:t>
            </w:r>
            <w:r>
              <w:rPr>
                <w:rFonts w:hint="eastAsia"/>
                <w:color w:val="000000" w:themeColor="text1"/>
                <w:sz w:val="21"/>
                <w:szCs w:val="21"/>
                <w:highlight w:val="none"/>
                <w:lang w:val="en-US" w:eastAsia="zh-CN"/>
                <w14:textFill>
                  <w14:solidFill>
                    <w14:schemeClr w14:val="tx1"/>
                  </w14:solidFill>
                </w14:textFill>
              </w:rPr>
              <w:t>现场演示</w:t>
            </w:r>
            <w:r>
              <w:rPr>
                <w:rFonts w:hint="eastAsia"/>
                <w:color w:val="000000" w:themeColor="text1"/>
                <w:sz w:val="21"/>
                <w:szCs w:val="21"/>
                <w:highlight w:val="none"/>
                <w:lang w:eastAsia="zh-CN"/>
                <w14:textFill>
                  <w14:solidFill>
                    <w14:schemeClr w14:val="tx1"/>
                  </w14:solidFill>
                </w14:textFill>
              </w:rPr>
              <w:t>）</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15.</w:t>
            </w:r>
            <w:r>
              <w:rPr>
                <w:color w:val="000000" w:themeColor="text1"/>
                <w:sz w:val="21"/>
                <w:szCs w:val="21"/>
                <w:highlight w:val="none"/>
                <w:lang w:eastAsia="zh-CN"/>
                <w14:textFill>
                  <w14:solidFill>
                    <w14:schemeClr w14:val="tx1"/>
                  </w14:solidFill>
                </w14:textFill>
              </w:rPr>
              <w:t>工作温度</w:t>
            </w:r>
            <w:r>
              <w:rPr>
                <w:rFonts w:hint="eastAsia"/>
                <w:color w:val="000000" w:themeColor="text1"/>
                <w:sz w:val="21"/>
                <w:szCs w:val="21"/>
                <w:highlight w:val="none"/>
                <w:lang w:eastAsia="zh-CN"/>
                <w14:textFill>
                  <w14:solidFill>
                    <w14:schemeClr w14:val="tx1"/>
                  </w14:solidFill>
                </w14:textFill>
              </w:rPr>
              <w:t>：-20℃</w:t>
            </w:r>
            <w:r>
              <w:rPr>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+70℃</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16.</w:t>
            </w:r>
            <w:r>
              <w:rPr>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防尘防水等级：IP67（具备第三方检测机构出具的具有CNAS公 章的检测报告）</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17.</w:t>
            </w:r>
            <w:r>
              <w:rPr>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2m跌落保证功能正常（具备第三方检测机构出具的具有CNAS公章的检测报告）</w:t>
            </w:r>
          </w:p>
          <w:p>
            <w:pPr>
              <w:pStyle w:val="38"/>
              <w:tabs>
                <w:tab w:val="left" w:pos="310"/>
              </w:tabs>
              <w:spacing w:before="56"/>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18、管理平台支持PC电脑端、微信小程序端，并提供证明材料；（提供平台及功能截图）</w:t>
            </w:r>
          </w:p>
          <w:p>
            <w:pPr>
              <w:pStyle w:val="38"/>
              <w:tabs>
                <w:tab w:val="left" w:pos="310"/>
              </w:tabs>
              <w:spacing w:before="56"/>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19、支持跨平台部署，支持两种及以上平台部署；</w:t>
            </w:r>
          </w:p>
          <w:p>
            <w:pPr>
              <w:pStyle w:val="38"/>
              <w:tabs>
                <w:tab w:val="left" w:pos="310"/>
              </w:tabs>
              <w:spacing w:before="56"/>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20、提供开放接口，支持向上二次开发；</w:t>
            </w:r>
          </w:p>
          <w:p>
            <w:pPr>
              <w:pStyle w:val="38"/>
              <w:tabs>
                <w:tab w:val="left" w:pos="310"/>
              </w:tabs>
              <w:spacing w:before="56"/>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21、支持原始定位数据查看（</w:t>
            </w:r>
            <w:r>
              <w:rPr>
                <w:rFonts w:hint="eastAsia"/>
                <w:color w:val="000000" w:themeColor="text1"/>
                <w:sz w:val="21"/>
                <w:szCs w:val="21"/>
                <w:highlight w:val="none"/>
                <w:lang w:val="en-US" w:eastAsia="zh-CN"/>
                <w14:textFill>
                  <w14:solidFill>
                    <w14:schemeClr w14:val="tx1"/>
                  </w14:solidFill>
                </w14:textFill>
              </w:rPr>
              <w:t>现场演示</w:t>
            </w:r>
            <w:r>
              <w:rPr>
                <w:rFonts w:hint="eastAsia"/>
                <w:color w:val="000000" w:themeColor="text1"/>
                <w:sz w:val="21"/>
                <w:szCs w:val="21"/>
                <w:highlight w:val="none"/>
                <w:lang w:eastAsia="zh-CN"/>
                <w14:textFill>
                  <w14:solidFill>
                    <w14:schemeClr w14:val="tx1"/>
                  </w14:solidFill>
                </w14:textFill>
              </w:rPr>
              <w:t>）</w:t>
            </w:r>
          </w:p>
          <w:p>
            <w:pPr>
              <w:pStyle w:val="38"/>
              <w:tabs>
                <w:tab w:val="left" w:pos="310"/>
              </w:tabs>
              <w:spacing w:before="56"/>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22、具备与终端通信能力</w:t>
            </w:r>
          </w:p>
          <w:p>
            <w:pPr>
              <w:pStyle w:val="38"/>
              <w:tabs>
                <w:tab w:val="left" w:pos="310"/>
              </w:tabs>
              <w:spacing w:before="56"/>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23、以地图模式实时追踪无人机位置，显示经纬度与卫星数（</w:t>
            </w:r>
            <w:r>
              <w:rPr>
                <w:rFonts w:hint="eastAsia"/>
                <w:color w:val="000000" w:themeColor="text1"/>
                <w:sz w:val="21"/>
                <w:szCs w:val="21"/>
                <w:highlight w:val="none"/>
                <w:lang w:val="en-US" w:eastAsia="zh-CN"/>
                <w14:textFill>
                  <w14:solidFill>
                    <w14:schemeClr w14:val="tx1"/>
                  </w14:solidFill>
                </w14:textFill>
              </w:rPr>
              <w:t>平台截图、平台演示</w:t>
            </w:r>
            <w:r>
              <w:rPr>
                <w:rFonts w:hint="eastAsia"/>
                <w:color w:val="000000" w:themeColor="text1"/>
                <w:sz w:val="21"/>
                <w:szCs w:val="21"/>
                <w:highlight w:val="none"/>
                <w:lang w:eastAsia="zh-CN"/>
                <w14:textFill>
                  <w14:solidFill>
                    <w14:schemeClr w14:val="tx1"/>
                  </w14:solidFill>
                </w14:textFill>
              </w:rPr>
              <w:t>）</w:t>
            </w:r>
          </w:p>
          <w:p>
            <w:pPr>
              <w:pStyle w:val="38"/>
              <w:tabs>
                <w:tab w:val="left" w:pos="310"/>
              </w:tabs>
              <w:spacing w:before="56"/>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24、</w:t>
            </w:r>
            <w:r>
              <w:rPr>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可回放指定时间内无人机移动轨迹（提供现场演示）</w:t>
            </w:r>
          </w:p>
          <w:p>
            <w:pPr>
              <w:pStyle w:val="38"/>
              <w:tabs>
                <w:tab w:val="left" w:pos="310"/>
              </w:tabs>
              <w:spacing w:before="56"/>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25、实现无人机飞行过程的位置数据记录（</w:t>
            </w:r>
            <w:r>
              <w:rPr>
                <w:rFonts w:hint="eastAsia"/>
                <w:color w:val="000000" w:themeColor="text1"/>
                <w:sz w:val="21"/>
                <w:szCs w:val="21"/>
                <w:highlight w:val="none"/>
                <w:lang w:val="en-US" w:eastAsia="zh-CN"/>
                <w14:textFill>
                  <w14:solidFill>
                    <w14:schemeClr w14:val="tx1"/>
                  </w14:solidFill>
                </w14:textFill>
              </w:rPr>
              <w:t>平台截图</w:t>
            </w:r>
            <w:r>
              <w:rPr>
                <w:rFonts w:hint="eastAsia"/>
                <w:color w:val="000000" w:themeColor="text1"/>
                <w:sz w:val="21"/>
                <w:szCs w:val="21"/>
                <w:highlight w:val="none"/>
                <w:lang w:eastAsia="zh-CN"/>
                <w14:textFill>
                  <w14:solidFill>
                    <w14:schemeClr w14:val="tx1"/>
                  </w14:solidFill>
                </w14:textFill>
              </w:rPr>
              <w:t>）</w:t>
            </w:r>
          </w:p>
          <w:p>
            <w:pPr>
              <w:pStyle w:val="38"/>
              <w:tabs>
                <w:tab w:val="left" w:pos="310"/>
              </w:tabs>
              <w:spacing w:before="56"/>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26、可显示终端状态历史信息（</w:t>
            </w:r>
            <w:r>
              <w:rPr>
                <w:rFonts w:hint="eastAsia"/>
                <w:color w:val="000000" w:themeColor="text1"/>
                <w:sz w:val="21"/>
                <w:szCs w:val="21"/>
                <w:highlight w:val="none"/>
                <w:lang w:val="en-US" w:eastAsia="zh-CN"/>
                <w14:textFill>
                  <w14:solidFill>
                    <w14:schemeClr w14:val="tx1"/>
                  </w14:solidFill>
                </w14:textFill>
              </w:rPr>
              <w:t>平台截图</w:t>
            </w:r>
            <w:r>
              <w:rPr>
                <w:rFonts w:hint="eastAsia"/>
                <w:color w:val="000000" w:themeColor="text1"/>
                <w:sz w:val="21"/>
                <w:szCs w:val="21"/>
                <w:highlight w:val="none"/>
                <w:lang w:eastAsia="zh-CN"/>
                <w14:textFill>
                  <w14:solidFill>
                    <w14:schemeClr w14:val="tx1"/>
                  </w14:solidFill>
                </w14:textFill>
              </w:rPr>
              <w:t>）</w:t>
            </w:r>
          </w:p>
          <w:p>
            <w:pPr>
              <w:pStyle w:val="38"/>
              <w:tabs>
                <w:tab w:val="left" w:pos="310"/>
              </w:tabs>
              <w:spacing w:before="56"/>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27、可通过平台向终端发送指令信息，支持查看指令发送记录及终端回复信息（现场演示）</w:t>
            </w:r>
          </w:p>
          <w:p>
            <w:pPr>
              <w:pStyle w:val="38"/>
              <w:tabs>
                <w:tab w:val="left" w:pos="310"/>
              </w:tabs>
              <w:spacing w:before="56"/>
              <w:ind w:left="420" w:hanging="420" w:hangingChars="200"/>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28、支持电子围栏（</w:t>
            </w:r>
            <w:r>
              <w:rPr>
                <w:rFonts w:hint="eastAsia"/>
                <w:color w:val="000000" w:themeColor="text1"/>
                <w:sz w:val="21"/>
                <w:szCs w:val="21"/>
                <w:highlight w:val="none"/>
                <w:lang w:val="en-US" w:eastAsia="zh-CN"/>
                <w14:textFill>
                  <w14:solidFill>
                    <w14:schemeClr w14:val="tx1"/>
                  </w14:solidFill>
                </w14:textFill>
              </w:rPr>
              <w:t>平台截图</w:t>
            </w:r>
            <w:r>
              <w:rPr>
                <w:rFonts w:hint="eastAsia"/>
                <w:color w:val="000000" w:themeColor="text1"/>
                <w:sz w:val="21"/>
                <w:szCs w:val="21"/>
                <w:highlight w:val="none"/>
                <w:lang w:eastAsia="zh-CN"/>
                <w14:textFill>
                  <w14:solidFill>
                    <w14:schemeClr w14:val="tx1"/>
                  </w14:solidFill>
                </w14:textFill>
              </w:rPr>
              <w:t>）</w:t>
            </w:r>
          </w:p>
          <w:p>
            <w:pPr>
              <w:pStyle w:val="38"/>
              <w:spacing w:before="55"/>
              <w:ind w:left="107"/>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29、可查看报警数据列表及详情（</w:t>
            </w:r>
            <w:r>
              <w:rPr>
                <w:rFonts w:hint="eastAsia"/>
                <w:color w:val="000000" w:themeColor="text1"/>
                <w:sz w:val="21"/>
                <w:szCs w:val="21"/>
                <w:highlight w:val="none"/>
                <w:lang w:val="en-US" w:eastAsia="zh-CN"/>
                <w14:textFill>
                  <w14:solidFill>
                    <w14:schemeClr w14:val="tx1"/>
                  </w14:solidFill>
                </w14:textFill>
              </w:rPr>
              <w:t>平台截图</w:t>
            </w:r>
            <w:r>
              <w:rPr>
                <w:rFonts w:hint="eastAsia"/>
                <w:color w:val="000000" w:themeColor="text1"/>
                <w:sz w:val="21"/>
                <w:szCs w:val="21"/>
                <w:highlight w:val="none"/>
                <w:lang w:eastAsia="zh-CN"/>
                <w14:textFill>
                  <w14:solidFill>
                    <w14:schemeClr w14:val="tx1"/>
                  </w14:solidFill>
                </w14:textFill>
              </w:rPr>
              <w:t>）</w:t>
            </w:r>
          </w:p>
        </w:tc>
        <w:tc>
          <w:tcPr>
            <w:tcW w:w="657" w:type="dxa"/>
          </w:tcPr>
          <w:p>
            <w:pPr>
              <w:pStyle w:val="38"/>
              <w:rPr>
                <w:rFonts w:hint="eastAsia"/>
                <w:color w:val="000000" w:themeColor="text1"/>
                <w:sz w:val="21"/>
                <w:szCs w:val="21"/>
                <w:highlight w:val="none"/>
                <w:lang w:eastAsia="zh-CN"/>
                <w14:textFill>
                  <w14:solidFill>
                    <w14:schemeClr w14:val="tx1"/>
                  </w14:solidFill>
                </w14:textFill>
              </w:rPr>
            </w:pPr>
          </w:p>
          <w:p>
            <w:pPr>
              <w:pStyle w:val="38"/>
              <w:rPr>
                <w:rFonts w:hint="eastAsia"/>
                <w:color w:val="000000" w:themeColor="text1"/>
                <w:sz w:val="21"/>
                <w:szCs w:val="21"/>
                <w:highlight w:val="none"/>
                <w:lang w:eastAsia="zh-CN"/>
                <w14:textFill>
                  <w14:solidFill>
                    <w14:schemeClr w14:val="tx1"/>
                  </w14:solidFill>
                </w14:textFill>
              </w:rPr>
            </w:pPr>
          </w:p>
          <w:p>
            <w:pPr>
              <w:pStyle w:val="38"/>
              <w:rPr>
                <w:rFonts w:hint="eastAsia"/>
                <w:color w:val="000000" w:themeColor="text1"/>
                <w:sz w:val="21"/>
                <w:szCs w:val="21"/>
                <w:highlight w:val="none"/>
                <w:lang w:eastAsia="zh-CN"/>
                <w14:textFill>
                  <w14:solidFill>
                    <w14:schemeClr w14:val="tx1"/>
                  </w14:solidFill>
                </w14:textFill>
              </w:rPr>
            </w:pPr>
          </w:p>
          <w:p>
            <w:pPr>
              <w:pStyle w:val="38"/>
              <w:rPr>
                <w:rFonts w:hint="eastAsia"/>
                <w:color w:val="000000" w:themeColor="text1"/>
                <w:sz w:val="21"/>
                <w:szCs w:val="21"/>
                <w:highlight w:val="none"/>
                <w:lang w:eastAsia="zh-CN"/>
                <w14:textFill>
                  <w14:solidFill>
                    <w14:schemeClr w14:val="tx1"/>
                  </w14:solidFill>
                </w14:textFill>
              </w:rPr>
            </w:pPr>
          </w:p>
          <w:p>
            <w:pPr>
              <w:pStyle w:val="38"/>
              <w:rPr>
                <w:rFonts w:hint="eastAsia"/>
                <w:color w:val="000000" w:themeColor="text1"/>
                <w:sz w:val="21"/>
                <w:szCs w:val="21"/>
                <w:highlight w:val="none"/>
                <w:lang w:eastAsia="zh-CN"/>
                <w14:textFill>
                  <w14:solidFill>
                    <w14:schemeClr w14:val="tx1"/>
                  </w14:solidFill>
                </w14:textFill>
              </w:rPr>
            </w:pPr>
          </w:p>
          <w:p>
            <w:pPr>
              <w:pStyle w:val="38"/>
              <w:spacing w:before="12"/>
              <w:rPr>
                <w:rFonts w:hint="eastAsia"/>
                <w:color w:val="000000" w:themeColor="text1"/>
                <w:sz w:val="21"/>
                <w:szCs w:val="21"/>
                <w:highlight w:val="none"/>
                <w:lang w:eastAsia="zh-CN"/>
                <w14:textFill>
                  <w14:solidFill>
                    <w14:schemeClr w14:val="tx1"/>
                  </w14:solidFill>
                </w14:textFill>
              </w:rPr>
            </w:pPr>
          </w:p>
          <w:p>
            <w:pPr>
              <w:pStyle w:val="38"/>
              <w:ind w:left="228"/>
              <w:rPr>
                <w:rFonts w:hint="eastAsia"/>
                <w:color w:val="000000" w:themeColor="text1"/>
                <w:sz w:val="21"/>
                <w:szCs w:val="21"/>
                <w:highlight w:val="none"/>
                <w:lang w:eastAsia="zh-CN"/>
                <w14:textFill>
                  <w14:solidFill>
                    <w14:schemeClr w14:val="tx1"/>
                  </w14:solidFill>
                </w14:textFill>
              </w:rPr>
            </w:pPr>
          </w:p>
          <w:p>
            <w:pPr>
              <w:pStyle w:val="38"/>
              <w:ind w:left="228"/>
              <w:rPr>
                <w:rFonts w:hint="eastAsia"/>
                <w:color w:val="000000" w:themeColor="text1"/>
                <w:sz w:val="21"/>
                <w:szCs w:val="21"/>
                <w:highlight w:val="none"/>
                <w:lang w:eastAsia="zh-CN"/>
                <w14:textFill>
                  <w14:solidFill>
                    <w14:schemeClr w14:val="tx1"/>
                  </w14:solidFill>
                </w14:textFill>
              </w:rPr>
            </w:pPr>
          </w:p>
          <w:p>
            <w:pPr>
              <w:pStyle w:val="38"/>
              <w:ind w:left="228"/>
              <w:rPr>
                <w:rFonts w:hint="eastAsia"/>
                <w:color w:val="000000" w:themeColor="text1"/>
                <w:sz w:val="21"/>
                <w:szCs w:val="21"/>
                <w:highlight w:val="none"/>
                <w:lang w:eastAsia="zh-CN"/>
                <w14:textFill>
                  <w14:solidFill>
                    <w14:schemeClr w14:val="tx1"/>
                  </w14:solidFill>
                </w14:textFill>
              </w:rPr>
            </w:pPr>
          </w:p>
          <w:p>
            <w:pPr>
              <w:pStyle w:val="38"/>
              <w:ind w:left="228"/>
              <w:rPr>
                <w:rFonts w:hint="eastAsia"/>
                <w:color w:val="000000" w:themeColor="text1"/>
                <w:sz w:val="21"/>
                <w:szCs w:val="21"/>
                <w:highlight w:val="none"/>
                <w:lang w:eastAsia="zh-CN"/>
                <w14:textFill>
                  <w14:solidFill>
                    <w14:schemeClr w14:val="tx1"/>
                  </w14:solidFill>
                </w14:textFill>
              </w:rPr>
            </w:pPr>
          </w:p>
          <w:p>
            <w:pPr>
              <w:pStyle w:val="38"/>
              <w:ind w:left="228"/>
              <w:rPr>
                <w:rFonts w:hint="eastAsia"/>
                <w:color w:val="000000" w:themeColor="text1"/>
                <w:sz w:val="21"/>
                <w:szCs w:val="21"/>
                <w:highlight w:val="none"/>
                <w:lang w:eastAsia="zh-CN"/>
                <w14:textFill>
                  <w14:solidFill>
                    <w14:schemeClr w14:val="tx1"/>
                  </w14:solidFill>
                </w14:textFill>
              </w:rPr>
            </w:pPr>
          </w:p>
          <w:p>
            <w:pPr>
              <w:pStyle w:val="38"/>
              <w:ind w:left="228"/>
              <w:rPr>
                <w:rFonts w:hint="eastAsia"/>
                <w:color w:val="000000" w:themeColor="text1"/>
                <w:sz w:val="21"/>
                <w:szCs w:val="21"/>
                <w:highlight w:val="none"/>
                <w:lang w:eastAsia="zh-CN"/>
                <w14:textFill>
                  <w14:solidFill>
                    <w14:schemeClr w14:val="tx1"/>
                  </w14:solidFill>
                </w14:textFill>
              </w:rPr>
            </w:pPr>
          </w:p>
          <w:p>
            <w:pPr>
              <w:pStyle w:val="38"/>
              <w:ind w:left="228"/>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次</w:t>
            </w:r>
          </w:p>
        </w:tc>
        <w:tc>
          <w:tcPr>
            <w:tcW w:w="543" w:type="dxa"/>
          </w:tcPr>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rPr>
                <w:rFonts w:hint="eastAsia"/>
                <w:color w:val="000000" w:themeColor="text1"/>
                <w:sz w:val="21"/>
                <w:szCs w:val="21"/>
                <w:highlight w:val="none"/>
                <w14:textFill>
                  <w14:solidFill>
                    <w14:schemeClr w14:val="tx1"/>
                  </w14:solidFill>
                </w14:textFill>
              </w:rPr>
            </w:pPr>
          </w:p>
          <w:p>
            <w:pPr>
              <w:pStyle w:val="38"/>
              <w:spacing w:before="12"/>
              <w:rPr>
                <w:rFonts w:hint="eastAsia"/>
                <w:color w:val="000000" w:themeColor="text1"/>
                <w:sz w:val="21"/>
                <w:szCs w:val="21"/>
                <w:highlight w:val="none"/>
                <w14:textFill>
                  <w14:solidFill>
                    <w14:schemeClr w14:val="tx1"/>
                  </w14:solidFill>
                </w14:textFill>
              </w:rPr>
            </w:pPr>
          </w:p>
          <w:p>
            <w:pPr>
              <w:pStyle w:val="38"/>
              <w:ind w:left="10"/>
              <w:jc w:val="center"/>
              <w:rPr>
                <w:rFonts w:hint="eastAsia"/>
                <w:color w:val="000000" w:themeColor="text1"/>
                <w:sz w:val="21"/>
                <w:szCs w:val="21"/>
                <w:highlight w:val="none"/>
                <w14:textFill>
                  <w14:solidFill>
                    <w14:schemeClr w14:val="tx1"/>
                  </w14:solidFill>
                </w14:textFill>
              </w:rPr>
            </w:pPr>
          </w:p>
          <w:p>
            <w:pPr>
              <w:pStyle w:val="38"/>
              <w:ind w:left="10"/>
              <w:jc w:val="center"/>
              <w:rPr>
                <w:rFonts w:hint="eastAsia"/>
                <w:color w:val="000000" w:themeColor="text1"/>
                <w:sz w:val="21"/>
                <w:szCs w:val="21"/>
                <w:highlight w:val="none"/>
                <w14:textFill>
                  <w14:solidFill>
                    <w14:schemeClr w14:val="tx1"/>
                  </w14:solidFill>
                </w14:textFill>
              </w:rPr>
            </w:pPr>
          </w:p>
          <w:p>
            <w:pPr>
              <w:pStyle w:val="38"/>
              <w:ind w:left="10"/>
              <w:jc w:val="center"/>
              <w:rPr>
                <w:rFonts w:hint="eastAsia"/>
                <w:color w:val="000000" w:themeColor="text1"/>
                <w:sz w:val="21"/>
                <w:szCs w:val="21"/>
                <w:highlight w:val="none"/>
                <w14:textFill>
                  <w14:solidFill>
                    <w14:schemeClr w14:val="tx1"/>
                  </w14:solidFill>
                </w14:textFill>
              </w:rPr>
            </w:pPr>
          </w:p>
          <w:p>
            <w:pPr>
              <w:pStyle w:val="38"/>
              <w:ind w:left="10"/>
              <w:jc w:val="center"/>
              <w:rPr>
                <w:rFonts w:hint="eastAsia"/>
                <w:color w:val="000000" w:themeColor="text1"/>
                <w:sz w:val="21"/>
                <w:szCs w:val="21"/>
                <w:highlight w:val="none"/>
                <w14:textFill>
                  <w14:solidFill>
                    <w14:schemeClr w14:val="tx1"/>
                  </w14:solidFill>
                </w14:textFill>
              </w:rPr>
            </w:pPr>
          </w:p>
          <w:p>
            <w:pPr>
              <w:pStyle w:val="38"/>
              <w:ind w:left="10"/>
              <w:jc w:val="center"/>
              <w:rPr>
                <w:rFonts w:hint="eastAsia"/>
                <w:color w:val="000000" w:themeColor="text1"/>
                <w:sz w:val="21"/>
                <w:szCs w:val="21"/>
                <w:highlight w:val="none"/>
                <w14:textFill>
                  <w14:solidFill>
                    <w14:schemeClr w14:val="tx1"/>
                  </w14:solidFill>
                </w14:textFill>
              </w:rPr>
            </w:pPr>
          </w:p>
          <w:p>
            <w:pPr>
              <w:pStyle w:val="38"/>
              <w:ind w:left="10"/>
              <w:jc w:val="center"/>
              <w:rPr>
                <w:rFonts w:hint="eastAsia"/>
                <w:color w:val="000000" w:themeColor="text1"/>
                <w:sz w:val="21"/>
                <w:szCs w:val="21"/>
                <w:highlight w:val="none"/>
                <w14:textFill>
                  <w14:solidFill>
                    <w14:schemeClr w14:val="tx1"/>
                  </w14:solidFill>
                </w14:textFill>
              </w:rPr>
            </w:pPr>
          </w:p>
          <w:p>
            <w:pPr>
              <w:pStyle w:val="38"/>
              <w:ind w:left="10"/>
              <w:jc w:val="center"/>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1000</w:t>
            </w:r>
          </w:p>
        </w:tc>
      </w:tr>
    </w:tbl>
    <w:p>
      <w:pPr>
        <w:pStyle w:val="2"/>
        <w:ind w:left="480" w:leftChars="200"/>
      </w:pPr>
    </w:p>
    <w:p>
      <w:pPr>
        <w:numPr>
          <w:ilvl w:val="0"/>
          <w:numId w:val="4"/>
        </w:numPr>
        <w:spacing w:line="360" w:lineRule="auto"/>
        <w:ind w:firstLine="482"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b/>
          <w:bCs/>
          <w:color w:val="000000" w:themeColor="text1"/>
          <w:szCs w:val="32"/>
          <w14:textFill>
            <w14:solidFill>
              <w14:schemeClr w14:val="tx1"/>
            </w14:solidFill>
          </w14:textFill>
        </w:rPr>
        <w:t>付款方式</w:t>
      </w:r>
    </w:p>
    <w:p>
      <w:pPr>
        <w:pStyle w:val="2"/>
        <w:ind w:left="480" w:left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甲方根据</w:t>
      </w:r>
      <w:r>
        <w:rPr>
          <w:rFonts w:hint="eastAsia" w:ascii="楷体" w:hAnsi="楷体" w:eastAsia="楷体" w:cs="仿宋_GB2312"/>
          <w:color w:val="000000" w:themeColor="text1"/>
          <w:szCs w:val="32"/>
          <w:highlight w:val="none"/>
          <w14:textFill>
            <w14:solidFill>
              <w14:schemeClr w14:val="tx1"/>
            </w14:solidFill>
          </w14:textFill>
        </w:rPr>
        <w:t>服务次数</w:t>
      </w:r>
      <w:r>
        <w:rPr>
          <w:rFonts w:hint="eastAsia" w:ascii="楷体" w:hAnsi="楷体" w:eastAsia="楷体" w:cs="仿宋_GB2312"/>
          <w:color w:val="000000" w:themeColor="text1"/>
          <w:szCs w:val="32"/>
          <w14:textFill>
            <w14:solidFill>
              <w14:schemeClr w14:val="tx1"/>
            </w14:solidFill>
          </w14:textFill>
        </w:rPr>
        <w:t>每季度结算一次费用，支付方式为银行转账，我公司应于验收合格、确认清单后，且收到乙方提供的足额有效的增值税专用发票20个工作日内，付款给乙方。</w:t>
      </w:r>
    </w:p>
    <w:p>
      <w:pPr>
        <w:spacing w:line="360" w:lineRule="auto"/>
        <w:ind w:firstLine="482" w:firstLineChars="200"/>
        <w:rPr>
          <w:b/>
          <w:bCs/>
        </w:rPr>
      </w:pPr>
      <w:r>
        <w:rPr>
          <w:rFonts w:ascii="楷体" w:hAnsi="楷体" w:eastAsia="楷体" w:cs="仿宋_GB2312"/>
          <w:b/>
          <w:bCs/>
          <w:color w:val="000000" w:themeColor="text1"/>
          <w:szCs w:val="32"/>
          <w14:textFill>
            <w14:solidFill>
              <w14:schemeClr w14:val="tx1"/>
            </w14:solidFill>
          </w14:textFill>
        </w:rPr>
        <w:t>五</w:t>
      </w:r>
      <w:r>
        <w:rPr>
          <w:rFonts w:hint="eastAsia" w:ascii="楷体" w:hAnsi="楷体" w:eastAsia="楷体" w:cs="仿宋_GB2312"/>
          <w:b/>
          <w:bCs/>
          <w:color w:val="000000" w:themeColor="text1"/>
          <w:szCs w:val="32"/>
          <w14:textFill>
            <w14:solidFill>
              <w14:schemeClr w14:val="tx1"/>
            </w14:solidFill>
          </w14:textFill>
        </w:rPr>
        <w:t>、规格型号/技术/服务要求</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bookmarkStart w:id="127" w:name="3、实名制售票"/>
      <w:bookmarkEnd w:id="127"/>
      <w:bookmarkStart w:id="128" w:name="_Hlk185510067"/>
      <w:r>
        <w:rPr>
          <w:rFonts w:hint="eastAsia" w:ascii="楷体" w:hAnsi="楷体" w:eastAsia="楷体" w:cs="仿宋_GB2312"/>
          <w:color w:val="000000" w:themeColor="text1"/>
          <w:szCs w:val="32"/>
          <w14:textFill>
            <w14:solidFill>
              <w14:schemeClr w14:val="tx1"/>
            </w14:solidFill>
          </w14:textFill>
        </w:rPr>
        <w:t>5.1本项目总体系统需求如下</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5.1.1设备具有对无人机进行定位监管与辅助遗失找回的能力</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 xml:space="preserve">5.1.2具备相关平台管理系统，包括电脑端管理平台与微信小程序 </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 xml:space="preserve">5.1.3平台支持各种应用的接口协议，使其具有灵活性和扩展性，并能跟其他的设备有效的进行数据交换和共享。 </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5.2无人机定位终端功能需求：</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5.2.1定位功能</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支持BDS/GPS/LBS定位，AGNSS辅助定位；</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5.2.2天线</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设备需内置GNSS天线和LTE天线；</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5.2.3长时间待机</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要求终端待机时长不低于4小时；；</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5.2.4声光报警</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设备需内置蜂鸣器、LED灯；</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5.2.5磁吸充电</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具备磁吸充电口；</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5.2.6指示灯状态显示</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 xml:space="preserve">设置有设备状态指示灯 </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5.2.7防尘防水</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具备IP67以上防尘防水的能力；</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5.2.8电量检测上传</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终端支持电量检测并上传至平台；</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5.2.9支持定位原始数据查看</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支持设备原始数据输出；</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5.2.10飞行姿态检测</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内置6轴姿态传感器，支持对无人机的起飞、降落、坠落、碰撞等行为检测；</w:t>
      </w:r>
      <w:bookmarkEnd w:id="128"/>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5.3无人机智能化管理平台功能需求：</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可通过PC端浏览器及微信小程序访问，完成平台与终端设备数据交互，实现终端实 时数据解析存储展示及远程指令下发。包含终端通信、终端管理、无人机管理、实时追踪、轨迹回放、飞行记录、终端状态、指令下发、电子围栏、报警管理、系统管理等功能模块。</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5.3.1终端通信</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具备与终端通信能力，基于标准协议实现数据解析及指令上下定；</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5.3.2终端管理</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包括终端基础数据增删改查、终端绑定与解绑、实时状态查看（包括不限于电 量、在线状态、飞行状态等）等功能；</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5.3.3无人机管理</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包括无人机基础数据增删改查、无人机类型管理、无人机归属分配等功能；</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5.3.4实时追踪</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以地图模式实时追踪无人机位置，可试试查看定位信息及姿态信息；</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5.3.5轨迹回放</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可回放指定时间内无人机移动轨迹，可调整播放速度；</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5.3.6飞行记录</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自动实现无人机飞行过程的位置数据记录，支持单次飞行轨迹查看；</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5.3.7终端状态</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可显示终端状态历史信息，包括不限于采集时间、收星数、经度、纬度、海拔、 姿态等状态数据；</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5.3.8指令下发</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可通过平台想终端发送指令信息，支持查看指令发送记录及终端回复信息，指令 包括不限于查询信号强度、查询设备 IMEI、设备重启、开启搜寻、停止搜寻、设置上报频率等指令；</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5.3.9电子围栏</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支持在地图上自定义圆形和多边形围栏，针对自定义围栏可灵活设置禁入、禁出规则，可根据禁入、禁出规则自动生成报警数据；</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5.3.10报警管理</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可查看报警数据列表及详情，但对单次报警可记录处理信息；</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5.3.11系统管理</w:t>
      </w:r>
    </w:p>
    <w:p>
      <w:pPr>
        <w:pStyle w:val="2"/>
        <w:ind w:firstLine="480" w:firstLineChars="200"/>
        <w:rPr>
          <w:rFonts w:hint="eastAsia" w:ascii="楷体" w:hAnsi="楷体" w:eastAsia="楷体" w:cs="仿宋_GB2312"/>
          <w:color w:val="000000" w:themeColor="text1"/>
          <w:szCs w:val="32"/>
          <w14:textFill>
            <w14:solidFill>
              <w14:schemeClr w14:val="tx1"/>
            </w14:solidFill>
          </w14:textFill>
        </w:rPr>
      </w:pPr>
      <w:r>
        <w:rPr>
          <w:rFonts w:hint="eastAsia" w:ascii="楷体" w:hAnsi="楷体" w:eastAsia="楷体" w:cs="仿宋_GB2312"/>
          <w:color w:val="000000" w:themeColor="text1"/>
          <w:szCs w:val="32"/>
          <w14:textFill>
            <w14:solidFill>
              <w14:schemeClr w14:val="tx1"/>
            </w14:solidFill>
          </w14:textFill>
        </w:rPr>
        <w:t>包含系统运行基础数据管理，包含机构管理、角色管理、权限管理、数据字  典、日志管理等功能。</w:t>
      </w: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3"/>
      </w:pPr>
    </w:p>
    <w:p/>
    <w:p>
      <w:pPr>
        <w:pStyle w:val="4"/>
        <w:spacing w:before="0" w:after="0"/>
        <w:jc w:val="left"/>
        <w:rPr>
          <w:rFonts w:hint="eastAsia" w:ascii="仿宋" w:hAnsi="仿宋" w:eastAsia="仿宋" w:cs="仿宋"/>
          <w:sz w:val="28"/>
          <w:szCs w:val="28"/>
        </w:rPr>
      </w:pPr>
      <w:bookmarkStart w:id="129" w:name="_Toc186737812"/>
      <w:bookmarkStart w:id="130" w:name="_Toc3675"/>
      <w:bookmarkStart w:id="131" w:name="_Toc9891"/>
    </w:p>
    <w:p>
      <w:pPr>
        <w:pStyle w:val="4"/>
        <w:spacing w:before="0" w:after="0"/>
        <w:jc w:val="left"/>
        <w:rPr>
          <w:rFonts w:hint="eastAsia" w:ascii="仿宋" w:hAnsi="仿宋" w:eastAsia="仿宋" w:cs="仿宋"/>
          <w:szCs w:val="21"/>
        </w:rPr>
      </w:pPr>
      <w:r>
        <w:rPr>
          <w:rFonts w:hint="eastAsia" w:ascii="仿宋" w:hAnsi="仿宋" w:eastAsia="仿宋" w:cs="仿宋"/>
          <w:sz w:val="28"/>
          <w:szCs w:val="28"/>
        </w:rPr>
        <w:t>第六章 响应文件格式</w:t>
      </w:r>
      <w:bookmarkEnd w:id="129"/>
      <w:bookmarkEnd w:id="130"/>
    </w:p>
    <w:p>
      <w:pPr>
        <w:pStyle w:val="5"/>
        <w:jc w:val="both"/>
        <w:rPr>
          <w:rFonts w:hint="eastAsia" w:ascii="仿宋" w:hAnsi="仿宋" w:eastAsia="仿宋" w:cs="仿宋"/>
          <w:color w:val="000000"/>
          <w:sz w:val="24"/>
          <w:szCs w:val="24"/>
        </w:rPr>
      </w:pPr>
      <w:bookmarkStart w:id="132" w:name="_Toc186737813"/>
      <w:bookmarkStart w:id="133" w:name="_Toc3936"/>
      <w:bookmarkStart w:id="134" w:name="_Toc17191"/>
      <w:bookmarkStart w:id="135" w:name="_Toc287600131"/>
      <w:bookmarkStart w:id="136" w:name="_Toc11783"/>
      <w:bookmarkStart w:id="137" w:name="_Toc21280"/>
      <w:bookmarkStart w:id="138" w:name="_Toc25957"/>
      <w:bookmarkStart w:id="139" w:name="_Toc444891353"/>
      <w:bookmarkStart w:id="140" w:name="_Toc19910"/>
      <w:bookmarkStart w:id="141" w:name="_Toc517281836"/>
      <w:bookmarkStart w:id="142" w:name="_Toc19783362"/>
      <w:bookmarkStart w:id="143" w:name="_Toc19783360"/>
      <w:bookmarkStart w:id="144" w:name="_Toc287600129"/>
      <w:r>
        <w:rPr>
          <w:rFonts w:hint="eastAsia" w:ascii="仿宋" w:hAnsi="仿宋" w:eastAsia="仿宋" w:cs="仿宋"/>
          <w:color w:val="000000"/>
          <w:sz w:val="24"/>
          <w:szCs w:val="24"/>
        </w:rPr>
        <w:t>一、商务文件</w:t>
      </w:r>
      <w:bookmarkEnd w:id="132"/>
      <w:bookmarkEnd w:id="133"/>
      <w:bookmarkEnd w:id="134"/>
    </w:p>
    <w:p>
      <w:pPr>
        <w:rPr>
          <w:rFonts w:hint="eastAsia" w:ascii="宋体" w:hAnsi="宋体"/>
          <w:szCs w:val="21"/>
        </w:rPr>
        <w:sectPr>
          <w:footerReference r:id="rId7" w:type="default"/>
          <w:pgSz w:w="11906" w:h="16838"/>
          <w:pgMar w:top="1417" w:right="1134" w:bottom="1134" w:left="1134" w:header="964" w:footer="964" w:gutter="0"/>
          <w:cols w:space="720" w:num="1"/>
          <w:docGrid w:linePitch="312" w:charSpace="0"/>
        </w:sectPr>
      </w:pPr>
    </w:p>
    <w:bookmarkEnd w:id="135"/>
    <w:bookmarkEnd w:id="136"/>
    <w:bookmarkEnd w:id="137"/>
    <w:bookmarkEnd w:id="138"/>
    <w:bookmarkEnd w:id="139"/>
    <w:bookmarkEnd w:id="140"/>
    <w:bookmarkEnd w:id="141"/>
    <w:bookmarkEnd w:id="142"/>
    <w:p>
      <w:pPr>
        <w:pStyle w:val="6"/>
        <w:spacing w:before="0" w:line="440" w:lineRule="exact"/>
        <w:rPr>
          <w:rFonts w:hint="eastAsia" w:ascii="仿宋" w:hAnsi="仿宋" w:eastAsia="仿宋" w:cs="仿宋"/>
          <w:color w:val="000000"/>
          <w:sz w:val="24"/>
          <w:szCs w:val="24"/>
        </w:rPr>
      </w:pPr>
      <w:bookmarkStart w:id="145" w:name="_Toc186737814"/>
      <w:bookmarkStart w:id="146" w:name="_Toc27958"/>
      <w:bookmarkStart w:id="147" w:name="_Toc517281837"/>
      <w:bookmarkStart w:id="148" w:name="_Toc25121"/>
      <w:bookmarkStart w:id="149" w:name="_Toc7202"/>
      <w:bookmarkStart w:id="150" w:name="_Toc27799"/>
      <w:bookmarkStart w:id="151" w:name="_Toc444891354"/>
      <w:bookmarkStart w:id="152" w:name="_Toc12140"/>
      <w:r>
        <w:rPr>
          <w:rFonts w:hint="eastAsia" w:ascii="仿宋" w:hAnsi="仿宋" w:eastAsia="仿宋" w:cs="仿宋"/>
          <w:color w:val="000000"/>
          <w:sz w:val="24"/>
          <w:szCs w:val="24"/>
        </w:rPr>
        <w:t>（一）响应函</w:t>
      </w:r>
      <w:bookmarkEnd w:id="145"/>
      <w:bookmarkEnd w:id="146"/>
    </w:p>
    <w:p>
      <w:pPr>
        <w:pStyle w:val="62"/>
        <w:spacing w:line="440" w:lineRule="exact"/>
        <w:rPr>
          <w:rFonts w:hint="eastAsia" w:ascii="仿宋" w:hAnsi="仿宋" w:eastAsia="仿宋" w:cs="Cambria Math"/>
          <w:color w:val="000000"/>
          <w:sz w:val="24"/>
          <w:szCs w:val="24"/>
          <w:u w:val="single"/>
        </w:rPr>
      </w:pPr>
      <w:r>
        <w:rPr>
          <w:rFonts w:hint="eastAsia" w:ascii="仿宋" w:hAnsi="仿宋" w:eastAsia="仿宋" w:cs="Cambria Math"/>
          <w:color w:val="000000"/>
          <w:sz w:val="24"/>
          <w:szCs w:val="24"/>
          <w:u w:val="single"/>
        </w:rPr>
        <w:t xml:space="preserve">致：（采购人名称）     </w:t>
      </w:r>
    </w:p>
    <w:p>
      <w:pPr>
        <w:spacing w:line="440" w:lineRule="exact"/>
        <w:ind w:firstLine="420"/>
        <w:rPr>
          <w:rFonts w:hint="eastAsia" w:ascii="仿宋" w:hAnsi="仿宋" w:eastAsia="仿宋" w:cs="Cambria Math"/>
          <w:color w:val="000000"/>
        </w:rPr>
      </w:pPr>
      <w:r>
        <w:rPr>
          <w:rFonts w:hint="eastAsia" w:ascii="仿宋" w:hAnsi="仿宋" w:eastAsia="仿宋" w:cs="Cambria Math"/>
          <w:color w:val="000000"/>
          <w:u w:val="single"/>
        </w:rPr>
        <w:t xml:space="preserve">   （供应商名称）   </w:t>
      </w:r>
      <w:r>
        <w:rPr>
          <w:rFonts w:hint="eastAsia" w:ascii="仿宋" w:hAnsi="仿宋" w:eastAsia="仿宋" w:cs="Cambria Math"/>
          <w:color w:val="000000"/>
        </w:rPr>
        <w:t>（以下称“我方”）已仔细研究了</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（项目名称）    </w:t>
      </w:r>
      <w:r>
        <w:rPr>
          <w:rFonts w:hint="eastAsia" w:ascii="仿宋" w:hAnsi="仿宋" w:eastAsia="仿宋" w:cs="Cambria Math"/>
          <w:color w:val="000000"/>
        </w:rPr>
        <w:t>竞争性磋商文件的全部内容，包括澄清或者修改文件以及有关附件，我方将严格按照竞争性磋商文件要求递交符合要求的全部磋商响应文件。</w:t>
      </w:r>
    </w:p>
    <w:p>
      <w:pPr>
        <w:spacing w:line="440" w:lineRule="exact"/>
        <w:ind w:firstLine="420"/>
        <w:rPr>
          <w:rFonts w:hint="eastAsia" w:ascii="仿宋" w:hAnsi="仿宋" w:eastAsia="仿宋" w:cs="Cambria Math"/>
          <w:color w:val="000000"/>
        </w:rPr>
      </w:pPr>
      <w:r>
        <w:rPr>
          <w:rFonts w:hint="eastAsia" w:ascii="仿宋" w:hAnsi="仿宋" w:eastAsia="仿宋" w:cs="Cambria Math"/>
          <w:color w:val="000000"/>
        </w:rPr>
        <w:t>现我方承诺如下内容：</w:t>
      </w:r>
    </w:p>
    <w:p>
      <w:pPr>
        <w:spacing w:line="440" w:lineRule="exact"/>
        <w:ind w:firstLine="420"/>
        <w:rPr>
          <w:rFonts w:hint="eastAsia" w:ascii="仿宋" w:hAnsi="仿宋" w:eastAsia="仿宋" w:cs="Cambria Math"/>
          <w:color w:val="000000"/>
        </w:rPr>
      </w:pPr>
      <w:r>
        <w:rPr>
          <w:rFonts w:hint="eastAsia" w:ascii="仿宋" w:hAnsi="仿宋" w:eastAsia="仿宋" w:cs="Cambria Math"/>
          <w:color w:val="000000"/>
        </w:rPr>
        <w:t>1. 本响应函及磋商响应文件自磋商响应文件提交截止日起有效期为</w:t>
      </w:r>
      <w:r>
        <w:rPr>
          <w:rFonts w:ascii="仿宋" w:hAnsi="仿宋" w:eastAsia="仿宋" w:cs="Cambria Math"/>
          <w:color w:val="000000" w:themeColor="text1"/>
          <w:u w:val="single"/>
          <w14:textFill>
            <w14:solidFill>
              <w14:schemeClr w14:val="tx1"/>
            </w14:solidFill>
          </w14:textFill>
        </w:rPr>
        <w:t>180</w:t>
      </w:r>
      <w:r>
        <w:rPr>
          <w:rFonts w:hint="eastAsia" w:ascii="仿宋" w:hAnsi="仿宋" w:eastAsia="仿宋" w:cs="Cambria Math"/>
          <w:color w:val="000000"/>
          <w:u w:val="single"/>
        </w:rPr>
        <w:t>天</w:t>
      </w:r>
      <w:r>
        <w:rPr>
          <w:rFonts w:hint="eastAsia" w:ascii="仿宋" w:hAnsi="仿宋" w:eastAsia="仿宋" w:cs="Cambria Math"/>
          <w:color w:val="000000"/>
        </w:rPr>
        <w:t>，我方承诺在响应有效期内不修改、撤销磋商响应文件。</w:t>
      </w:r>
    </w:p>
    <w:p>
      <w:pPr>
        <w:spacing w:line="440" w:lineRule="exact"/>
        <w:ind w:firstLine="420"/>
        <w:rPr>
          <w:rFonts w:hint="eastAsia" w:ascii="仿宋" w:hAnsi="仿宋" w:eastAsia="仿宋" w:cs="Cambria Math"/>
          <w:color w:val="000000"/>
        </w:rPr>
      </w:pPr>
      <w:r>
        <w:rPr>
          <w:rFonts w:ascii="仿宋" w:hAnsi="仿宋" w:eastAsia="仿宋" w:cs="Cambria Math"/>
          <w:color w:val="000000"/>
        </w:rPr>
        <w:t>2</w:t>
      </w:r>
      <w:r>
        <w:rPr>
          <w:rFonts w:hint="eastAsia" w:ascii="仿宋" w:hAnsi="仿宋" w:eastAsia="仿宋" w:cs="Cambria Math"/>
          <w:color w:val="000000"/>
        </w:rPr>
        <w:t>. 我方承诺提供磋商过程中可能要求的澄清、说明、补正或者算术性错误修正确认，并同意我方提供的以上材料构成我方响应文件的组成部分。</w:t>
      </w:r>
    </w:p>
    <w:p>
      <w:pPr>
        <w:spacing w:line="440" w:lineRule="exact"/>
        <w:ind w:firstLine="420"/>
        <w:rPr>
          <w:rFonts w:hint="eastAsia" w:ascii="仿宋" w:hAnsi="仿宋" w:eastAsia="仿宋" w:cs="Cambria Math"/>
          <w:color w:val="000000"/>
        </w:rPr>
      </w:pPr>
      <w:r>
        <w:rPr>
          <w:rFonts w:ascii="仿宋" w:hAnsi="仿宋" w:eastAsia="仿宋" w:cs="Cambria Math"/>
          <w:color w:val="000000"/>
        </w:rPr>
        <w:t>3</w:t>
      </w:r>
      <w:r>
        <w:rPr>
          <w:rFonts w:hint="eastAsia" w:ascii="仿宋" w:hAnsi="仿宋" w:eastAsia="仿宋" w:cs="Cambria Math"/>
          <w:color w:val="000000"/>
        </w:rPr>
        <w:t>. 我方同意提供贵方可能要求的与我方响应文件有关的一切数据、资料、证明原件、证件原件，并完全理解贵方不一定接受最低价的响应。</w:t>
      </w:r>
    </w:p>
    <w:p>
      <w:pPr>
        <w:spacing w:line="440" w:lineRule="exact"/>
        <w:ind w:firstLine="420"/>
        <w:rPr>
          <w:rFonts w:hint="eastAsia" w:ascii="仿宋" w:hAnsi="仿宋" w:eastAsia="仿宋" w:cs="Cambria Math"/>
          <w:color w:val="000000"/>
        </w:rPr>
      </w:pPr>
      <w:r>
        <w:rPr>
          <w:rFonts w:ascii="仿宋" w:hAnsi="仿宋" w:eastAsia="仿宋" w:cs="Cambria Math"/>
          <w:color w:val="000000"/>
        </w:rPr>
        <w:t>4</w:t>
      </w:r>
      <w:r>
        <w:rPr>
          <w:rFonts w:hint="eastAsia" w:ascii="仿宋" w:hAnsi="仿宋" w:eastAsia="仿宋" w:cs="Cambria Math"/>
          <w:color w:val="000000"/>
        </w:rPr>
        <w:t>．我方承诺对在本次采购活动过程中所获知贵方一切商业秘密保密，不会向任何第三方泄露，不会用于本次采购活动之外的任何其他目的。</w:t>
      </w:r>
    </w:p>
    <w:p>
      <w:pPr>
        <w:spacing w:line="440" w:lineRule="exact"/>
        <w:ind w:firstLine="420"/>
        <w:rPr>
          <w:rFonts w:hint="eastAsia" w:ascii="仿宋" w:hAnsi="仿宋" w:eastAsia="仿宋" w:cs="Cambria Math"/>
          <w:color w:val="000000"/>
        </w:rPr>
      </w:pPr>
      <w:r>
        <w:rPr>
          <w:rFonts w:ascii="仿宋" w:hAnsi="仿宋" w:eastAsia="仿宋" w:cs="宋体"/>
          <w:color w:val="000000"/>
        </w:rPr>
        <w:t>5</w:t>
      </w:r>
      <w:r>
        <w:rPr>
          <w:rFonts w:hint="eastAsia" w:ascii="仿宋" w:hAnsi="仿宋" w:eastAsia="仿宋" w:cs="宋体"/>
          <w:color w:val="000000"/>
        </w:rPr>
        <w:t>．我方承诺对所递交的响应文件及有关材料的真实性、合法性、完整性、准确性承担法律责任。如有弄虚作假、串通投标、行贿等违法违规行为，将承担相应的法律责任，并赔偿由此给贵方造成的一切损失。</w:t>
      </w:r>
    </w:p>
    <w:p>
      <w:pPr>
        <w:spacing w:line="440" w:lineRule="exact"/>
        <w:ind w:firstLine="420"/>
        <w:rPr>
          <w:rFonts w:hint="eastAsia" w:ascii="仿宋" w:hAnsi="仿宋" w:eastAsia="仿宋" w:cs="Cambria Math"/>
          <w:color w:val="000000"/>
        </w:rPr>
      </w:pPr>
      <w:r>
        <w:rPr>
          <w:rFonts w:ascii="仿宋" w:hAnsi="仿宋" w:eastAsia="仿宋" w:cs="Cambria Math"/>
          <w:color w:val="000000"/>
        </w:rPr>
        <w:t>6</w:t>
      </w:r>
      <w:r>
        <w:rPr>
          <w:rFonts w:hint="eastAsia" w:ascii="仿宋" w:hAnsi="仿宋" w:eastAsia="仿宋" w:cs="Cambria Math"/>
          <w:color w:val="000000"/>
        </w:rPr>
        <w:t>. 如我方成交：</w:t>
      </w:r>
    </w:p>
    <w:p>
      <w:pPr>
        <w:spacing w:line="440" w:lineRule="exact"/>
        <w:ind w:firstLine="420"/>
        <w:rPr>
          <w:rFonts w:hint="eastAsia" w:ascii="仿宋" w:hAnsi="仿宋" w:eastAsia="仿宋" w:cs="Cambria Math"/>
          <w:color w:val="000000"/>
        </w:rPr>
      </w:pPr>
      <w:r>
        <w:rPr>
          <w:rFonts w:hint="eastAsia" w:ascii="仿宋" w:hAnsi="仿宋" w:eastAsia="仿宋" w:cs="Cambria Math"/>
          <w:color w:val="000000"/>
        </w:rPr>
        <w:t>（1）我方承诺在收到成交通知书后，在成交通知书规定的期限内与贵方签订合同。</w:t>
      </w:r>
    </w:p>
    <w:p>
      <w:pPr>
        <w:spacing w:line="440" w:lineRule="exact"/>
        <w:ind w:firstLine="420"/>
        <w:rPr>
          <w:rFonts w:hint="eastAsia" w:ascii="仿宋" w:hAnsi="仿宋" w:eastAsia="仿宋" w:cs="Cambria Math"/>
          <w:color w:val="000000"/>
        </w:rPr>
      </w:pPr>
      <w:r>
        <w:rPr>
          <w:rFonts w:hint="eastAsia" w:ascii="仿宋" w:hAnsi="仿宋" w:eastAsia="仿宋" w:cs="Cambria Math"/>
          <w:color w:val="000000"/>
        </w:rPr>
        <w:t>（2）我方承诺按照竞争性磋商文件规定递交履约保证金。</w:t>
      </w:r>
    </w:p>
    <w:p>
      <w:pPr>
        <w:spacing w:line="440" w:lineRule="exact"/>
        <w:ind w:firstLine="420"/>
        <w:rPr>
          <w:rFonts w:hint="eastAsia" w:ascii="仿宋" w:hAnsi="仿宋" w:eastAsia="仿宋" w:cs="Cambria Math"/>
          <w:color w:val="000000"/>
        </w:rPr>
      </w:pPr>
      <w:r>
        <w:rPr>
          <w:rFonts w:hint="eastAsia" w:ascii="仿宋" w:hAnsi="仿宋" w:eastAsia="仿宋" w:cs="Cambria Math"/>
          <w:color w:val="000000"/>
        </w:rPr>
        <w:t>（3）我方承诺按照竞争性磋商文件的规定及合同约定履行相关责任和义务。</w:t>
      </w:r>
    </w:p>
    <w:p>
      <w:pPr>
        <w:spacing w:line="440" w:lineRule="exact"/>
        <w:ind w:firstLine="420"/>
        <w:rPr>
          <w:rFonts w:hint="eastAsia" w:ascii="仿宋" w:hAnsi="仿宋" w:eastAsia="仿宋" w:cs="Cambria Math"/>
          <w:color w:val="000000"/>
        </w:rPr>
      </w:pPr>
      <w:r>
        <w:rPr>
          <w:rFonts w:hint="eastAsia" w:ascii="仿宋" w:hAnsi="仿宋" w:eastAsia="仿宋" w:cs="Cambria Math"/>
          <w:color w:val="000000"/>
        </w:rPr>
        <w:t>（4）我方在此承诺，双方合作后可开具增值税专用发票。</w:t>
      </w:r>
    </w:p>
    <w:p>
      <w:pPr>
        <w:spacing w:line="440" w:lineRule="exact"/>
        <w:ind w:firstLine="4080" w:firstLineChars="1700"/>
        <w:jc w:val="right"/>
        <w:rPr>
          <w:rFonts w:hint="eastAsia" w:ascii="仿宋" w:hAnsi="仿宋" w:eastAsia="仿宋" w:cs="仿宋"/>
          <w:color w:val="000000"/>
        </w:rPr>
      </w:pPr>
    </w:p>
    <w:p>
      <w:pPr>
        <w:spacing w:line="440" w:lineRule="exact"/>
        <w:ind w:firstLine="4080" w:firstLineChars="1700"/>
        <w:jc w:val="right"/>
        <w:rPr>
          <w:rFonts w:hint="eastAsia"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pPr>
        <w:spacing w:line="440" w:lineRule="exact"/>
        <w:jc w:val="right"/>
        <w:rPr>
          <w:rFonts w:hint="eastAsia" w:ascii="仿宋" w:hAnsi="仿宋" w:eastAsia="仿宋" w:cs="仿宋"/>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pPr>
        <w:pStyle w:val="6"/>
        <w:spacing w:before="0" w:after="0" w:line="360" w:lineRule="auto"/>
        <w:rPr>
          <w:rFonts w:hint="eastAsia" w:ascii="仿宋" w:hAnsi="仿宋" w:eastAsia="仿宋" w:cs="仿宋"/>
          <w:color w:val="000000"/>
          <w:sz w:val="24"/>
          <w:szCs w:val="24"/>
        </w:rPr>
      </w:pPr>
      <w:r>
        <w:rPr>
          <w:rFonts w:ascii="仿宋" w:hAnsi="仿宋" w:eastAsia="仿宋" w:cs="仿宋"/>
          <w:color w:val="000000"/>
          <w:sz w:val="24"/>
          <w:szCs w:val="24"/>
        </w:rPr>
        <w:br w:type="page"/>
      </w:r>
      <w:bookmarkEnd w:id="143"/>
      <w:bookmarkEnd w:id="144"/>
      <w:bookmarkEnd w:id="147"/>
      <w:bookmarkEnd w:id="148"/>
      <w:bookmarkEnd w:id="149"/>
      <w:bookmarkEnd w:id="150"/>
      <w:bookmarkEnd w:id="151"/>
      <w:bookmarkEnd w:id="152"/>
      <w:bookmarkStart w:id="153" w:name="_Toc186737815"/>
      <w:bookmarkStart w:id="154" w:name="_Toc13983"/>
      <w:r>
        <w:rPr>
          <w:rFonts w:hint="eastAsia" w:ascii="仿宋" w:hAnsi="仿宋" w:eastAsia="仿宋" w:cs="仿宋"/>
          <w:color w:val="000000"/>
          <w:sz w:val="24"/>
          <w:szCs w:val="24"/>
        </w:rPr>
        <w:t>（二）法定代表人（负责人）身份证明书</w:t>
      </w:r>
      <w:bookmarkEnd w:id="153"/>
      <w:bookmarkEnd w:id="154"/>
      <w:r>
        <w:rPr>
          <w:rFonts w:hint="eastAsia" w:ascii="仿宋" w:hAnsi="仿宋" w:eastAsia="仿宋" w:cs="仿宋"/>
          <w:color w:val="000000"/>
          <w:sz w:val="24"/>
          <w:szCs w:val="24"/>
        </w:rPr>
        <w:tab/>
      </w:r>
    </w:p>
    <w:p>
      <w:pPr>
        <w:spacing w:line="360" w:lineRule="auto"/>
        <w:jc w:val="center"/>
        <w:rPr>
          <w:rFonts w:hint="eastAsia" w:ascii="仿宋" w:hAnsi="仿宋" w:eastAsia="仿宋" w:cs="仿宋"/>
          <w:b/>
          <w:color w:val="000000"/>
        </w:rPr>
      </w:pPr>
      <w:r>
        <w:rPr>
          <w:rFonts w:hint="eastAsia" w:ascii="仿宋" w:hAnsi="仿宋" w:eastAsia="仿宋" w:cs="仿宋"/>
          <w:b/>
          <w:color w:val="000000"/>
        </w:rPr>
        <w:t>法定代表人（负责人）身份证明书</w:t>
      </w:r>
      <w:r>
        <w:rPr>
          <w:rFonts w:hint="eastAsia" w:ascii="仿宋" w:hAnsi="仿宋" w:eastAsia="仿宋" w:cs="仿宋"/>
          <w:b/>
          <w:color w:val="000000"/>
        </w:rPr>
        <w:tab/>
      </w:r>
    </w:p>
    <w:p>
      <w:pPr>
        <w:spacing w:line="360" w:lineRule="auto"/>
        <w:rPr>
          <w:rFonts w:hint="eastAsia" w:ascii="仿宋" w:hAnsi="仿宋" w:eastAsia="仿宋" w:cs="仿宋"/>
          <w:b/>
          <w:color w:val="000000"/>
        </w:rPr>
      </w:pPr>
    </w:p>
    <w:p>
      <w:pPr>
        <w:topLinePunct/>
        <w:spacing w:line="360" w:lineRule="auto"/>
        <w:rPr>
          <w:rFonts w:hint="eastAsia"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p>
    <w:p>
      <w:pPr>
        <w:topLinePunct/>
        <w:spacing w:line="360" w:lineRule="auto"/>
        <w:rPr>
          <w:rFonts w:hint="eastAsia" w:ascii="仿宋" w:hAnsi="仿宋" w:eastAsia="仿宋" w:cs="仿宋"/>
          <w:color w:val="000000"/>
        </w:rPr>
      </w:pPr>
      <w:r>
        <w:rPr>
          <w:rFonts w:hint="eastAsia" w:ascii="仿宋" w:hAnsi="仿宋" w:eastAsia="仿宋" w:cs="仿宋"/>
          <w:color w:val="000000"/>
        </w:rPr>
        <w:t>成立时间：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pPr>
        <w:topLinePunct/>
        <w:spacing w:line="360" w:lineRule="auto"/>
        <w:rPr>
          <w:rFonts w:hint="eastAsia" w:ascii="仿宋" w:hAnsi="仿宋" w:eastAsia="仿宋" w:cs="仿宋"/>
          <w:color w:val="000000"/>
          <w:u w:val="single"/>
        </w:rPr>
      </w:pPr>
      <w:r>
        <w:rPr>
          <w:rFonts w:hint="eastAsia" w:ascii="仿宋" w:hAnsi="仿宋" w:eastAsia="仿宋" w:cs="仿宋"/>
          <w:color w:val="000000"/>
        </w:rPr>
        <w:t>姓名：</w:t>
      </w:r>
      <w:r>
        <w:rPr>
          <w:rFonts w:hint="eastAsia" w:ascii="仿宋" w:hAnsi="仿宋" w:eastAsia="仿宋" w:cs="仿宋"/>
          <w:color w:val="000000"/>
          <w:u w:val="single"/>
        </w:rPr>
        <w:t xml:space="preserve">         </w:t>
      </w:r>
      <w:r>
        <w:rPr>
          <w:rFonts w:hint="eastAsia" w:ascii="仿宋" w:hAnsi="仿宋" w:eastAsia="仿宋" w:cs="仿宋"/>
          <w:color w:val="000000"/>
        </w:rPr>
        <w:t>性别：</w:t>
      </w:r>
      <w:r>
        <w:rPr>
          <w:rFonts w:hint="eastAsia" w:ascii="仿宋" w:hAnsi="仿宋" w:eastAsia="仿宋" w:cs="仿宋"/>
          <w:color w:val="000000"/>
          <w:u w:val="single"/>
        </w:rPr>
        <w:t xml:space="preserve">          </w:t>
      </w:r>
      <w:r>
        <w:rPr>
          <w:rFonts w:hint="eastAsia" w:ascii="仿宋" w:hAnsi="仿宋" w:eastAsia="仿宋" w:cs="仿宋"/>
          <w:color w:val="000000"/>
        </w:rPr>
        <w:t>年龄：</w:t>
      </w:r>
      <w:r>
        <w:rPr>
          <w:rFonts w:hint="eastAsia" w:ascii="仿宋" w:hAnsi="仿宋" w:eastAsia="仿宋" w:cs="仿宋"/>
          <w:color w:val="000000"/>
          <w:u w:val="single"/>
        </w:rPr>
        <w:t xml:space="preserve">         </w:t>
      </w:r>
      <w:r>
        <w:rPr>
          <w:rFonts w:hint="eastAsia" w:ascii="仿宋" w:hAnsi="仿宋" w:eastAsia="仿宋" w:cs="仿宋"/>
          <w:color w:val="000000"/>
        </w:rPr>
        <w:t>职务：</w:t>
      </w:r>
      <w:r>
        <w:rPr>
          <w:rFonts w:hint="eastAsia" w:ascii="仿宋" w:hAnsi="仿宋" w:eastAsia="仿宋" w:cs="仿宋"/>
          <w:color w:val="000000"/>
          <w:u w:val="single"/>
        </w:rPr>
        <w:t xml:space="preserve">         </w:t>
      </w:r>
    </w:p>
    <w:p>
      <w:pPr>
        <w:topLinePunct/>
        <w:spacing w:line="360" w:lineRule="auto"/>
        <w:rPr>
          <w:rFonts w:hint="eastAsia" w:ascii="仿宋" w:hAnsi="仿宋" w:eastAsia="仿宋" w:cs="仿宋"/>
          <w:color w:val="000000"/>
        </w:rPr>
      </w:pPr>
      <w:r>
        <w:rPr>
          <w:rFonts w:hint="eastAsia" w:ascii="仿宋" w:hAnsi="仿宋" w:eastAsia="仿宋" w:cs="仿宋"/>
          <w:color w:val="000000"/>
        </w:rPr>
        <w:t>系</w:t>
      </w:r>
      <w:r>
        <w:rPr>
          <w:rFonts w:hint="eastAsia" w:ascii="仿宋" w:hAnsi="仿宋" w:eastAsia="仿宋" w:cs="仿宋"/>
          <w:color w:val="000000"/>
          <w:u w:val="single"/>
        </w:rPr>
        <w:t xml:space="preserve">                   </w:t>
      </w:r>
      <w:r>
        <w:rPr>
          <w:rFonts w:hint="eastAsia" w:ascii="仿宋" w:hAnsi="仿宋" w:eastAsia="仿宋" w:cs="仿宋"/>
          <w:color w:val="000000"/>
        </w:rPr>
        <w:t>（供应商名称）的法定代表人（负责人）。</w:t>
      </w:r>
    </w:p>
    <w:p>
      <w:pPr>
        <w:topLinePunct/>
        <w:spacing w:line="360" w:lineRule="auto"/>
        <w:rPr>
          <w:rFonts w:hint="eastAsia" w:ascii="仿宋" w:hAnsi="仿宋" w:eastAsia="仿宋" w:cs="仿宋"/>
          <w:color w:val="000000"/>
        </w:rPr>
      </w:pPr>
      <w:r>
        <w:rPr>
          <w:rFonts w:hint="eastAsia" w:ascii="仿宋" w:hAnsi="仿宋" w:eastAsia="仿宋" w:cs="仿宋"/>
          <w:color w:val="000000"/>
        </w:rPr>
        <w:t>特此证明。</w:t>
      </w:r>
    </w:p>
    <w:p>
      <w:pPr>
        <w:topLinePunct/>
        <w:spacing w:line="360" w:lineRule="auto"/>
        <w:rPr>
          <w:rFonts w:hint="eastAsia" w:ascii="仿宋" w:hAnsi="仿宋" w:eastAsia="仿宋" w:cs="仿宋"/>
          <w:color w:val="000000"/>
        </w:rPr>
      </w:pPr>
    </w:p>
    <w:p>
      <w:pPr>
        <w:spacing w:line="360" w:lineRule="auto"/>
        <w:rPr>
          <w:rFonts w:hint="eastAsia" w:ascii="仿宋" w:hAnsi="仿宋" w:eastAsia="仿宋" w:cs="仿宋"/>
          <w:b/>
          <w:bCs/>
          <w:color w:val="000000"/>
        </w:rPr>
      </w:pPr>
      <w:r>
        <w:rPr>
          <w:rFonts w:hint="eastAsia" w:ascii="仿宋" w:hAnsi="仿宋" w:eastAsia="仿宋" w:cs="仿宋"/>
          <w:b/>
          <w:bCs/>
          <w:color w:val="000000"/>
        </w:rPr>
        <w:t>附：法定代表人（负责人）身份证复印件（需同时提供正面及背面）。</w:t>
      </w:r>
    </w:p>
    <w:p>
      <w:pPr>
        <w:spacing w:line="360" w:lineRule="auto"/>
        <w:rPr>
          <w:rFonts w:hint="eastAsia" w:ascii="仿宋" w:hAnsi="仿宋" w:eastAsia="仿宋" w:cs="仿宋"/>
          <w:color w:val="000000"/>
        </w:rPr>
      </w:pPr>
      <w:r>
        <w:rPr>
          <w:rFonts w:hint="eastAsia" w:ascii="仿宋" w:hAnsi="仿宋" w:eastAsia="仿宋" w:cs="仿宋"/>
          <w:color w:val="000000"/>
        </w:rPr>
        <mc:AlternateContent>
          <mc:Choice Requires="wps">
            <w:drawing>
              <wp:anchor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2" name="矩形 37"/>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7" o:spid="_x0000_s1026" o:spt="1" style="position:absolute;left:0pt;margin-left:13.75pt;margin-top:8.65pt;height:168pt;width:220.7pt;z-index:251660288;mso-width-relative:page;mso-height-relative:page;" fillcolor="#C5E0B3" filled="t" stroked="t" coordsize="21600,21600" o:gfxdata="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LzCffdkAAAAJAQAADwAAAAAAAAAB&#10;ACAAAAAiAAAAZHJzL2Rvd25yZXYueG1sUEsBAhQAFAAAAAgAh07iQNHpmKgPAgAALwQAAA4AAAAA&#10;AAAAAQAgAAAAKAEAAGRycy9lMm9Eb2MueG1sUEsFBgAAAAAGAAYAWQEAAKkFAAAAAA==&#10;">
                <v:fill on="t" focussize="0,0"/>
                <v:stroke weight="1.25pt" color="#739CC3" joinstyle="miter"/>
                <v:imagedata o:title=""/>
                <o:lock v:ext="edit" aspectratio="f"/>
              </v:rect>
            </w:pict>
          </mc:Fallback>
        </mc:AlternateContent>
      </w:r>
      <w:r>
        <w:rPr>
          <w:rFonts w:hint="eastAsia" w:ascii="仿宋" w:hAnsi="仿宋" w:eastAsia="仿宋" w:cs="仿宋"/>
          <w:color w:val="000000"/>
        </w:rPr>
        <mc:AlternateContent>
          <mc:Choice Requires="wps">
            <w:drawing>
              <wp:anchor distT="0" distB="0" distL="114300" distR="114300" simplePos="0" relativeHeight="251661312"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3" name="矩形 38"/>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8" o:spid="_x0000_s1026" o:spt="1" style="position:absolute;left:0pt;margin-left:234.45pt;margin-top:8.65pt;height:168pt;width:220.7pt;z-index:251661312;mso-width-relative:page;mso-height-relative:page;" fillcolor="#C5E0B3" filled="t" stroked="t" coordsize="21600,21600" o:gfxdata="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ELUltkAAAAKAQAADwAAAAAAAAAB&#10;ACAAAAAiAAAAZHJzL2Rvd25yZXYueG1sUEsBAhQAFAAAAAgAh07iQIlvdOQPAgAALwQAAA4AAAAA&#10;AAAAAQAgAAAAKAEAAGRycy9lMm9Eb2MueG1sUEsFBgAAAAAGAAYAWQEAAKkFAAAAAA==&#10;">
                <v:fill on="t" focussize="0,0"/>
                <v:stroke weight="1.25pt" color="#739CC3" joinstyle="miter"/>
                <v:imagedata o:title=""/>
                <o:lock v:ext="edit" aspectratio="f"/>
              </v:rect>
            </w:pict>
          </mc:Fallback>
        </mc:AlternateContent>
      </w:r>
    </w:p>
    <w:p>
      <w:pPr>
        <w:pStyle w:val="62"/>
        <w:spacing w:line="440" w:lineRule="atLeast"/>
        <w:ind w:firstLine="480"/>
        <w:jc w:val="left"/>
        <w:rPr>
          <w:rFonts w:hint="eastAsia" w:ascii="仿宋" w:hAnsi="仿宋" w:eastAsia="仿宋" w:cs="仿宋"/>
          <w:color w:val="000000"/>
        </w:rPr>
      </w:pPr>
    </w:p>
    <w:p>
      <w:pPr>
        <w:pStyle w:val="62"/>
        <w:spacing w:line="440" w:lineRule="atLeast"/>
        <w:ind w:firstLine="480"/>
        <w:jc w:val="left"/>
        <w:rPr>
          <w:rFonts w:hint="eastAsia" w:ascii="仿宋" w:hAnsi="仿宋" w:eastAsia="仿宋" w:cs="仿宋"/>
          <w:color w:val="000000"/>
        </w:rPr>
      </w:pPr>
    </w:p>
    <w:p>
      <w:pPr>
        <w:pStyle w:val="62"/>
        <w:spacing w:line="440" w:lineRule="atLeast"/>
        <w:ind w:firstLine="480"/>
        <w:jc w:val="left"/>
        <w:rPr>
          <w:rFonts w:hint="eastAsia" w:ascii="仿宋" w:hAnsi="仿宋" w:eastAsia="仿宋" w:cs="仿宋"/>
          <w:color w:val="000000"/>
        </w:rPr>
      </w:pPr>
    </w:p>
    <w:p>
      <w:pPr>
        <w:spacing w:line="360" w:lineRule="auto"/>
        <w:ind w:firstLine="610"/>
        <w:rPr>
          <w:rFonts w:hint="eastAsia" w:ascii="仿宋" w:hAnsi="仿宋" w:eastAsia="仿宋" w:cs="仿宋"/>
          <w:color w:val="000000"/>
        </w:rPr>
      </w:pPr>
    </w:p>
    <w:p>
      <w:pPr>
        <w:tabs>
          <w:tab w:val="left" w:pos="720"/>
          <w:tab w:val="left" w:pos="900"/>
        </w:tabs>
        <w:spacing w:line="360" w:lineRule="auto"/>
        <w:rPr>
          <w:rFonts w:hint="eastAsia" w:ascii="仿宋" w:hAnsi="仿宋" w:eastAsia="仿宋" w:cs="仿宋"/>
          <w:color w:val="000000"/>
        </w:rPr>
      </w:pPr>
    </w:p>
    <w:p>
      <w:pPr>
        <w:spacing w:line="440" w:lineRule="exact"/>
        <w:ind w:firstLine="4080" w:firstLineChars="1700"/>
        <w:jc w:val="right"/>
        <w:rPr>
          <w:rFonts w:hint="eastAsia" w:ascii="仿宋" w:hAnsi="仿宋" w:eastAsia="仿宋" w:cs="仿宋"/>
          <w:color w:val="000000"/>
        </w:rPr>
      </w:pPr>
    </w:p>
    <w:p>
      <w:pPr>
        <w:wordWrap w:val="0"/>
        <w:spacing w:line="440" w:lineRule="exact"/>
        <w:ind w:firstLine="4080" w:firstLineChars="1700"/>
        <w:jc w:val="right"/>
        <w:rPr>
          <w:rFonts w:hint="eastAsia" w:ascii="仿宋" w:hAnsi="仿宋" w:eastAsia="仿宋" w:cs="仿宋"/>
          <w:color w:val="000000"/>
        </w:rPr>
      </w:pPr>
      <w:r>
        <w:rPr>
          <w:rFonts w:hint="eastAsia" w:ascii="仿宋" w:hAnsi="仿宋" w:eastAsia="仿宋" w:cs="仿宋"/>
          <w:color w:val="000000"/>
        </w:rPr>
        <w:t xml:space="preserve"> </w:t>
      </w:r>
      <w:r>
        <w:rPr>
          <w:rFonts w:ascii="仿宋" w:hAnsi="仿宋" w:eastAsia="仿宋" w:cs="仿宋"/>
          <w:color w:val="000000"/>
        </w:rPr>
        <w:t xml:space="preserve">  </w:t>
      </w:r>
    </w:p>
    <w:p>
      <w:pPr>
        <w:spacing w:line="440" w:lineRule="exact"/>
        <w:ind w:firstLine="4080" w:firstLineChars="1700"/>
        <w:jc w:val="right"/>
        <w:rPr>
          <w:rFonts w:hint="eastAsia" w:ascii="仿宋" w:hAnsi="仿宋" w:eastAsia="仿宋" w:cs="仿宋"/>
          <w:color w:val="000000"/>
        </w:rPr>
      </w:pPr>
      <w:r>
        <w:rPr>
          <w:rFonts w:ascii="仿宋" w:hAnsi="仿宋" w:eastAsia="仿宋" w:cs="仿宋"/>
          <w:color w:val="000000"/>
        </w:rPr>
        <w:t xml:space="preserve">    </w:t>
      </w:r>
    </w:p>
    <w:p>
      <w:pPr>
        <w:spacing w:line="440" w:lineRule="exact"/>
        <w:ind w:firstLine="4080" w:firstLineChars="1700"/>
        <w:jc w:val="right"/>
        <w:rPr>
          <w:rFonts w:hint="eastAsia" w:ascii="仿宋" w:hAnsi="仿宋" w:eastAsia="仿宋" w:cs="仿宋"/>
          <w:color w:val="000000"/>
        </w:rPr>
      </w:pPr>
      <w:r>
        <w:rPr>
          <w:rFonts w:ascii="仿宋" w:hAnsi="仿宋" w:eastAsia="仿宋" w:cs="仿宋"/>
          <w:color w:val="000000"/>
        </w:rPr>
        <w:t xml:space="preserve"> </w:t>
      </w:r>
      <w:r>
        <w:rPr>
          <w:rFonts w:hint="eastAsia" w:ascii="仿宋" w:hAnsi="仿宋" w:eastAsia="仿宋" w:cs="仿宋"/>
          <w:color w:val="000000"/>
        </w:rPr>
        <w:t xml:space="preserve"> </w:t>
      </w:r>
      <w:r>
        <w:rPr>
          <w:rFonts w:ascii="仿宋" w:hAnsi="仿宋" w:eastAsia="仿宋" w:cs="仿宋"/>
          <w:color w:val="000000"/>
        </w:rPr>
        <w:t xml:space="preserve">   </w:t>
      </w:r>
    </w:p>
    <w:p>
      <w:pPr>
        <w:spacing w:line="440" w:lineRule="exact"/>
        <w:ind w:firstLine="4080" w:firstLineChars="1700"/>
        <w:jc w:val="right"/>
        <w:rPr>
          <w:rFonts w:hint="eastAsia"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pPr>
        <w:spacing w:line="440" w:lineRule="exact"/>
        <w:jc w:val="right"/>
        <w:rPr>
          <w:rFonts w:hint="eastAsia" w:ascii="仿宋" w:hAnsi="仿宋" w:eastAsia="仿宋" w:cs="仿宋"/>
          <w:b/>
          <w:bCs/>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pPr>
        <w:tabs>
          <w:tab w:val="left" w:pos="720"/>
          <w:tab w:val="left" w:pos="900"/>
        </w:tabs>
        <w:spacing w:line="360" w:lineRule="auto"/>
        <w:ind w:left="1078"/>
        <w:rPr>
          <w:rFonts w:hint="eastAsia" w:ascii="仿宋" w:hAnsi="仿宋" w:eastAsia="仿宋" w:cs="仿宋"/>
          <w:color w:val="000000"/>
        </w:rPr>
      </w:pPr>
    </w:p>
    <w:p>
      <w:pPr>
        <w:tabs>
          <w:tab w:val="left" w:pos="720"/>
          <w:tab w:val="left" w:pos="900"/>
        </w:tabs>
        <w:spacing w:line="360" w:lineRule="auto"/>
        <w:ind w:left="1078"/>
        <w:rPr>
          <w:rFonts w:hint="eastAsia" w:ascii="仿宋" w:hAnsi="仿宋" w:eastAsia="仿宋" w:cs="仿宋"/>
          <w:color w:val="000000"/>
        </w:rPr>
      </w:pPr>
    </w:p>
    <w:p>
      <w:pPr>
        <w:pStyle w:val="6"/>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rPr>
        <w:br w:type="page"/>
      </w:r>
      <w:bookmarkStart w:id="155" w:name="_Toc5582"/>
      <w:bookmarkStart w:id="156" w:name="_Toc287600130"/>
      <w:bookmarkStart w:id="157" w:name="_Toc444891355"/>
      <w:bookmarkStart w:id="158" w:name="_Toc26267"/>
      <w:bookmarkStart w:id="159" w:name="_Toc19783361"/>
      <w:bookmarkStart w:id="160" w:name="_Toc20707"/>
      <w:bookmarkStart w:id="161" w:name="_Toc186737816"/>
      <w:bookmarkStart w:id="162" w:name="_Toc517281838"/>
      <w:bookmarkStart w:id="163" w:name="_Toc24788"/>
      <w:bookmarkStart w:id="164" w:name="_Toc4426"/>
      <w:r>
        <w:rPr>
          <w:rFonts w:hint="eastAsia" w:ascii="仿宋" w:hAnsi="仿宋" w:eastAsia="仿宋" w:cs="仿宋"/>
          <w:color w:val="000000"/>
          <w:sz w:val="24"/>
          <w:szCs w:val="24"/>
        </w:rPr>
        <w:t>（三）法定代表人（负责人）授权委托书</w:t>
      </w:r>
      <w:bookmarkEnd w:id="155"/>
      <w:bookmarkEnd w:id="156"/>
      <w:bookmarkEnd w:id="157"/>
      <w:bookmarkEnd w:id="158"/>
      <w:bookmarkEnd w:id="159"/>
      <w:bookmarkEnd w:id="160"/>
      <w:bookmarkEnd w:id="161"/>
      <w:bookmarkEnd w:id="162"/>
      <w:bookmarkEnd w:id="163"/>
      <w:bookmarkEnd w:id="164"/>
    </w:p>
    <w:p>
      <w:pPr>
        <w:pStyle w:val="62"/>
        <w:spacing w:before="240" w:after="240" w:line="360" w:lineRule="auto"/>
        <w:jc w:val="center"/>
        <w:rPr>
          <w:rFonts w:hint="eastAsia" w:ascii="仿宋" w:hAnsi="仿宋" w:eastAsia="仿宋" w:cs="Cambria Math"/>
          <w:b/>
          <w:color w:val="000000"/>
          <w:sz w:val="24"/>
          <w:szCs w:val="24"/>
        </w:rPr>
      </w:pPr>
      <w:r>
        <w:rPr>
          <w:rFonts w:hint="eastAsia" w:ascii="仿宋" w:hAnsi="仿宋" w:eastAsia="仿宋" w:cs="Cambria Math"/>
          <w:b/>
          <w:color w:val="000000"/>
          <w:sz w:val="24"/>
          <w:szCs w:val="24"/>
        </w:rPr>
        <w:t>法定代表人（负责人）授权委托书</w:t>
      </w:r>
    </w:p>
    <w:p>
      <w:pPr>
        <w:pStyle w:val="62"/>
        <w:topLinePunct/>
        <w:spacing w:line="360" w:lineRule="auto"/>
        <w:ind w:firstLine="480" w:firstLineChars="200"/>
        <w:rPr>
          <w:rFonts w:hint="eastAsia" w:ascii="仿宋" w:hAnsi="仿宋" w:eastAsia="仿宋" w:cs="Cambria Math"/>
          <w:color w:val="000000"/>
          <w:sz w:val="24"/>
          <w:szCs w:val="24"/>
        </w:rPr>
      </w:pPr>
      <w:r>
        <w:rPr>
          <w:rFonts w:hint="eastAsia" w:ascii="仿宋" w:hAnsi="仿宋" w:eastAsia="仿宋" w:cs="仿宋"/>
          <w:color w:val="000000"/>
          <w:sz w:val="24"/>
        </w:rPr>
        <w:t>本人</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系</w:t>
      </w:r>
      <w:r>
        <w:rPr>
          <w:rFonts w:hint="eastAsia" w:ascii="仿宋" w:hAnsi="仿宋" w:eastAsia="仿宋" w:cs="仿宋"/>
          <w:color w:val="000000"/>
          <w:sz w:val="24"/>
          <w:u w:val="single"/>
        </w:rPr>
        <w:t>（供应商名称）</w:t>
      </w:r>
      <w:r>
        <w:rPr>
          <w:rFonts w:hint="eastAsia" w:ascii="仿宋" w:hAnsi="仿宋" w:eastAsia="仿宋" w:cs="仿宋"/>
          <w:color w:val="000000"/>
          <w:sz w:val="24"/>
        </w:rPr>
        <w:t>的法定代表人</w:t>
      </w:r>
      <w:r>
        <w:rPr>
          <w:rFonts w:hint="eastAsia" w:ascii="仿宋" w:hAnsi="仿宋" w:eastAsia="仿宋" w:cs="仿宋"/>
          <w:color w:val="000000"/>
          <w:sz w:val="24"/>
          <w:szCs w:val="24"/>
        </w:rPr>
        <w:t>（负责人）</w:t>
      </w:r>
      <w:r>
        <w:rPr>
          <w:rFonts w:hint="eastAsia" w:ascii="仿宋" w:hAnsi="仿宋" w:eastAsia="仿宋" w:cs="仿宋"/>
          <w:color w:val="000000"/>
          <w:sz w:val="24"/>
        </w:rPr>
        <w:t>，现授权委托</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为我方代理人。</w:t>
      </w:r>
      <w:r>
        <w:rPr>
          <w:rFonts w:hint="eastAsia" w:ascii="仿宋" w:hAnsi="仿宋" w:eastAsia="仿宋" w:cs="Cambria Math"/>
          <w:color w:val="000000"/>
          <w:sz w:val="24"/>
          <w:szCs w:val="24"/>
        </w:rPr>
        <w:t>代理人根据授权，以我方名义签署、澄清、说明、补正、递交、撤回、修改</w:t>
      </w:r>
      <w:r>
        <w:rPr>
          <w:rFonts w:hint="eastAsia" w:ascii="仿宋" w:hAnsi="仿宋" w:eastAsia="仿宋" w:cs="Cambria Math"/>
          <w:color w:val="000000"/>
          <w:sz w:val="24"/>
          <w:szCs w:val="24"/>
          <w:u w:val="single"/>
        </w:rPr>
        <w:t>（项目名称）</w:t>
      </w:r>
      <w:r>
        <w:rPr>
          <w:rFonts w:hint="eastAsia" w:ascii="仿宋" w:hAnsi="仿宋" w:eastAsia="仿宋" w:cs="Cambria Math"/>
          <w:color w:val="000000"/>
          <w:sz w:val="24"/>
          <w:szCs w:val="24"/>
        </w:rPr>
        <w:t>磋商响应文件、签订合同和处理有关事宜，其法律后果由我方承担。</w:t>
      </w:r>
    </w:p>
    <w:p>
      <w:pPr>
        <w:spacing w:line="360" w:lineRule="auto"/>
        <w:ind w:firstLine="480" w:firstLineChars="200"/>
        <w:rPr>
          <w:rFonts w:hint="eastAsia" w:ascii="仿宋" w:hAnsi="仿宋" w:eastAsia="仿宋" w:cs="Cambria Math"/>
          <w:color w:val="000000"/>
        </w:rPr>
      </w:pPr>
      <w:r>
        <w:rPr>
          <w:rFonts w:hint="eastAsia" w:ascii="仿宋" w:hAnsi="仿宋" w:eastAsia="仿宋" w:cs="Cambria Math"/>
          <w:color w:val="000000"/>
        </w:rPr>
        <w:t>委托期限：</w:t>
      </w:r>
      <w:r>
        <w:rPr>
          <w:rFonts w:hint="eastAsia" w:ascii="仿宋" w:hAnsi="仿宋" w:eastAsia="仿宋" w:cs="Cambria Math"/>
          <w:color w:val="000000"/>
          <w:u w:val="single"/>
        </w:rPr>
        <w:t xml:space="preserve"> 自</w:t>
      </w:r>
      <w:r>
        <w:rPr>
          <w:rFonts w:hint="eastAsia" w:ascii="仿宋" w:hAnsi="仿宋" w:eastAsia="仿宋" w:cs="微软雅黑"/>
          <w:color w:val="000000"/>
          <w:u w:val="single"/>
        </w:rPr>
        <w:t>本委托书签字盖章生效</w:t>
      </w:r>
      <w:r>
        <w:rPr>
          <w:rFonts w:hint="eastAsia" w:ascii="仿宋" w:hAnsi="仿宋" w:eastAsia="仿宋" w:cs="Cambria Math"/>
          <w:color w:val="000000"/>
          <w:u w:val="single"/>
        </w:rPr>
        <w:t xml:space="preserve">之日起至磋商响应有效期到期之日为止 </w:t>
      </w:r>
      <w:r>
        <w:rPr>
          <w:rFonts w:hint="eastAsia" w:ascii="仿宋" w:hAnsi="仿宋" w:eastAsia="仿宋" w:cs="Cambria Math"/>
          <w:color w:val="000000"/>
        </w:rPr>
        <w:t>。</w:t>
      </w:r>
    </w:p>
    <w:p>
      <w:pPr>
        <w:pStyle w:val="62"/>
        <w:spacing w:line="360" w:lineRule="auto"/>
        <w:ind w:firstLine="480" w:firstLineChars="200"/>
        <w:rPr>
          <w:rFonts w:hint="eastAsia" w:ascii="仿宋" w:hAnsi="仿宋" w:eastAsia="仿宋" w:cs="Cambria Math"/>
          <w:color w:val="000000"/>
          <w:sz w:val="24"/>
          <w:szCs w:val="24"/>
        </w:rPr>
      </w:pPr>
      <w:r>
        <w:rPr>
          <w:rFonts w:hint="eastAsia" w:ascii="仿宋" w:hAnsi="仿宋" w:eastAsia="仿宋" w:cs="Cambria Math"/>
          <w:color w:val="000000"/>
          <w:sz w:val="24"/>
          <w:szCs w:val="24"/>
        </w:rPr>
        <w:t>代理人无转委托权。</w:t>
      </w:r>
    </w:p>
    <w:p>
      <w:pPr>
        <w:pStyle w:val="62"/>
        <w:spacing w:line="360" w:lineRule="auto"/>
        <w:ind w:firstLine="482" w:firstLineChars="200"/>
        <w:rPr>
          <w:rFonts w:hint="eastAsia" w:ascii="仿宋" w:hAnsi="仿宋" w:eastAsia="仿宋" w:cs="Cambria Math"/>
          <w:b/>
          <w:bCs/>
          <w:color w:val="000000"/>
          <w:sz w:val="24"/>
          <w:szCs w:val="24"/>
        </w:rPr>
      </w:pPr>
    </w:p>
    <w:p>
      <w:pPr>
        <w:pStyle w:val="62"/>
        <w:spacing w:line="360" w:lineRule="auto"/>
        <w:ind w:firstLine="482" w:firstLineChars="200"/>
        <w:rPr>
          <w:rFonts w:hint="eastAsia" w:ascii="仿宋" w:hAnsi="仿宋" w:eastAsia="仿宋" w:cs="Cambria Math"/>
          <w:color w:val="000000"/>
          <w:sz w:val="24"/>
          <w:szCs w:val="24"/>
        </w:rPr>
      </w:pPr>
      <w:r>
        <w:rPr>
          <w:rFonts w:hint="eastAsia" w:ascii="仿宋" w:hAnsi="仿宋" w:eastAsia="仿宋" w:cs="Cambria Math"/>
          <w:b/>
          <w:bCs/>
          <w:color w:val="000000"/>
          <w:sz w:val="24"/>
          <w:szCs w:val="24"/>
        </w:rPr>
        <w:t>附：委托代理人身份证复印件（需同时提供正面及背面）</w:t>
      </w:r>
      <w:r>
        <w:rPr>
          <w:rFonts w:hint="eastAsia" w:ascii="仿宋" w:hAnsi="仿宋" w:eastAsia="仿宋" w:cs="Cambria Math"/>
          <w:color w:val="000000"/>
          <w:sz w:val="24"/>
          <w:szCs w:val="24"/>
        </w:rPr>
        <w:t>。</w:t>
      </w:r>
    </w:p>
    <w:p>
      <w:pPr>
        <w:pStyle w:val="62"/>
        <w:spacing w:line="440" w:lineRule="atLeast"/>
        <w:ind w:firstLine="480"/>
        <w:jc w:val="left"/>
        <w:rPr>
          <w:rFonts w:hint="eastAsia" w:ascii="仿宋" w:hAnsi="仿宋" w:eastAsia="仿宋" w:cs="仿宋"/>
          <w:color w:val="000000"/>
        </w:rPr>
      </w:pPr>
      <w:r>
        <w:rPr>
          <w:rFonts w:hint="eastAsia" w:ascii="仿宋" w:hAnsi="仿宋" w:eastAsia="仿宋" w:cs="仿宋"/>
          <w:color w:val="000000"/>
        </w:rPr>
        <mc:AlternateContent>
          <mc:Choice Requires="wps">
            <w:drawing>
              <wp:anchor distT="0" distB="0" distL="114300" distR="114300" simplePos="0" relativeHeight="251663360" behindDoc="0" locked="0" layoutInCell="1" allowOverlap="1">
                <wp:simplePos x="0" y="0"/>
                <wp:positionH relativeFrom="column">
                  <wp:posOffset>174625</wp:posOffset>
                </wp:positionH>
                <wp:positionV relativeFrom="paragraph">
                  <wp:posOffset>56515</wp:posOffset>
                </wp:positionV>
                <wp:extent cx="2802890" cy="1934845"/>
                <wp:effectExtent l="7620" t="7620" r="8890" b="13335"/>
                <wp:wrapNone/>
                <wp:docPr id="4" name="矩形 39"/>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9" o:spid="_x0000_s1026" o:spt="1" style="position:absolute;left:0pt;margin-left:13.75pt;margin-top:4.45pt;height:152.35pt;width:220.7pt;z-index:251663360;mso-width-relative:page;mso-height-relative:page;" fillcolor="#C5E0B3" filled="t" stroked="t" coordsize="21600,21600" o:gfxdata="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iCzsvYAAAACAEAAA8AAAAAAAAAAQAg&#10;AAAAIgAAAGRycy9kb3ducmV2LnhtbFBLAQIUABQAAAAIAIdO4kBekOb5DgIAAC8EAAAOAAAAAAAA&#10;AAEAIAAAACcBAABkcnMvZTJvRG9jLnhtbFBLBQYAAAAABgAGAFkBAACnBQAAAAA=&#10;">
                <v:fill on="t" focussize="0,0"/>
                <v:stroke weight="1.25pt" color="#739CC3" joinstyle="miter"/>
                <v:imagedata o:title=""/>
                <o:lock v:ext="edit" aspectratio="f"/>
              </v:rect>
            </w:pict>
          </mc:Fallback>
        </mc:AlternateContent>
      </w:r>
      <w:r>
        <w:rPr>
          <w:rFonts w:hint="eastAsia" w:ascii="仿宋" w:hAnsi="仿宋" w:eastAsia="仿宋" w:cs="仿宋"/>
          <w:color w:val="000000"/>
        </w:rPr>
        <mc:AlternateContent>
          <mc:Choice Requires="wps">
            <w:drawing>
              <wp:anchor distT="0" distB="0" distL="114300" distR="114300" simplePos="0" relativeHeight="251664384" behindDoc="0" locked="0" layoutInCell="1" allowOverlap="1">
                <wp:simplePos x="0" y="0"/>
                <wp:positionH relativeFrom="column">
                  <wp:posOffset>2977515</wp:posOffset>
                </wp:positionH>
                <wp:positionV relativeFrom="paragraph">
                  <wp:posOffset>56515</wp:posOffset>
                </wp:positionV>
                <wp:extent cx="2802890" cy="1934845"/>
                <wp:effectExtent l="7620" t="7620" r="8890" b="13335"/>
                <wp:wrapNone/>
                <wp:docPr id="5" name="矩形 40"/>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40" o:spid="_x0000_s1026" o:spt="1" style="position:absolute;left:0pt;margin-left:234.45pt;margin-top:4.45pt;height:152.35pt;width:220.7pt;z-index:251664384;mso-width-relative:page;mso-height-relative:page;" fillcolor="#C5E0B3" filled="t" stroked="t" coordsize="21600,21600" o:gfxdata="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sLTHM2AAAAAkBAAAPAAAAAAAAAAEAIAAA&#10;ACIAAABkcnMvZG93bnJldi54bWxQSwECFAAUAAAACACHTuJAJSsH7QwCAAAvBAAADgAAAAAAAAAB&#10;ACAAAAAnAQAAZHJzL2Uyb0RvYy54bWxQSwUGAAAAAAYABgBZAQAApQUAAAAA&#10;">
                <v:fill on="t" focussize="0,0"/>
                <v:stroke weight="1.25pt" color="#739CC3" joinstyle="miter"/>
                <v:imagedata o:title=""/>
                <o:lock v:ext="edit" aspectratio="f"/>
              </v:rect>
            </w:pict>
          </mc:Fallback>
        </mc:AlternateContent>
      </w:r>
    </w:p>
    <w:p>
      <w:pPr>
        <w:pStyle w:val="62"/>
        <w:spacing w:line="440" w:lineRule="atLeast"/>
        <w:ind w:firstLine="480"/>
        <w:jc w:val="left"/>
        <w:rPr>
          <w:rFonts w:hint="eastAsia" w:ascii="仿宋" w:hAnsi="仿宋" w:eastAsia="仿宋" w:cs="仿宋"/>
          <w:color w:val="000000"/>
        </w:rPr>
      </w:pPr>
    </w:p>
    <w:p>
      <w:pPr>
        <w:spacing w:line="360" w:lineRule="auto"/>
        <w:ind w:left="720"/>
        <w:rPr>
          <w:rFonts w:hint="eastAsia" w:ascii="仿宋" w:hAnsi="仿宋" w:eastAsia="仿宋" w:cs="仿宋"/>
          <w:b/>
          <w:color w:val="000000"/>
        </w:rPr>
      </w:pPr>
    </w:p>
    <w:p>
      <w:pPr>
        <w:tabs>
          <w:tab w:val="left" w:pos="540"/>
        </w:tabs>
        <w:rPr>
          <w:rFonts w:hint="eastAsia" w:ascii="仿宋" w:hAnsi="仿宋" w:eastAsia="仿宋" w:cs="仿宋"/>
          <w:color w:val="000000"/>
          <w:szCs w:val="21"/>
        </w:rPr>
      </w:pPr>
      <w:r>
        <w:rPr>
          <w:rFonts w:hint="eastAsia" w:ascii="仿宋" w:hAnsi="仿宋" w:eastAsia="仿宋" w:cs="仿宋"/>
          <w:color w:val="000000"/>
          <w:szCs w:val="21"/>
        </w:rPr>
        <w:tab/>
      </w:r>
    </w:p>
    <w:p>
      <w:pPr>
        <w:pStyle w:val="2"/>
        <w:rPr>
          <w:rFonts w:hint="eastAsia" w:ascii="宋体" w:hAnsi="宋体"/>
          <w:szCs w:val="21"/>
        </w:rPr>
      </w:pPr>
    </w:p>
    <w:p>
      <w:pPr>
        <w:pStyle w:val="2"/>
        <w:rPr>
          <w:rFonts w:hint="eastAsia" w:ascii="宋体" w:hAnsi="宋体"/>
          <w:szCs w:val="21"/>
        </w:rPr>
      </w:pPr>
    </w:p>
    <w:p>
      <w:pPr>
        <w:pStyle w:val="2"/>
        <w:rPr>
          <w:rFonts w:hint="eastAsia" w:ascii="宋体" w:hAnsi="宋体"/>
          <w:szCs w:val="21"/>
        </w:rPr>
      </w:pPr>
    </w:p>
    <w:p>
      <w:pPr>
        <w:spacing w:line="360" w:lineRule="auto"/>
        <w:ind w:right="420" w:firstLine="4200" w:firstLineChars="1750"/>
        <w:rPr>
          <w:rFonts w:hint="eastAsia"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pPr>
        <w:spacing w:line="360" w:lineRule="auto"/>
        <w:ind w:right="420" w:firstLine="3120" w:firstLineChars="1300"/>
        <w:rPr>
          <w:rFonts w:hint="eastAsia" w:ascii="仿宋" w:hAnsi="仿宋" w:eastAsia="仿宋" w:cs="Cambria Math"/>
          <w:color w:val="000000"/>
        </w:rPr>
      </w:pPr>
      <w:r>
        <w:rPr>
          <w:rFonts w:hint="eastAsia" w:ascii="仿宋" w:hAnsi="仿宋" w:eastAsia="仿宋" w:cs="Cambria Math"/>
          <w:color w:val="000000"/>
        </w:rPr>
        <w:t>法定代表人（负责人）：</w:t>
      </w:r>
      <w:r>
        <w:rPr>
          <w:rFonts w:hint="eastAsia" w:ascii="仿宋" w:hAnsi="仿宋" w:eastAsia="仿宋" w:cs="Cambria Math"/>
          <w:color w:val="000000"/>
          <w:u w:val="single"/>
        </w:rPr>
        <w:t xml:space="preserve">               </w:t>
      </w:r>
      <w:r>
        <w:rPr>
          <w:rFonts w:hint="eastAsia" w:ascii="仿宋" w:hAnsi="仿宋" w:eastAsia="仿宋" w:cs="Cambria Math"/>
          <w:color w:val="000000"/>
        </w:rPr>
        <w:t>（签字或盖章）</w:t>
      </w:r>
    </w:p>
    <w:p>
      <w:pPr>
        <w:pStyle w:val="62"/>
        <w:wordWrap w:val="0"/>
        <w:spacing w:line="360" w:lineRule="auto"/>
        <w:ind w:right="105" w:firstLine="4200" w:firstLineChars="1750"/>
        <w:rPr>
          <w:rFonts w:hint="eastAsia" w:ascii="仿宋" w:hAnsi="仿宋" w:eastAsia="仿宋" w:cs="Cambria Math"/>
          <w:color w:val="000000"/>
          <w:sz w:val="24"/>
          <w:szCs w:val="24"/>
        </w:rPr>
      </w:pPr>
      <w:r>
        <w:rPr>
          <w:rFonts w:hint="eastAsia" w:ascii="仿宋" w:hAnsi="仿宋" w:eastAsia="仿宋" w:cs="Cambria Math"/>
          <w:color w:val="000000"/>
          <w:sz w:val="24"/>
          <w:szCs w:val="24"/>
        </w:rPr>
        <w:t>委托代理人：</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（签字</w:t>
      </w:r>
      <w:r>
        <w:rPr>
          <w:rFonts w:hint="eastAsia" w:ascii="仿宋" w:hAnsi="仿宋" w:eastAsia="仿宋" w:cs="Cambria Math"/>
          <w:color w:val="000000"/>
          <w:sz w:val="24"/>
        </w:rPr>
        <w:t>或盖章</w:t>
      </w:r>
      <w:r>
        <w:rPr>
          <w:rFonts w:hint="eastAsia" w:ascii="仿宋" w:hAnsi="仿宋" w:eastAsia="仿宋" w:cs="Cambria Math"/>
          <w:color w:val="000000"/>
          <w:sz w:val="24"/>
          <w:szCs w:val="24"/>
        </w:rPr>
        <w:t xml:space="preserve">） </w:t>
      </w:r>
    </w:p>
    <w:p>
      <w:pPr>
        <w:wordWrap w:val="0"/>
        <w:spacing w:line="360" w:lineRule="auto"/>
        <w:ind w:firstLine="4200" w:firstLineChars="1750"/>
        <w:rPr>
          <w:rFonts w:hint="eastAsia"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pPr>
        <w:tabs>
          <w:tab w:val="left" w:pos="540"/>
        </w:tabs>
        <w:rPr>
          <w:rFonts w:hint="eastAsia" w:ascii="仿宋" w:hAnsi="仿宋" w:eastAsia="仿宋" w:cs="仿宋"/>
          <w:color w:val="000000"/>
          <w:szCs w:val="21"/>
        </w:rPr>
        <w:sectPr>
          <w:pgSz w:w="11906" w:h="16838"/>
          <w:pgMar w:top="1417" w:right="1134" w:bottom="1134" w:left="1134" w:header="851" w:footer="992" w:gutter="0"/>
          <w:cols w:space="720" w:num="1"/>
          <w:titlePg/>
          <w:docGrid w:type="lines" w:linePitch="312" w:charSpace="0"/>
        </w:sectPr>
      </w:pPr>
    </w:p>
    <w:p>
      <w:pPr>
        <w:pStyle w:val="6"/>
        <w:spacing w:before="0" w:after="0" w:line="360" w:lineRule="auto"/>
        <w:rPr>
          <w:rFonts w:hint="eastAsia" w:ascii="仿宋" w:hAnsi="仿宋" w:eastAsia="仿宋" w:cs="仿宋"/>
          <w:color w:val="000000"/>
          <w:sz w:val="24"/>
          <w:szCs w:val="24"/>
        </w:rPr>
      </w:pPr>
      <w:bookmarkStart w:id="165" w:name="_Toc186737817"/>
      <w:bookmarkStart w:id="166" w:name="_Toc30551"/>
      <w:bookmarkStart w:id="167" w:name="_Toc517281841"/>
      <w:r>
        <w:rPr>
          <w:rFonts w:hint="eastAsia" w:ascii="仿宋" w:hAnsi="仿宋" w:eastAsia="仿宋" w:cs="仿宋"/>
          <w:color w:val="000000"/>
          <w:sz w:val="24"/>
          <w:szCs w:val="24"/>
        </w:rPr>
        <w:t>（四）资格证明文件</w:t>
      </w:r>
      <w:bookmarkEnd w:id="165"/>
      <w:bookmarkEnd w:id="166"/>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1、供应商基本情况信息表</w:t>
      </w:r>
    </w:p>
    <w:p>
      <w:pPr>
        <w:pStyle w:val="62"/>
        <w:spacing w:line="360" w:lineRule="auto"/>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供应商基本情况信息表</w:t>
      </w:r>
    </w:p>
    <w:tbl>
      <w:tblPr>
        <w:tblStyle w:val="30"/>
        <w:tblW w:w="0" w:type="auto"/>
        <w:tblInd w:w="0" w:type="dxa"/>
        <w:tblLayout w:type="fixed"/>
        <w:tblCellMar>
          <w:top w:w="0" w:type="dxa"/>
          <w:left w:w="108" w:type="dxa"/>
          <w:bottom w:w="0" w:type="dxa"/>
          <w:right w:w="108" w:type="dxa"/>
        </w:tblCellMar>
      </w:tblPr>
      <w:tblGrid>
        <w:gridCol w:w="2243"/>
        <w:gridCol w:w="775"/>
        <w:gridCol w:w="366"/>
        <w:gridCol w:w="979"/>
        <w:gridCol w:w="713"/>
        <w:gridCol w:w="755"/>
        <w:gridCol w:w="1789"/>
        <w:gridCol w:w="102"/>
        <w:gridCol w:w="985"/>
        <w:gridCol w:w="1145"/>
      </w:tblGrid>
      <w:tr>
        <w:tblPrEx>
          <w:tblCellMar>
            <w:top w:w="0" w:type="dxa"/>
            <w:left w:w="108" w:type="dxa"/>
            <w:bottom w:w="0" w:type="dxa"/>
            <w:right w:w="108" w:type="dxa"/>
          </w:tblCellMar>
        </w:tblPrEx>
        <w:trPr>
          <w:trHeight w:val="283" w:hRule="atLeast"/>
        </w:trPr>
        <w:tc>
          <w:tcPr>
            <w:tcW w:w="2243" w:type="dxa"/>
            <w:tcBorders>
              <w:top w:val="single" w:color="000000" w:sz="4" w:space="0"/>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供应商名称</w:t>
            </w:r>
          </w:p>
        </w:tc>
        <w:tc>
          <w:tcPr>
            <w:tcW w:w="7609" w:type="dxa"/>
            <w:gridSpan w:val="9"/>
            <w:tcBorders>
              <w:top w:val="single" w:color="000000" w:sz="4" w:space="0"/>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注册地址</w:t>
            </w:r>
          </w:p>
        </w:tc>
        <w:tc>
          <w:tcPr>
            <w:tcW w:w="3588" w:type="dxa"/>
            <w:gridSpan w:val="5"/>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1789" w:type="dxa"/>
            <w:tcBorders>
              <w:top w:val="single" w:color="000000" w:sz="4" w:space="0"/>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邮政编码</w:t>
            </w:r>
          </w:p>
        </w:tc>
        <w:tc>
          <w:tcPr>
            <w:tcW w:w="2232" w:type="dxa"/>
            <w:gridSpan w:val="3"/>
            <w:tcBorders>
              <w:top w:val="single" w:color="000000" w:sz="4" w:space="0"/>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公司办公场所面职</w:t>
            </w:r>
          </w:p>
        </w:tc>
        <w:tc>
          <w:tcPr>
            <w:tcW w:w="3588" w:type="dxa"/>
            <w:gridSpan w:val="5"/>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平米</w:t>
            </w:r>
          </w:p>
        </w:tc>
        <w:tc>
          <w:tcPr>
            <w:tcW w:w="1789" w:type="dxa"/>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办事处地址</w:t>
            </w:r>
          </w:p>
        </w:tc>
        <w:tc>
          <w:tcPr>
            <w:tcW w:w="2232"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vMerge w:val="restart"/>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联系方式</w:t>
            </w:r>
          </w:p>
        </w:tc>
        <w:tc>
          <w:tcPr>
            <w:tcW w:w="1141" w:type="dxa"/>
            <w:gridSpan w:val="2"/>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联系人</w:t>
            </w:r>
          </w:p>
        </w:tc>
        <w:tc>
          <w:tcPr>
            <w:tcW w:w="2447"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1789" w:type="dxa"/>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电话</w:t>
            </w:r>
          </w:p>
        </w:tc>
        <w:tc>
          <w:tcPr>
            <w:tcW w:w="2232" w:type="dxa"/>
            <w:gridSpan w:val="3"/>
            <w:tcBorders>
              <w:top w:val="single" w:color="000000" w:sz="4" w:space="0"/>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vMerge w:val="continue"/>
            <w:tcBorders>
              <w:top w:val="nil"/>
              <w:left w:val="single" w:color="000000" w:sz="4" w:space="0"/>
              <w:bottom w:val="single" w:color="000000" w:sz="4" w:space="0"/>
              <w:right w:val="single" w:color="000000" w:sz="4" w:space="0"/>
            </w:tcBorders>
            <w:vAlign w:val="center"/>
          </w:tcPr>
          <w:p>
            <w:pPr>
              <w:rPr>
                <w:rFonts w:hint="eastAsia" w:ascii="仿宋" w:hAnsi="仿宋" w:eastAsia="仿宋" w:cs="仿宋"/>
                <w:color w:val="000000"/>
                <w:szCs w:val="21"/>
              </w:rPr>
            </w:pPr>
          </w:p>
        </w:tc>
        <w:tc>
          <w:tcPr>
            <w:tcW w:w="1141" w:type="dxa"/>
            <w:gridSpan w:val="2"/>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传真</w:t>
            </w:r>
          </w:p>
        </w:tc>
        <w:tc>
          <w:tcPr>
            <w:tcW w:w="2447"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1789" w:type="dxa"/>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网址</w:t>
            </w:r>
          </w:p>
        </w:tc>
        <w:tc>
          <w:tcPr>
            <w:tcW w:w="2232"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组织结构</w:t>
            </w:r>
          </w:p>
        </w:tc>
        <w:tc>
          <w:tcPr>
            <w:tcW w:w="7609" w:type="dxa"/>
            <w:gridSpan w:val="9"/>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法定代表人</w:t>
            </w:r>
          </w:p>
        </w:tc>
        <w:tc>
          <w:tcPr>
            <w:tcW w:w="775" w:type="dxa"/>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姓名</w:t>
            </w:r>
          </w:p>
        </w:tc>
        <w:tc>
          <w:tcPr>
            <w:tcW w:w="1345" w:type="dxa"/>
            <w:gridSpan w:val="2"/>
            <w:tcBorders>
              <w:top w:val="single" w:color="000000" w:sz="4" w:space="0"/>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1468" w:type="dxa"/>
            <w:gridSpan w:val="2"/>
            <w:tcBorders>
              <w:top w:val="single" w:color="000000" w:sz="4" w:space="0"/>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职称</w:t>
            </w:r>
          </w:p>
        </w:tc>
        <w:tc>
          <w:tcPr>
            <w:tcW w:w="1891" w:type="dxa"/>
            <w:gridSpan w:val="2"/>
            <w:tcBorders>
              <w:top w:val="single" w:color="000000" w:sz="4" w:space="0"/>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985" w:type="dxa"/>
            <w:tcBorders>
              <w:top w:val="single" w:color="000000" w:sz="4" w:space="0"/>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电话</w:t>
            </w:r>
          </w:p>
        </w:tc>
        <w:tc>
          <w:tcPr>
            <w:tcW w:w="1145" w:type="dxa"/>
            <w:tcBorders>
              <w:top w:val="single" w:color="000000" w:sz="4" w:space="0"/>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技术负责人</w:t>
            </w:r>
          </w:p>
        </w:tc>
        <w:tc>
          <w:tcPr>
            <w:tcW w:w="775" w:type="dxa"/>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姓名</w:t>
            </w:r>
          </w:p>
        </w:tc>
        <w:tc>
          <w:tcPr>
            <w:tcW w:w="1345" w:type="dxa"/>
            <w:gridSpan w:val="2"/>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1468" w:type="dxa"/>
            <w:gridSpan w:val="2"/>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职称</w:t>
            </w:r>
          </w:p>
        </w:tc>
        <w:tc>
          <w:tcPr>
            <w:tcW w:w="1891" w:type="dxa"/>
            <w:gridSpan w:val="2"/>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985" w:type="dxa"/>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电话</w:t>
            </w:r>
          </w:p>
        </w:tc>
        <w:tc>
          <w:tcPr>
            <w:tcW w:w="1145" w:type="dxa"/>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成立时间</w:t>
            </w:r>
          </w:p>
        </w:tc>
        <w:tc>
          <w:tcPr>
            <w:tcW w:w="2120"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5489" w:type="dxa"/>
            <w:gridSpan w:val="6"/>
            <w:tcBorders>
              <w:top w:val="nil"/>
              <w:left w:val="nil"/>
              <w:bottom w:val="single" w:color="000000" w:sz="4" w:space="0"/>
              <w:right w:val="single" w:color="000000" w:sz="4" w:space="0"/>
            </w:tcBorders>
            <w:vAlign w:val="center"/>
          </w:tcPr>
          <w:p>
            <w:pPr>
              <w:pStyle w:val="62"/>
              <w:topLinePunct/>
              <w:ind w:firstLine="105"/>
              <w:jc w:val="center"/>
              <w:rPr>
                <w:rFonts w:hint="eastAsia" w:ascii="仿宋" w:hAnsi="仿宋" w:eastAsia="仿宋" w:cs="仿宋"/>
                <w:color w:val="000000"/>
              </w:rPr>
            </w:pPr>
            <w:r>
              <w:rPr>
                <w:rFonts w:hint="eastAsia" w:ascii="仿宋" w:hAnsi="仿宋" w:eastAsia="仿宋" w:cs="仿宋"/>
                <w:color w:val="000000"/>
              </w:rPr>
              <w:t>员工总人数：</w:t>
            </w: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企业资质等级</w:t>
            </w:r>
          </w:p>
        </w:tc>
        <w:tc>
          <w:tcPr>
            <w:tcW w:w="2120"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713" w:type="dxa"/>
            <w:vMerge w:val="restart"/>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其中</w:t>
            </w:r>
          </w:p>
        </w:tc>
        <w:tc>
          <w:tcPr>
            <w:tcW w:w="2646" w:type="dxa"/>
            <w:gridSpan w:val="3"/>
            <w:tcBorders>
              <w:top w:val="single" w:color="000000" w:sz="4" w:space="0"/>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项目负责人</w:t>
            </w:r>
          </w:p>
        </w:tc>
        <w:tc>
          <w:tcPr>
            <w:tcW w:w="2130" w:type="dxa"/>
            <w:gridSpan w:val="2"/>
            <w:tcBorders>
              <w:top w:val="single" w:color="000000" w:sz="4" w:space="0"/>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营业执照号</w:t>
            </w:r>
          </w:p>
        </w:tc>
        <w:tc>
          <w:tcPr>
            <w:tcW w:w="2120"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713" w:type="dxa"/>
            <w:vMerge w:val="continue"/>
            <w:tcBorders>
              <w:top w:val="nil"/>
              <w:left w:val="nil"/>
              <w:bottom w:val="single" w:color="000000" w:sz="4" w:space="0"/>
              <w:right w:val="single" w:color="000000" w:sz="4" w:space="0"/>
            </w:tcBorders>
            <w:vAlign w:val="center"/>
          </w:tcPr>
          <w:p>
            <w:pPr>
              <w:rPr>
                <w:rFonts w:hint="eastAsia" w:ascii="仿宋" w:hAnsi="仿宋" w:eastAsia="仿宋" w:cs="仿宋"/>
                <w:color w:val="000000"/>
                <w:szCs w:val="21"/>
              </w:rPr>
            </w:pPr>
          </w:p>
        </w:tc>
        <w:tc>
          <w:tcPr>
            <w:tcW w:w="2646"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高级职称人员</w:t>
            </w:r>
          </w:p>
        </w:tc>
        <w:tc>
          <w:tcPr>
            <w:tcW w:w="2130" w:type="dxa"/>
            <w:gridSpan w:val="2"/>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注册资金</w:t>
            </w:r>
          </w:p>
        </w:tc>
        <w:tc>
          <w:tcPr>
            <w:tcW w:w="2120"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713" w:type="dxa"/>
            <w:vMerge w:val="continue"/>
            <w:tcBorders>
              <w:top w:val="nil"/>
              <w:left w:val="nil"/>
              <w:bottom w:val="single" w:color="000000" w:sz="4" w:space="0"/>
              <w:right w:val="single" w:color="000000" w:sz="4" w:space="0"/>
            </w:tcBorders>
            <w:vAlign w:val="center"/>
          </w:tcPr>
          <w:p>
            <w:pPr>
              <w:rPr>
                <w:rFonts w:hint="eastAsia" w:ascii="仿宋" w:hAnsi="仿宋" w:eastAsia="仿宋" w:cs="仿宋"/>
                <w:color w:val="000000"/>
                <w:szCs w:val="21"/>
              </w:rPr>
            </w:pPr>
          </w:p>
        </w:tc>
        <w:tc>
          <w:tcPr>
            <w:tcW w:w="2646"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中级职称人员</w:t>
            </w:r>
          </w:p>
        </w:tc>
        <w:tc>
          <w:tcPr>
            <w:tcW w:w="2130" w:type="dxa"/>
            <w:gridSpan w:val="2"/>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开户银行</w:t>
            </w:r>
          </w:p>
        </w:tc>
        <w:tc>
          <w:tcPr>
            <w:tcW w:w="2120"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713" w:type="dxa"/>
            <w:vMerge w:val="continue"/>
            <w:tcBorders>
              <w:top w:val="nil"/>
              <w:left w:val="nil"/>
              <w:bottom w:val="single" w:color="000000" w:sz="4" w:space="0"/>
              <w:right w:val="single" w:color="000000" w:sz="4" w:space="0"/>
            </w:tcBorders>
            <w:vAlign w:val="center"/>
          </w:tcPr>
          <w:p>
            <w:pPr>
              <w:rPr>
                <w:rFonts w:hint="eastAsia" w:ascii="仿宋" w:hAnsi="仿宋" w:eastAsia="仿宋" w:cs="仿宋"/>
                <w:color w:val="000000"/>
                <w:szCs w:val="21"/>
              </w:rPr>
            </w:pPr>
          </w:p>
        </w:tc>
        <w:tc>
          <w:tcPr>
            <w:tcW w:w="2646" w:type="dxa"/>
            <w:gridSpan w:val="3"/>
            <w:vMerge w:val="restart"/>
            <w:tcBorders>
              <w:top w:val="nil"/>
              <w:left w:val="nil"/>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初级职称人员</w:t>
            </w:r>
          </w:p>
        </w:tc>
        <w:tc>
          <w:tcPr>
            <w:tcW w:w="2130" w:type="dxa"/>
            <w:gridSpan w:val="2"/>
            <w:vMerge w:val="restart"/>
            <w:tcBorders>
              <w:top w:val="nil"/>
              <w:left w:val="nil"/>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账号</w:t>
            </w:r>
          </w:p>
        </w:tc>
        <w:tc>
          <w:tcPr>
            <w:tcW w:w="2120" w:type="dxa"/>
            <w:gridSpan w:val="3"/>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713" w:type="dxa"/>
            <w:vMerge w:val="continue"/>
            <w:tcBorders>
              <w:top w:val="nil"/>
              <w:left w:val="nil"/>
              <w:bottom w:val="single" w:color="000000" w:sz="4" w:space="0"/>
              <w:right w:val="single" w:color="000000" w:sz="4" w:space="0"/>
            </w:tcBorders>
            <w:vAlign w:val="center"/>
          </w:tcPr>
          <w:p>
            <w:pPr>
              <w:rPr>
                <w:rFonts w:hint="eastAsia" w:ascii="仿宋" w:hAnsi="仿宋" w:eastAsia="仿宋" w:cs="仿宋"/>
                <w:color w:val="000000"/>
                <w:szCs w:val="21"/>
              </w:rPr>
            </w:pPr>
          </w:p>
        </w:tc>
        <w:tc>
          <w:tcPr>
            <w:tcW w:w="2646" w:type="dxa"/>
            <w:gridSpan w:val="3"/>
            <w:vMerge w:val="continue"/>
            <w:tcBorders>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c>
          <w:tcPr>
            <w:tcW w:w="2130" w:type="dxa"/>
            <w:gridSpan w:val="2"/>
            <w:vMerge w:val="continue"/>
            <w:tcBorders>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ind w:firstLine="210"/>
              <w:jc w:val="center"/>
              <w:rPr>
                <w:rFonts w:hint="eastAsia" w:ascii="仿宋" w:hAnsi="仿宋" w:eastAsia="仿宋" w:cs="仿宋"/>
                <w:color w:val="000000"/>
              </w:rPr>
            </w:pPr>
            <w:r>
              <w:rPr>
                <w:rFonts w:hint="eastAsia" w:ascii="仿宋" w:hAnsi="仿宋" w:eastAsia="仿宋" w:cs="仿宋"/>
                <w:color w:val="000000"/>
              </w:rPr>
              <w:t>经营范围</w:t>
            </w:r>
          </w:p>
        </w:tc>
        <w:tc>
          <w:tcPr>
            <w:tcW w:w="7609" w:type="dxa"/>
            <w:gridSpan w:val="9"/>
            <w:tcBorders>
              <w:top w:val="nil"/>
              <w:left w:val="nil"/>
              <w:bottom w:val="single" w:color="000000" w:sz="4" w:space="0"/>
              <w:right w:val="single" w:color="000000" w:sz="4" w:space="0"/>
            </w:tcBorders>
            <w:vAlign w:val="center"/>
          </w:tcPr>
          <w:p>
            <w:pPr>
              <w:pStyle w:val="62"/>
              <w:topLinePunct/>
              <w:rPr>
                <w:rFonts w:hint="eastAsia"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r>
              <w:rPr>
                <w:rFonts w:hint="eastAsia" w:ascii="仿宋" w:hAnsi="仿宋" w:eastAsia="仿宋" w:cs="仿宋"/>
                <w:color w:val="000000"/>
              </w:rPr>
              <w:t>备注</w:t>
            </w:r>
          </w:p>
        </w:tc>
        <w:tc>
          <w:tcPr>
            <w:tcW w:w="7609" w:type="dxa"/>
            <w:gridSpan w:val="9"/>
            <w:tcBorders>
              <w:top w:val="nil"/>
              <w:left w:val="nil"/>
              <w:bottom w:val="single" w:color="000000" w:sz="4" w:space="0"/>
              <w:right w:val="single" w:color="000000" w:sz="4" w:space="0"/>
            </w:tcBorders>
            <w:vAlign w:val="center"/>
          </w:tcPr>
          <w:p>
            <w:pPr>
              <w:pStyle w:val="62"/>
              <w:topLinePunct/>
              <w:jc w:val="center"/>
              <w:rPr>
                <w:rFonts w:hint="eastAsia" w:ascii="仿宋" w:hAnsi="仿宋" w:eastAsia="仿宋" w:cs="仿宋"/>
                <w:color w:val="000000"/>
              </w:rPr>
            </w:pPr>
          </w:p>
        </w:tc>
      </w:tr>
    </w:tbl>
    <w:p>
      <w:pPr>
        <w:pStyle w:val="62"/>
        <w:jc w:val="left"/>
        <w:rPr>
          <w:rFonts w:hint="eastAsia" w:ascii="仿宋" w:hAnsi="仿宋" w:eastAsia="仿宋" w:cs="仿宋"/>
          <w:b/>
          <w:color w:val="000000"/>
          <w:sz w:val="24"/>
          <w:szCs w:val="24"/>
        </w:rPr>
      </w:pPr>
      <w:r>
        <w:rPr>
          <w:rFonts w:hint="eastAsia" w:ascii="仿宋" w:hAnsi="仿宋" w:eastAsia="仿宋"/>
          <w:b/>
          <w:color w:val="000000"/>
          <w:sz w:val="24"/>
          <w:szCs w:val="24"/>
        </w:rPr>
        <w:t>注：提供由工商部门核发的最新营业执照（正副本皆可）。</w:t>
      </w:r>
    </w:p>
    <w:p>
      <w:pPr>
        <w:pStyle w:val="62"/>
        <w:jc w:val="left"/>
        <w:rPr>
          <w:rFonts w:hint="eastAsia" w:ascii="仿宋" w:hAnsi="仿宋" w:eastAsia="仿宋" w:cs="仿宋"/>
          <w:b/>
          <w:color w:val="000000"/>
        </w:rPr>
      </w:pPr>
    </w:p>
    <w:p>
      <w:pPr>
        <w:pStyle w:val="62"/>
        <w:jc w:val="left"/>
        <w:rPr>
          <w:rFonts w:hint="eastAsia" w:ascii="仿宋" w:hAnsi="仿宋" w:eastAsia="仿宋" w:cs="仿宋"/>
          <w:b/>
          <w:color w:val="000000"/>
        </w:rPr>
      </w:pPr>
    </w:p>
    <w:p>
      <w:pPr>
        <w:pStyle w:val="62"/>
        <w:jc w:val="left"/>
        <w:rPr>
          <w:rFonts w:hint="eastAsia" w:ascii="仿宋" w:hAnsi="仿宋" w:eastAsia="仿宋" w:cs="仿宋"/>
          <w:b/>
          <w:color w:val="000000"/>
        </w:rPr>
      </w:pPr>
    </w:p>
    <w:p>
      <w:pPr>
        <w:spacing w:line="360" w:lineRule="auto"/>
        <w:ind w:firstLine="4080" w:firstLineChars="1700"/>
        <w:jc w:val="right"/>
        <w:rPr>
          <w:rFonts w:hint="eastAsia"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pPr>
        <w:spacing w:line="360" w:lineRule="auto"/>
        <w:jc w:val="right"/>
        <w:rPr>
          <w:rFonts w:hint="eastAsia"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pPr>
        <w:pStyle w:val="7"/>
        <w:spacing w:before="0" w:after="0" w:line="360" w:lineRule="auto"/>
        <w:rPr>
          <w:rFonts w:hint="eastAsia" w:ascii="仿宋" w:hAnsi="仿宋" w:eastAsia="仿宋" w:cs="仿宋"/>
          <w:color w:val="000000"/>
          <w:sz w:val="24"/>
          <w:szCs w:val="24"/>
        </w:rPr>
      </w:pPr>
      <w:r>
        <w:rPr>
          <w:rFonts w:hint="eastAsia" w:ascii="仿宋" w:hAnsi="仿宋" w:cs="仿宋"/>
          <w:color w:val="000000"/>
        </w:rPr>
        <w:br w:type="page"/>
      </w:r>
      <w:r>
        <w:rPr>
          <w:rFonts w:hint="eastAsia" w:ascii="仿宋" w:hAnsi="仿宋" w:eastAsia="仿宋" w:cs="仿宋"/>
          <w:color w:val="000000"/>
          <w:sz w:val="24"/>
          <w:szCs w:val="24"/>
        </w:rPr>
        <w:t>2、财务审计报告或银行资信证明</w:t>
      </w:r>
    </w:p>
    <w:p>
      <w:pPr>
        <w:spacing w:line="360" w:lineRule="auto"/>
        <w:ind w:firstLine="480" w:firstLineChars="200"/>
        <w:textAlignment w:val="baseline"/>
        <w:rPr>
          <w:rFonts w:hint="eastAsia" w:ascii="仿宋" w:hAnsi="仿宋" w:eastAsia="仿宋" w:cs="仿宋"/>
          <w:color w:val="000000"/>
        </w:rPr>
      </w:pPr>
      <w:r>
        <w:rPr>
          <w:rFonts w:hint="eastAsia" w:ascii="仿宋" w:hAnsi="仿宋" w:eastAsia="仿宋" w:cs="仿宋"/>
          <w:color w:val="000000"/>
        </w:rPr>
        <w:t>提供</w:t>
      </w:r>
      <w:r>
        <w:rPr>
          <w:rFonts w:ascii="仿宋" w:hAnsi="仿宋" w:eastAsia="仿宋" w:cs="仿宋"/>
          <w:color w:val="000000" w:themeColor="text1"/>
          <w14:textFill>
            <w14:solidFill>
              <w14:schemeClr w14:val="tx1"/>
            </w14:solidFill>
          </w14:textFill>
        </w:rPr>
        <w:t>20</w:t>
      </w:r>
      <w:r>
        <w:rPr>
          <w:rFonts w:hint="eastAsia" w:ascii="仿宋" w:hAnsi="仿宋" w:eastAsia="仿宋" w:cs="仿宋"/>
          <w:color w:val="000000" w:themeColor="text1"/>
          <w14:textFill>
            <w14:solidFill>
              <w14:schemeClr w14:val="tx1"/>
            </w14:solidFill>
          </w14:textFill>
        </w:rPr>
        <w:t>23</w:t>
      </w:r>
      <w:r>
        <w:rPr>
          <w:rFonts w:hint="eastAsia" w:ascii="仿宋" w:hAnsi="仿宋" w:eastAsia="仿宋" w:cs="仿宋"/>
          <w:color w:val="000000"/>
        </w:rPr>
        <w:t>年度经会计师事务所或审计机构审计的财务审计报告及财务报表（至少包含会计师事务所或审计机构签章页、资产负债表、现金流量表、损益表/利润表）或</w:t>
      </w:r>
      <w:r>
        <w:rPr>
          <w:rFonts w:hint="eastAsia" w:ascii="仿宋" w:hAnsi="仿宋" w:eastAsia="仿宋" w:cs="Cambria Math"/>
          <w:color w:val="000000"/>
        </w:rPr>
        <w:t>响应文件递交截止日前</w:t>
      </w:r>
      <w:r>
        <w:rPr>
          <w:rFonts w:ascii="仿宋" w:hAnsi="仿宋" w:eastAsia="仿宋" w:cs="仿宋"/>
          <w:color w:val="000000"/>
        </w:rPr>
        <w:t>6</w:t>
      </w:r>
      <w:r>
        <w:rPr>
          <w:rFonts w:hint="eastAsia" w:ascii="仿宋" w:hAnsi="仿宋" w:eastAsia="仿宋" w:cs="仿宋"/>
          <w:color w:val="000000"/>
        </w:rPr>
        <w:t>个月内开具的银行资信证明。</w:t>
      </w:r>
    </w:p>
    <w:p>
      <w:pPr>
        <w:pStyle w:val="2"/>
        <w:spacing w:before="240"/>
        <w:rPr>
          <w:rFonts w:hint="eastAsia" w:ascii="仿宋" w:hAnsi="仿宋" w:eastAsia="仿宋" w:cs="Cambria Math"/>
          <w:b/>
          <w:bCs/>
          <w:color w:val="000000"/>
        </w:rPr>
      </w:pPr>
      <w:r>
        <w:rPr>
          <w:rFonts w:ascii="仿宋" w:hAnsi="仿宋" w:eastAsia="仿宋" w:cs="Cambria Math"/>
          <w:b/>
          <w:bCs/>
          <w:color w:val="000000"/>
        </w:rPr>
        <w:t>或提供</w:t>
      </w:r>
    </w:p>
    <w:p>
      <w:pPr>
        <w:pStyle w:val="2"/>
        <w:spacing w:before="240"/>
        <w:rPr>
          <w:rFonts w:hint="eastAsia" w:ascii="仿宋" w:hAnsi="仿宋" w:eastAsia="仿宋" w:cs="Cambria Math"/>
          <w:b/>
          <w:bCs/>
          <w:color w:val="000000"/>
        </w:rPr>
      </w:pPr>
      <w:r>
        <w:rPr>
          <w:rFonts w:hint="eastAsia" w:ascii="仿宋" w:hAnsi="仿宋" w:eastAsia="仿宋" w:cs="Cambria Math"/>
          <w:b/>
          <w:bCs/>
          <w:color w:val="000000"/>
        </w:rPr>
        <w:t>《具有良好的商业信誉和健全的财务会计制度承诺书》</w:t>
      </w:r>
    </w:p>
    <w:p>
      <w:pPr>
        <w:adjustRightInd w:val="0"/>
        <w:snapToGrid w:val="0"/>
        <w:spacing w:before="240" w:line="360" w:lineRule="auto"/>
        <w:rPr>
          <w:rFonts w:hint="eastAsia" w:ascii="仿宋" w:hAnsi="仿宋" w:eastAsia="仿宋" w:cs="Cambria Math"/>
          <w:color w:val="000000"/>
        </w:rPr>
      </w:pPr>
      <w:r>
        <w:rPr>
          <w:rFonts w:hint="eastAsia" w:ascii="仿宋" w:hAnsi="仿宋" w:eastAsia="仿宋" w:cs="Cambria Math"/>
          <w:color w:val="000000"/>
        </w:rPr>
        <w:t>致：（采购人）：</w:t>
      </w:r>
    </w:p>
    <w:p>
      <w:pPr>
        <w:adjustRightInd w:val="0"/>
        <w:snapToGrid w:val="0"/>
        <w:spacing w:before="240" w:line="360" w:lineRule="auto"/>
        <w:ind w:firstLine="480" w:firstLineChars="200"/>
        <w:rPr>
          <w:rFonts w:hint="eastAsia"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承诺符合</w:t>
      </w:r>
      <w:r>
        <w:rPr>
          <w:rFonts w:hint="eastAsia" w:ascii="仿宋" w:hAnsi="仿宋" w:eastAsia="仿宋" w:cs="Cambria Math"/>
          <w:color w:val="000000"/>
          <w:u w:val="single"/>
        </w:rPr>
        <w:t xml:space="preserve">    （项目名称）</w:t>
      </w:r>
      <w:r>
        <w:rPr>
          <w:rFonts w:ascii="仿宋" w:hAnsi="仿宋" w:eastAsia="仿宋" w:cs="Cambria Math"/>
          <w:color w:val="000000"/>
          <w:u w:val="single"/>
        </w:rPr>
        <w:t xml:space="preserve">  </w:t>
      </w:r>
      <w:r>
        <w:rPr>
          <w:rFonts w:hint="eastAsia" w:ascii="仿宋" w:hAnsi="仿宋" w:eastAsia="仿宋" w:cs="Cambria Math"/>
          <w:color w:val="000000"/>
        </w:rPr>
        <w:t>资格条件中要求的具有良好的商业信誉和健全的财务会计制度磋商响应资格，并对上述承诺真实性负责。</w:t>
      </w:r>
      <w:r>
        <w:rPr>
          <w:rFonts w:ascii="仿宋" w:hAnsi="仿宋" w:eastAsia="仿宋" w:cs="Cambria Math"/>
          <w:color w:val="000000"/>
        </w:rPr>
        <w:t xml:space="preserve"> </w:t>
      </w:r>
    </w:p>
    <w:p>
      <w:pPr>
        <w:pStyle w:val="2"/>
        <w:ind w:firstLine="480" w:firstLineChars="200"/>
        <w:jc w:val="both"/>
        <w:rPr>
          <w:rFonts w:hint="eastAsia" w:ascii="仿宋" w:hAnsi="仿宋" w:eastAsia="仿宋" w:cs="Cambria Math"/>
          <w:color w:val="000000"/>
        </w:rPr>
      </w:pPr>
      <w:r>
        <w:rPr>
          <w:rFonts w:hint="eastAsia" w:ascii="仿宋" w:hAnsi="仿宋" w:eastAsia="仿宋" w:cs="Cambria Math"/>
          <w:color w:val="000000"/>
        </w:rPr>
        <w:t>特此声明。</w:t>
      </w:r>
    </w:p>
    <w:p>
      <w:pPr>
        <w:pStyle w:val="2"/>
      </w:pPr>
    </w:p>
    <w:p>
      <w:pPr>
        <w:spacing w:line="360" w:lineRule="auto"/>
        <w:ind w:firstLine="480" w:firstLineChars="200"/>
        <w:textAlignment w:val="baseline"/>
        <w:rPr>
          <w:rFonts w:hint="eastAsia" w:ascii="仿宋" w:hAnsi="仿宋" w:eastAsia="仿宋" w:cs="仿宋"/>
          <w:color w:val="000000"/>
        </w:rPr>
      </w:pPr>
      <w:r>
        <w:rPr>
          <w:rFonts w:ascii="仿宋" w:hAnsi="仿宋" w:eastAsia="仿宋" w:cs="仿宋"/>
          <w:color w:val="000000"/>
        </w:rPr>
        <w:br w:type="page"/>
      </w:r>
    </w:p>
    <w:p>
      <w:pPr>
        <w:pStyle w:val="7"/>
        <w:spacing w:before="0" w:after="0" w:line="360" w:lineRule="auto"/>
        <w:rPr>
          <w:rFonts w:hint="eastAsia" w:ascii="仿宋" w:hAnsi="仿宋" w:eastAsia="仿宋" w:cs="仿宋"/>
          <w:b w:val="0"/>
          <w:bCs w:val="0"/>
          <w:color w:val="000000"/>
          <w:sz w:val="24"/>
          <w:szCs w:val="24"/>
        </w:rPr>
      </w:pPr>
      <w:r>
        <w:rPr>
          <w:rFonts w:hint="eastAsia" w:ascii="仿宋" w:hAnsi="仿宋" w:eastAsia="仿宋" w:cs="仿宋"/>
          <w:color w:val="000000"/>
          <w:sz w:val="24"/>
          <w:szCs w:val="24"/>
        </w:rPr>
        <w:t>3、同类项目实施经验</w:t>
      </w:r>
      <w:r>
        <w:rPr>
          <w:rFonts w:hint="eastAsia" w:ascii="仿宋" w:hAnsi="仿宋" w:eastAsia="仿宋" w:cs="仿宋"/>
          <w:b w:val="0"/>
          <w:bCs w:val="0"/>
          <w:color w:val="000000"/>
          <w:sz w:val="24"/>
          <w:szCs w:val="24"/>
        </w:rPr>
        <w:t xml:space="preserve"> </w:t>
      </w:r>
    </w:p>
    <w:tbl>
      <w:tblPr>
        <w:tblStyle w:val="3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928"/>
        <w:gridCol w:w="1336"/>
        <w:gridCol w:w="1271"/>
        <w:gridCol w:w="1263"/>
        <w:gridCol w:w="1114"/>
        <w:gridCol w:w="1618"/>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67" w:type="pct"/>
            <w:vAlign w:val="center"/>
          </w:tcPr>
          <w:p>
            <w:pPr>
              <w:jc w:val="center"/>
              <w:rPr>
                <w:rFonts w:hint="eastAsia" w:ascii="仿宋" w:hAnsi="仿宋" w:eastAsia="仿宋" w:cs="仿宋"/>
                <w:b/>
                <w:szCs w:val="21"/>
              </w:rPr>
            </w:pPr>
            <w:r>
              <w:rPr>
                <w:rFonts w:hint="eastAsia" w:ascii="仿宋" w:hAnsi="仿宋" w:eastAsia="仿宋" w:cs="仿宋"/>
                <w:b/>
                <w:szCs w:val="21"/>
              </w:rPr>
              <w:t>序号</w:t>
            </w:r>
          </w:p>
        </w:tc>
        <w:tc>
          <w:tcPr>
            <w:tcW w:w="471" w:type="pct"/>
            <w:vAlign w:val="center"/>
          </w:tcPr>
          <w:p>
            <w:pPr>
              <w:jc w:val="center"/>
              <w:rPr>
                <w:rFonts w:hint="eastAsia" w:ascii="仿宋" w:hAnsi="仿宋" w:eastAsia="仿宋" w:cs="仿宋"/>
                <w:b/>
                <w:szCs w:val="21"/>
              </w:rPr>
            </w:pPr>
            <w:r>
              <w:rPr>
                <w:rFonts w:hint="eastAsia" w:ascii="仿宋" w:hAnsi="仿宋" w:eastAsia="仿宋" w:cs="仿宋"/>
                <w:b/>
                <w:szCs w:val="21"/>
              </w:rPr>
              <w:t>合同名称</w:t>
            </w:r>
          </w:p>
        </w:tc>
        <w:tc>
          <w:tcPr>
            <w:tcW w:w="678" w:type="pct"/>
            <w:vAlign w:val="center"/>
          </w:tcPr>
          <w:p>
            <w:pPr>
              <w:jc w:val="center"/>
              <w:rPr>
                <w:rFonts w:hint="eastAsia" w:ascii="仿宋" w:hAnsi="仿宋" w:eastAsia="仿宋" w:cs="仿宋"/>
                <w:b/>
                <w:szCs w:val="21"/>
              </w:rPr>
            </w:pPr>
            <w:r>
              <w:rPr>
                <w:rFonts w:hint="eastAsia" w:ascii="仿宋" w:hAnsi="仿宋" w:eastAsia="仿宋" w:cs="仿宋"/>
                <w:b/>
                <w:szCs w:val="21"/>
              </w:rPr>
              <w:t>合同签订时间</w:t>
            </w:r>
          </w:p>
        </w:tc>
        <w:tc>
          <w:tcPr>
            <w:tcW w:w="645" w:type="pct"/>
            <w:vAlign w:val="center"/>
          </w:tcPr>
          <w:p>
            <w:pPr>
              <w:jc w:val="center"/>
              <w:rPr>
                <w:rFonts w:hint="eastAsia" w:ascii="仿宋" w:hAnsi="仿宋" w:eastAsia="仿宋" w:cs="仿宋"/>
                <w:b/>
                <w:szCs w:val="21"/>
              </w:rPr>
            </w:pPr>
            <w:r>
              <w:rPr>
                <w:rFonts w:hint="eastAsia" w:ascii="仿宋" w:hAnsi="仿宋" w:eastAsia="仿宋" w:cs="仿宋"/>
                <w:b/>
                <w:szCs w:val="21"/>
              </w:rPr>
              <w:t>采购内容</w:t>
            </w:r>
          </w:p>
        </w:tc>
        <w:tc>
          <w:tcPr>
            <w:tcW w:w="641" w:type="pct"/>
            <w:vAlign w:val="center"/>
          </w:tcPr>
          <w:p>
            <w:pPr>
              <w:jc w:val="center"/>
              <w:rPr>
                <w:rFonts w:hint="eastAsia" w:ascii="仿宋" w:hAnsi="仿宋" w:eastAsia="仿宋" w:cs="仿宋"/>
                <w:b/>
                <w:szCs w:val="21"/>
              </w:rPr>
            </w:pPr>
            <w:r>
              <w:rPr>
                <w:rFonts w:hint="eastAsia" w:ascii="仿宋" w:hAnsi="仿宋" w:eastAsia="仿宋" w:cs="仿宋"/>
                <w:b/>
                <w:szCs w:val="21"/>
              </w:rPr>
              <w:t>合同金额（万元）</w:t>
            </w:r>
          </w:p>
        </w:tc>
        <w:tc>
          <w:tcPr>
            <w:tcW w:w="565" w:type="pct"/>
            <w:vAlign w:val="center"/>
          </w:tcPr>
          <w:p>
            <w:pPr>
              <w:jc w:val="center"/>
              <w:rPr>
                <w:rFonts w:hint="eastAsia" w:ascii="仿宋" w:hAnsi="仿宋" w:eastAsia="仿宋" w:cs="仿宋"/>
                <w:b/>
                <w:szCs w:val="21"/>
              </w:rPr>
            </w:pPr>
            <w:r>
              <w:rPr>
                <w:rFonts w:hint="eastAsia" w:ascii="仿宋" w:hAnsi="仿宋" w:eastAsia="仿宋" w:cs="仿宋"/>
                <w:b/>
                <w:szCs w:val="21"/>
              </w:rPr>
              <w:t>合同甲方</w:t>
            </w:r>
          </w:p>
        </w:tc>
        <w:tc>
          <w:tcPr>
            <w:tcW w:w="821" w:type="pct"/>
            <w:vAlign w:val="center"/>
          </w:tcPr>
          <w:p>
            <w:pPr>
              <w:jc w:val="center"/>
              <w:rPr>
                <w:rFonts w:hint="eastAsia" w:ascii="仿宋" w:hAnsi="仿宋" w:eastAsia="仿宋" w:cs="仿宋"/>
                <w:b/>
                <w:szCs w:val="21"/>
              </w:rPr>
            </w:pPr>
            <w:r>
              <w:rPr>
                <w:rFonts w:hint="eastAsia" w:ascii="仿宋" w:hAnsi="仿宋" w:eastAsia="仿宋" w:cs="仿宋"/>
                <w:b/>
                <w:szCs w:val="21"/>
              </w:rPr>
              <w:t>合同甲方联系人及电话</w:t>
            </w:r>
          </w:p>
        </w:tc>
        <w:tc>
          <w:tcPr>
            <w:tcW w:w="709" w:type="pct"/>
            <w:vAlign w:val="center"/>
          </w:tcPr>
          <w:p>
            <w:pPr>
              <w:jc w:val="center"/>
              <w:rPr>
                <w:rFonts w:hint="eastAsia" w:ascii="仿宋" w:hAnsi="仿宋" w:eastAsia="仿宋" w:cs="仿宋"/>
                <w:b/>
                <w:szCs w:val="21"/>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67" w:type="pct"/>
            <w:vAlign w:val="center"/>
          </w:tcPr>
          <w:p>
            <w:pPr>
              <w:jc w:val="center"/>
              <w:rPr>
                <w:rFonts w:hint="eastAsia" w:ascii="仿宋" w:hAnsi="仿宋" w:eastAsia="仿宋" w:cs="仿宋"/>
                <w:szCs w:val="21"/>
              </w:rPr>
            </w:pPr>
          </w:p>
        </w:tc>
        <w:tc>
          <w:tcPr>
            <w:tcW w:w="471" w:type="pct"/>
            <w:vAlign w:val="center"/>
          </w:tcPr>
          <w:p>
            <w:pPr>
              <w:jc w:val="center"/>
              <w:rPr>
                <w:rFonts w:hint="eastAsia" w:ascii="仿宋" w:hAnsi="仿宋" w:eastAsia="仿宋" w:cs="仿宋"/>
                <w:szCs w:val="21"/>
              </w:rPr>
            </w:pPr>
          </w:p>
        </w:tc>
        <w:tc>
          <w:tcPr>
            <w:tcW w:w="678" w:type="pct"/>
            <w:vAlign w:val="center"/>
          </w:tcPr>
          <w:p>
            <w:pPr>
              <w:jc w:val="center"/>
              <w:rPr>
                <w:rFonts w:hint="eastAsia" w:ascii="仿宋" w:hAnsi="仿宋" w:eastAsia="仿宋" w:cs="仿宋"/>
                <w:szCs w:val="21"/>
              </w:rPr>
            </w:pPr>
          </w:p>
        </w:tc>
        <w:tc>
          <w:tcPr>
            <w:tcW w:w="645" w:type="pct"/>
            <w:vAlign w:val="center"/>
          </w:tcPr>
          <w:p>
            <w:pPr>
              <w:jc w:val="center"/>
              <w:rPr>
                <w:rFonts w:hint="eastAsia" w:ascii="仿宋" w:hAnsi="仿宋" w:eastAsia="仿宋" w:cs="仿宋"/>
                <w:szCs w:val="21"/>
              </w:rPr>
            </w:pPr>
          </w:p>
        </w:tc>
        <w:tc>
          <w:tcPr>
            <w:tcW w:w="641" w:type="pct"/>
            <w:vAlign w:val="center"/>
          </w:tcPr>
          <w:p>
            <w:pPr>
              <w:jc w:val="center"/>
              <w:rPr>
                <w:rFonts w:hint="eastAsia" w:ascii="仿宋" w:hAnsi="仿宋" w:eastAsia="仿宋" w:cs="仿宋"/>
                <w:szCs w:val="21"/>
              </w:rPr>
            </w:pPr>
          </w:p>
        </w:tc>
        <w:tc>
          <w:tcPr>
            <w:tcW w:w="565" w:type="pct"/>
            <w:vAlign w:val="center"/>
          </w:tcPr>
          <w:p>
            <w:pPr>
              <w:jc w:val="center"/>
              <w:rPr>
                <w:rFonts w:hint="eastAsia" w:ascii="仿宋" w:hAnsi="仿宋" w:eastAsia="仿宋" w:cs="仿宋"/>
                <w:szCs w:val="21"/>
              </w:rPr>
            </w:pPr>
          </w:p>
        </w:tc>
        <w:tc>
          <w:tcPr>
            <w:tcW w:w="821" w:type="pct"/>
            <w:vAlign w:val="center"/>
          </w:tcPr>
          <w:p>
            <w:pPr>
              <w:jc w:val="center"/>
              <w:rPr>
                <w:rFonts w:hint="eastAsia" w:ascii="仿宋" w:hAnsi="仿宋" w:eastAsia="仿宋" w:cs="仿宋"/>
                <w:szCs w:val="21"/>
              </w:rPr>
            </w:pPr>
          </w:p>
        </w:tc>
        <w:tc>
          <w:tcPr>
            <w:tcW w:w="709" w:type="pct"/>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hint="eastAsia" w:ascii="仿宋" w:hAnsi="仿宋" w:eastAsia="仿宋" w:cs="仿宋"/>
                <w:szCs w:val="21"/>
              </w:rPr>
            </w:pPr>
          </w:p>
          <w:p>
            <w:pPr>
              <w:jc w:val="center"/>
              <w:rPr>
                <w:rFonts w:hint="eastAsia" w:ascii="仿宋" w:hAnsi="仿宋" w:eastAsia="仿宋" w:cs="仿宋"/>
                <w:szCs w:val="21"/>
              </w:rPr>
            </w:pPr>
          </w:p>
        </w:tc>
        <w:tc>
          <w:tcPr>
            <w:tcW w:w="471" w:type="pct"/>
            <w:vAlign w:val="center"/>
          </w:tcPr>
          <w:p>
            <w:pPr>
              <w:jc w:val="center"/>
              <w:rPr>
                <w:rFonts w:hint="eastAsia" w:ascii="仿宋" w:hAnsi="仿宋" w:eastAsia="仿宋" w:cs="仿宋"/>
                <w:szCs w:val="21"/>
              </w:rPr>
            </w:pPr>
          </w:p>
        </w:tc>
        <w:tc>
          <w:tcPr>
            <w:tcW w:w="678" w:type="pct"/>
            <w:vAlign w:val="center"/>
          </w:tcPr>
          <w:p>
            <w:pPr>
              <w:jc w:val="center"/>
              <w:rPr>
                <w:rFonts w:hint="eastAsia" w:ascii="仿宋" w:hAnsi="仿宋" w:eastAsia="仿宋" w:cs="仿宋"/>
                <w:szCs w:val="21"/>
              </w:rPr>
            </w:pPr>
          </w:p>
        </w:tc>
        <w:tc>
          <w:tcPr>
            <w:tcW w:w="645" w:type="pct"/>
            <w:vAlign w:val="center"/>
          </w:tcPr>
          <w:p>
            <w:pPr>
              <w:jc w:val="center"/>
              <w:rPr>
                <w:rFonts w:hint="eastAsia" w:ascii="仿宋" w:hAnsi="仿宋" w:eastAsia="仿宋" w:cs="仿宋"/>
                <w:szCs w:val="21"/>
              </w:rPr>
            </w:pPr>
          </w:p>
        </w:tc>
        <w:tc>
          <w:tcPr>
            <w:tcW w:w="641" w:type="pct"/>
            <w:vAlign w:val="center"/>
          </w:tcPr>
          <w:p>
            <w:pPr>
              <w:jc w:val="center"/>
              <w:rPr>
                <w:rFonts w:hint="eastAsia" w:ascii="仿宋" w:hAnsi="仿宋" w:eastAsia="仿宋" w:cs="仿宋"/>
                <w:szCs w:val="21"/>
              </w:rPr>
            </w:pPr>
          </w:p>
        </w:tc>
        <w:tc>
          <w:tcPr>
            <w:tcW w:w="565" w:type="pct"/>
            <w:vAlign w:val="center"/>
          </w:tcPr>
          <w:p>
            <w:pPr>
              <w:jc w:val="center"/>
              <w:rPr>
                <w:rFonts w:hint="eastAsia" w:ascii="仿宋" w:hAnsi="仿宋" w:eastAsia="仿宋" w:cs="仿宋"/>
                <w:szCs w:val="21"/>
              </w:rPr>
            </w:pPr>
          </w:p>
        </w:tc>
        <w:tc>
          <w:tcPr>
            <w:tcW w:w="821" w:type="pct"/>
            <w:vAlign w:val="center"/>
          </w:tcPr>
          <w:p>
            <w:pPr>
              <w:jc w:val="center"/>
              <w:rPr>
                <w:rFonts w:hint="eastAsia" w:ascii="仿宋" w:hAnsi="仿宋" w:eastAsia="仿宋" w:cs="仿宋"/>
                <w:szCs w:val="21"/>
              </w:rPr>
            </w:pPr>
          </w:p>
        </w:tc>
        <w:tc>
          <w:tcPr>
            <w:tcW w:w="709" w:type="pct"/>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hint="eastAsia" w:ascii="仿宋" w:hAnsi="仿宋" w:eastAsia="仿宋" w:cs="仿宋"/>
                <w:szCs w:val="21"/>
              </w:rPr>
            </w:pPr>
          </w:p>
        </w:tc>
        <w:tc>
          <w:tcPr>
            <w:tcW w:w="471" w:type="pct"/>
            <w:vAlign w:val="center"/>
          </w:tcPr>
          <w:p>
            <w:pPr>
              <w:jc w:val="center"/>
              <w:rPr>
                <w:rFonts w:hint="eastAsia" w:ascii="仿宋" w:hAnsi="仿宋" w:eastAsia="仿宋" w:cs="仿宋"/>
                <w:szCs w:val="21"/>
              </w:rPr>
            </w:pPr>
          </w:p>
        </w:tc>
        <w:tc>
          <w:tcPr>
            <w:tcW w:w="678" w:type="pct"/>
            <w:vAlign w:val="center"/>
          </w:tcPr>
          <w:p>
            <w:pPr>
              <w:jc w:val="center"/>
              <w:rPr>
                <w:rFonts w:hint="eastAsia" w:ascii="仿宋" w:hAnsi="仿宋" w:eastAsia="仿宋" w:cs="仿宋"/>
                <w:szCs w:val="21"/>
              </w:rPr>
            </w:pPr>
          </w:p>
        </w:tc>
        <w:tc>
          <w:tcPr>
            <w:tcW w:w="645" w:type="pct"/>
            <w:vAlign w:val="center"/>
          </w:tcPr>
          <w:p>
            <w:pPr>
              <w:jc w:val="center"/>
              <w:rPr>
                <w:rFonts w:hint="eastAsia" w:ascii="仿宋" w:hAnsi="仿宋" w:eastAsia="仿宋" w:cs="仿宋"/>
                <w:szCs w:val="21"/>
              </w:rPr>
            </w:pPr>
          </w:p>
        </w:tc>
        <w:tc>
          <w:tcPr>
            <w:tcW w:w="641" w:type="pct"/>
            <w:vAlign w:val="center"/>
          </w:tcPr>
          <w:p>
            <w:pPr>
              <w:jc w:val="center"/>
              <w:rPr>
                <w:rFonts w:hint="eastAsia" w:ascii="仿宋" w:hAnsi="仿宋" w:eastAsia="仿宋" w:cs="仿宋"/>
                <w:szCs w:val="21"/>
              </w:rPr>
            </w:pPr>
          </w:p>
        </w:tc>
        <w:tc>
          <w:tcPr>
            <w:tcW w:w="565" w:type="pct"/>
            <w:vAlign w:val="center"/>
          </w:tcPr>
          <w:p>
            <w:pPr>
              <w:jc w:val="center"/>
              <w:rPr>
                <w:rFonts w:hint="eastAsia" w:ascii="仿宋" w:hAnsi="仿宋" w:eastAsia="仿宋" w:cs="仿宋"/>
                <w:szCs w:val="21"/>
              </w:rPr>
            </w:pPr>
          </w:p>
        </w:tc>
        <w:tc>
          <w:tcPr>
            <w:tcW w:w="821" w:type="pct"/>
            <w:vAlign w:val="center"/>
          </w:tcPr>
          <w:p>
            <w:pPr>
              <w:jc w:val="center"/>
              <w:rPr>
                <w:rFonts w:hint="eastAsia" w:ascii="仿宋" w:hAnsi="仿宋" w:eastAsia="仿宋" w:cs="仿宋"/>
                <w:szCs w:val="21"/>
              </w:rPr>
            </w:pPr>
          </w:p>
        </w:tc>
        <w:tc>
          <w:tcPr>
            <w:tcW w:w="709" w:type="pct"/>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hint="eastAsia" w:ascii="仿宋" w:hAnsi="仿宋" w:eastAsia="仿宋" w:cs="仿宋"/>
                <w:szCs w:val="21"/>
              </w:rPr>
            </w:pPr>
          </w:p>
        </w:tc>
        <w:tc>
          <w:tcPr>
            <w:tcW w:w="471" w:type="pct"/>
            <w:vAlign w:val="center"/>
          </w:tcPr>
          <w:p>
            <w:pPr>
              <w:jc w:val="center"/>
              <w:rPr>
                <w:rFonts w:hint="eastAsia" w:ascii="仿宋" w:hAnsi="仿宋" w:eastAsia="仿宋" w:cs="仿宋"/>
                <w:szCs w:val="21"/>
              </w:rPr>
            </w:pPr>
          </w:p>
        </w:tc>
        <w:tc>
          <w:tcPr>
            <w:tcW w:w="678" w:type="pct"/>
            <w:vAlign w:val="center"/>
          </w:tcPr>
          <w:p>
            <w:pPr>
              <w:jc w:val="center"/>
              <w:rPr>
                <w:rFonts w:hint="eastAsia" w:ascii="仿宋" w:hAnsi="仿宋" w:eastAsia="仿宋" w:cs="仿宋"/>
                <w:szCs w:val="21"/>
              </w:rPr>
            </w:pPr>
          </w:p>
        </w:tc>
        <w:tc>
          <w:tcPr>
            <w:tcW w:w="645" w:type="pct"/>
            <w:vAlign w:val="center"/>
          </w:tcPr>
          <w:p>
            <w:pPr>
              <w:jc w:val="center"/>
              <w:rPr>
                <w:rFonts w:hint="eastAsia" w:ascii="仿宋" w:hAnsi="仿宋" w:eastAsia="仿宋" w:cs="仿宋"/>
                <w:szCs w:val="21"/>
              </w:rPr>
            </w:pPr>
          </w:p>
        </w:tc>
        <w:tc>
          <w:tcPr>
            <w:tcW w:w="641" w:type="pct"/>
            <w:vAlign w:val="center"/>
          </w:tcPr>
          <w:p>
            <w:pPr>
              <w:jc w:val="center"/>
              <w:rPr>
                <w:rFonts w:hint="eastAsia" w:ascii="仿宋" w:hAnsi="仿宋" w:eastAsia="仿宋" w:cs="仿宋"/>
                <w:szCs w:val="21"/>
              </w:rPr>
            </w:pPr>
          </w:p>
        </w:tc>
        <w:tc>
          <w:tcPr>
            <w:tcW w:w="565" w:type="pct"/>
            <w:vAlign w:val="center"/>
          </w:tcPr>
          <w:p>
            <w:pPr>
              <w:jc w:val="center"/>
              <w:rPr>
                <w:rFonts w:hint="eastAsia" w:ascii="仿宋" w:hAnsi="仿宋" w:eastAsia="仿宋" w:cs="仿宋"/>
                <w:szCs w:val="21"/>
              </w:rPr>
            </w:pPr>
          </w:p>
        </w:tc>
        <w:tc>
          <w:tcPr>
            <w:tcW w:w="821" w:type="pct"/>
            <w:vAlign w:val="center"/>
          </w:tcPr>
          <w:p>
            <w:pPr>
              <w:jc w:val="center"/>
              <w:rPr>
                <w:rFonts w:hint="eastAsia" w:ascii="仿宋" w:hAnsi="仿宋" w:eastAsia="仿宋" w:cs="仿宋"/>
                <w:szCs w:val="21"/>
              </w:rPr>
            </w:pPr>
          </w:p>
        </w:tc>
        <w:tc>
          <w:tcPr>
            <w:tcW w:w="709" w:type="pct"/>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hint="eastAsia" w:ascii="仿宋" w:hAnsi="仿宋" w:eastAsia="仿宋" w:cs="仿宋"/>
                <w:szCs w:val="21"/>
              </w:rPr>
            </w:pPr>
          </w:p>
        </w:tc>
        <w:tc>
          <w:tcPr>
            <w:tcW w:w="471" w:type="pct"/>
            <w:vAlign w:val="center"/>
          </w:tcPr>
          <w:p>
            <w:pPr>
              <w:jc w:val="center"/>
              <w:rPr>
                <w:rFonts w:hint="eastAsia" w:ascii="仿宋" w:hAnsi="仿宋" w:eastAsia="仿宋" w:cs="仿宋"/>
                <w:szCs w:val="21"/>
              </w:rPr>
            </w:pPr>
          </w:p>
        </w:tc>
        <w:tc>
          <w:tcPr>
            <w:tcW w:w="678" w:type="pct"/>
            <w:vAlign w:val="center"/>
          </w:tcPr>
          <w:p>
            <w:pPr>
              <w:jc w:val="center"/>
              <w:rPr>
                <w:rFonts w:hint="eastAsia" w:ascii="仿宋" w:hAnsi="仿宋" w:eastAsia="仿宋" w:cs="仿宋"/>
                <w:szCs w:val="21"/>
              </w:rPr>
            </w:pPr>
          </w:p>
        </w:tc>
        <w:tc>
          <w:tcPr>
            <w:tcW w:w="645" w:type="pct"/>
            <w:vAlign w:val="center"/>
          </w:tcPr>
          <w:p>
            <w:pPr>
              <w:jc w:val="center"/>
              <w:rPr>
                <w:rFonts w:hint="eastAsia" w:ascii="仿宋" w:hAnsi="仿宋" w:eastAsia="仿宋" w:cs="仿宋"/>
                <w:szCs w:val="21"/>
              </w:rPr>
            </w:pPr>
          </w:p>
        </w:tc>
        <w:tc>
          <w:tcPr>
            <w:tcW w:w="641" w:type="pct"/>
            <w:vAlign w:val="center"/>
          </w:tcPr>
          <w:p>
            <w:pPr>
              <w:jc w:val="center"/>
              <w:rPr>
                <w:rFonts w:hint="eastAsia" w:ascii="仿宋" w:hAnsi="仿宋" w:eastAsia="仿宋" w:cs="仿宋"/>
                <w:szCs w:val="21"/>
              </w:rPr>
            </w:pPr>
          </w:p>
        </w:tc>
        <w:tc>
          <w:tcPr>
            <w:tcW w:w="565" w:type="pct"/>
            <w:vAlign w:val="center"/>
          </w:tcPr>
          <w:p>
            <w:pPr>
              <w:jc w:val="center"/>
              <w:rPr>
                <w:rFonts w:hint="eastAsia" w:ascii="仿宋" w:hAnsi="仿宋" w:eastAsia="仿宋" w:cs="仿宋"/>
                <w:szCs w:val="21"/>
              </w:rPr>
            </w:pPr>
          </w:p>
        </w:tc>
        <w:tc>
          <w:tcPr>
            <w:tcW w:w="821" w:type="pct"/>
            <w:vAlign w:val="center"/>
          </w:tcPr>
          <w:p>
            <w:pPr>
              <w:jc w:val="center"/>
              <w:rPr>
                <w:rFonts w:hint="eastAsia" w:ascii="仿宋" w:hAnsi="仿宋" w:eastAsia="仿宋" w:cs="仿宋"/>
                <w:szCs w:val="21"/>
              </w:rPr>
            </w:pPr>
          </w:p>
        </w:tc>
        <w:tc>
          <w:tcPr>
            <w:tcW w:w="709" w:type="pct"/>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hint="eastAsia" w:ascii="仿宋" w:hAnsi="仿宋" w:eastAsia="仿宋" w:cs="仿宋"/>
                <w:szCs w:val="21"/>
              </w:rPr>
            </w:pPr>
          </w:p>
        </w:tc>
        <w:tc>
          <w:tcPr>
            <w:tcW w:w="471" w:type="pct"/>
            <w:vAlign w:val="center"/>
          </w:tcPr>
          <w:p>
            <w:pPr>
              <w:jc w:val="center"/>
              <w:rPr>
                <w:rFonts w:hint="eastAsia" w:ascii="仿宋" w:hAnsi="仿宋" w:eastAsia="仿宋" w:cs="仿宋"/>
                <w:szCs w:val="21"/>
              </w:rPr>
            </w:pPr>
          </w:p>
        </w:tc>
        <w:tc>
          <w:tcPr>
            <w:tcW w:w="678" w:type="pct"/>
            <w:vAlign w:val="center"/>
          </w:tcPr>
          <w:p>
            <w:pPr>
              <w:jc w:val="center"/>
              <w:rPr>
                <w:rFonts w:hint="eastAsia" w:ascii="仿宋" w:hAnsi="仿宋" w:eastAsia="仿宋" w:cs="仿宋"/>
                <w:szCs w:val="21"/>
              </w:rPr>
            </w:pPr>
          </w:p>
        </w:tc>
        <w:tc>
          <w:tcPr>
            <w:tcW w:w="645" w:type="pct"/>
            <w:vAlign w:val="center"/>
          </w:tcPr>
          <w:p>
            <w:pPr>
              <w:jc w:val="center"/>
              <w:rPr>
                <w:rFonts w:hint="eastAsia" w:ascii="仿宋" w:hAnsi="仿宋" w:eastAsia="仿宋" w:cs="仿宋"/>
                <w:szCs w:val="21"/>
              </w:rPr>
            </w:pPr>
          </w:p>
        </w:tc>
        <w:tc>
          <w:tcPr>
            <w:tcW w:w="641" w:type="pct"/>
            <w:vAlign w:val="center"/>
          </w:tcPr>
          <w:p>
            <w:pPr>
              <w:jc w:val="center"/>
              <w:rPr>
                <w:rFonts w:hint="eastAsia" w:ascii="仿宋" w:hAnsi="仿宋" w:eastAsia="仿宋" w:cs="仿宋"/>
                <w:szCs w:val="21"/>
              </w:rPr>
            </w:pPr>
          </w:p>
        </w:tc>
        <w:tc>
          <w:tcPr>
            <w:tcW w:w="565" w:type="pct"/>
            <w:vAlign w:val="center"/>
          </w:tcPr>
          <w:p>
            <w:pPr>
              <w:jc w:val="center"/>
              <w:rPr>
                <w:rFonts w:hint="eastAsia" w:ascii="仿宋" w:hAnsi="仿宋" w:eastAsia="仿宋" w:cs="仿宋"/>
                <w:szCs w:val="21"/>
              </w:rPr>
            </w:pPr>
          </w:p>
        </w:tc>
        <w:tc>
          <w:tcPr>
            <w:tcW w:w="821" w:type="pct"/>
            <w:vAlign w:val="center"/>
          </w:tcPr>
          <w:p>
            <w:pPr>
              <w:jc w:val="center"/>
              <w:rPr>
                <w:rFonts w:hint="eastAsia" w:ascii="仿宋" w:hAnsi="仿宋" w:eastAsia="仿宋" w:cs="仿宋"/>
                <w:szCs w:val="21"/>
              </w:rPr>
            </w:pPr>
          </w:p>
        </w:tc>
        <w:tc>
          <w:tcPr>
            <w:tcW w:w="709" w:type="pct"/>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hint="eastAsia" w:ascii="仿宋" w:hAnsi="仿宋" w:eastAsia="仿宋" w:cs="仿宋"/>
                <w:szCs w:val="21"/>
              </w:rPr>
            </w:pPr>
          </w:p>
        </w:tc>
        <w:tc>
          <w:tcPr>
            <w:tcW w:w="471" w:type="pct"/>
            <w:vAlign w:val="center"/>
          </w:tcPr>
          <w:p>
            <w:pPr>
              <w:jc w:val="center"/>
              <w:rPr>
                <w:rFonts w:hint="eastAsia" w:ascii="仿宋" w:hAnsi="仿宋" w:eastAsia="仿宋" w:cs="仿宋"/>
                <w:szCs w:val="21"/>
              </w:rPr>
            </w:pPr>
          </w:p>
        </w:tc>
        <w:tc>
          <w:tcPr>
            <w:tcW w:w="678" w:type="pct"/>
            <w:vAlign w:val="center"/>
          </w:tcPr>
          <w:p>
            <w:pPr>
              <w:jc w:val="center"/>
              <w:rPr>
                <w:rFonts w:hint="eastAsia" w:ascii="仿宋" w:hAnsi="仿宋" w:eastAsia="仿宋" w:cs="仿宋"/>
                <w:szCs w:val="21"/>
              </w:rPr>
            </w:pPr>
          </w:p>
        </w:tc>
        <w:tc>
          <w:tcPr>
            <w:tcW w:w="645" w:type="pct"/>
            <w:vAlign w:val="center"/>
          </w:tcPr>
          <w:p>
            <w:pPr>
              <w:jc w:val="center"/>
              <w:rPr>
                <w:rFonts w:hint="eastAsia" w:ascii="仿宋" w:hAnsi="仿宋" w:eastAsia="仿宋" w:cs="仿宋"/>
                <w:szCs w:val="21"/>
              </w:rPr>
            </w:pPr>
          </w:p>
        </w:tc>
        <w:tc>
          <w:tcPr>
            <w:tcW w:w="641" w:type="pct"/>
            <w:vAlign w:val="center"/>
          </w:tcPr>
          <w:p>
            <w:pPr>
              <w:jc w:val="center"/>
              <w:rPr>
                <w:rFonts w:hint="eastAsia" w:ascii="仿宋" w:hAnsi="仿宋" w:eastAsia="仿宋" w:cs="仿宋"/>
                <w:szCs w:val="21"/>
              </w:rPr>
            </w:pPr>
          </w:p>
        </w:tc>
        <w:tc>
          <w:tcPr>
            <w:tcW w:w="565" w:type="pct"/>
            <w:vAlign w:val="center"/>
          </w:tcPr>
          <w:p>
            <w:pPr>
              <w:jc w:val="center"/>
              <w:rPr>
                <w:rFonts w:hint="eastAsia" w:ascii="仿宋" w:hAnsi="仿宋" w:eastAsia="仿宋" w:cs="仿宋"/>
                <w:szCs w:val="21"/>
              </w:rPr>
            </w:pPr>
          </w:p>
        </w:tc>
        <w:tc>
          <w:tcPr>
            <w:tcW w:w="821" w:type="pct"/>
            <w:vAlign w:val="center"/>
          </w:tcPr>
          <w:p>
            <w:pPr>
              <w:jc w:val="center"/>
              <w:rPr>
                <w:rFonts w:hint="eastAsia" w:ascii="仿宋" w:hAnsi="仿宋" w:eastAsia="仿宋" w:cs="仿宋"/>
                <w:szCs w:val="21"/>
              </w:rPr>
            </w:pPr>
          </w:p>
        </w:tc>
        <w:tc>
          <w:tcPr>
            <w:tcW w:w="709" w:type="pct"/>
            <w:vAlign w:val="center"/>
          </w:tcPr>
          <w:p>
            <w:pPr>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hint="eastAsia" w:ascii="仿宋" w:hAnsi="仿宋" w:eastAsia="仿宋" w:cs="仿宋"/>
                <w:szCs w:val="21"/>
              </w:rPr>
            </w:pPr>
          </w:p>
        </w:tc>
        <w:tc>
          <w:tcPr>
            <w:tcW w:w="471" w:type="pct"/>
            <w:vAlign w:val="center"/>
          </w:tcPr>
          <w:p>
            <w:pPr>
              <w:jc w:val="center"/>
              <w:rPr>
                <w:rFonts w:hint="eastAsia" w:ascii="仿宋" w:hAnsi="仿宋" w:eastAsia="仿宋" w:cs="仿宋"/>
                <w:szCs w:val="21"/>
              </w:rPr>
            </w:pPr>
          </w:p>
        </w:tc>
        <w:tc>
          <w:tcPr>
            <w:tcW w:w="678" w:type="pct"/>
            <w:vAlign w:val="center"/>
          </w:tcPr>
          <w:p>
            <w:pPr>
              <w:jc w:val="center"/>
              <w:rPr>
                <w:rFonts w:hint="eastAsia" w:ascii="仿宋" w:hAnsi="仿宋" w:eastAsia="仿宋" w:cs="仿宋"/>
                <w:szCs w:val="21"/>
              </w:rPr>
            </w:pPr>
          </w:p>
        </w:tc>
        <w:tc>
          <w:tcPr>
            <w:tcW w:w="645" w:type="pct"/>
            <w:vAlign w:val="center"/>
          </w:tcPr>
          <w:p>
            <w:pPr>
              <w:jc w:val="center"/>
              <w:rPr>
                <w:rFonts w:hint="eastAsia" w:ascii="仿宋" w:hAnsi="仿宋" w:eastAsia="仿宋" w:cs="仿宋"/>
                <w:szCs w:val="21"/>
              </w:rPr>
            </w:pPr>
          </w:p>
        </w:tc>
        <w:tc>
          <w:tcPr>
            <w:tcW w:w="641" w:type="pct"/>
            <w:vAlign w:val="center"/>
          </w:tcPr>
          <w:p>
            <w:pPr>
              <w:jc w:val="center"/>
              <w:rPr>
                <w:rFonts w:hint="eastAsia" w:ascii="仿宋" w:hAnsi="仿宋" w:eastAsia="仿宋" w:cs="仿宋"/>
                <w:szCs w:val="21"/>
              </w:rPr>
            </w:pPr>
          </w:p>
        </w:tc>
        <w:tc>
          <w:tcPr>
            <w:tcW w:w="565" w:type="pct"/>
            <w:vAlign w:val="center"/>
          </w:tcPr>
          <w:p>
            <w:pPr>
              <w:jc w:val="center"/>
              <w:rPr>
                <w:rFonts w:hint="eastAsia" w:ascii="仿宋" w:hAnsi="仿宋" w:eastAsia="仿宋" w:cs="仿宋"/>
                <w:szCs w:val="21"/>
              </w:rPr>
            </w:pPr>
          </w:p>
        </w:tc>
        <w:tc>
          <w:tcPr>
            <w:tcW w:w="821" w:type="pct"/>
            <w:vAlign w:val="center"/>
          </w:tcPr>
          <w:p>
            <w:pPr>
              <w:jc w:val="center"/>
              <w:rPr>
                <w:rFonts w:hint="eastAsia" w:ascii="仿宋" w:hAnsi="仿宋" w:eastAsia="仿宋" w:cs="仿宋"/>
                <w:szCs w:val="21"/>
              </w:rPr>
            </w:pPr>
          </w:p>
        </w:tc>
        <w:tc>
          <w:tcPr>
            <w:tcW w:w="709" w:type="pct"/>
            <w:vAlign w:val="center"/>
          </w:tcPr>
          <w:p>
            <w:pPr>
              <w:jc w:val="center"/>
              <w:rPr>
                <w:rFonts w:hint="eastAsia" w:ascii="仿宋" w:hAnsi="仿宋" w:eastAsia="仿宋" w:cs="仿宋"/>
                <w:szCs w:val="21"/>
              </w:rPr>
            </w:pPr>
          </w:p>
        </w:tc>
      </w:tr>
    </w:tbl>
    <w:p>
      <w:pPr>
        <w:spacing w:line="360" w:lineRule="auto"/>
        <w:rPr>
          <w:rFonts w:hint="eastAsia" w:ascii="仿宋" w:hAnsi="仿宋" w:eastAsia="仿宋" w:cs="仿宋"/>
          <w:b/>
          <w:bCs/>
          <w:color w:val="000000"/>
        </w:rPr>
      </w:pPr>
      <w:r>
        <w:rPr>
          <w:rFonts w:hint="eastAsia" w:ascii="仿宋" w:hAnsi="仿宋" w:eastAsia="仿宋" w:cs="仿宋"/>
          <w:b/>
          <w:bCs/>
          <w:color w:val="000000"/>
        </w:rPr>
        <w:t>备注：</w:t>
      </w:r>
    </w:p>
    <w:p>
      <w:pPr>
        <w:spacing w:line="360" w:lineRule="auto"/>
        <w:textAlignment w:val="baseline"/>
        <w:rPr>
          <w:rFonts w:hint="eastAsia" w:ascii="仿宋" w:hAnsi="仿宋" w:eastAsia="仿宋"/>
          <w:b/>
          <w:color w:val="000000"/>
        </w:rPr>
      </w:pPr>
      <w:r>
        <w:rPr>
          <w:rFonts w:hint="eastAsia" w:ascii="仿宋" w:hAnsi="仿宋" w:eastAsia="仿宋"/>
          <w:b/>
          <w:color w:val="000000"/>
        </w:rPr>
        <w:t>1）有效的业绩证明材料包含但不限于合同关键页复印件（合同首页、合同标的页、签署日期页及盖章页等），按照业绩表的项目名称，顺序排放每个项目的证明材料。</w:t>
      </w:r>
    </w:p>
    <w:p>
      <w:pPr>
        <w:spacing w:line="360" w:lineRule="auto"/>
        <w:textAlignment w:val="baseline"/>
        <w:rPr>
          <w:rFonts w:hint="eastAsia" w:ascii="仿宋" w:hAnsi="仿宋" w:eastAsia="仿宋"/>
          <w:b/>
          <w:color w:val="000000"/>
        </w:rPr>
      </w:pPr>
      <w:r>
        <w:rPr>
          <w:rFonts w:hint="eastAsia" w:ascii="仿宋" w:hAnsi="仿宋" w:eastAsia="仿宋"/>
          <w:b/>
          <w:color w:val="000000"/>
        </w:rPr>
        <w:t>2）按照磋商公告的资格要求提供有效的实施经验证明材料，作为资格后审的评审依据。</w:t>
      </w:r>
    </w:p>
    <w:p>
      <w:pPr>
        <w:spacing w:line="360" w:lineRule="auto"/>
        <w:textAlignment w:val="baseline"/>
        <w:rPr>
          <w:rFonts w:hint="eastAsia" w:ascii="仿宋" w:hAnsi="仿宋" w:eastAsia="仿宋"/>
          <w:b/>
          <w:color w:val="000000"/>
        </w:rPr>
      </w:pPr>
      <w:r>
        <w:rPr>
          <w:rFonts w:hint="eastAsia" w:ascii="仿宋" w:hAnsi="仿宋" w:eastAsia="仿宋"/>
          <w:b/>
          <w:color w:val="000000"/>
        </w:rPr>
        <w:t>3）本业绩表及证明材料也作为详细评审中对供应商同类项目实施经验的评审及打分依据，供应商需根据详细评审标准的要求，提供符合要求的业绩证明材料。</w:t>
      </w:r>
    </w:p>
    <w:p>
      <w:pPr>
        <w:spacing w:line="360" w:lineRule="auto"/>
        <w:rPr>
          <w:rFonts w:hint="eastAsia" w:ascii="仿宋" w:hAnsi="仿宋" w:eastAsia="仿宋" w:cs="仿宋"/>
          <w:color w:val="000000"/>
        </w:rPr>
      </w:pPr>
    </w:p>
    <w:p>
      <w:pPr>
        <w:spacing w:line="360" w:lineRule="auto"/>
        <w:ind w:firstLine="480" w:firstLineChars="200"/>
        <w:rPr>
          <w:rFonts w:hint="eastAsia" w:ascii="仿宋" w:hAnsi="仿宋" w:eastAsia="仿宋" w:cs="仿宋"/>
          <w:bCs/>
          <w:color w:val="000000"/>
        </w:rPr>
      </w:pPr>
    </w:p>
    <w:p>
      <w:pPr>
        <w:pStyle w:val="52"/>
        <w:topLinePunct/>
        <w:adjustRightInd w:val="0"/>
        <w:snapToGrid w:val="0"/>
        <w:spacing w:line="360" w:lineRule="auto"/>
        <w:ind w:left="1575" w:firstLine="0" w:firstLineChars="0"/>
        <w:rPr>
          <w:rFonts w:hint="eastAsia" w:ascii="仿宋" w:hAnsi="仿宋" w:eastAsia="仿宋" w:cs="仿宋"/>
          <w:bCs/>
          <w:color w:val="000000"/>
        </w:rPr>
      </w:pPr>
    </w:p>
    <w:p>
      <w:pPr>
        <w:pStyle w:val="52"/>
        <w:topLinePunct/>
        <w:adjustRightInd w:val="0"/>
        <w:snapToGrid w:val="0"/>
        <w:spacing w:line="360" w:lineRule="auto"/>
        <w:ind w:left="1575" w:firstLine="0" w:firstLineChars="0"/>
        <w:rPr>
          <w:rFonts w:hint="eastAsia" w:ascii="仿宋" w:hAnsi="仿宋" w:eastAsia="仿宋" w:cs="仿宋"/>
          <w:bCs/>
          <w:color w:val="000000"/>
        </w:rPr>
      </w:pPr>
    </w:p>
    <w:p>
      <w:pPr>
        <w:spacing w:line="360" w:lineRule="auto"/>
        <w:ind w:firstLine="4080" w:firstLineChars="1700"/>
        <w:jc w:val="right"/>
        <w:rPr>
          <w:rFonts w:hint="eastAsia"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pPr>
        <w:spacing w:line="360" w:lineRule="auto"/>
        <w:jc w:val="right"/>
        <w:rPr>
          <w:rFonts w:hint="eastAsia"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pPr>
        <w:pStyle w:val="7"/>
        <w:spacing w:before="0" w:after="0" w:line="360" w:lineRule="auto"/>
        <w:rPr>
          <w:rFonts w:hint="eastAsia" w:ascii="仿宋" w:hAnsi="仿宋" w:eastAsia="仿宋" w:cs="仿宋"/>
          <w:color w:val="000000"/>
          <w:sz w:val="24"/>
          <w:szCs w:val="24"/>
        </w:rPr>
      </w:pPr>
      <w:r>
        <w:br w:type="page"/>
      </w:r>
      <w:r>
        <w:rPr>
          <w:rFonts w:hint="eastAsia" w:ascii="仿宋" w:hAnsi="仿宋" w:eastAsia="仿宋" w:cs="仿宋"/>
          <w:sz w:val="24"/>
          <w:szCs w:val="24"/>
        </w:rPr>
        <w:t>4、</w:t>
      </w:r>
      <w:r>
        <w:rPr>
          <w:rFonts w:hint="eastAsia" w:ascii="仿宋" w:hAnsi="仿宋" w:eastAsia="仿宋" w:cs="仿宋"/>
          <w:color w:val="000000"/>
          <w:sz w:val="24"/>
          <w:szCs w:val="24"/>
        </w:rPr>
        <w:t>税收和社保证明材料</w:t>
      </w:r>
    </w:p>
    <w:p>
      <w:pPr>
        <w:spacing w:line="360" w:lineRule="auto"/>
        <w:textAlignment w:val="baseline"/>
        <w:rPr>
          <w:rFonts w:hint="eastAsia" w:ascii="仿宋" w:hAnsi="仿宋" w:eastAsia="仿宋" w:cs="宋体"/>
          <w:color w:val="000000"/>
        </w:rPr>
      </w:pPr>
      <w:r>
        <w:rPr>
          <w:rFonts w:hint="eastAsia" w:ascii="仿宋" w:hAnsi="仿宋" w:eastAsia="仿宋" w:cs="宋体"/>
          <w:color w:val="000000"/>
        </w:rPr>
        <w:t>提供6个月任意一个月的企业税收和社会保障资金缴纳凭证。</w:t>
      </w:r>
    </w:p>
    <w:p>
      <w:pPr>
        <w:pStyle w:val="2"/>
        <w:spacing w:before="240"/>
        <w:rPr>
          <w:rFonts w:hint="eastAsia" w:ascii="仿宋" w:hAnsi="仿宋" w:eastAsia="仿宋" w:cs="Cambria Math"/>
          <w:b/>
          <w:bCs/>
          <w:color w:val="000000"/>
        </w:rPr>
      </w:pPr>
      <w:r>
        <w:rPr>
          <w:rFonts w:ascii="仿宋" w:hAnsi="仿宋" w:eastAsia="仿宋" w:cs="Cambria Math"/>
          <w:b/>
          <w:bCs/>
          <w:color w:val="000000"/>
        </w:rPr>
        <w:t>或提供</w:t>
      </w:r>
    </w:p>
    <w:p>
      <w:pPr>
        <w:pStyle w:val="2"/>
        <w:spacing w:before="240"/>
        <w:rPr>
          <w:rFonts w:hint="eastAsia" w:ascii="仿宋" w:hAnsi="仿宋" w:eastAsia="仿宋" w:cs="Cambria Math"/>
          <w:b/>
          <w:bCs/>
          <w:color w:val="000000"/>
        </w:rPr>
      </w:pPr>
      <w:r>
        <w:rPr>
          <w:rFonts w:hint="eastAsia" w:ascii="仿宋" w:hAnsi="仿宋" w:eastAsia="仿宋" w:cs="Cambria Math"/>
          <w:b/>
          <w:bCs/>
          <w:color w:val="000000"/>
        </w:rPr>
        <w:t>《企业税收和社会保障资金缴纳承诺书》</w:t>
      </w:r>
    </w:p>
    <w:p>
      <w:pPr>
        <w:adjustRightInd w:val="0"/>
        <w:snapToGrid w:val="0"/>
        <w:spacing w:before="240" w:line="360" w:lineRule="auto"/>
        <w:rPr>
          <w:rFonts w:hint="eastAsia" w:ascii="仿宋" w:hAnsi="仿宋" w:eastAsia="仿宋" w:cs="Cambria Math"/>
          <w:color w:val="000000"/>
        </w:rPr>
      </w:pPr>
      <w:r>
        <w:rPr>
          <w:rFonts w:hint="eastAsia" w:ascii="仿宋" w:hAnsi="仿宋" w:eastAsia="仿宋" w:cs="Cambria Math"/>
          <w:color w:val="000000"/>
        </w:rPr>
        <w:t>致：（采购人）：</w:t>
      </w:r>
    </w:p>
    <w:p>
      <w:pPr>
        <w:adjustRightInd w:val="0"/>
        <w:snapToGrid w:val="0"/>
        <w:spacing w:before="240" w:line="360" w:lineRule="auto"/>
        <w:ind w:firstLine="480" w:firstLineChars="200"/>
        <w:rPr>
          <w:rFonts w:hint="eastAsia"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承诺符合</w:t>
      </w:r>
      <w:r>
        <w:rPr>
          <w:rFonts w:hint="eastAsia" w:ascii="仿宋" w:hAnsi="仿宋" w:eastAsia="仿宋" w:cs="Cambria Math"/>
          <w:color w:val="000000"/>
          <w:u w:val="single"/>
        </w:rPr>
        <w:t xml:space="preserve">    （项目名称）</w:t>
      </w:r>
      <w:r>
        <w:rPr>
          <w:rFonts w:ascii="仿宋" w:hAnsi="仿宋" w:eastAsia="仿宋" w:cs="Cambria Math"/>
          <w:color w:val="000000"/>
          <w:u w:val="single"/>
        </w:rPr>
        <w:t xml:space="preserve">  </w:t>
      </w:r>
      <w:r>
        <w:rPr>
          <w:rFonts w:hint="eastAsia" w:ascii="仿宋" w:hAnsi="仿宋" w:eastAsia="仿宋" w:cs="Cambria Math"/>
          <w:color w:val="000000"/>
        </w:rPr>
        <w:t>资格条件中要求的具有依法缴纳税收和社会保障资金的良好记录磋商响应资格，并对上述承诺真实性负责。</w:t>
      </w:r>
      <w:r>
        <w:rPr>
          <w:rFonts w:ascii="仿宋" w:hAnsi="仿宋" w:eastAsia="仿宋" w:cs="Cambria Math"/>
          <w:color w:val="000000"/>
        </w:rPr>
        <w:t xml:space="preserve"> </w:t>
      </w:r>
    </w:p>
    <w:p>
      <w:pPr>
        <w:pStyle w:val="2"/>
        <w:ind w:firstLine="480" w:firstLineChars="200"/>
        <w:jc w:val="both"/>
        <w:rPr>
          <w:rFonts w:hint="eastAsia" w:ascii="仿宋" w:hAnsi="仿宋" w:eastAsia="仿宋" w:cs="Cambria Math"/>
          <w:color w:val="000000"/>
        </w:rPr>
      </w:pPr>
      <w:r>
        <w:rPr>
          <w:rFonts w:hint="eastAsia" w:ascii="仿宋" w:hAnsi="仿宋" w:eastAsia="仿宋" w:cs="Cambria Math"/>
          <w:color w:val="000000"/>
        </w:rPr>
        <w:t>特此声明。</w:t>
      </w:r>
    </w:p>
    <w:p>
      <w:pPr>
        <w:pStyle w:val="2"/>
      </w:pPr>
    </w:p>
    <w:p>
      <w:pPr>
        <w:rPr>
          <w:rFonts w:hint="eastAsia" w:ascii="仿宋" w:hAnsi="仿宋" w:eastAsia="仿宋" w:cs="仿宋"/>
          <w:color w:val="000000"/>
        </w:rPr>
      </w:pPr>
      <w:r>
        <w:rPr>
          <w:rFonts w:hint="eastAsia" w:ascii="仿宋" w:hAnsi="仿宋" w:eastAsia="仿宋" w:cs="仿宋"/>
          <w:color w:val="000000"/>
        </w:rPr>
        <w:br w:type="page"/>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5、无违法违规记录查询截图</w:t>
      </w:r>
    </w:p>
    <w:p>
      <w:pPr>
        <w:spacing w:line="360" w:lineRule="auto"/>
        <w:ind w:firstLine="480" w:firstLineChars="200"/>
        <w:textAlignment w:val="baseline"/>
        <w:rPr>
          <w:rStyle w:val="34"/>
        </w:rPr>
      </w:pPr>
      <w:r>
        <w:rPr>
          <w:rFonts w:hint="eastAsia" w:ascii="仿宋" w:hAnsi="仿宋" w:eastAsia="仿宋" w:cs="Cambria Math"/>
          <w:color w:val="000000"/>
        </w:rPr>
        <w:t>信用中国查询网址：</w:t>
      </w:r>
      <w:r>
        <w:fldChar w:fldCharType="begin"/>
      </w:r>
      <w:r>
        <w:instrText xml:space="preserve"> HYPERLINK "https://www.creditchina.gov.cn/xinyongfuwu/?navPage=5" </w:instrText>
      </w:r>
      <w:r>
        <w:fldChar w:fldCharType="separate"/>
      </w:r>
      <w:r>
        <w:rPr>
          <w:rStyle w:val="34"/>
          <w:rFonts w:hint="eastAsia"/>
        </w:rPr>
        <w:t>https://www.creditchina.gov.cn/xinyongfuwu/?navPage=5</w:t>
      </w:r>
      <w:r>
        <w:rPr>
          <w:rStyle w:val="34"/>
          <w:rFonts w:hint="eastAsia"/>
        </w:rPr>
        <w:fldChar w:fldCharType="end"/>
      </w:r>
    </w:p>
    <w:p>
      <w:pPr>
        <w:spacing w:line="360" w:lineRule="auto"/>
        <w:textAlignment w:val="baseline"/>
        <w:rPr>
          <w:color w:val="333333"/>
        </w:rPr>
      </w:pPr>
      <w:r>
        <w:rPr>
          <w:rFonts w:hint="eastAsia" w:ascii="仿宋" w:hAnsi="仿宋" w:eastAsia="仿宋" w:cs="Cambria Math"/>
        </w:rPr>
        <w:t>（1）失信被执行人查询截图范例：</w:t>
      </w:r>
    </w:p>
    <w:p>
      <w:pPr>
        <w:ind w:firstLine="240" w:firstLineChars="100"/>
      </w:pPr>
      <w:r>
        <w:drawing>
          <wp:inline distT="0" distB="0" distL="114300" distR="114300">
            <wp:extent cx="5909310" cy="3769360"/>
            <wp:effectExtent l="0" t="0" r="8890" b="2540"/>
            <wp:docPr id="6" name="图片 7" descr="cca28b419ce15d5afdeea5a744e8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cca28b419ce15d5afdeea5a744e8556"/>
                    <pic:cNvPicPr>
                      <a:picLocks noChangeAspect="1"/>
                    </pic:cNvPicPr>
                  </pic:nvPicPr>
                  <pic:blipFill>
                    <a:blip r:embed="rId11"/>
                    <a:srcRect b="11951"/>
                    <a:stretch>
                      <a:fillRect/>
                    </a:stretch>
                  </pic:blipFill>
                  <pic:spPr>
                    <a:xfrm>
                      <a:off x="0" y="0"/>
                      <a:ext cx="5909310" cy="3769360"/>
                    </a:xfrm>
                    <a:prstGeom prst="rect">
                      <a:avLst/>
                    </a:prstGeom>
                    <a:noFill/>
                    <a:ln>
                      <a:noFill/>
                    </a:ln>
                  </pic:spPr>
                </pic:pic>
              </a:graphicData>
            </a:graphic>
          </wp:inline>
        </w:drawing>
      </w:r>
    </w:p>
    <w:p>
      <w:pPr>
        <w:rPr>
          <w:rFonts w:hint="eastAsia" w:ascii="仿宋" w:hAnsi="仿宋" w:eastAsia="仿宋"/>
          <w:color w:val="000000"/>
          <w:szCs w:val="21"/>
        </w:rPr>
      </w:pPr>
      <w:r>
        <w:rPr>
          <w:rFonts w:hint="eastAsia" w:ascii="仿宋" w:hAnsi="仿宋" w:eastAsia="仿宋" w:cs="Cambria Math"/>
        </w:rPr>
        <w:t>（2）</w:t>
      </w:r>
      <w:r>
        <w:rPr>
          <w:rFonts w:hint="eastAsia" w:ascii="仿宋" w:hAnsi="仿宋" w:eastAsia="仿宋" w:cs="微软雅黑"/>
          <w:color w:val="000000"/>
        </w:rPr>
        <w:t>重大</w:t>
      </w:r>
      <w:r>
        <w:rPr>
          <w:rFonts w:hint="eastAsia" w:ascii="仿宋" w:hAnsi="仿宋" w:eastAsia="仿宋" w:cs="仿宋"/>
          <w:color w:val="000000"/>
        </w:rPr>
        <w:t>税收违法失信主体</w:t>
      </w:r>
      <w:r>
        <w:rPr>
          <w:rFonts w:hint="eastAsia" w:ascii="仿宋" w:hAnsi="仿宋" w:eastAsia="仿宋" w:cs="微软雅黑"/>
          <w:color w:val="000000"/>
        </w:rPr>
        <w:t>查询截图范例：</w:t>
      </w:r>
    </w:p>
    <w:p>
      <w:pPr>
        <w:rPr>
          <w:rFonts w:hint="eastAsia" w:ascii="仿宋" w:hAnsi="仿宋" w:eastAsia="仿宋" w:cs="Cambria Math"/>
        </w:rPr>
      </w:pPr>
      <w:r>
        <w:rPr>
          <w:rFonts w:ascii="仿宋" w:hAnsi="仿宋" w:eastAsia="仿宋"/>
          <w:color w:val="000000"/>
          <w:szCs w:val="21"/>
        </w:rPr>
        <w:drawing>
          <wp:inline distT="0" distB="0" distL="114300" distR="114300">
            <wp:extent cx="6119495" cy="3312795"/>
            <wp:effectExtent l="0" t="0" r="1905" b="1905"/>
            <wp:docPr id="7" name="图片 2" descr="微信图片_20220713154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微信图片_20220713154746"/>
                    <pic:cNvPicPr>
                      <a:picLocks noChangeAspect="1"/>
                    </pic:cNvPicPr>
                  </pic:nvPicPr>
                  <pic:blipFill>
                    <a:blip r:embed="rId12"/>
                    <a:stretch>
                      <a:fillRect/>
                    </a:stretch>
                  </pic:blipFill>
                  <pic:spPr>
                    <a:xfrm>
                      <a:off x="0" y="0"/>
                      <a:ext cx="6119495" cy="3312795"/>
                    </a:xfrm>
                    <a:prstGeom prst="rect">
                      <a:avLst/>
                    </a:prstGeom>
                    <a:noFill/>
                    <a:ln>
                      <a:noFill/>
                    </a:ln>
                  </pic:spPr>
                </pic:pic>
              </a:graphicData>
            </a:graphic>
          </wp:inline>
        </w:drawing>
      </w:r>
    </w:p>
    <w:p>
      <w:pPr>
        <w:ind w:firstLine="240" w:firstLineChars="100"/>
        <w:rPr>
          <w:rFonts w:hint="eastAsia" w:ascii="仿宋" w:hAnsi="仿宋" w:eastAsia="仿宋" w:cs="Cambria Math"/>
        </w:rPr>
      </w:pPr>
      <w:r>
        <w:rPr>
          <w:rFonts w:hint="eastAsia" w:ascii="仿宋" w:hAnsi="仿宋" w:eastAsia="仿宋" w:cs="Cambria Math"/>
        </w:rPr>
        <w:t>（3）政府采购严重违法失信行为记录名单查询截图范例：</w:t>
      </w:r>
    </w:p>
    <w:p>
      <w:pPr>
        <w:ind w:firstLine="240" w:firstLineChars="100"/>
      </w:pPr>
      <w:r>
        <w:drawing>
          <wp:inline distT="0" distB="0" distL="114300" distR="114300">
            <wp:extent cx="5976620" cy="3242310"/>
            <wp:effectExtent l="0" t="0" r="5080" b="889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13"/>
                    <a:stretch>
                      <a:fillRect/>
                    </a:stretch>
                  </pic:blipFill>
                  <pic:spPr>
                    <a:xfrm>
                      <a:off x="0" y="0"/>
                      <a:ext cx="5976620" cy="3242310"/>
                    </a:xfrm>
                    <a:prstGeom prst="rect">
                      <a:avLst/>
                    </a:prstGeom>
                    <a:noFill/>
                    <a:ln>
                      <a:noFill/>
                    </a:ln>
                  </pic:spPr>
                </pic:pic>
              </a:graphicData>
            </a:graphic>
          </wp:inline>
        </w:drawing>
      </w:r>
    </w:p>
    <w:p>
      <w:pPr>
        <w:pStyle w:val="7"/>
        <w:spacing w:before="0" w:after="0" w:line="360" w:lineRule="auto"/>
        <w:rPr>
          <w:rFonts w:hint="eastAsia" w:ascii="仿宋" w:hAnsi="仿宋" w:eastAsia="仿宋" w:cs="仿宋"/>
          <w:color w:val="000000"/>
          <w:sz w:val="24"/>
          <w:szCs w:val="24"/>
        </w:rPr>
      </w:pPr>
      <w:r>
        <w:rPr>
          <w:rFonts w:ascii="仿宋" w:hAnsi="仿宋" w:eastAsia="仿宋" w:cs="仿宋"/>
          <w:color w:val="000000"/>
          <w:sz w:val="24"/>
          <w:szCs w:val="24"/>
        </w:rPr>
        <w:br w:type="page"/>
      </w:r>
      <w:r>
        <w:rPr>
          <w:rFonts w:ascii="仿宋" w:hAnsi="仿宋" w:eastAsia="仿宋" w:cs="仿宋"/>
          <w:color w:val="000000"/>
          <w:sz w:val="24"/>
          <w:szCs w:val="24"/>
        </w:rPr>
        <w:t>6</w:t>
      </w:r>
      <w:r>
        <w:rPr>
          <w:rFonts w:hint="eastAsia" w:ascii="仿宋" w:hAnsi="仿宋" w:eastAsia="仿宋" w:cs="仿宋"/>
          <w:color w:val="000000"/>
          <w:sz w:val="24"/>
          <w:szCs w:val="24"/>
        </w:rPr>
        <w:t>、未列入供应商黑名单且未在禁入期承诺函</w:t>
      </w:r>
    </w:p>
    <w:p>
      <w:pPr>
        <w:pStyle w:val="2"/>
        <w:spacing w:before="240"/>
        <w:jc w:val="both"/>
        <w:rPr>
          <w:rFonts w:hint="eastAsia" w:ascii="仿宋" w:hAnsi="仿宋" w:eastAsia="仿宋" w:cs="Cambria Math"/>
          <w:color w:val="000000"/>
        </w:rPr>
      </w:pPr>
      <w:r>
        <w:rPr>
          <w:rFonts w:hint="eastAsia" w:ascii="仿宋" w:hAnsi="仿宋" w:eastAsia="仿宋" w:cs="Cambria Math"/>
          <w:color w:val="000000"/>
        </w:rPr>
        <w:t>致：</w:t>
      </w:r>
      <w:r>
        <w:rPr>
          <w:rFonts w:hint="eastAsia" w:ascii="仿宋" w:hAnsi="仿宋" w:eastAsia="仿宋" w:cs="Cambria Math"/>
          <w:color w:val="000000"/>
          <w:u w:val="single"/>
        </w:rPr>
        <w:t>（采购人名称）</w:t>
      </w:r>
      <w:r>
        <w:rPr>
          <w:rFonts w:hint="eastAsia" w:ascii="仿宋" w:hAnsi="仿宋" w:eastAsia="仿宋" w:cs="Cambria Math"/>
          <w:color w:val="000000"/>
        </w:rPr>
        <w:t>：</w:t>
      </w:r>
    </w:p>
    <w:p>
      <w:pPr>
        <w:adjustRightInd w:val="0"/>
        <w:snapToGrid w:val="0"/>
        <w:spacing w:before="240" w:line="360" w:lineRule="auto"/>
        <w:ind w:firstLine="480" w:firstLineChars="200"/>
        <w:rPr>
          <w:rFonts w:hint="eastAsia"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承诺截至本项目响应文件递交截止时间，我方未被列入采购人及其所隶属的中国人民保险各级机构的供应商黑名单且未在禁入期内。</w:t>
      </w:r>
    </w:p>
    <w:p>
      <w:pPr>
        <w:pStyle w:val="2"/>
        <w:ind w:firstLine="480" w:firstLineChars="200"/>
        <w:jc w:val="both"/>
        <w:rPr>
          <w:rFonts w:hint="eastAsia" w:ascii="仿宋" w:hAnsi="仿宋" w:eastAsia="仿宋" w:cs="Cambria Math"/>
          <w:color w:val="000000"/>
        </w:rPr>
      </w:pPr>
    </w:p>
    <w:p>
      <w:pPr>
        <w:pStyle w:val="2"/>
        <w:ind w:firstLine="480" w:firstLineChars="200"/>
        <w:jc w:val="both"/>
        <w:rPr>
          <w:rFonts w:hint="eastAsia" w:ascii="仿宋" w:hAnsi="仿宋" w:eastAsia="仿宋" w:cs="Cambria Math"/>
          <w:color w:val="000000"/>
        </w:rPr>
      </w:pPr>
      <w:r>
        <w:rPr>
          <w:rFonts w:hint="eastAsia" w:ascii="仿宋" w:hAnsi="仿宋" w:eastAsia="仿宋" w:cs="Cambria Math"/>
          <w:color w:val="000000"/>
        </w:rPr>
        <w:t>特此承诺。</w:t>
      </w:r>
    </w:p>
    <w:p>
      <w:pPr>
        <w:pStyle w:val="77"/>
        <w:ind w:firstLine="640"/>
        <w:rPr>
          <w:rFonts w:hint="eastAsia" w:ascii="仿宋" w:hAnsi="仿宋" w:eastAsia="仿宋"/>
        </w:rPr>
      </w:pPr>
    </w:p>
    <w:p>
      <w:pPr>
        <w:pStyle w:val="77"/>
        <w:ind w:firstLine="640"/>
        <w:rPr>
          <w:rFonts w:hint="eastAsia" w:ascii="仿宋" w:hAnsi="仿宋" w:eastAsia="仿宋"/>
        </w:rPr>
      </w:pPr>
    </w:p>
    <w:p>
      <w:pPr>
        <w:spacing w:line="360" w:lineRule="auto"/>
        <w:ind w:firstLine="4080" w:firstLineChars="1700"/>
        <w:jc w:val="right"/>
        <w:rPr>
          <w:rFonts w:hint="eastAsia" w:ascii="仿宋" w:hAnsi="仿宋" w:eastAsia="仿宋" w:cs="Cambria Math"/>
          <w:color w:val="000000"/>
        </w:rPr>
      </w:pPr>
    </w:p>
    <w:p>
      <w:pPr>
        <w:spacing w:line="360" w:lineRule="auto"/>
        <w:ind w:firstLine="4080" w:firstLineChars="1700"/>
        <w:jc w:val="right"/>
        <w:rPr>
          <w:rFonts w:hint="eastAsia" w:ascii="仿宋" w:hAnsi="仿宋" w:eastAsia="仿宋" w:cs="Cambria Math"/>
          <w:color w:val="000000"/>
        </w:rPr>
      </w:pPr>
    </w:p>
    <w:p>
      <w:pPr>
        <w:spacing w:line="360" w:lineRule="auto"/>
        <w:ind w:firstLine="4080" w:firstLineChars="1700"/>
        <w:jc w:val="right"/>
        <w:rPr>
          <w:rFonts w:hint="eastAsia" w:ascii="仿宋" w:hAnsi="仿宋" w:eastAsia="仿宋" w:cs="Cambria Math"/>
          <w:color w:val="000000"/>
        </w:rPr>
      </w:pPr>
    </w:p>
    <w:p>
      <w:pPr>
        <w:spacing w:line="360" w:lineRule="auto"/>
        <w:ind w:firstLine="4080" w:firstLineChars="1700"/>
        <w:jc w:val="right"/>
        <w:rPr>
          <w:rFonts w:hint="eastAsia" w:ascii="仿宋" w:hAnsi="仿宋" w:eastAsia="仿宋" w:cs="Cambria Math"/>
          <w:color w:val="000000"/>
        </w:rPr>
      </w:pPr>
    </w:p>
    <w:p>
      <w:pPr>
        <w:spacing w:line="360" w:lineRule="auto"/>
        <w:ind w:firstLine="4080" w:firstLineChars="1700"/>
        <w:jc w:val="right"/>
        <w:rPr>
          <w:rFonts w:hint="eastAsia"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pPr>
        <w:spacing w:line="360" w:lineRule="auto"/>
        <w:jc w:val="right"/>
        <w:rPr>
          <w:rFonts w:hint="eastAsia"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pPr>
        <w:pStyle w:val="67"/>
        <w:spacing w:line="360" w:lineRule="auto"/>
        <w:rPr>
          <w:rFonts w:hint="eastAsia" w:ascii="仿宋" w:hAnsi="仿宋" w:eastAsia="仿宋" w:cs="仿宋"/>
          <w:color w:val="000000"/>
        </w:rPr>
      </w:pPr>
      <w:r>
        <w:rPr>
          <w:rFonts w:hint="eastAsia" w:ascii="仿宋" w:hAnsi="仿宋" w:eastAsia="仿宋" w:cs="仿宋"/>
          <w:color w:val="000000"/>
          <w:szCs w:val="24"/>
        </w:rPr>
        <w:br w:type="page"/>
      </w:r>
    </w:p>
    <w:p>
      <w:pPr>
        <w:pStyle w:val="7"/>
        <w:spacing w:before="0" w:after="0" w:line="360" w:lineRule="auto"/>
        <w:rPr>
          <w:rFonts w:hint="eastAsia" w:ascii="仿宋" w:hAnsi="仿宋" w:eastAsia="仿宋" w:cs="仿宋"/>
          <w:color w:val="000000"/>
          <w:sz w:val="24"/>
          <w:szCs w:val="24"/>
        </w:rPr>
      </w:pPr>
      <w:bookmarkStart w:id="168" w:name="_Hlk69983040"/>
      <w:r>
        <w:rPr>
          <w:rFonts w:ascii="仿宋" w:hAnsi="仿宋" w:eastAsia="仿宋" w:cs="仿宋"/>
          <w:color w:val="000000"/>
          <w:sz w:val="24"/>
          <w:szCs w:val="24"/>
        </w:rPr>
        <w:t>7</w:t>
      </w:r>
      <w:r>
        <w:rPr>
          <w:rFonts w:hint="eastAsia" w:ascii="仿宋" w:hAnsi="仿宋" w:eastAsia="仿宋" w:cs="仿宋"/>
          <w:color w:val="000000"/>
          <w:sz w:val="24"/>
          <w:szCs w:val="24"/>
        </w:rPr>
        <w:t>、供应商控股及管理关系情况申报表</w:t>
      </w:r>
    </w:p>
    <w:p>
      <w:pPr>
        <w:pStyle w:val="52"/>
        <w:spacing w:before="240" w:after="240" w:line="360" w:lineRule="auto"/>
        <w:ind w:firstLine="0" w:firstLineChars="0"/>
        <w:jc w:val="center"/>
        <w:rPr>
          <w:rFonts w:hint="eastAsia" w:ascii="仿宋" w:hAnsi="仿宋" w:eastAsia="仿宋" w:cs="仿宋"/>
          <w:b/>
          <w:color w:val="000000"/>
        </w:rPr>
      </w:pPr>
      <w:r>
        <w:rPr>
          <w:rFonts w:hint="eastAsia" w:ascii="仿宋" w:hAnsi="仿宋" w:eastAsia="仿宋" w:cs="仿宋"/>
          <w:b/>
          <w:color w:val="000000"/>
        </w:rPr>
        <w:t>供应商控股及管理关系情况申报表</w:t>
      </w:r>
    </w:p>
    <w:p>
      <w:pPr>
        <w:adjustRightInd w:val="0"/>
        <w:snapToGrid w:val="0"/>
        <w:spacing w:line="360" w:lineRule="auto"/>
        <w:ind w:left="-89" w:leftChars="-295" w:hanging="619" w:hangingChars="258"/>
        <w:rPr>
          <w:rFonts w:hint="eastAsia" w:ascii="仿宋" w:hAnsi="仿宋" w:eastAsia="仿宋" w:cs="宋体"/>
          <w:color w:val="000000"/>
        </w:rPr>
      </w:pPr>
      <w:r>
        <w:rPr>
          <w:rFonts w:hint="eastAsia" w:ascii="仿宋" w:hAnsi="仿宋" w:eastAsia="仿宋" w:cs="宋体"/>
          <w:color w:val="000000"/>
        </w:rPr>
        <w:t>致：</w:t>
      </w:r>
      <w:r>
        <w:rPr>
          <w:rFonts w:hint="eastAsia" w:ascii="仿宋" w:hAnsi="仿宋" w:eastAsia="仿宋" w:cs="宋体"/>
          <w:color w:val="000000"/>
          <w:u w:val="single"/>
        </w:rPr>
        <w:t xml:space="preserve">  （采购人名称）  </w:t>
      </w:r>
      <w:r>
        <w:rPr>
          <w:rFonts w:hint="eastAsia" w:ascii="仿宋" w:hAnsi="仿宋" w:eastAsia="仿宋" w:cs="宋体"/>
          <w:color w:val="000000"/>
        </w:rPr>
        <w:t>：</w:t>
      </w:r>
    </w:p>
    <w:p>
      <w:pPr>
        <w:adjustRightInd w:val="0"/>
        <w:snapToGrid w:val="0"/>
        <w:spacing w:line="360" w:lineRule="auto"/>
        <w:ind w:left="-706" w:leftChars="-294" w:right="-586" w:rightChars="-244" w:firstLine="616" w:firstLineChars="257"/>
        <w:rPr>
          <w:rFonts w:hint="eastAsia" w:ascii="仿宋" w:hAnsi="仿宋" w:eastAsia="仿宋" w:cs="宋体"/>
          <w:color w:val="000000"/>
        </w:rPr>
      </w:pPr>
      <w:r>
        <w:rPr>
          <w:rFonts w:hint="eastAsia" w:ascii="仿宋" w:hAnsi="仿宋" w:eastAsia="仿宋" w:cs="宋体"/>
          <w:color w:val="000000"/>
        </w:rPr>
        <w:t>我方参加</w:t>
      </w:r>
      <w:r>
        <w:rPr>
          <w:rFonts w:hint="eastAsia" w:ascii="仿宋" w:hAnsi="仿宋" w:eastAsia="仿宋" w:cs="宋体"/>
          <w:color w:val="000000"/>
          <w:u w:val="single"/>
        </w:rPr>
        <w:t xml:space="preserve">           </w:t>
      </w:r>
      <w:r>
        <w:rPr>
          <w:rFonts w:hint="eastAsia" w:ascii="仿宋" w:hAnsi="仿宋" w:eastAsia="仿宋" w:cs="宋体"/>
          <w:color w:val="000000"/>
        </w:rPr>
        <w:t>（项目名称）的磋商，根据法律法规维护投标公正性的相关规定，我方与采购人之间</w:t>
      </w:r>
      <w:r>
        <w:rPr>
          <w:rFonts w:hint="eastAsia" w:ascii="仿宋" w:hAnsi="仿宋" w:eastAsia="仿宋" w:cs="宋体"/>
        </w:rPr>
        <w:t>不存在利害关系可</w:t>
      </w:r>
      <w:r>
        <w:rPr>
          <w:rFonts w:hint="eastAsia" w:ascii="仿宋" w:hAnsi="仿宋" w:eastAsia="仿宋" w:cs="宋体"/>
          <w:color w:val="000000"/>
        </w:rPr>
        <w:t>能影响采购公正性的法人、其他组织或者个人，特就本单位控股及管理关系情况申报如下，并承担申报不实的责任。如我方中选该项目并签署合同后，一旦发现我方申报不实，采购人可无条件终止合同。</w:t>
      </w:r>
    </w:p>
    <w:tbl>
      <w:tblPr>
        <w:tblStyle w:val="30"/>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356"/>
        <w:gridCol w:w="5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申报人名称</w:t>
            </w:r>
          </w:p>
        </w:tc>
        <w:tc>
          <w:tcPr>
            <w:tcW w:w="7926" w:type="dxa"/>
            <w:gridSpan w:val="2"/>
            <w:vAlign w:val="center"/>
          </w:tcPr>
          <w:p>
            <w:pPr>
              <w:adjustRightInd w:val="0"/>
              <w:snapToGrid w:val="0"/>
              <w:spacing w:line="440" w:lineRule="exact"/>
              <w:rPr>
                <w:rFonts w:hint="eastAsia"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926" w:type="dxa"/>
            <w:vMerge w:val="restart"/>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法定代表人/单位负责人</w:t>
            </w:r>
          </w:p>
        </w:tc>
        <w:tc>
          <w:tcPr>
            <w:tcW w:w="2356" w:type="dxa"/>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姓    名</w:t>
            </w:r>
          </w:p>
        </w:tc>
        <w:tc>
          <w:tcPr>
            <w:tcW w:w="5570" w:type="dxa"/>
            <w:vAlign w:val="center"/>
          </w:tcPr>
          <w:p>
            <w:pPr>
              <w:adjustRightInd w:val="0"/>
              <w:snapToGrid w:val="0"/>
              <w:spacing w:line="440" w:lineRule="exact"/>
              <w:rPr>
                <w:rFonts w:hint="eastAsia"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926" w:type="dxa"/>
            <w:vMerge w:val="continue"/>
            <w:vAlign w:val="center"/>
          </w:tcPr>
          <w:p>
            <w:pPr>
              <w:adjustRightInd w:val="0"/>
              <w:snapToGrid w:val="0"/>
              <w:spacing w:line="440" w:lineRule="exact"/>
              <w:rPr>
                <w:rFonts w:hint="eastAsia" w:ascii="仿宋" w:hAnsi="仿宋" w:eastAsia="仿宋" w:cs="宋体"/>
                <w:color w:val="000000"/>
              </w:rPr>
            </w:pPr>
          </w:p>
        </w:tc>
        <w:tc>
          <w:tcPr>
            <w:tcW w:w="2356" w:type="dxa"/>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身份证号</w:t>
            </w:r>
          </w:p>
        </w:tc>
        <w:tc>
          <w:tcPr>
            <w:tcW w:w="5570" w:type="dxa"/>
            <w:vAlign w:val="center"/>
          </w:tcPr>
          <w:p>
            <w:pPr>
              <w:adjustRightInd w:val="0"/>
              <w:snapToGrid w:val="0"/>
              <w:spacing w:line="440" w:lineRule="exact"/>
              <w:rPr>
                <w:rFonts w:hint="eastAsia"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单位负责人为同一人单位名称</w:t>
            </w:r>
          </w:p>
        </w:tc>
        <w:tc>
          <w:tcPr>
            <w:tcW w:w="7926" w:type="dxa"/>
            <w:gridSpan w:val="2"/>
            <w:vAlign w:val="center"/>
          </w:tcPr>
          <w:p>
            <w:pPr>
              <w:adjustRightInd w:val="0"/>
              <w:snapToGrid w:val="0"/>
              <w:spacing w:line="440" w:lineRule="exact"/>
              <w:rPr>
                <w:rFonts w:hint="eastAsia"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Merge w:val="restart"/>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控股关系</w:t>
            </w:r>
          </w:p>
        </w:tc>
        <w:tc>
          <w:tcPr>
            <w:tcW w:w="2356" w:type="dxa"/>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控股股东/投资人名称及出资比例</w:t>
            </w:r>
          </w:p>
        </w:tc>
        <w:tc>
          <w:tcPr>
            <w:tcW w:w="5570" w:type="dxa"/>
            <w:vAlign w:val="center"/>
          </w:tcPr>
          <w:p>
            <w:pPr>
              <w:adjustRightInd w:val="0"/>
              <w:snapToGrid w:val="0"/>
              <w:spacing w:line="440" w:lineRule="exact"/>
              <w:rPr>
                <w:rFonts w:hint="eastAsia"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26" w:type="dxa"/>
            <w:vMerge w:val="continue"/>
            <w:vAlign w:val="center"/>
          </w:tcPr>
          <w:p>
            <w:pPr>
              <w:adjustRightInd w:val="0"/>
              <w:snapToGrid w:val="0"/>
              <w:spacing w:line="440" w:lineRule="exact"/>
              <w:rPr>
                <w:rFonts w:hint="eastAsia" w:ascii="仿宋" w:hAnsi="仿宋" w:eastAsia="仿宋" w:cs="宋体"/>
                <w:color w:val="000000"/>
              </w:rPr>
            </w:pPr>
          </w:p>
        </w:tc>
        <w:tc>
          <w:tcPr>
            <w:tcW w:w="2356" w:type="dxa"/>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被控股/被投资单位名称及出资比例</w:t>
            </w:r>
          </w:p>
        </w:tc>
        <w:tc>
          <w:tcPr>
            <w:tcW w:w="5570" w:type="dxa"/>
            <w:vAlign w:val="center"/>
          </w:tcPr>
          <w:p>
            <w:pPr>
              <w:adjustRightInd w:val="0"/>
              <w:snapToGrid w:val="0"/>
              <w:spacing w:line="440" w:lineRule="exact"/>
              <w:rPr>
                <w:rFonts w:hint="eastAsia"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926" w:type="dxa"/>
            <w:vMerge w:val="restart"/>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管理关系</w:t>
            </w:r>
          </w:p>
        </w:tc>
        <w:tc>
          <w:tcPr>
            <w:tcW w:w="2356" w:type="dxa"/>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管理关系单位名称</w:t>
            </w:r>
          </w:p>
        </w:tc>
        <w:tc>
          <w:tcPr>
            <w:tcW w:w="5570" w:type="dxa"/>
            <w:vAlign w:val="center"/>
          </w:tcPr>
          <w:p>
            <w:pPr>
              <w:adjustRightInd w:val="0"/>
              <w:snapToGrid w:val="0"/>
              <w:spacing w:line="440" w:lineRule="exact"/>
              <w:rPr>
                <w:rFonts w:hint="eastAsia"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Merge w:val="continue"/>
            <w:vAlign w:val="center"/>
          </w:tcPr>
          <w:p>
            <w:pPr>
              <w:adjustRightInd w:val="0"/>
              <w:snapToGrid w:val="0"/>
              <w:spacing w:line="440" w:lineRule="exact"/>
              <w:rPr>
                <w:rFonts w:hint="eastAsia" w:ascii="仿宋" w:hAnsi="仿宋" w:eastAsia="仿宋" w:cs="宋体"/>
                <w:color w:val="000000"/>
              </w:rPr>
            </w:pPr>
          </w:p>
        </w:tc>
        <w:tc>
          <w:tcPr>
            <w:tcW w:w="2356" w:type="dxa"/>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被管理关系单位名称</w:t>
            </w:r>
          </w:p>
        </w:tc>
        <w:tc>
          <w:tcPr>
            <w:tcW w:w="5570" w:type="dxa"/>
            <w:vAlign w:val="center"/>
          </w:tcPr>
          <w:p>
            <w:pPr>
              <w:adjustRightInd w:val="0"/>
              <w:snapToGrid w:val="0"/>
              <w:spacing w:line="440" w:lineRule="exact"/>
              <w:rPr>
                <w:rFonts w:hint="eastAsia"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852" w:type="dxa"/>
            <w:gridSpan w:val="3"/>
            <w:vAlign w:val="center"/>
          </w:tcPr>
          <w:p>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备注：</w:t>
            </w:r>
          </w:p>
        </w:tc>
      </w:tr>
    </w:tbl>
    <w:p>
      <w:pPr>
        <w:adjustRightInd w:val="0"/>
        <w:snapToGrid w:val="0"/>
        <w:spacing w:line="360" w:lineRule="auto"/>
        <w:rPr>
          <w:rFonts w:hint="eastAsia" w:ascii="仿宋" w:hAnsi="仿宋" w:eastAsia="仿宋" w:cs="宋体"/>
          <w:color w:val="000000"/>
        </w:rPr>
      </w:pPr>
      <w:r>
        <w:rPr>
          <w:rFonts w:hint="eastAsia" w:ascii="仿宋" w:hAnsi="仿宋" w:eastAsia="仿宋" w:cs="宋体"/>
          <w:color w:val="000000"/>
        </w:rPr>
        <w:t>注：</w:t>
      </w:r>
    </w:p>
    <w:p>
      <w:pPr>
        <w:adjustRightInd w:val="0"/>
        <w:snapToGrid w:val="0"/>
        <w:spacing w:line="360" w:lineRule="auto"/>
        <w:rPr>
          <w:rFonts w:hint="eastAsia" w:ascii="仿宋" w:hAnsi="仿宋" w:eastAsia="仿宋" w:cs="宋体"/>
          <w:color w:val="000000"/>
        </w:rPr>
      </w:pPr>
      <w:r>
        <w:rPr>
          <w:rFonts w:hint="eastAsia" w:ascii="仿宋" w:hAnsi="仿宋" w:eastAsia="仿宋" w:cs="宋体"/>
          <w:color w:val="000000"/>
        </w:rPr>
        <w:t>1.控股股东/投资人是指出资比例在50%以上，或者出资比例不足50%，但享有公司股东会/董事会控制权的投资方（含单位或者个人）</w:t>
      </w:r>
    </w:p>
    <w:p>
      <w:pPr>
        <w:adjustRightInd w:val="0"/>
        <w:snapToGrid w:val="0"/>
        <w:spacing w:line="360" w:lineRule="auto"/>
        <w:ind w:left="12" w:leftChars="5"/>
        <w:rPr>
          <w:rFonts w:hint="eastAsia" w:ascii="仿宋" w:hAnsi="仿宋" w:eastAsia="仿宋" w:cs="宋体"/>
          <w:color w:val="000000"/>
        </w:rPr>
      </w:pPr>
      <w:r>
        <w:rPr>
          <w:rFonts w:hint="eastAsia" w:ascii="仿宋" w:hAnsi="仿宋" w:eastAsia="仿宋" w:cs="宋体"/>
          <w:color w:val="000000"/>
        </w:rPr>
        <w:t xml:space="preserve">2.管理关系单位是指与不具有出资持股关系的其他单位之间存在管理与被管理关系的单位； </w:t>
      </w:r>
    </w:p>
    <w:p>
      <w:pPr>
        <w:adjustRightInd w:val="0"/>
        <w:snapToGrid w:val="0"/>
        <w:spacing w:line="360" w:lineRule="auto"/>
        <w:rPr>
          <w:rFonts w:hint="eastAsia" w:ascii="仿宋" w:hAnsi="仿宋" w:eastAsia="仿宋" w:cs="宋体"/>
          <w:color w:val="000000"/>
        </w:rPr>
      </w:pPr>
      <w:r>
        <w:rPr>
          <w:rFonts w:hint="eastAsia" w:ascii="仿宋" w:hAnsi="仿宋" w:eastAsia="仿宋" w:cs="宋体"/>
          <w:color w:val="000000"/>
        </w:rPr>
        <w:t>3.如未有相关情况，请在相应栏填写“无”。</w:t>
      </w:r>
    </w:p>
    <w:p>
      <w:pPr>
        <w:pStyle w:val="79"/>
        <w:adjustRightInd w:val="0"/>
        <w:snapToGrid w:val="0"/>
        <w:spacing w:line="360" w:lineRule="auto"/>
        <w:rPr>
          <w:rFonts w:hint="eastAsia" w:ascii="仿宋" w:hAnsi="仿宋" w:eastAsia="仿宋" w:cs="宋体"/>
          <w:color w:val="000000"/>
          <w:sz w:val="24"/>
        </w:rPr>
      </w:pPr>
      <w:r>
        <w:rPr>
          <w:rFonts w:hint="eastAsia" w:ascii="仿宋" w:hAnsi="仿宋" w:eastAsia="仿宋" w:cs="宋体"/>
          <w:color w:val="000000"/>
          <w:sz w:val="24"/>
        </w:rPr>
        <w:t xml:space="preserve">2.管理关系单位是指与不具有出资持股关系的其他单位之间存在管理与被管理关系的单位； </w:t>
      </w:r>
    </w:p>
    <w:p>
      <w:pPr>
        <w:pStyle w:val="79"/>
        <w:adjustRightInd w:val="0"/>
        <w:snapToGrid w:val="0"/>
        <w:spacing w:line="360" w:lineRule="auto"/>
        <w:rPr>
          <w:rFonts w:hint="eastAsia" w:ascii="仿宋" w:hAnsi="仿宋" w:eastAsia="仿宋" w:cs="宋体"/>
          <w:color w:val="000000"/>
          <w:sz w:val="24"/>
        </w:rPr>
      </w:pPr>
      <w:r>
        <w:rPr>
          <w:rFonts w:hint="eastAsia" w:ascii="仿宋" w:hAnsi="仿宋" w:eastAsia="仿宋" w:cs="宋体"/>
          <w:color w:val="000000"/>
          <w:sz w:val="24"/>
        </w:rPr>
        <w:t>3.如未有相关情况，请在相应栏填写“无”。</w:t>
      </w:r>
    </w:p>
    <w:p>
      <w:pPr>
        <w:spacing w:line="360" w:lineRule="auto"/>
        <w:ind w:left="480" w:hanging="480" w:hangingChars="200"/>
        <w:rPr>
          <w:rFonts w:hint="eastAsia" w:ascii="仿宋" w:hAnsi="仿宋" w:eastAsia="仿宋" w:cs="宋体"/>
          <w:color w:val="000000"/>
        </w:rPr>
      </w:pPr>
    </w:p>
    <w:p>
      <w:pPr>
        <w:spacing w:line="360" w:lineRule="auto"/>
        <w:ind w:firstLine="4080" w:firstLineChars="1700"/>
        <w:jc w:val="right"/>
        <w:rPr>
          <w:rFonts w:hint="eastAsia"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pPr>
        <w:spacing w:line="360" w:lineRule="auto"/>
        <w:jc w:val="right"/>
        <w:rPr>
          <w:rFonts w:hint="eastAsia" w:ascii="仿宋" w:hAnsi="仿宋" w:eastAsia="仿宋" w:cs="Cambria Math"/>
          <w:b/>
          <w:bCs/>
          <w:color w:val="000000"/>
        </w:r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p>
    <w:p>
      <w:pPr>
        <w:pStyle w:val="7"/>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br w:type="page"/>
      </w:r>
      <w:r>
        <w:rPr>
          <w:rFonts w:hint="eastAsia" w:ascii="仿宋" w:hAnsi="仿宋" w:eastAsia="仿宋" w:cs="仿宋"/>
          <w:color w:val="000000"/>
          <w:sz w:val="24"/>
          <w:szCs w:val="24"/>
        </w:rPr>
        <w:t>8、非联合体磋商响应声明</w:t>
      </w:r>
    </w:p>
    <w:bookmarkEnd w:id="167"/>
    <w:bookmarkEnd w:id="168"/>
    <w:p>
      <w:pPr>
        <w:pStyle w:val="2"/>
        <w:spacing w:before="240"/>
        <w:rPr>
          <w:rFonts w:hint="eastAsia" w:ascii="仿宋" w:hAnsi="仿宋" w:eastAsia="仿宋" w:cs="Cambria Math"/>
          <w:b/>
          <w:bCs/>
          <w:color w:val="000000"/>
        </w:rPr>
      </w:pPr>
      <w:bookmarkStart w:id="169" w:name="_Toc71192048"/>
      <w:r>
        <w:rPr>
          <w:rFonts w:hint="eastAsia" w:ascii="仿宋" w:hAnsi="仿宋" w:eastAsia="仿宋" w:cs="Cambria Math"/>
          <w:b/>
          <w:bCs/>
          <w:color w:val="000000"/>
        </w:rPr>
        <w:t>非联合体磋商响应声明</w:t>
      </w:r>
    </w:p>
    <w:p>
      <w:pPr>
        <w:adjustRightInd w:val="0"/>
        <w:snapToGrid w:val="0"/>
        <w:spacing w:before="240" w:line="360" w:lineRule="auto"/>
        <w:rPr>
          <w:rFonts w:hint="eastAsia" w:ascii="仿宋" w:hAnsi="仿宋" w:eastAsia="仿宋" w:cs="Cambria Math"/>
          <w:color w:val="000000"/>
        </w:rPr>
      </w:pPr>
      <w:r>
        <w:rPr>
          <w:rFonts w:hint="eastAsia" w:ascii="仿宋" w:hAnsi="仿宋" w:eastAsia="仿宋" w:cs="Cambria Math"/>
          <w:color w:val="000000"/>
        </w:rPr>
        <w:t>致：（采购人）：</w:t>
      </w:r>
    </w:p>
    <w:p>
      <w:pPr>
        <w:adjustRightInd w:val="0"/>
        <w:snapToGrid w:val="0"/>
        <w:spacing w:before="240" w:line="360" w:lineRule="auto"/>
        <w:ind w:firstLine="480" w:firstLineChars="200"/>
        <w:rPr>
          <w:rFonts w:hint="eastAsia"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独立参与</w:t>
      </w:r>
      <w:r>
        <w:rPr>
          <w:rFonts w:hint="eastAsia" w:ascii="仿宋" w:hAnsi="仿宋" w:eastAsia="仿宋" w:cs="Cambria Math"/>
          <w:color w:val="000000"/>
          <w:u w:val="single"/>
        </w:rPr>
        <w:t xml:space="preserve">    （项目名称）</w:t>
      </w:r>
      <w:r>
        <w:rPr>
          <w:rFonts w:ascii="仿宋" w:hAnsi="仿宋" w:eastAsia="仿宋" w:cs="Cambria Math"/>
          <w:color w:val="000000"/>
          <w:u w:val="single"/>
        </w:rPr>
        <w:t xml:space="preserve">  </w:t>
      </w:r>
      <w:r>
        <w:rPr>
          <w:rFonts w:hint="eastAsia" w:ascii="仿宋" w:hAnsi="仿宋" w:eastAsia="仿宋" w:cs="Cambria Math"/>
          <w:color w:val="000000"/>
        </w:rPr>
        <w:t>磋商响应，非联合体参与磋商响应。</w:t>
      </w:r>
      <w:r>
        <w:rPr>
          <w:rFonts w:ascii="仿宋" w:hAnsi="仿宋" w:eastAsia="仿宋" w:cs="Cambria Math"/>
          <w:color w:val="000000"/>
        </w:rPr>
        <w:t xml:space="preserve"> </w:t>
      </w:r>
    </w:p>
    <w:p>
      <w:pPr>
        <w:pStyle w:val="2"/>
        <w:ind w:firstLine="480" w:firstLineChars="200"/>
        <w:jc w:val="both"/>
        <w:rPr>
          <w:rFonts w:hint="eastAsia" w:ascii="仿宋" w:hAnsi="仿宋" w:eastAsia="仿宋" w:cs="Cambria Math"/>
          <w:color w:val="000000"/>
        </w:rPr>
      </w:pPr>
      <w:r>
        <w:rPr>
          <w:rFonts w:hint="eastAsia" w:ascii="仿宋" w:hAnsi="仿宋" w:eastAsia="仿宋" w:cs="Cambria Math"/>
          <w:color w:val="000000"/>
        </w:rPr>
        <w:t>特此声明。</w:t>
      </w:r>
    </w:p>
    <w:p>
      <w:pPr>
        <w:pStyle w:val="77"/>
        <w:ind w:firstLine="640"/>
        <w:rPr>
          <w:rFonts w:hint="eastAsia" w:ascii="仿宋" w:hAnsi="仿宋" w:eastAsia="仿宋"/>
        </w:rPr>
      </w:pPr>
    </w:p>
    <w:p>
      <w:pPr>
        <w:pStyle w:val="77"/>
        <w:ind w:firstLine="640"/>
        <w:rPr>
          <w:rFonts w:hint="eastAsia" w:ascii="仿宋" w:hAnsi="仿宋" w:eastAsia="仿宋"/>
        </w:rPr>
      </w:pPr>
    </w:p>
    <w:p>
      <w:pPr>
        <w:pStyle w:val="77"/>
        <w:ind w:firstLine="640"/>
        <w:rPr>
          <w:rFonts w:hint="eastAsia" w:ascii="仿宋" w:hAnsi="仿宋" w:eastAsia="仿宋"/>
        </w:rPr>
      </w:pPr>
    </w:p>
    <w:p>
      <w:pPr>
        <w:pStyle w:val="77"/>
        <w:ind w:firstLine="640"/>
        <w:rPr>
          <w:rFonts w:hint="eastAsia" w:ascii="仿宋" w:hAnsi="仿宋" w:eastAsia="仿宋"/>
        </w:rPr>
      </w:pPr>
    </w:p>
    <w:p>
      <w:pPr>
        <w:pStyle w:val="77"/>
        <w:ind w:firstLine="640"/>
        <w:rPr>
          <w:rFonts w:hint="eastAsia" w:ascii="仿宋" w:hAnsi="仿宋" w:eastAsia="仿宋"/>
        </w:rPr>
      </w:pPr>
    </w:p>
    <w:p>
      <w:pPr>
        <w:pStyle w:val="77"/>
        <w:ind w:firstLine="640"/>
        <w:rPr>
          <w:rFonts w:hint="eastAsia" w:ascii="仿宋" w:hAnsi="仿宋" w:eastAsia="仿宋"/>
        </w:rPr>
      </w:pPr>
    </w:p>
    <w:p>
      <w:pPr>
        <w:pStyle w:val="77"/>
        <w:ind w:firstLine="640"/>
        <w:rPr>
          <w:rFonts w:hint="eastAsia" w:ascii="仿宋" w:hAnsi="仿宋" w:eastAsia="仿宋"/>
        </w:rPr>
      </w:pPr>
    </w:p>
    <w:p>
      <w:pPr>
        <w:spacing w:line="360" w:lineRule="auto"/>
        <w:ind w:firstLine="4080" w:firstLineChars="1700"/>
        <w:jc w:val="right"/>
        <w:rPr>
          <w:rFonts w:hint="eastAsia"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pPr>
        <w:spacing w:line="360" w:lineRule="auto"/>
        <w:jc w:val="right"/>
        <w:rPr>
          <w:rFonts w:hint="eastAsia"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pPr>
        <w:rPr>
          <w:rFonts w:hint="eastAsia" w:ascii="仿宋" w:hAnsi="仿宋" w:eastAsia="仿宋" w:cs="仿宋"/>
          <w:color w:val="000000"/>
        </w:rPr>
      </w:pPr>
      <w:r>
        <w:rPr>
          <w:rFonts w:ascii="仿宋" w:hAnsi="仿宋" w:eastAsia="仿宋" w:cs="仿宋"/>
          <w:color w:val="000000"/>
        </w:rPr>
        <w:br w:type="page"/>
      </w:r>
    </w:p>
    <w:p>
      <w:pPr>
        <w:pStyle w:val="6"/>
        <w:spacing w:before="0" w:after="0" w:line="360" w:lineRule="auto"/>
        <w:rPr>
          <w:rFonts w:hint="eastAsia" w:ascii="仿宋" w:hAnsi="仿宋" w:cs="宋体"/>
          <w:color w:val="000000"/>
          <w:szCs w:val="24"/>
        </w:rPr>
      </w:pPr>
      <w:bookmarkStart w:id="170" w:name="_Toc112068411"/>
      <w:bookmarkStart w:id="171" w:name="_Toc15130"/>
      <w:bookmarkStart w:id="172" w:name="_Toc65683009"/>
      <w:bookmarkStart w:id="173" w:name="_Toc144139212"/>
      <w:bookmarkStart w:id="174" w:name="_Toc18208"/>
      <w:bookmarkStart w:id="175" w:name="_Toc186737818"/>
      <w:r>
        <w:rPr>
          <w:rFonts w:ascii="仿宋" w:hAnsi="仿宋" w:eastAsia="仿宋" w:cs="仿宋"/>
          <w:color w:val="000000"/>
          <w:sz w:val="24"/>
          <w:szCs w:val="24"/>
        </w:rPr>
        <w:t>（</w:t>
      </w:r>
      <w:r>
        <w:rPr>
          <w:rFonts w:hint="eastAsia" w:ascii="仿宋" w:hAnsi="仿宋" w:eastAsia="仿宋" w:cs="仿宋"/>
          <w:color w:val="000000"/>
          <w:sz w:val="24"/>
          <w:szCs w:val="24"/>
        </w:rPr>
        <w:t>五</w:t>
      </w:r>
      <w:r>
        <w:rPr>
          <w:rFonts w:ascii="仿宋" w:hAnsi="仿宋" w:eastAsia="仿宋" w:cs="仿宋"/>
          <w:color w:val="000000"/>
          <w:sz w:val="24"/>
          <w:szCs w:val="24"/>
        </w:rPr>
        <w:t>）</w:t>
      </w:r>
      <w:r>
        <w:rPr>
          <w:rFonts w:hint="eastAsia" w:ascii="仿宋" w:hAnsi="仿宋" w:eastAsia="仿宋" w:cs="仿宋"/>
          <w:color w:val="000000"/>
          <w:sz w:val="24"/>
          <w:szCs w:val="24"/>
        </w:rPr>
        <w:t>供应商</w:t>
      </w:r>
      <w:r>
        <w:rPr>
          <w:rFonts w:ascii="仿宋" w:hAnsi="仿宋" w:eastAsia="仿宋" w:cs="仿宋"/>
          <w:color w:val="000000"/>
          <w:sz w:val="24"/>
          <w:szCs w:val="24"/>
        </w:rPr>
        <w:t>须知应答偏离表</w:t>
      </w:r>
      <w:bookmarkEnd w:id="170"/>
      <w:bookmarkEnd w:id="171"/>
      <w:bookmarkEnd w:id="172"/>
      <w:bookmarkEnd w:id="173"/>
      <w:bookmarkEnd w:id="174"/>
      <w:bookmarkEnd w:id="175"/>
    </w:p>
    <w:p>
      <w:pPr>
        <w:spacing w:line="360" w:lineRule="auto"/>
        <w:jc w:val="center"/>
        <w:rPr>
          <w:rFonts w:hint="eastAsia" w:ascii="仿宋" w:hAnsi="仿宋" w:eastAsia="仿宋" w:cs="宋体"/>
          <w:b/>
          <w:bCs/>
          <w:color w:val="000000"/>
        </w:rPr>
      </w:pPr>
      <w:r>
        <w:rPr>
          <w:rFonts w:hint="eastAsia" w:ascii="仿宋" w:hAnsi="仿宋" w:eastAsia="仿宋" w:cs="宋体"/>
          <w:b/>
          <w:bCs/>
          <w:color w:val="000000"/>
        </w:rPr>
        <w:t>供应商须知应答偏离表</w:t>
      </w:r>
    </w:p>
    <w:p>
      <w:pPr>
        <w:spacing w:line="360" w:lineRule="auto"/>
        <w:rPr>
          <w:rFonts w:hint="eastAsia" w:ascii="仿宋" w:hAnsi="仿宋" w:eastAsia="仿宋" w:cs="宋体"/>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宋体"/>
          <w:color w:val="000000"/>
        </w:rPr>
        <w:t xml:space="preserve">        </w:t>
      </w:r>
      <w:r>
        <w:rPr>
          <w:rFonts w:hint="eastAsia" w:ascii="仿宋" w:hAnsi="仿宋" w:eastAsia="仿宋" w:cs="宋体"/>
          <w:color w:val="000000"/>
        </w:rPr>
        <w:t xml:space="preserve"> </w:t>
      </w:r>
    </w:p>
    <w:tbl>
      <w:tblPr>
        <w:tblStyle w:val="30"/>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vAlign w:val="center"/>
          </w:tcPr>
          <w:p>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序号</w:t>
            </w:r>
          </w:p>
        </w:tc>
        <w:tc>
          <w:tcPr>
            <w:tcW w:w="2285" w:type="dxa"/>
            <w:vAlign w:val="center"/>
          </w:tcPr>
          <w:p>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条目号</w:t>
            </w:r>
          </w:p>
        </w:tc>
        <w:tc>
          <w:tcPr>
            <w:tcW w:w="2495" w:type="dxa"/>
            <w:vAlign w:val="center"/>
          </w:tcPr>
          <w:p>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原文内容</w:t>
            </w:r>
          </w:p>
        </w:tc>
        <w:tc>
          <w:tcPr>
            <w:tcW w:w="2704" w:type="dxa"/>
            <w:vAlign w:val="center"/>
          </w:tcPr>
          <w:p>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应答</w:t>
            </w:r>
          </w:p>
        </w:tc>
        <w:tc>
          <w:tcPr>
            <w:tcW w:w="1408" w:type="dxa"/>
            <w:vAlign w:val="center"/>
          </w:tcPr>
          <w:p>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hint="eastAsia" w:ascii="仿宋" w:hAnsi="仿宋" w:eastAsia="仿宋" w:cs="宋体"/>
                <w:color w:val="000000"/>
                <w:szCs w:val="21"/>
              </w:rPr>
            </w:pPr>
          </w:p>
        </w:tc>
        <w:tc>
          <w:tcPr>
            <w:tcW w:w="2285" w:type="dxa"/>
          </w:tcPr>
          <w:p>
            <w:pPr>
              <w:spacing w:line="360" w:lineRule="auto"/>
              <w:rPr>
                <w:rFonts w:hint="eastAsia" w:ascii="仿宋" w:hAnsi="仿宋" w:eastAsia="仿宋" w:cs="宋体"/>
                <w:color w:val="000000"/>
                <w:szCs w:val="21"/>
              </w:rPr>
            </w:pPr>
          </w:p>
        </w:tc>
        <w:tc>
          <w:tcPr>
            <w:tcW w:w="2495" w:type="dxa"/>
          </w:tcPr>
          <w:p>
            <w:pPr>
              <w:spacing w:line="360" w:lineRule="auto"/>
              <w:rPr>
                <w:rFonts w:hint="eastAsia" w:ascii="仿宋" w:hAnsi="仿宋" w:eastAsia="仿宋" w:cs="宋体"/>
                <w:color w:val="000000"/>
                <w:szCs w:val="21"/>
              </w:rPr>
            </w:pPr>
          </w:p>
        </w:tc>
        <w:tc>
          <w:tcPr>
            <w:tcW w:w="2704" w:type="dxa"/>
          </w:tcPr>
          <w:p>
            <w:pPr>
              <w:spacing w:line="360" w:lineRule="auto"/>
              <w:rPr>
                <w:rFonts w:hint="eastAsia" w:ascii="仿宋" w:hAnsi="仿宋" w:eastAsia="仿宋" w:cs="宋体"/>
                <w:color w:val="000000"/>
                <w:szCs w:val="21"/>
              </w:rPr>
            </w:pPr>
          </w:p>
        </w:tc>
        <w:tc>
          <w:tcPr>
            <w:tcW w:w="1408" w:type="dxa"/>
          </w:tcPr>
          <w:p>
            <w:pPr>
              <w:spacing w:line="360" w:lineRule="auto"/>
              <w:rPr>
                <w:rFonts w:hint="eastAsia" w:ascii="仿宋" w:hAnsi="仿宋" w:eastAsia="仿宋" w:cs="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hint="eastAsia" w:ascii="仿宋" w:hAnsi="仿宋" w:eastAsia="仿宋" w:cs="宋体"/>
                <w:color w:val="000000"/>
                <w:szCs w:val="21"/>
              </w:rPr>
            </w:pPr>
          </w:p>
        </w:tc>
        <w:tc>
          <w:tcPr>
            <w:tcW w:w="2285" w:type="dxa"/>
          </w:tcPr>
          <w:p>
            <w:pPr>
              <w:spacing w:line="360" w:lineRule="auto"/>
              <w:rPr>
                <w:rFonts w:hint="eastAsia" w:ascii="仿宋" w:hAnsi="仿宋" w:eastAsia="仿宋" w:cs="宋体"/>
                <w:color w:val="000000"/>
                <w:szCs w:val="21"/>
              </w:rPr>
            </w:pPr>
          </w:p>
        </w:tc>
        <w:tc>
          <w:tcPr>
            <w:tcW w:w="2495" w:type="dxa"/>
          </w:tcPr>
          <w:p>
            <w:pPr>
              <w:spacing w:line="360" w:lineRule="auto"/>
              <w:rPr>
                <w:rFonts w:hint="eastAsia" w:ascii="仿宋" w:hAnsi="仿宋" w:eastAsia="仿宋" w:cs="宋体"/>
                <w:color w:val="000000"/>
                <w:szCs w:val="21"/>
              </w:rPr>
            </w:pPr>
          </w:p>
        </w:tc>
        <w:tc>
          <w:tcPr>
            <w:tcW w:w="2704" w:type="dxa"/>
          </w:tcPr>
          <w:p>
            <w:pPr>
              <w:spacing w:line="360" w:lineRule="auto"/>
              <w:rPr>
                <w:rFonts w:hint="eastAsia" w:ascii="仿宋" w:hAnsi="仿宋" w:eastAsia="仿宋" w:cs="宋体"/>
                <w:color w:val="000000"/>
                <w:szCs w:val="21"/>
              </w:rPr>
            </w:pPr>
          </w:p>
        </w:tc>
        <w:tc>
          <w:tcPr>
            <w:tcW w:w="1408" w:type="dxa"/>
          </w:tcPr>
          <w:p>
            <w:pPr>
              <w:spacing w:line="360" w:lineRule="auto"/>
              <w:rPr>
                <w:rFonts w:hint="eastAsia" w:ascii="仿宋" w:hAnsi="仿宋" w:eastAsia="仿宋" w:cs="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hint="eastAsia" w:ascii="仿宋" w:hAnsi="仿宋" w:eastAsia="仿宋" w:cs="宋体"/>
                <w:color w:val="000000"/>
                <w:szCs w:val="21"/>
              </w:rPr>
            </w:pPr>
          </w:p>
        </w:tc>
        <w:tc>
          <w:tcPr>
            <w:tcW w:w="2285" w:type="dxa"/>
          </w:tcPr>
          <w:p>
            <w:pPr>
              <w:spacing w:line="360" w:lineRule="auto"/>
              <w:rPr>
                <w:rFonts w:hint="eastAsia" w:ascii="仿宋" w:hAnsi="仿宋" w:eastAsia="仿宋" w:cs="宋体"/>
                <w:color w:val="000000"/>
                <w:szCs w:val="21"/>
              </w:rPr>
            </w:pPr>
          </w:p>
        </w:tc>
        <w:tc>
          <w:tcPr>
            <w:tcW w:w="2495" w:type="dxa"/>
          </w:tcPr>
          <w:p>
            <w:pPr>
              <w:spacing w:line="360" w:lineRule="auto"/>
              <w:rPr>
                <w:rFonts w:hint="eastAsia" w:ascii="仿宋" w:hAnsi="仿宋" w:eastAsia="仿宋" w:cs="宋体"/>
                <w:color w:val="000000"/>
                <w:szCs w:val="21"/>
              </w:rPr>
            </w:pPr>
          </w:p>
        </w:tc>
        <w:tc>
          <w:tcPr>
            <w:tcW w:w="2704" w:type="dxa"/>
          </w:tcPr>
          <w:p>
            <w:pPr>
              <w:spacing w:line="360" w:lineRule="auto"/>
              <w:rPr>
                <w:rFonts w:hint="eastAsia" w:ascii="仿宋" w:hAnsi="仿宋" w:eastAsia="仿宋" w:cs="宋体"/>
                <w:color w:val="000000"/>
                <w:szCs w:val="21"/>
              </w:rPr>
            </w:pPr>
          </w:p>
        </w:tc>
        <w:tc>
          <w:tcPr>
            <w:tcW w:w="1408" w:type="dxa"/>
          </w:tcPr>
          <w:p>
            <w:pPr>
              <w:spacing w:line="360" w:lineRule="auto"/>
              <w:rPr>
                <w:rFonts w:hint="eastAsia" w:ascii="仿宋" w:hAnsi="仿宋" w:eastAsia="仿宋" w:cs="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hint="eastAsia" w:ascii="仿宋" w:hAnsi="仿宋" w:eastAsia="仿宋" w:cs="宋体"/>
                <w:color w:val="000000"/>
                <w:szCs w:val="21"/>
              </w:rPr>
            </w:pPr>
          </w:p>
        </w:tc>
        <w:tc>
          <w:tcPr>
            <w:tcW w:w="2285" w:type="dxa"/>
          </w:tcPr>
          <w:p>
            <w:pPr>
              <w:spacing w:line="360" w:lineRule="auto"/>
              <w:rPr>
                <w:rFonts w:hint="eastAsia" w:ascii="仿宋" w:hAnsi="仿宋" w:eastAsia="仿宋" w:cs="宋体"/>
                <w:color w:val="000000"/>
                <w:szCs w:val="21"/>
              </w:rPr>
            </w:pPr>
          </w:p>
        </w:tc>
        <w:tc>
          <w:tcPr>
            <w:tcW w:w="2495" w:type="dxa"/>
          </w:tcPr>
          <w:p>
            <w:pPr>
              <w:spacing w:line="360" w:lineRule="auto"/>
              <w:rPr>
                <w:rFonts w:hint="eastAsia" w:ascii="仿宋" w:hAnsi="仿宋" w:eastAsia="仿宋" w:cs="宋体"/>
                <w:color w:val="000000"/>
                <w:szCs w:val="21"/>
              </w:rPr>
            </w:pPr>
          </w:p>
        </w:tc>
        <w:tc>
          <w:tcPr>
            <w:tcW w:w="2704" w:type="dxa"/>
          </w:tcPr>
          <w:p>
            <w:pPr>
              <w:spacing w:line="360" w:lineRule="auto"/>
              <w:rPr>
                <w:rFonts w:hint="eastAsia" w:ascii="仿宋" w:hAnsi="仿宋" w:eastAsia="仿宋" w:cs="宋体"/>
                <w:color w:val="000000"/>
                <w:szCs w:val="21"/>
              </w:rPr>
            </w:pPr>
          </w:p>
        </w:tc>
        <w:tc>
          <w:tcPr>
            <w:tcW w:w="1408" w:type="dxa"/>
          </w:tcPr>
          <w:p>
            <w:pPr>
              <w:spacing w:line="360" w:lineRule="auto"/>
              <w:rPr>
                <w:rFonts w:hint="eastAsia" w:ascii="仿宋" w:hAnsi="仿宋" w:eastAsia="仿宋" w:cs="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hint="eastAsia" w:ascii="仿宋" w:hAnsi="仿宋" w:eastAsia="仿宋" w:cs="宋体"/>
                <w:color w:val="000000"/>
                <w:szCs w:val="21"/>
              </w:rPr>
            </w:pPr>
          </w:p>
        </w:tc>
        <w:tc>
          <w:tcPr>
            <w:tcW w:w="2285" w:type="dxa"/>
          </w:tcPr>
          <w:p>
            <w:pPr>
              <w:spacing w:line="360" w:lineRule="auto"/>
              <w:rPr>
                <w:rFonts w:hint="eastAsia" w:ascii="仿宋" w:hAnsi="仿宋" w:eastAsia="仿宋" w:cs="宋体"/>
                <w:color w:val="000000"/>
                <w:szCs w:val="21"/>
              </w:rPr>
            </w:pPr>
          </w:p>
        </w:tc>
        <w:tc>
          <w:tcPr>
            <w:tcW w:w="2495" w:type="dxa"/>
          </w:tcPr>
          <w:p>
            <w:pPr>
              <w:spacing w:line="360" w:lineRule="auto"/>
              <w:rPr>
                <w:rFonts w:hint="eastAsia" w:ascii="仿宋" w:hAnsi="仿宋" w:eastAsia="仿宋" w:cs="宋体"/>
                <w:color w:val="000000"/>
                <w:szCs w:val="21"/>
              </w:rPr>
            </w:pPr>
          </w:p>
        </w:tc>
        <w:tc>
          <w:tcPr>
            <w:tcW w:w="2704" w:type="dxa"/>
          </w:tcPr>
          <w:p>
            <w:pPr>
              <w:spacing w:line="360" w:lineRule="auto"/>
              <w:rPr>
                <w:rFonts w:hint="eastAsia" w:ascii="仿宋" w:hAnsi="仿宋" w:eastAsia="仿宋" w:cs="宋体"/>
                <w:color w:val="000000"/>
                <w:szCs w:val="21"/>
              </w:rPr>
            </w:pPr>
          </w:p>
        </w:tc>
        <w:tc>
          <w:tcPr>
            <w:tcW w:w="1408" w:type="dxa"/>
          </w:tcPr>
          <w:p>
            <w:pPr>
              <w:spacing w:line="360" w:lineRule="auto"/>
              <w:rPr>
                <w:rFonts w:hint="eastAsia" w:ascii="仿宋" w:hAnsi="仿宋" w:eastAsia="仿宋" w:cs="宋体"/>
                <w:color w:val="000000"/>
                <w:szCs w:val="21"/>
              </w:rPr>
            </w:pPr>
          </w:p>
        </w:tc>
      </w:tr>
    </w:tbl>
    <w:p>
      <w:pPr>
        <w:spacing w:line="360" w:lineRule="auto"/>
        <w:ind w:left="480" w:hanging="480" w:hangingChars="200"/>
        <w:rPr>
          <w:rFonts w:hint="eastAsia" w:ascii="仿宋" w:hAnsi="仿宋" w:eastAsia="仿宋" w:cs="宋体"/>
          <w:b/>
          <w:bCs/>
          <w:color w:val="000000"/>
        </w:rPr>
      </w:pPr>
      <w:r>
        <w:rPr>
          <w:rFonts w:hint="eastAsia" w:ascii="仿宋" w:hAnsi="仿宋" w:eastAsia="仿宋" w:cs="宋体"/>
          <w:color w:val="000000"/>
        </w:rPr>
        <w:t>注：所有偏离须在本表中列出，未在本偏离表中列出偏离，将视为供应商已完全接受磋商文件要求</w:t>
      </w:r>
      <w:r>
        <w:rPr>
          <w:rFonts w:hint="eastAsia" w:ascii="仿宋" w:hAnsi="仿宋" w:eastAsia="仿宋" w:cs="宋体"/>
          <w:b/>
          <w:bCs/>
          <w:color w:val="000000"/>
        </w:rPr>
        <w:t>。如全部满足，在偏离表中应答“全部满足”即可。</w:t>
      </w:r>
    </w:p>
    <w:p>
      <w:pPr>
        <w:spacing w:line="360" w:lineRule="auto"/>
        <w:ind w:firstLine="4080" w:firstLineChars="1700"/>
        <w:jc w:val="right"/>
        <w:rPr>
          <w:rFonts w:hint="eastAsia" w:ascii="仿宋" w:hAnsi="仿宋" w:eastAsia="仿宋" w:cs="宋体"/>
          <w:color w:val="000000"/>
        </w:rPr>
      </w:pPr>
    </w:p>
    <w:p>
      <w:pPr>
        <w:spacing w:line="360" w:lineRule="auto"/>
        <w:ind w:firstLine="4080" w:firstLineChars="1700"/>
        <w:jc w:val="right"/>
        <w:rPr>
          <w:rFonts w:hint="eastAsia" w:ascii="仿宋" w:hAnsi="仿宋" w:eastAsia="仿宋" w:cs="宋体"/>
          <w:color w:val="000000"/>
        </w:rPr>
      </w:pPr>
    </w:p>
    <w:p>
      <w:pPr>
        <w:spacing w:line="360" w:lineRule="auto"/>
        <w:ind w:firstLine="4080" w:firstLineChars="1700"/>
        <w:jc w:val="right"/>
        <w:rPr>
          <w:rFonts w:hint="eastAsia" w:ascii="仿宋" w:hAnsi="仿宋" w:eastAsia="仿宋" w:cs="宋体"/>
          <w:color w:val="000000"/>
        </w:rPr>
      </w:pPr>
    </w:p>
    <w:p>
      <w:pPr>
        <w:spacing w:line="360" w:lineRule="auto"/>
        <w:ind w:firstLine="4080" w:firstLineChars="1700"/>
        <w:jc w:val="right"/>
        <w:rPr>
          <w:rFonts w:hint="eastAsia"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pPr>
        <w:spacing w:line="360" w:lineRule="auto"/>
        <w:jc w:val="right"/>
        <w:rPr>
          <w:rFonts w:hint="eastAsia" w:ascii="仿宋" w:hAnsi="仿宋" w:eastAsia="仿宋" w:cs="宋体"/>
          <w:color w:val="000000"/>
        </w:rPr>
        <w:sectPr>
          <w:pgSz w:w="11906" w:h="16838"/>
          <w:pgMar w:top="1417" w:right="1134" w:bottom="1134" w:left="1134" w:header="851" w:footer="992" w:gutter="0"/>
          <w:cols w:space="720" w:num="1"/>
          <w:titlePg/>
          <w:docGrid w:type="lines" w:linePitch="312" w:charSpace="0"/>
        </w:sect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p>
    <w:p>
      <w:pPr>
        <w:spacing w:line="360" w:lineRule="auto"/>
        <w:rPr>
          <w:rFonts w:hint="eastAsia" w:ascii="仿宋" w:hAnsi="仿宋" w:eastAsia="仿宋" w:cs="仿宋"/>
          <w:b/>
          <w:bCs/>
          <w:color w:val="000000"/>
        </w:rPr>
      </w:pPr>
      <w:r>
        <w:rPr>
          <w:rFonts w:hint="eastAsia" w:ascii="仿宋" w:hAnsi="仿宋" w:eastAsia="仿宋" w:cs="仿宋"/>
          <w:b/>
          <w:bCs/>
          <w:color w:val="000000"/>
        </w:rPr>
        <w:t>（六）合同条款应答偏</w:t>
      </w:r>
      <w:r>
        <w:rPr>
          <w:rFonts w:ascii="仿宋" w:hAnsi="仿宋" w:eastAsia="仿宋" w:cs="仿宋"/>
          <w:b/>
          <w:bCs/>
          <w:color w:val="000000"/>
        </w:rPr>
        <w:t>离表</w:t>
      </w:r>
    </w:p>
    <w:p>
      <w:pPr>
        <w:spacing w:line="360" w:lineRule="auto"/>
        <w:jc w:val="center"/>
        <w:rPr>
          <w:rFonts w:hint="eastAsia" w:ascii="仿宋" w:hAnsi="仿宋" w:eastAsia="仿宋" w:cs="仿宋"/>
          <w:b/>
          <w:bCs/>
          <w:color w:val="000000"/>
        </w:rPr>
      </w:pPr>
      <w:r>
        <w:rPr>
          <w:rFonts w:hint="eastAsia" w:ascii="仿宋" w:hAnsi="仿宋" w:eastAsia="仿宋" w:cs="仿宋"/>
          <w:b/>
          <w:bCs/>
          <w:color w:val="000000"/>
        </w:rPr>
        <w:t>合同条款应答偏离表</w:t>
      </w:r>
    </w:p>
    <w:p>
      <w:pPr>
        <w:spacing w:line="360" w:lineRule="auto"/>
        <w:rPr>
          <w:rFonts w:hint="eastAsia"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p>
    <w:tbl>
      <w:tblPr>
        <w:tblStyle w:val="30"/>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vAlign w:val="center"/>
          </w:tcPr>
          <w:p>
            <w:pPr>
              <w:spacing w:line="360" w:lineRule="auto"/>
              <w:jc w:val="center"/>
              <w:rPr>
                <w:rFonts w:hint="eastAsia" w:ascii="仿宋" w:hAnsi="仿宋" w:eastAsia="仿宋" w:cs="Cambria Math"/>
                <w:color w:val="000000"/>
                <w:szCs w:val="21"/>
              </w:rPr>
            </w:pPr>
            <w:r>
              <w:rPr>
                <w:rFonts w:hint="eastAsia" w:ascii="仿宋" w:hAnsi="仿宋" w:eastAsia="仿宋" w:cs="Cambria Math"/>
                <w:color w:val="000000"/>
                <w:szCs w:val="21"/>
              </w:rPr>
              <w:t>序号</w:t>
            </w:r>
          </w:p>
        </w:tc>
        <w:tc>
          <w:tcPr>
            <w:tcW w:w="2285" w:type="dxa"/>
            <w:vAlign w:val="center"/>
          </w:tcPr>
          <w:p>
            <w:pPr>
              <w:spacing w:line="360" w:lineRule="auto"/>
              <w:jc w:val="center"/>
              <w:rPr>
                <w:rFonts w:hint="eastAsia" w:ascii="仿宋" w:hAnsi="仿宋" w:eastAsia="仿宋" w:cs="Cambria Math"/>
                <w:color w:val="000000"/>
                <w:szCs w:val="21"/>
              </w:rPr>
            </w:pPr>
            <w:r>
              <w:rPr>
                <w:rFonts w:hint="eastAsia" w:ascii="仿宋" w:hAnsi="仿宋" w:eastAsia="仿宋" w:cs="Cambria Math"/>
                <w:color w:val="000000"/>
                <w:szCs w:val="21"/>
              </w:rPr>
              <w:t>条目号</w:t>
            </w:r>
          </w:p>
        </w:tc>
        <w:tc>
          <w:tcPr>
            <w:tcW w:w="2495" w:type="dxa"/>
            <w:vAlign w:val="center"/>
          </w:tcPr>
          <w:p>
            <w:pPr>
              <w:spacing w:line="360" w:lineRule="auto"/>
              <w:jc w:val="center"/>
              <w:rPr>
                <w:rFonts w:hint="eastAsia" w:ascii="仿宋" w:hAnsi="仿宋" w:eastAsia="仿宋" w:cs="Cambria Math"/>
                <w:color w:val="000000"/>
                <w:szCs w:val="21"/>
              </w:rPr>
            </w:pPr>
            <w:r>
              <w:rPr>
                <w:rFonts w:hint="eastAsia" w:ascii="仿宋" w:hAnsi="仿宋" w:eastAsia="仿宋" w:cs="Cambria Math"/>
                <w:color w:val="000000"/>
                <w:szCs w:val="21"/>
              </w:rPr>
              <w:t>原文内容</w:t>
            </w:r>
          </w:p>
        </w:tc>
        <w:tc>
          <w:tcPr>
            <w:tcW w:w="2704" w:type="dxa"/>
            <w:vAlign w:val="center"/>
          </w:tcPr>
          <w:p>
            <w:pPr>
              <w:spacing w:line="360" w:lineRule="auto"/>
              <w:jc w:val="center"/>
              <w:rPr>
                <w:rFonts w:hint="eastAsia" w:ascii="仿宋" w:hAnsi="仿宋" w:eastAsia="仿宋" w:cs="Cambria Math"/>
                <w:color w:val="000000"/>
                <w:szCs w:val="21"/>
              </w:rPr>
            </w:pPr>
            <w:r>
              <w:rPr>
                <w:rFonts w:hint="eastAsia" w:ascii="仿宋" w:hAnsi="仿宋" w:eastAsia="仿宋" w:cs="Cambria Math"/>
                <w:color w:val="000000"/>
                <w:szCs w:val="21"/>
              </w:rPr>
              <w:t>应答</w:t>
            </w:r>
          </w:p>
        </w:tc>
        <w:tc>
          <w:tcPr>
            <w:tcW w:w="1408" w:type="dxa"/>
            <w:vAlign w:val="center"/>
          </w:tcPr>
          <w:p>
            <w:pPr>
              <w:spacing w:line="360" w:lineRule="auto"/>
              <w:jc w:val="center"/>
              <w:rPr>
                <w:rFonts w:hint="eastAsia" w:ascii="仿宋" w:hAnsi="仿宋" w:eastAsia="仿宋" w:cs="Cambria Math"/>
                <w:color w:val="000000"/>
                <w:szCs w:val="21"/>
              </w:rPr>
            </w:pPr>
            <w:r>
              <w:rPr>
                <w:rFonts w:hint="eastAsia" w:ascii="仿宋" w:hAnsi="仿宋" w:eastAsia="仿宋" w:cs="Cambria Math"/>
                <w:color w:val="000000"/>
                <w:szCs w:val="21"/>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hint="eastAsia" w:ascii="仿宋" w:hAnsi="仿宋" w:eastAsia="仿宋" w:cs="Cambria Math"/>
                <w:color w:val="000000"/>
                <w:szCs w:val="21"/>
              </w:rPr>
            </w:pPr>
          </w:p>
        </w:tc>
        <w:tc>
          <w:tcPr>
            <w:tcW w:w="2285" w:type="dxa"/>
          </w:tcPr>
          <w:p>
            <w:pPr>
              <w:spacing w:line="360" w:lineRule="auto"/>
              <w:rPr>
                <w:rFonts w:hint="eastAsia" w:ascii="仿宋" w:hAnsi="仿宋" w:eastAsia="仿宋" w:cs="Cambria Math"/>
                <w:color w:val="000000"/>
                <w:szCs w:val="21"/>
              </w:rPr>
            </w:pPr>
          </w:p>
        </w:tc>
        <w:tc>
          <w:tcPr>
            <w:tcW w:w="2495" w:type="dxa"/>
          </w:tcPr>
          <w:p>
            <w:pPr>
              <w:spacing w:line="360" w:lineRule="auto"/>
              <w:rPr>
                <w:rFonts w:hint="eastAsia" w:ascii="仿宋" w:hAnsi="仿宋" w:eastAsia="仿宋" w:cs="Cambria Math"/>
                <w:color w:val="000000"/>
                <w:szCs w:val="21"/>
              </w:rPr>
            </w:pPr>
          </w:p>
        </w:tc>
        <w:tc>
          <w:tcPr>
            <w:tcW w:w="2704" w:type="dxa"/>
          </w:tcPr>
          <w:p>
            <w:pPr>
              <w:spacing w:line="360" w:lineRule="auto"/>
              <w:rPr>
                <w:rFonts w:hint="eastAsia" w:ascii="仿宋" w:hAnsi="仿宋" w:eastAsia="仿宋" w:cs="Cambria Math"/>
                <w:color w:val="000000"/>
                <w:szCs w:val="21"/>
              </w:rPr>
            </w:pPr>
          </w:p>
        </w:tc>
        <w:tc>
          <w:tcPr>
            <w:tcW w:w="1408" w:type="dxa"/>
          </w:tcPr>
          <w:p>
            <w:pPr>
              <w:spacing w:line="360" w:lineRule="auto"/>
              <w:rPr>
                <w:rFonts w:hint="eastAsia"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hint="eastAsia" w:ascii="仿宋" w:hAnsi="仿宋" w:eastAsia="仿宋" w:cs="Cambria Math"/>
                <w:color w:val="000000"/>
                <w:szCs w:val="21"/>
              </w:rPr>
            </w:pPr>
          </w:p>
        </w:tc>
        <w:tc>
          <w:tcPr>
            <w:tcW w:w="2285" w:type="dxa"/>
          </w:tcPr>
          <w:p>
            <w:pPr>
              <w:spacing w:line="360" w:lineRule="auto"/>
              <w:rPr>
                <w:rFonts w:hint="eastAsia" w:ascii="仿宋" w:hAnsi="仿宋" w:eastAsia="仿宋" w:cs="Cambria Math"/>
                <w:color w:val="000000"/>
                <w:szCs w:val="21"/>
              </w:rPr>
            </w:pPr>
          </w:p>
        </w:tc>
        <w:tc>
          <w:tcPr>
            <w:tcW w:w="2495" w:type="dxa"/>
          </w:tcPr>
          <w:p>
            <w:pPr>
              <w:spacing w:line="360" w:lineRule="auto"/>
              <w:rPr>
                <w:rFonts w:hint="eastAsia" w:ascii="仿宋" w:hAnsi="仿宋" w:eastAsia="仿宋" w:cs="Cambria Math"/>
                <w:color w:val="000000"/>
                <w:szCs w:val="21"/>
              </w:rPr>
            </w:pPr>
          </w:p>
        </w:tc>
        <w:tc>
          <w:tcPr>
            <w:tcW w:w="2704" w:type="dxa"/>
          </w:tcPr>
          <w:p>
            <w:pPr>
              <w:spacing w:line="360" w:lineRule="auto"/>
              <w:rPr>
                <w:rFonts w:hint="eastAsia" w:ascii="仿宋" w:hAnsi="仿宋" w:eastAsia="仿宋" w:cs="Cambria Math"/>
                <w:color w:val="000000"/>
                <w:szCs w:val="21"/>
              </w:rPr>
            </w:pPr>
          </w:p>
        </w:tc>
        <w:tc>
          <w:tcPr>
            <w:tcW w:w="1408" w:type="dxa"/>
          </w:tcPr>
          <w:p>
            <w:pPr>
              <w:spacing w:line="360" w:lineRule="auto"/>
              <w:rPr>
                <w:rFonts w:hint="eastAsia"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hint="eastAsia" w:ascii="仿宋" w:hAnsi="仿宋" w:eastAsia="仿宋" w:cs="Cambria Math"/>
                <w:color w:val="000000"/>
                <w:szCs w:val="21"/>
              </w:rPr>
            </w:pPr>
          </w:p>
        </w:tc>
        <w:tc>
          <w:tcPr>
            <w:tcW w:w="2285" w:type="dxa"/>
          </w:tcPr>
          <w:p>
            <w:pPr>
              <w:spacing w:line="360" w:lineRule="auto"/>
              <w:rPr>
                <w:rFonts w:hint="eastAsia" w:ascii="仿宋" w:hAnsi="仿宋" w:eastAsia="仿宋" w:cs="Cambria Math"/>
                <w:color w:val="000000"/>
                <w:szCs w:val="21"/>
              </w:rPr>
            </w:pPr>
          </w:p>
        </w:tc>
        <w:tc>
          <w:tcPr>
            <w:tcW w:w="2495" w:type="dxa"/>
          </w:tcPr>
          <w:p>
            <w:pPr>
              <w:spacing w:line="360" w:lineRule="auto"/>
              <w:rPr>
                <w:rFonts w:hint="eastAsia" w:ascii="仿宋" w:hAnsi="仿宋" w:eastAsia="仿宋" w:cs="Cambria Math"/>
                <w:color w:val="000000"/>
                <w:szCs w:val="21"/>
              </w:rPr>
            </w:pPr>
          </w:p>
        </w:tc>
        <w:tc>
          <w:tcPr>
            <w:tcW w:w="2704" w:type="dxa"/>
          </w:tcPr>
          <w:p>
            <w:pPr>
              <w:spacing w:line="360" w:lineRule="auto"/>
              <w:rPr>
                <w:rFonts w:hint="eastAsia" w:ascii="仿宋" w:hAnsi="仿宋" w:eastAsia="仿宋" w:cs="Cambria Math"/>
                <w:color w:val="000000"/>
                <w:szCs w:val="21"/>
              </w:rPr>
            </w:pPr>
          </w:p>
        </w:tc>
        <w:tc>
          <w:tcPr>
            <w:tcW w:w="1408" w:type="dxa"/>
          </w:tcPr>
          <w:p>
            <w:pPr>
              <w:spacing w:line="360" w:lineRule="auto"/>
              <w:rPr>
                <w:rFonts w:hint="eastAsia"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hint="eastAsia" w:ascii="仿宋" w:hAnsi="仿宋" w:eastAsia="仿宋" w:cs="Cambria Math"/>
                <w:color w:val="000000"/>
                <w:szCs w:val="21"/>
              </w:rPr>
            </w:pPr>
          </w:p>
        </w:tc>
        <w:tc>
          <w:tcPr>
            <w:tcW w:w="2285" w:type="dxa"/>
          </w:tcPr>
          <w:p>
            <w:pPr>
              <w:spacing w:line="360" w:lineRule="auto"/>
              <w:rPr>
                <w:rFonts w:hint="eastAsia" w:ascii="仿宋" w:hAnsi="仿宋" w:eastAsia="仿宋" w:cs="Cambria Math"/>
                <w:color w:val="000000"/>
                <w:szCs w:val="21"/>
              </w:rPr>
            </w:pPr>
          </w:p>
        </w:tc>
        <w:tc>
          <w:tcPr>
            <w:tcW w:w="2495" w:type="dxa"/>
          </w:tcPr>
          <w:p>
            <w:pPr>
              <w:spacing w:line="360" w:lineRule="auto"/>
              <w:rPr>
                <w:rFonts w:hint="eastAsia" w:ascii="仿宋" w:hAnsi="仿宋" w:eastAsia="仿宋" w:cs="Cambria Math"/>
                <w:color w:val="000000"/>
                <w:szCs w:val="21"/>
              </w:rPr>
            </w:pPr>
          </w:p>
        </w:tc>
        <w:tc>
          <w:tcPr>
            <w:tcW w:w="2704" w:type="dxa"/>
          </w:tcPr>
          <w:p>
            <w:pPr>
              <w:spacing w:line="360" w:lineRule="auto"/>
              <w:rPr>
                <w:rFonts w:hint="eastAsia" w:ascii="仿宋" w:hAnsi="仿宋" w:eastAsia="仿宋" w:cs="Cambria Math"/>
                <w:color w:val="000000"/>
                <w:szCs w:val="21"/>
              </w:rPr>
            </w:pPr>
          </w:p>
        </w:tc>
        <w:tc>
          <w:tcPr>
            <w:tcW w:w="1408" w:type="dxa"/>
          </w:tcPr>
          <w:p>
            <w:pPr>
              <w:spacing w:line="360" w:lineRule="auto"/>
              <w:rPr>
                <w:rFonts w:hint="eastAsia"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hint="eastAsia" w:ascii="仿宋" w:hAnsi="仿宋" w:eastAsia="仿宋" w:cs="Cambria Math"/>
                <w:color w:val="000000"/>
                <w:szCs w:val="21"/>
              </w:rPr>
            </w:pPr>
          </w:p>
        </w:tc>
        <w:tc>
          <w:tcPr>
            <w:tcW w:w="2285" w:type="dxa"/>
          </w:tcPr>
          <w:p>
            <w:pPr>
              <w:spacing w:line="360" w:lineRule="auto"/>
              <w:rPr>
                <w:rFonts w:hint="eastAsia" w:ascii="仿宋" w:hAnsi="仿宋" w:eastAsia="仿宋" w:cs="Cambria Math"/>
                <w:color w:val="000000"/>
                <w:szCs w:val="21"/>
              </w:rPr>
            </w:pPr>
          </w:p>
        </w:tc>
        <w:tc>
          <w:tcPr>
            <w:tcW w:w="2495" w:type="dxa"/>
          </w:tcPr>
          <w:p>
            <w:pPr>
              <w:spacing w:line="360" w:lineRule="auto"/>
              <w:rPr>
                <w:rFonts w:hint="eastAsia" w:ascii="仿宋" w:hAnsi="仿宋" w:eastAsia="仿宋" w:cs="Cambria Math"/>
                <w:color w:val="000000"/>
                <w:szCs w:val="21"/>
              </w:rPr>
            </w:pPr>
          </w:p>
        </w:tc>
        <w:tc>
          <w:tcPr>
            <w:tcW w:w="2704" w:type="dxa"/>
          </w:tcPr>
          <w:p>
            <w:pPr>
              <w:spacing w:line="360" w:lineRule="auto"/>
              <w:rPr>
                <w:rFonts w:hint="eastAsia" w:ascii="仿宋" w:hAnsi="仿宋" w:eastAsia="仿宋" w:cs="Cambria Math"/>
                <w:color w:val="000000"/>
                <w:szCs w:val="21"/>
              </w:rPr>
            </w:pPr>
          </w:p>
        </w:tc>
        <w:tc>
          <w:tcPr>
            <w:tcW w:w="1408" w:type="dxa"/>
          </w:tcPr>
          <w:p>
            <w:pPr>
              <w:spacing w:line="360" w:lineRule="auto"/>
              <w:rPr>
                <w:rFonts w:hint="eastAsia"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hint="eastAsia" w:ascii="仿宋" w:hAnsi="仿宋" w:eastAsia="仿宋" w:cs="Cambria Math"/>
                <w:color w:val="000000"/>
                <w:szCs w:val="21"/>
              </w:rPr>
            </w:pPr>
          </w:p>
        </w:tc>
        <w:tc>
          <w:tcPr>
            <w:tcW w:w="2285" w:type="dxa"/>
          </w:tcPr>
          <w:p>
            <w:pPr>
              <w:spacing w:line="360" w:lineRule="auto"/>
              <w:rPr>
                <w:rFonts w:hint="eastAsia" w:ascii="仿宋" w:hAnsi="仿宋" w:eastAsia="仿宋" w:cs="Cambria Math"/>
                <w:color w:val="000000"/>
                <w:szCs w:val="21"/>
              </w:rPr>
            </w:pPr>
          </w:p>
        </w:tc>
        <w:tc>
          <w:tcPr>
            <w:tcW w:w="2495" w:type="dxa"/>
          </w:tcPr>
          <w:p>
            <w:pPr>
              <w:spacing w:line="360" w:lineRule="auto"/>
              <w:rPr>
                <w:rFonts w:hint="eastAsia" w:ascii="仿宋" w:hAnsi="仿宋" w:eastAsia="仿宋" w:cs="Cambria Math"/>
                <w:color w:val="000000"/>
                <w:szCs w:val="21"/>
              </w:rPr>
            </w:pPr>
          </w:p>
        </w:tc>
        <w:tc>
          <w:tcPr>
            <w:tcW w:w="2704" w:type="dxa"/>
          </w:tcPr>
          <w:p>
            <w:pPr>
              <w:spacing w:line="360" w:lineRule="auto"/>
              <w:rPr>
                <w:rFonts w:hint="eastAsia" w:ascii="仿宋" w:hAnsi="仿宋" w:eastAsia="仿宋" w:cs="Cambria Math"/>
                <w:color w:val="000000"/>
                <w:szCs w:val="21"/>
              </w:rPr>
            </w:pPr>
          </w:p>
        </w:tc>
        <w:tc>
          <w:tcPr>
            <w:tcW w:w="1408" w:type="dxa"/>
          </w:tcPr>
          <w:p>
            <w:pPr>
              <w:spacing w:line="360" w:lineRule="auto"/>
              <w:rPr>
                <w:rFonts w:hint="eastAsia"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hint="eastAsia" w:ascii="仿宋" w:hAnsi="仿宋" w:eastAsia="仿宋" w:cs="Cambria Math"/>
                <w:color w:val="000000"/>
                <w:szCs w:val="21"/>
              </w:rPr>
            </w:pPr>
          </w:p>
        </w:tc>
        <w:tc>
          <w:tcPr>
            <w:tcW w:w="2285" w:type="dxa"/>
          </w:tcPr>
          <w:p>
            <w:pPr>
              <w:spacing w:line="360" w:lineRule="auto"/>
              <w:rPr>
                <w:rFonts w:hint="eastAsia" w:ascii="仿宋" w:hAnsi="仿宋" w:eastAsia="仿宋" w:cs="Cambria Math"/>
                <w:color w:val="000000"/>
                <w:szCs w:val="21"/>
              </w:rPr>
            </w:pPr>
          </w:p>
        </w:tc>
        <w:tc>
          <w:tcPr>
            <w:tcW w:w="2495" w:type="dxa"/>
          </w:tcPr>
          <w:p>
            <w:pPr>
              <w:spacing w:line="360" w:lineRule="auto"/>
              <w:rPr>
                <w:rFonts w:hint="eastAsia" w:ascii="仿宋" w:hAnsi="仿宋" w:eastAsia="仿宋" w:cs="Cambria Math"/>
                <w:color w:val="000000"/>
                <w:szCs w:val="21"/>
              </w:rPr>
            </w:pPr>
          </w:p>
        </w:tc>
        <w:tc>
          <w:tcPr>
            <w:tcW w:w="2704" w:type="dxa"/>
          </w:tcPr>
          <w:p>
            <w:pPr>
              <w:spacing w:line="360" w:lineRule="auto"/>
              <w:rPr>
                <w:rFonts w:hint="eastAsia" w:ascii="仿宋" w:hAnsi="仿宋" w:eastAsia="仿宋" w:cs="Cambria Math"/>
                <w:color w:val="000000"/>
                <w:szCs w:val="21"/>
              </w:rPr>
            </w:pPr>
          </w:p>
        </w:tc>
        <w:tc>
          <w:tcPr>
            <w:tcW w:w="1408" w:type="dxa"/>
          </w:tcPr>
          <w:p>
            <w:pPr>
              <w:spacing w:line="360" w:lineRule="auto"/>
              <w:rPr>
                <w:rFonts w:hint="eastAsia"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hint="eastAsia" w:ascii="仿宋" w:hAnsi="仿宋" w:eastAsia="仿宋" w:cs="Cambria Math"/>
                <w:color w:val="000000"/>
                <w:szCs w:val="21"/>
              </w:rPr>
            </w:pPr>
          </w:p>
        </w:tc>
        <w:tc>
          <w:tcPr>
            <w:tcW w:w="2285" w:type="dxa"/>
          </w:tcPr>
          <w:p>
            <w:pPr>
              <w:spacing w:line="360" w:lineRule="auto"/>
              <w:rPr>
                <w:rFonts w:hint="eastAsia" w:ascii="仿宋" w:hAnsi="仿宋" w:eastAsia="仿宋" w:cs="Cambria Math"/>
                <w:color w:val="000000"/>
                <w:szCs w:val="21"/>
              </w:rPr>
            </w:pPr>
          </w:p>
        </w:tc>
        <w:tc>
          <w:tcPr>
            <w:tcW w:w="2495" w:type="dxa"/>
          </w:tcPr>
          <w:p>
            <w:pPr>
              <w:spacing w:line="360" w:lineRule="auto"/>
              <w:rPr>
                <w:rFonts w:hint="eastAsia" w:ascii="仿宋" w:hAnsi="仿宋" w:eastAsia="仿宋" w:cs="Cambria Math"/>
                <w:color w:val="000000"/>
                <w:szCs w:val="21"/>
              </w:rPr>
            </w:pPr>
          </w:p>
        </w:tc>
        <w:tc>
          <w:tcPr>
            <w:tcW w:w="2704" w:type="dxa"/>
          </w:tcPr>
          <w:p>
            <w:pPr>
              <w:spacing w:line="360" w:lineRule="auto"/>
              <w:rPr>
                <w:rFonts w:hint="eastAsia" w:ascii="仿宋" w:hAnsi="仿宋" w:eastAsia="仿宋" w:cs="Cambria Math"/>
                <w:color w:val="000000"/>
                <w:szCs w:val="21"/>
              </w:rPr>
            </w:pPr>
          </w:p>
        </w:tc>
        <w:tc>
          <w:tcPr>
            <w:tcW w:w="1408" w:type="dxa"/>
          </w:tcPr>
          <w:p>
            <w:pPr>
              <w:spacing w:line="360" w:lineRule="auto"/>
              <w:rPr>
                <w:rFonts w:hint="eastAsia"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hint="eastAsia" w:ascii="仿宋" w:hAnsi="仿宋" w:eastAsia="仿宋" w:cs="Cambria Math"/>
                <w:color w:val="000000"/>
                <w:szCs w:val="21"/>
              </w:rPr>
            </w:pPr>
          </w:p>
        </w:tc>
        <w:tc>
          <w:tcPr>
            <w:tcW w:w="2285" w:type="dxa"/>
          </w:tcPr>
          <w:p>
            <w:pPr>
              <w:spacing w:line="360" w:lineRule="auto"/>
              <w:rPr>
                <w:rFonts w:hint="eastAsia" w:ascii="仿宋" w:hAnsi="仿宋" w:eastAsia="仿宋" w:cs="Cambria Math"/>
                <w:color w:val="000000"/>
                <w:szCs w:val="21"/>
              </w:rPr>
            </w:pPr>
          </w:p>
        </w:tc>
        <w:tc>
          <w:tcPr>
            <w:tcW w:w="2495" w:type="dxa"/>
          </w:tcPr>
          <w:p>
            <w:pPr>
              <w:spacing w:line="360" w:lineRule="auto"/>
              <w:rPr>
                <w:rFonts w:hint="eastAsia" w:ascii="仿宋" w:hAnsi="仿宋" w:eastAsia="仿宋" w:cs="Cambria Math"/>
                <w:color w:val="000000"/>
                <w:szCs w:val="21"/>
              </w:rPr>
            </w:pPr>
          </w:p>
        </w:tc>
        <w:tc>
          <w:tcPr>
            <w:tcW w:w="2704" w:type="dxa"/>
          </w:tcPr>
          <w:p>
            <w:pPr>
              <w:spacing w:line="360" w:lineRule="auto"/>
              <w:rPr>
                <w:rFonts w:hint="eastAsia" w:ascii="仿宋" w:hAnsi="仿宋" w:eastAsia="仿宋" w:cs="Cambria Math"/>
                <w:color w:val="000000"/>
                <w:szCs w:val="21"/>
              </w:rPr>
            </w:pPr>
          </w:p>
        </w:tc>
        <w:tc>
          <w:tcPr>
            <w:tcW w:w="1408" w:type="dxa"/>
          </w:tcPr>
          <w:p>
            <w:pPr>
              <w:spacing w:line="360" w:lineRule="auto"/>
              <w:rPr>
                <w:rFonts w:hint="eastAsia"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hint="eastAsia" w:ascii="仿宋" w:hAnsi="仿宋" w:eastAsia="仿宋" w:cs="Cambria Math"/>
                <w:color w:val="000000"/>
                <w:szCs w:val="21"/>
              </w:rPr>
            </w:pPr>
          </w:p>
        </w:tc>
        <w:tc>
          <w:tcPr>
            <w:tcW w:w="2285" w:type="dxa"/>
          </w:tcPr>
          <w:p>
            <w:pPr>
              <w:spacing w:line="360" w:lineRule="auto"/>
              <w:rPr>
                <w:rFonts w:hint="eastAsia" w:ascii="仿宋" w:hAnsi="仿宋" w:eastAsia="仿宋" w:cs="Cambria Math"/>
                <w:color w:val="000000"/>
                <w:szCs w:val="21"/>
              </w:rPr>
            </w:pPr>
          </w:p>
        </w:tc>
        <w:tc>
          <w:tcPr>
            <w:tcW w:w="2495" w:type="dxa"/>
          </w:tcPr>
          <w:p>
            <w:pPr>
              <w:spacing w:line="360" w:lineRule="auto"/>
              <w:rPr>
                <w:rFonts w:hint="eastAsia" w:ascii="仿宋" w:hAnsi="仿宋" w:eastAsia="仿宋" w:cs="Cambria Math"/>
                <w:color w:val="000000"/>
                <w:szCs w:val="21"/>
              </w:rPr>
            </w:pPr>
          </w:p>
        </w:tc>
        <w:tc>
          <w:tcPr>
            <w:tcW w:w="2704" w:type="dxa"/>
          </w:tcPr>
          <w:p>
            <w:pPr>
              <w:spacing w:line="360" w:lineRule="auto"/>
              <w:rPr>
                <w:rFonts w:hint="eastAsia" w:ascii="仿宋" w:hAnsi="仿宋" w:eastAsia="仿宋" w:cs="Cambria Math"/>
                <w:color w:val="000000"/>
                <w:szCs w:val="21"/>
              </w:rPr>
            </w:pPr>
          </w:p>
        </w:tc>
        <w:tc>
          <w:tcPr>
            <w:tcW w:w="1408" w:type="dxa"/>
          </w:tcPr>
          <w:p>
            <w:pPr>
              <w:spacing w:line="360" w:lineRule="auto"/>
              <w:rPr>
                <w:rFonts w:hint="eastAsia" w:ascii="仿宋" w:hAnsi="仿宋" w:eastAsia="仿宋" w:cs="Cambria Math"/>
                <w:color w:val="000000"/>
                <w:szCs w:val="21"/>
              </w:rPr>
            </w:pPr>
          </w:p>
        </w:tc>
      </w:tr>
    </w:tbl>
    <w:p>
      <w:pPr>
        <w:spacing w:before="240" w:line="360" w:lineRule="auto"/>
        <w:ind w:left="480" w:hanging="480" w:hangingChars="200"/>
        <w:rPr>
          <w:rFonts w:hint="eastAsia" w:ascii="仿宋" w:hAnsi="仿宋" w:eastAsia="仿宋" w:cs="Cambria Math"/>
          <w:color w:val="000000"/>
        </w:rPr>
      </w:pPr>
      <w:r>
        <w:rPr>
          <w:rFonts w:hint="eastAsia" w:ascii="仿宋" w:hAnsi="仿宋" w:eastAsia="仿宋" w:cs="Cambria Math"/>
          <w:color w:val="000000"/>
        </w:rPr>
        <w:t>注：所有偏离必须在本表中列出，未在本偏离表中列出偏离，将视为供应商已完全接受竞争性磋商文件要求；</w:t>
      </w:r>
      <w:r>
        <w:rPr>
          <w:rFonts w:hint="eastAsia" w:ascii="仿宋" w:hAnsi="仿宋" w:eastAsia="仿宋" w:cs="Cambria Math"/>
          <w:b/>
          <w:bCs/>
          <w:color w:val="000000"/>
        </w:rPr>
        <w:t>如全部满足，在偏离表中应答“全部满足”即可</w:t>
      </w:r>
      <w:r>
        <w:rPr>
          <w:rFonts w:hint="eastAsia" w:ascii="仿宋" w:hAnsi="仿宋" w:eastAsia="仿宋" w:cs="Cambria Math"/>
          <w:color w:val="000000"/>
        </w:rPr>
        <w:t>。</w:t>
      </w:r>
    </w:p>
    <w:p>
      <w:pPr>
        <w:spacing w:line="600" w:lineRule="exact"/>
        <w:rPr>
          <w:rFonts w:hint="eastAsia" w:ascii="仿宋" w:hAnsi="仿宋" w:eastAsia="仿宋" w:cs="仿宋"/>
          <w:color w:val="000000"/>
          <w:szCs w:val="21"/>
        </w:rPr>
      </w:pPr>
    </w:p>
    <w:p>
      <w:pPr>
        <w:spacing w:line="360" w:lineRule="auto"/>
        <w:ind w:firstLine="420"/>
        <w:jc w:val="right"/>
        <w:rPr>
          <w:rFonts w:hint="eastAsia" w:ascii="仿宋" w:hAnsi="仿宋" w:eastAsia="仿宋" w:cs="仿宋"/>
          <w:color w:val="000000"/>
        </w:rPr>
      </w:pPr>
    </w:p>
    <w:p>
      <w:pPr>
        <w:spacing w:line="440" w:lineRule="exact"/>
        <w:ind w:firstLine="4080" w:firstLineChars="1700"/>
        <w:jc w:val="right"/>
        <w:rPr>
          <w:rFonts w:hint="eastAsia"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pPr>
        <w:spacing w:line="440" w:lineRule="exact"/>
        <w:jc w:val="right"/>
        <w:rPr>
          <w:rFonts w:hint="eastAsia" w:ascii="仿宋" w:hAnsi="仿宋" w:eastAsia="仿宋" w:cs="仿宋"/>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pPr>
        <w:spacing w:line="360" w:lineRule="auto"/>
        <w:rPr>
          <w:rFonts w:hint="eastAsia" w:ascii="仿宋" w:hAnsi="仿宋" w:eastAsia="仿宋" w:cs="仿宋"/>
          <w:color w:val="000000"/>
          <w:u w:val="single"/>
        </w:rPr>
      </w:pPr>
    </w:p>
    <w:p>
      <w:pPr>
        <w:pStyle w:val="6"/>
        <w:spacing w:before="0" w:after="0" w:line="360" w:lineRule="auto"/>
        <w:rPr>
          <w:rFonts w:hint="eastAsia" w:ascii="仿宋" w:hAnsi="仿宋" w:eastAsia="仿宋" w:cs="宋体"/>
          <w:color w:val="000000"/>
          <w:sz w:val="24"/>
        </w:rPr>
        <w:sectPr>
          <w:pgSz w:w="11906" w:h="16838"/>
          <w:pgMar w:top="1417" w:right="1134" w:bottom="1134" w:left="1134" w:header="851" w:footer="992" w:gutter="0"/>
          <w:cols w:space="720" w:num="1"/>
          <w:titlePg/>
          <w:docGrid w:type="lines" w:linePitch="312" w:charSpace="0"/>
        </w:sectPr>
      </w:pPr>
      <w:r>
        <w:rPr>
          <w:rFonts w:ascii="仿宋" w:hAnsi="仿宋" w:eastAsia="仿宋" w:cs="仿宋"/>
          <w:color w:val="000000"/>
          <w:sz w:val="24"/>
          <w:szCs w:val="24"/>
        </w:rPr>
        <w:br w:type="page"/>
      </w:r>
    </w:p>
    <w:p>
      <w:pPr>
        <w:pStyle w:val="6"/>
        <w:spacing w:before="0" w:after="0" w:line="360" w:lineRule="auto"/>
        <w:rPr>
          <w:rFonts w:hint="eastAsia" w:ascii="仿宋" w:hAnsi="仿宋" w:eastAsia="仿宋" w:cs="仿宋"/>
          <w:color w:val="000000"/>
          <w:sz w:val="24"/>
          <w:szCs w:val="24"/>
        </w:rPr>
      </w:pPr>
      <w:bookmarkStart w:id="176" w:name="_Toc17890"/>
      <w:bookmarkStart w:id="177" w:name="_Toc186737819"/>
      <w:r>
        <w:rPr>
          <w:rFonts w:hint="eastAsia" w:ascii="仿宋" w:hAnsi="仿宋" w:eastAsia="仿宋" w:cs="仿宋"/>
          <w:color w:val="000000"/>
          <w:sz w:val="24"/>
          <w:szCs w:val="24"/>
        </w:rPr>
        <w:t>（七）供应商行为准则承诺书</w:t>
      </w:r>
      <w:bookmarkEnd w:id="176"/>
      <w:bookmarkEnd w:id="177"/>
    </w:p>
    <w:p>
      <w:pPr>
        <w:jc w:val="center"/>
        <w:rPr>
          <w:rFonts w:hint="eastAsia" w:ascii="仿宋" w:hAnsi="仿宋" w:eastAsia="仿宋" w:cs="宋体"/>
          <w:b/>
          <w:bCs/>
          <w:color w:val="000000"/>
          <w:sz w:val="28"/>
          <w:szCs w:val="28"/>
        </w:rPr>
      </w:pPr>
      <w:bookmarkStart w:id="178" w:name="_Toc15599"/>
      <w:r>
        <w:rPr>
          <w:rFonts w:hint="eastAsia" w:ascii="仿宋" w:hAnsi="仿宋" w:eastAsia="仿宋" w:cs="宋体"/>
          <w:b/>
          <w:bCs/>
          <w:color w:val="000000"/>
          <w:sz w:val="28"/>
          <w:szCs w:val="28"/>
        </w:rPr>
        <w:t>供应商行为准则承诺书</w:t>
      </w:r>
    </w:p>
    <w:p>
      <w:pPr>
        <w:spacing w:line="360" w:lineRule="auto"/>
        <w:ind w:firstLine="480" w:firstLineChars="200"/>
        <w:rPr>
          <w:rFonts w:hint="eastAsia" w:ascii="仿宋" w:hAnsi="仿宋" w:eastAsia="仿宋" w:cs="仿宋"/>
          <w:color w:val="000000"/>
        </w:rPr>
      </w:pP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供应商经营业务时必须遵守所有适用的法律法规及相关政策等规定。如因违反任何适用的法律、法规而可能影响其按照本准则向中国人民保险提供产品及服务的能力时，应立即通知中国人民保险。</w:t>
      </w:r>
    </w:p>
    <w:p>
      <w:pPr>
        <w:spacing w:line="360" w:lineRule="auto"/>
        <w:ind w:firstLine="470" w:firstLineChars="196"/>
        <w:rPr>
          <w:rFonts w:hint="eastAsia" w:ascii="仿宋" w:hAnsi="仿宋" w:eastAsia="仿宋" w:cs="仿宋"/>
          <w:color w:val="000000"/>
        </w:rPr>
      </w:pPr>
      <w:r>
        <w:rPr>
          <w:rFonts w:hint="eastAsia" w:ascii="仿宋" w:hAnsi="仿宋" w:eastAsia="仿宋" w:cs="仿宋"/>
          <w:color w:val="000000"/>
        </w:rPr>
        <w:t>二、供应商应有道德地从事商业活动，坚持公平竞争原则，遵守其经营所在地及国家所有适用的反腐败法律、法规，不得有贿赂、腐败、恶意串通、恶意欺诈或其他损害中国人民保险利益的不良行为。</w:t>
      </w:r>
    </w:p>
    <w:p>
      <w:pPr>
        <w:spacing w:line="360" w:lineRule="auto"/>
        <w:ind w:firstLine="470" w:firstLineChars="196"/>
        <w:rPr>
          <w:rFonts w:hint="eastAsia" w:ascii="仿宋" w:hAnsi="仿宋" w:eastAsia="仿宋" w:cs="仿宋"/>
          <w:color w:val="000000"/>
        </w:rPr>
      </w:pPr>
      <w:r>
        <w:rPr>
          <w:rFonts w:hint="eastAsia" w:ascii="仿宋" w:hAnsi="仿宋" w:eastAsia="仿宋" w:cs="仿宋"/>
          <w:color w:val="000000"/>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spacing w:line="360" w:lineRule="auto"/>
        <w:ind w:firstLine="470" w:firstLineChars="196"/>
        <w:rPr>
          <w:rFonts w:hint="eastAsia" w:ascii="仿宋" w:hAnsi="仿宋" w:eastAsia="仿宋" w:cs="仿宋"/>
          <w:color w:val="000000"/>
        </w:rPr>
      </w:pPr>
      <w:r>
        <w:rPr>
          <w:rFonts w:hint="eastAsia" w:ascii="仿宋" w:hAnsi="仿宋" w:eastAsia="仿宋" w:cs="仿宋"/>
          <w:color w:val="000000"/>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spacing w:line="360" w:lineRule="auto"/>
        <w:ind w:firstLine="470" w:firstLineChars="196"/>
        <w:rPr>
          <w:rFonts w:hint="eastAsia" w:ascii="仿宋" w:hAnsi="仿宋" w:eastAsia="仿宋" w:cs="仿宋"/>
          <w:color w:val="000000"/>
        </w:rPr>
      </w:pPr>
      <w:r>
        <w:rPr>
          <w:rFonts w:hint="eastAsia" w:ascii="仿宋" w:hAnsi="仿宋" w:eastAsia="仿宋" w:cs="仿宋"/>
          <w:color w:val="000000"/>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spacing w:line="360" w:lineRule="auto"/>
        <w:ind w:firstLine="470" w:firstLineChars="196"/>
        <w:rPr>
          <w:rFonts w:hint="eastAsia" w:ascii="仿宋" w:hAnsi="仿宋" w:eastAsia="仿宋" w:cs="仿宋"/>
          <w:color w:val="000000"/>
        </w:rPr>
      </w:pPr>
      <w:r>
        <w:rPr>
          <w:rFonts w:hint="eastAsia" w:ascii="仿宋" w:hAnsi="仿宋" w:eastAsia="仿宋" w:cs="仿宋"/>
          <w:color w:val="000000"/>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spacing w:line="360" w:lineRule="auto"/>
        <w:ind w:firstLine="470" w:firstLineChars="196"/>
        <w:rPr>
          <w:rFonts w:hint="eastAsia" w:ascii="仿宋" w:hAnsi="仿宋" w:eastAsia="仿宋" w:cs="仿宋"/>
          <w:color w:val="000000"/>
        </w:rPr>
      </w:pPr>
      <w:r>
        <w:rPr>
          <w:rFonts w:hint="eastAsia" w:ascii="仿宋" w:hAnsi="仿宋" w:eastAsia="仿宋" w:cs="仿宋"/>
          <w:color w:val="000000"/>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八、供应商承诺遵守中国人民保险有关采购管理和供应商管理的相关规定、履行相应义务。</w:t>
      </w: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九、供应商参与中国人民保险采购过程中，将认真阅读并理解邀请文件的内容，并保证严格保密文件内容，不泄露中国人民保险任何信息。</w:t>
      </w: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十、供应商保证所递交的投标文件、资格证明、产品资料、合同等文件内容的真实性、有效性；愿意承担虚构信息及伪造资格证明、合同等违背诚实信用原则导致的一切不利后果。</w:t>
      </w: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十一、供应商承诺根据中国人民保险的要求提供供应产品的市场参考价格，并保证该数据的真实性与时效性；如提供不实或虚假数据的，自愿接受录入中国人民保险供应商诚信档案记录的不利后果。</w:t>
      </w: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十二、如果供应商（包括咨询顾问、董事、雇员、代理人和代表）违反或未履行本承诺下的任何规定、保证及陈述，将自愿对因违反或未履行承诺书的规定而对中国人民保险造成的直接损失进行赔偿。</w:t>
      </w: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十三、采购过程中涉及函件往来的，使用供应商以下地址及联系方式：</w:t>
      </w: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公司名称（全称、盖章）：________________</w:t>
      </w: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法定代表人（负责人）姓名、职务：__________________</w:t>
      </w: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邮编：__________地址：__________________</w:t>
      </w:r>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电话：__________传真：__________________</w:t>
      </w:r>
    </w:p>
    <w:p>
      <w:pPr>
        <w:pStyle w:val="78"/>
        <w:spacing w:line="360" w:lineRule="auto"/>
        <w:ind w:firstLine="480"/>
        <w:rPr>
          <w:rFonts w:hint="eastAsia" w:ascii="仿宋" w:hAnsi="仿宋" w:eastAsia="仿宋" w:cs="仿宋"/>
          <w:bCs/>
          <w:color w:val="000000"/>
          <w:sz w:val="24"/>
        </w:rPr>
      </w:pPr>
      <w:r>
        <w:rPr>
          <w:rFonts w:hint="eastAsia" w:ascii="仿宋" w:hAnsi="仿宋" w:eastAsia="仿宋" w:cs="仿宋"/>
          <w:bCs/>
          <w:color w:val="000000"/>
          <w:sz w:val="24"/>
        </w:rPr>
        <w:t>法定代表人（负责人）或授权代表签字：______________</w:t>
      </w:r>
    </w:p>
    <w:p>
      <w:pPr>
        <w:pStyle w:val="6"/>
        <w:spacing w:before="0" w:after="0" w:line="360" w:lineRule="auto"/>
        <w:rPr>
          <w:rFonts w:hint="eastAsia" w:ascii="仿宋" w:hAnsi="仿宋" w:cs="宋体"/>
          <w:color w:val="000000"/>
          <w:szCs w:val="24"/>
        </w:rPr>
      </w:pPr>
      <w:r>
        <w:rPr>
          <w:rFonts w:hint="eastAsia" w:ascii="仿宋" w:hAnsi="仿宋" w:eastAsia="仿宋" w:cs="仿宋"/>
          <w:color w:val="000000"/>
        </w:rPr>
        <w:br w:type="page"/>
      </w:r>
      <w:bookmarkStart w:id="179" w:name="_Toc186737820"/>
      <w:bookmarkStart w:id="180" w:name="_Toc8068"/>
      <w:r>
        <w:rPr>
          <w:rFonts w:hint="eastAsia" w:ascii="仿宋" w:hAnsi="仿宋" w:eastAsia="仿宋" w:cs="宋体"/>
          <w:bCs w:val="0"/>
          <w:color w:val="000000"/>
          <w:sz w:val="24"/>
          <w:szCs w:val="24"/>
        </w:rPr>
        <w:t>（八）供应商廉洁诚信承诺书</w:t>
      </w:r>
      <w:bookmarkEnd w:id="178"/>
      <w:bookmarkEnd w:id="179"/>
      <w:bookmarkEnd w:id="180"/>
    </w:p>
    <w:p>
      <w:pPr>
        <w:spacing w:line="600" w:lineRule="exact"/>
        <w:jc w:val="center"/>
        <w:rPr>
          <w:rFonts w:hint="eastAsia" w:ascii="仿宋" w:hAnsi="仿宋" w:eastAsia="仿宋" w:cs="宋体"/>
          <w:b/>
          <w:bCs/>
          <w:color w:val="000000"/>
          <w:sz w:val="28"/>
          <w:szCs w:val="28"/>
        </w:rPr>
      </w:pPr>
      <w:r>
        <w:rPr>
          <w:rFonts w:hint="eastAsia" w:ascii="仿宋" w:hAnsi="仿宋" w:eastAsia="仿宋" w:cs="宋体"/>
          <w:b/>
          <w:bCs/>
          <w:color w:val="000000"/>
          <w:sz w:val="28"/>
          <w:szCs w:val="28"/>
        </w:rPr>
        <w:t>供应商廉洁诚信承诺书</w:t>
      </w:r>
    </w:p>
    <w:p>
      <w:pPr>
        <w:spacing w:line="360" w:lineRule="auto"/>
        <w:ind w:firstLine="480" w:firstLineChars="200"/>
        <w:rPr>
          <w:rFonts w:hint="eastAsia" w:ascii="仿宋" w:hAnsi="仿宋" w:eastAsia="仿宋" w:cs="宋体"/>
          <w:color w:val="000000"/>
        </w:rPr>
      </w:pP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为维护公平竞争的市场秩序和公正透明的商业环境，保证与</w:t>
      </w:r>
      <w:r>
        <w:rPr>
          <w:rFonts w:hint="eastAsia" w:ascii="仿宋" w:hAnsi="仿宋" w:eastAsia="仿宋" w:cs="仿宋"/>
          <w:color w:val="000000"/>
        </w:rPr>
        <w:t>中国人民保险集团公司、各子公司以及各级分支机构（以下简称“中国人民保险”）</w:t>
      </w:r>
      <w:r>
        <w:rPr>
          <w:rFonts w:hint="eastAsia" w:ascii="仿宋" w:hAnsi="仿宋" w:eastAsia="仿宋" w:cs="宋体"/>
          <w:color w:val="000000"/>
        </w:rPr>
        <w:t>合作项目的顺利进行，我方作为参与</w:t>
      </w:r>
      <w:r>
        <w:rPr>
          <w:rFonts w:hint="eastAsia" w:ascii="仿宋" w:hAnsi="仿宋" w:eastAsia="仿宋" w:cs="仿宋"/>
          <w:color w:val="000000"/>
        </w:rPr>
        <w:t>中国人民保险</w:t>
      </w:r>
      <w:r>
        <w:rPr>
          <w:rFonts w:hint="eastAsia" w:ascii="仿宋" w:hAnsi="仿宋" w:eastAsia="仿宋" w:cs="宋体"/>
          <w:color w:val="000000"/>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rPr>
        <w:t>中国人民保险</w:t>
      </w:r>
      <w:r>
        <w:rPr>
          <w:rFonts w:hint="eastAsia" w:ascii="仿宋" w:hAnsi="仿宋" w:eastAsia="仿宋" w:cs="宋体"/>
          <w:color w:val="000000"/>
        </w:rPr>
        <w:t>的合作过程中郑重承诺如下：</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一、遵守法律法规承诺。我们将严格遵守《中华人民共和国反不正当竞争法》《关于禁止商业贿赂行为的暂行规定》等国家法律法规和</w:t>
      </w:r>
      <w:r>
        <w:rPr>
          <w:rFonts w:hint="eastAsia" w:ascii="仿宋" w:hAnsi="仿宋" w:eastAsia="仿宋" w:cs="仿宋"/>
          <w:color w:val="000000"/>
        </w:rPr>
        <w:t>中国人民保险</w:t>
      </w:r>
      <w:r>
        <w:rPr>
          <w:rFonts w:hint="eastAsia" w:ascii="仿宋" w:hAnsi="仿宋" w:eastAsia="仿宋" w:cs="宋体"/>
          <w:color w:val="000000"/>
        </w:rPr>
        <w:t>采购管理、供应商管理相关制度要求，坚决不从事任何违法违规违纪行为。</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二、避免利害关系承诺。我们将在采购过程中主动申报与</w:t>
      </w:r>
      <w:r>
        <w:rPr>
          <w:rFonts w:hint="eastAsia" w:ascii="仿宋" w:hAnsi="仿宋" w:eastAsia="仿宋" w:cs="仿宋"/>
          <w:color w:val="000000"/>
        </w:rPr>
        <w:t>中国人民保险</w:t>
      </w:r>
      <w:r>
        <w:rPr>
          <w:rFonts w:hint="eastAsia" w:ascii="仿宋" w:hAnsi="仿宋" w:eastAsia="仿宋" w:cs="宋体"/>
          <w:color w:val="000000"/>
        </w:rPr>
        <w:t>及相关主体的关联及利害关系，包括我们的相关主体与</w:t>
      </w:r>
      <w:r>
        <w:rPr>
          <w:rFonts w:hint="eastAsia" w:ascii="仿宋" w:hAnsi="仿宋" w:eastAsia="仿宋" w:cs="仿宋"/>
          <w:color w:val="000000"/>
        </w:rPr>
        <w:t>中国人民保险</w:t>
      </w:r>
      <w:r>
        <w:rPr>
          <w:rFonts w:hint="eastAsia" w:ascii="仿宋" w:hAnsi="仿宋" w:eastAsia="仿宋" w:cs="宋体"/>
          <w:color w:val="000000"/>
        </w:rPr>
        <w:t>及相关主体的关联及利害关系，避免任何可能影响公平竞争的关系或利益冲突，主动披露任何可能影响采购决策的利益关系，并采取必要的措施确保采购过程的公正性。</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三、廉洁自律承诺。我们坚决不以任何形式为获取或意图获取交易机会、竞争优势或谋取不正当利益而向</w:t>
      </w:r>
      <w:r>
        <w:rPr>
          <w:rFonts w:hint="eastAsia" w:ascii="仿宋" w:hAnsi="仿宋" w:eastAsia="仿宋" w:cs="仿宋"/>
          <w:color w:val="000000"/>
        </w:rPr>
        <w:t>中国人民保险</w:t>
      </w:r>
      <w:r>
        <w:rPr>
          <w:rFonts w:hint="eastAsia" w:ascii="仿宋" w:hAnsi="仿宋" w:eastAsia="仿宋" w:cs="宋体"/>
          <w:color w:val="000000"/>
        </w:rPr>
        <w:t>或相关主体实施商业贿赂或营私舞弊行为，包括但不限于：</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（1）以任何方式实施商业贿赂或违规提供金钱、实物、回扣、折扣、宴请与游玩活动或其他不正当利益；</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（2）为其安排有可能影响公平、公正交易的宴请、健身、娱乐等活动；</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（3）为其投资入股、个人借款或买卖股票、债券等提供方便；</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（4）为其购买或装修住房、婚丧嫁娶、配偶子女上学或工作安排以及出国出境、旅游等提供方便；</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（5）违反规定为其在我方相关企业工作、挂名兼职、合伙经营、介绍承揽业务等提供方便；</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（6）向其提供借款、融资、担保等；</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（7）给予或承诺给予其不正当利益的其他行为；</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（8）其他违反国家法律法规或商业道德准则的影响公正交易的行为。</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我们也不会以任何方式向</w:t>
      </w:r>
      <w:r>
        <w:rPr>
          <w:rFonts w:hint="eastAsia" w:ascii="仿宋" w:hAnsi="仿宋" w:eastAsia="仿宋" w:cs="仿宋"/>
          <w:color w:val="000000"/>
        </w:rPr>
        <w:t>中国人民保险</w:t>
      </w:r>
      <w:r>
        <w:rPr>
          <w:rFonts w:hint="eastAsia" w:ascii="仿宋" w:hAnsi="仿宋" w:eastAsia="仿宋" w:cs="宋体"/>
          <w:color w:val="000000"/>
        </w:rPr>
        <w:t>或相关主体索要金钱、实物等不正当利益，或收受中国人保或相关主体给予的金钱、实物等不正当利益。</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四、诚实信用承诺。我们坚决不进行任何违背诚实信用原则的行为，包括但不限于：</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出借、转让资质证书；</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伙同他人串标、围标或非法排挤竞争对手；</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在采购活动中提供虚假资料，以他人名义参与或者以其他方式弄虚作假，夸大自身技术和提供服务的能力，损害贵方合法权益；</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（4）隐瞒任何可能对贵方利益造成影响的信息，不配合贵方的审计。</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六、加强内部管理承诺。为了实现以上承诺要求，我们将积极配合采取以下措施，不断加强自身内部管理：</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（1）廉洁教育培训：加强对员工的廉洁教育和培训，提高员工的道德素质和法律意识，建立健全内部管理制度，确保员工行为的合规性和廉洁性；</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（2）设立监督机制：通过专门的监督机构或人员，对我方的业务活动进行实时监督，确保员工行为的合规性；</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（3）建立举报制度：鼓励员工积极举报违规行为，对举报人予以保护并给予奖励。</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七、配合监督承诺。我们将积极配合</w:t>
      </w:r>
      <w:r>
        <w:rPr>
          <w:rFonts w:hint="eastAsia" w:ascii="仿宋" w:hAnsi="仿宋" w:eastAsia="仿宋" w:cs="仿宋"/>
          <w:color w:val="000000"/>
        </w:rPr>
        <w:t>中国人民保险</w:t>
      </w:r>
      <w:r>
        <w:rPr>
          <w:rFonts w:hint="eastAsia" w:ascii="仿宋" w:hAnsi="仿宋" w:eastAsia="仿宋" w:cs="宋体"/>
          <w:color w:val="000000"/>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八、如违反上述承诺，我方自愿承担以下法律责任：</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（1）如我方及我方工作人员违反本承诺书承诺，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有权依据其采购管理、供应商管理和采购文件相关要求，对我方进行严肃处理，相关处罚结果记入供应商诚信档案；</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（2）如我方及我方工作人员违反本承诺书承诺，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及其子公司等所有关联主体有权限制或取消我方在</w:t>
      </w:r>
      <w:r>
        <w:rPr>
          <w:rFonts w:hint="eastAsia" w:ascii="仿宋" w:hAnsi="仿宋" w:eastAsia="仿宋" w:cs="仿宋"/>
          <w:color w:val="000000"/>
        </w:rPr>
        <w:t>中国人民保险</w:t>
      </w:r>
      <w:r>
        <w:rPr>
          <w:rFonts w:hint="eastAsia" w:ascii="仿宋" w:hAnsi="仿宋" w:eastAsia="仿宋" w:cs="宋体"/>
          <w:color w:val="000000"/>
        </w:rPr>
        <w:t>参与采购项目的资格；</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（3）如我方及我方工作人员违反本承诺书承诺，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及其子公司等所有关联主体有权选择单方全面终止与我方的合同及合作而无需承担任何责任；</w:t>
      </w: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（4）如我方及我方工作人员违反本承诺书承诺，除承担前述（1）（2）（3）项责任外，</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及其子公司等所有关联主体有权扣除我方缴纳的投标保证金，投标保证金不足以弥补损失的，还有权要求我方承担相应的赔偿责任。</w:t>
      </w:r>
    </w:p>
    <w:p>
      <w:pPr>
        <w:spacing w:line="360" w:lineRule="auto"/>
        <w:ind w:firstLine="480" w:firstLineChars="200"/>
        <w:rPr>
          <w:rFonts w:hint="eastAsia" w:ascii="仿宋" w:hAnsi="仿宋" w:eastAsia="仿宋" w:cs="宋体"/>
          <w:color w:val="000000"/>
        </w:rPr>
      </w:pPr>
    </w:p>
    <w:p>
      <w:pPr>
        <w:spacing w:line="360" w:lineRule="auto"/>
        <w:ind w:firstLine="480" w:firstLineChars="200"/>
        <w:rPr>
          <w:rFonts w:hint="eastAsia" w:ascii="仿宋" w:hAnsi="仿宋" w:eastAsia="仿宋" w:cs="宋体"/>
          <w:color w:val="000000"/>
        </w:rPr>
      </w:pPr>
      <w:r>
        <w:rPr>
          <w:rFonts w:hint="eastAsia" w:ascii="仿宋" w:hAnsi="仿宋" w:eastAsia="仿宋" w:cs="宋体"/>
          <w:color w:val="000000"/>
        </w:rPr>
        <w:t>本承诺书自承诺方签字和盖章之日起生效。如我方成功中选</w:t>
      </w:r>
      <w:r>
        <w:rPr>
          <w:rFonts w:hint="eastAsia" w:ascii="仿宋" w:hAnsi="仿宋" w:eastAsia="仿宋" w:cs="仿宋"/>
          <w:color w:val="000000"/>
        </w:rPr>
        <w:t>中国人民保险</w:t>
      </w:r>
      <w:r>
        <w:rPr>
          <w:rFonts w:hint="eastAsia" w:ascii="仿宋" w:hAnsi="仿宋" w:eastAsia="仿宋" w:cs="宋体"/>
          <w:color w:val="000000"/>
        </w:rPr>
        <w:t>采购项目，将按中国人民保险管理要求签署廉洁诚信协议作为采购合同附件，并严格遵守协议相关条款。</w:t>
      </w:r>
    </w:p>
    <w:p>
      <w:pPr>
        <w:spacing w:line="360" w:lineRule="auto"/>
        <w:ind w:firstLine="480" w:firstLineChars="200"/>
        <w:rPr>
          <w:rFonts w:hint="eastAsia" w:ascii="仿宋" w:hAnsi="仿宋" w:eastAsia="仿宋" w:cs="宋体"/>
          <w:color w:val="000000"/>
        </w:rPr>
      </w:pPr>
    </w:p>
    <w:p>
      <w:pPr>
        <w:tabs>
          <w:tab w:val="left" w:pos="458"/>
        </w:tabs>
        <w:spacing w:line="360" w:lineRule="auto"/>
        <w:ind w:firstLine="3578" w:firstLineChars="1491"/>
        <w:rPr>
          <w:rFonts w:hint="eastAsia" w:ascii="仿宋" w:hAnsi="仿宋" w:eastAsia="仿宋" w:cs="仿宋"/>
          <w:color w:val="000000"/>
        </w:rPr>
      </w:pPr>
      <w:r>
        <w:rPr>
          <w:rFonts w:hint="eastAsia" w:ascii="仿宋" w:hAnsi="仿宋" w:eastAsia="仿宋" w:cs="仿宋"/>
          <w:color w:val="000000"/>
        </w:rPr>
        <w:t>公司名称（全称、盖章）：________________</w:t>
      </w:r>
    </w:p>
    <w:p>
      <w:pPr>
        <w:spacing w:line="360" w:lineRule="auto"/>
        <w:ind w:firstLine="3578" w:firstLineChars="1491"/>
        <w:rPr>
          <w:rFonts w:hint="eastAsia" w:ascii="仿宋" w:hAnsi="仿宋" w:eastAsia="仿宋" w:cs="仿宋"/>
          <w:color w:val="000000"/>
        </w:rPr>
      </w:pPr>
      <w:r>
        <w:rPr>
          <w:rFonts w:hint="eastAsia" w:ascii="仿宋" w:hAnsi="仿宋" w:eastAsia="仿宋" w:cs="仿宋"/>
          <w:color w:val="000000"/>
        </w:rPr>
        <w:t>法定代表人姓名、职务：__________________</w:t>
      </w:r>
    </w:p>
    <w:p>
      <w:pPr>
        <w:spacing w:line="360" w:lineRule="auto"/>
        <w:ind w:firstLine="3578" w:firstLineChars="1491"/>
        <w:rPr>
          <w:rFonts w:hint="eastAsia" w:ascii="仿宋" w:hAnsi="仿宋" w:eastAsia="仿宋" w:cs="仿宋"/>
          <w:color w:val="000000"/>
        </w:rPr>
      </w:pPr>
      <w:r>
        <w:rPr>
          <w:rFonts w:hint="eastAsia" w:ascii="仿宋" w:hAnsi="仿宋" w:eastAsia="仿宋" w:cs="仿宋"/>
          <w:color w:val="000000"/>
        </w:rPr>
        <w:t>法定代表人或授权代表签字：______________</w:t>
      </w:r>
    </w:p>
    <w:p>
      <w:pPr>
        <w:spacing w:line="360" w:lineRule="auto"/>
        <w:ind w:firstLine="3578" w:firstLineChars="1491"/>
        <w:rPr>
          <w:rFonts w:hint="eastAsia" w:ascii="仿宋" w:hAnsi="仿宋" w:eastAsia="仿宋" w:cs="仿宋"/>
          <w:color w:val="000000"/>
        </w:rPr>
      </w:pPr>
      <w:r>
        <w:rPr>
          <w:rFonts w:hint="eastAsia" w:ascii="仿宋" w:hAnsi="仿宋" w:eastAsia="仿宋" w:cs="仿宋"/>
          <w:color w:val="000000"/>
        </w:rPr>
        <w:t>日期：__________________________________</w:t>
      </w:r>
      <w:r>
        <w:rPr>
          <w:rFonts w:hint="eastAsia" w:ascii="仿宋" w:hAnsi="仿宋" w:eastAsia="仿宋" w:cs="仿宋"/>
          <w:color w:val="000000"/>
        </w:rPr>
        <w:br w:type="page"/>
      </w:r>
    </w:p>
    <w:p>
      <w:pPr>
        <w:pStyle w:val="6"/>
        <w:spacing w:before="0" w:after="0" w:line="360" w:lineRule="auto"/>
        <w:rPr>
          <w:rFonts w:hint="eastAsia" w:ascii="仿宋" w:hAnsi="仿宋" w:cs="宋体"/>
          <w:color w:val="000000"/>
          <w:szCs w:val="24"/>
        </w:rPr>
      </w:pPr>
      <w:bookmarkStart w:id="181" w:name="_Toc186737821"/>
      <w:r>
        <w:rPr>
          <w:rFonts w:hint="eastAsia" w:ascii="仿宋" w:hAnsi="仿宋" w:eastAsia="仿宋" w:cs="宋体"/>
          <w:bCs w:val="0"/>
          <w:color w:val="000000"/>
          <w:sz w:val="24"/>
          <w:szCs w:val="24"/>
        </w:rPr>
        <w:t>（九）信息安全采购要求承诺函</w:t>
      </w:r>
      <w:bookmarkEnd w:id="181"/>
    </w:p>
    <w:p>
      <w:pPr>
        <w:jc w:val="center"/>
        <w:rPr>
          <w:b/>
        </w:rPr>
      </w:pPr>
    </w:p>
    <w:p>
      <w:pPr>
        <w:jc w:val="center"/>
        <w:rPr>
          <w:b/>
        </w:rPr>
      </w:pPr>
      <w:r>
        <w:rPr>
          <w:rFonts w:hint="eastAsia"/>
          <w:b/>
        </w:rPr>
        <w:t>信息安全采购要求承诺函</w:t>
      </w:r>
    </w:p>
    <w:p/>
    <w:p>
      <w:pPr>
        <w:adjustRightInd w:val="0"/>
        <w:snapToGrid w:val="0"/>
        <w:spacing w:line="360" w:lineRule="auto"/>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致：中国人民财产保险股份有限公司X</w:t>
      </w:r>
      <w:r>
        <w:rPr>
          <w:rFonts w:ascii="仿宋_GB2312" w:hAnsi="宋体" w:eastAsia="仿宋_GB2312"/>
          <w:color w:val="000000" w:themeColor="text1"/>
          <w14:textFill>
            <w14:solidFill>
              <w14:schemeClr w14:val="tx1"/>
            </w14:solidFill>
          </w14:textFill>
        </w:rPr>
        <w:t>X</w:t>
      </w:r>
    </w:p>
    <w:p>
      <w:pPr>
        <w:spacing w:line="360" w:lineRule="auto"/>
        <w:ind w:firstLine="480"/>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p>
    <w:p>
      <w:pPr>
        <w:spacing w:line="360" w:lineRule="auto"/>
        <w:ind w:firstLine="480"/>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2.根据实际情况，投标人在A\B两项之间择一承诺</w:t>
      </w:r>
    </w:p>
    <w:p>
      <w:pPr>
        <w:spacing w:line="360" w:lineRule="auto"/>
        <w:ind w:firstLine="480"/>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A投标人向招标人提供的产品或服务，不需要任何外国实体提供技术支持。</w:t>
      </w:r>
    </w:p>
    <w:p>
      <w:pPr>
        <w:spacing w:line="360" w:lineRule="auto"/>
        <w:ind w:firstLine="480"/>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p>
    <w:p>
      <w:pPr>
        <w:spacing w:line="360" w:lineRule="auto"/>
        <w:ind w:firstLine="480"/>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3.根据实际情况，投标人在A\B两项之间择一承诺</w:t>
      </w:r>
    </w:p>
    <w:p>
      <w:pPr>
        <w:spacing w:line="360" w:lineRule="auto"/>
        <w:ind w:firstLine="480"/>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A投标人向招标人提供的产品或服务，不涉及任何外国实体拥有或者控制的知识产权，包括但不限于专利权、软件著作权以及其他知识产权。</w:t>
      </w:r>
    </w:p>
    <w:p>
      <w:pPr>
        <w:spacing w:line="360" w:lineRule="auto"/>
        <w:ind w:firstLine="480"/>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p>
    <w:p>
      <w:pPr>
        <w:spacing w:line="360" w:lineRule="auto"/>
        <w:ind w:firstLine="480"/>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4. 投标人向招标人承诺，已经采取合理、必要的措施和手段，确保其向招标人提供的产品或服务，在设计、研发、制造、销售等各个环节，以及其与上下游供应商之间的合作，不会发生任何影响投标人履行本合同的风险。</w:t>
      </w:r>
    </w:p>
    <w:p>
      <w:pPr>
        <w:spacing w:line="360" w:lineRule="auto"/>
        <w:ind w:firstLine="480"/>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p>
    <w:p>
      <w:pPr>
        <w:spacing w:line="360" w:lineRule="auto"/>
        <w:ind w:firstLine="480"/>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6.投标人向招标人提供的产品或服务具有运行维护以及二次开发的中文版技术资料，投标人同意向招标人提供上述技术资料。</w:t>
      </w:r>
    </w:p>
    <w:p>
      <w:pPr>
        <w:spacing w:line="360" w:lineRule="auto"/>
        <w:ind w:firstLine="480"/>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如投标人出现任一违反上述承诺的情况，招标人有权向投标人收取合同金额3倍的违约金，如该违约金不足以弥补招标人的损失，招标人有权要求投标人继续赔偿。</w:t>
      </w:r>
    </w:p>
    <w:p>
      <w:pPr>
        <w:spacing w:line="360" w:lineRule="auto"/>
        <w:rPr>
          <w:rFonts w:hint="eastAsia" w:ascii="仿宋_GB2312" w:hAnsi="宋体" w:eastAsia="仿宋_GB2312"/>
          <w:color w:val="000000" w:themeColor="text1"/>
          <w14:textFill>
            <w14:solidFill>
              <w14:schemeClr w14:val="tx1"/>
            </w14:solidFill>
          </w14:textFill>
        </w:rPr>
      </w:pPr>
    </w:p>
    <w:p>
      <w:pPr>
        <w:spacing w:line="360" w:lineRule="auto"/>
        <w:rPr>
          <w:rFonts w:hint="eastAsia" w:ascii="仿宋_GB2312" w:hAnsi="宋体" w:eastAsia="仿宋_GB2312"/>
          <w:color w:val="000000" w:themeColor="text1"/>
          <w14:textFill>
            <w14:solidFill>
              <w14:schemeClr w14:val="tx1"/>
            </w14:solidFill>
          </w14:textFill>
        </w:rPr>
      </w:pPr>
    </w:p>
    <w:p>
      <w:pPr>
        <w:tabs>
          <w:tab w:val="left" w:pos="5580"/>
        </w:tabs>
        <w:spacing w:before="120" w:line="22" w:lineRule="atLeast"/>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投标人名称（盖章）：                       </w:t>
      </w:r>
    </w:p>
    <w:p>
      <w:pPr>
        <w:tabs>
          <w:tab w:val="left" w:pos="5580"/>
        </w:tabs>
        <w:spacing w:before="120" w:line="22" w:lineRule="atLeast"/>
        <w:rPr>
          <w:rFonts w:hint="eastAsia"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投标人授权代表(签字):</w:t>
      </w:r>
      <w:r>
        <w:rPr>
          <w:rFonts w:hint="eastAsia" w:ascii="仿宋_GB2312" w:hAnsi="宋体" w:eastAsia="仿宋_GB2312"/>
          <w:color w:val="000000" w:themeColor="text1"/>
          <w14:textFill>
            <w14:solidFill>
              <w14:schemeClr w14:val="tx1"/>
            </w14:solidFill>
          </w14:textFill>
        </w:rPr>
        <w:tab/>
      </w:r>
    </w:p>
    <w:p>
      <w:pPr>
        <w:spacing w:line="360" w:lineRule="auto"/>
        <w:rPr>
          <w:rFonts w:hint="eastAsia" w:ascii="仿宋" w:hAnsi="仿宋" w:eastAsia="仿宋" w:cs="仿宋"/>
          <w:color w:val="000000"/>
        </w:rPr>
      </w:pPr>
      <w:r>
        <w:rPr>
          <w:rFonts w:hint="eastAsia" w:ascii="仿宋_GB2312" w:hAnsi="宋体" w:eastAsia="仿宋_GB2312"/>
          <w:color w:val="000000" w:themeColor="text1"/>
          <w14:textFill>
            <w14:solidFill>
              <w14:schemeClr w14:val="tx1"/>
            </w14:solidFill>
          </w14:textFill>
        </w:rPr>
        <w:t>日期：</w:t>
      </w: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spacing w:line="360" w:lineRule="auto"/>
        <w:ind w:firstLine="4790" w:firstLineChars="1491"/>
        <w:rPr>
          <w:rStyle w:val="59"/>
          <w:rFonts w:hint="eastAsia" w:ascii="仿宋" w:hAnsi="仿宋" w:eastAsia="仿宋" w:cs="仿宋"/>
        </w:rPr>
      </w:pPr>
    </w:p>
    <w:p>
      <w:pPr>
        <w:pStyle w:val="6"/>
        <w:spacing w:before="0" w:after="0" w:line="360" w:lineRule="auto"/>
        <w:rPr>
          <w:rFonts w:hint="eastAsia" w:ascii="仿宋" w:hAnsi="仿宋" w:eastAsia="仿宋" w:cs="宋体"/>
          <w:bCs w:val="0"/>
          <w:color w:val="000000"/>
          <w:sz w:val="21"/>
          <w:szCs w:val="24"/>
        </w:rPr>
      </w:pPr>
      <w:bookmarkStart w:id="182" w:name="_Toc186737822"/>
      <w:r>
        <w:rPr>
          <w:rFonts w:hint="eastAsia" w:ascii="仿宋" w:hAnsi="仿宋" w:eastAsia="仿宋" w:cs="宋体"/>
          <w:color w:val="000000"/>
          <w:sz w:val="24"/>
        </w:rPr>
        <w:t>（十）其他材料</w:t>
      </w:r>
      <w:bookmarkEnd w:id="182"/>
    </w:p>
    <w:p>
      <w:pPr>
        <w:spacing w:line="360" w:lineRule="auto"/>
        <w:rPr>
          <w:rFonts w:hint="eastAsia" w:ascii="宋体" w:hAnsi="宋体"/>
          <w:szCs w:val="21"/>
        </w:rPr>
        <w:sectPr>
          <w:pgSz w:w="11906" w:h="16838"/>
          <w:pgMar w:top="1417" w:right="1134" w:bottom="1134" w:left="1134" w:header="851" w:footer="992" w:gutter="0"/>
          <w:cols w:space="720" w:num="1"/>
          <w:titlePg/>
          <w:docGrid w:type="lines" w:linePitch="312" w:charSpace="0"/>
        </w:sectPr>
      </w:pPr>
      <w:r>
        <w:rPr>
          <w:rFonts w:hint="eastAsia" w:ascii="仿宋" w:hAnsi="仿宋" w:eastAsia="仿宋" w:cs="Cambria Math"/>
          <w:color w:val="000000"/>
        </w:rPr>
        <w:t>供应商</w:t>
      </w:r>
      <w:r>
        <w:rPr>
          <w:rFonts w:ascii="仿宋" w:hAnsi="仿宋" w:eastAsia="仿宋" w:cs="Cambria Math"/>
          <w:color w:val="000000"/>
        </w:rPr>
        <w:t>认为需提供的其他材料</w:t>
      </w:r>
      <w:r>
        <w:rPr>
          <w:rFonts w:hint="eastAsia" w:ascii="仿宋" w:hAnsi="仿宋" w:eastAsia="仿宋" w:cs="Cambria Math"/>
          <w:color w:val="000000"/>
        </w:rPr>
        <w:t>。</w:t>
      </w:r>
    </w:p>
    <w:bookmarkEnd w:id="169"/>
    <w:p>
      <w:pPr>
        <w:pStyle w:val="5"/>
        <w:jc w:val="both"/>
        <w:rPr>
          <w:rFonts w:hint="eastAsia" w:ascii="仿宋" w:hAnsi="仿宋" w:eastAsia="仿宋" w:cs="仿宋"/>
          <w:color w:val="000000"/>
          <w:sz w:val="24"/>
          <w:szCs w:val="24"/>
        </w:rPr>
      </w:pPr>
      <w:bookmarkStart w:id="183" w:name="_Toc186737823"/>
      <w:bookmarkStart w:id="184" w:name="_Toc28698"/>
      <w:r>
        <w:rPr>
          <w:rFonts w:hint="eastAsia" w:ascii="仿宋" w:hAnsi="仿宋" w:eastAsia="仿宋" w:cs="仿宋"/>
          <w:color w:val="000000"/>
          <w:sz w:val="24"/>
          <w:szCs w:val="24"/>
        </w:rPr>
        <w:t>二、技术文件</w:t>
      </w:r>
      <w:bookmarkEnd w:id="183"/>
      <w:bookmarkEnd w:id="184"/>
    </w:p>
    <w:p>
      <w:pPr>
        <w:pStyle w:val="6"/>
        <w:spacing w:before="0" w:after="0" w:line="360" w:lineRule="auto"/>
        <w:rPr>
          <w:rFonts w:hint="eastAsia" w:ascii="仿宋" w:hAnsi="仿宋" w:eastAsia="仿宋" w:cs="仿宋"/>
          <w:color w:val="000000"/>
          <w:sz w:val="24"/>
          <w:szCs w:val="24"/>
        </w:rPr>
      </w:pPr>
      <w:bookmarkStart w:id="185" w:name="_Toc186737824"/>
      <w:bookmarkStart w:id="186" w:name="_Toc17302"/>
      <w:bookmarkStart w:id="187" w:name="_Toc23108"/>
      <w:r>
        <w:rPr>
          <w:rFonts w:hint="eastAsia" w:ascii="仿宋" w:hAnsi="仿宋" w:eastAsia="仿宋" w:cs="仿宋"/>
          <w:color w:val="000000"/>
          <w:sz w:val="24"/>
          <w:szCs w:val="24"/>
        </w:rPr>
        <w:t>（一）采购需求应答偏离表</w:t>
      </w:r>
      <w:bookmarkEnd w:id="185"/>
      <w:bookmarkEnd w:id="186"/>
      <w:bookmarkEnd w:id="187"/>
    </w:p>
    <w:p>
      <w:pPr>
        <w:spacing w:line="360" w:lineRule="auto"/>
        <w:jc w:val="center"/>
        <w:rPr>
          <w:rFonts w:hint="eastAsia" w:ascii="仿宋" w:hAnsi="仿宋" w:eastAsia="仿宋" w:cs="仿宋"/>
          <w:b/>
          <w:bCs/>
          <w:color w:val="000000"/>
        </w:rPr>
      </w:pPr>
      <w:bookmarkStart w:id="188" w:name="_Toc293297544"/>
      <w:bookmarkStart w:id="189" w:name="_Toc125771198"/>
      <w:bookmarkStart w:id="190" w:name="_Toc125561188"/>
      <w:r>
        <w:rPr>
          <w:rFonts w:hint="eastAsia" w:ascii="仿宋" w:hAnsi="仿宋" w:eastAsia="仿宋" w:cs="仿宋"/>
          <w:b/>
          <w:bCs/>
          <w:color w:val="000000"/>
        </w:rPr>
        <w:t>采购需求应答偏离表</w:t>
      </w:r>
      <w:bookmarkEnd w:id="188"/>
      <w:bookmarkEnd w:id="189"/>
      <w:bookmarkEnd w:id="190"/>
    </w:p>
    <w:p>
      <w:pPr>
        <w:spacing w:line="360" w:lineRule="auto"/>
        <w:rPr>
          <w:rFonts w:hint="eastAsia"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p>
    <w:tbl>
      <w:tblPr>
        <w:tblStyle w:val="30"/>
        <w:tblW w:w="4999" w:type="pct"/>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2274"/>
        <w:gridCol w:w="2471"/>
        <w:gridCol w:w="2670"/>
        <w:gridCol w:w="143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double" w:color="auto" w:sz="4" w:space="0"/>
              <w:left w:val="doub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szCs w:val="21"/>
              </w:rPr>
            </w:pPr>
            <w:r>
              <w:rPr>
                <w:rFonts w:hint="eastAsia" w:ascii="仿宋" w:hAnsi="仿宋" w:eastAsia="仿宋" w:cs="仿宋"/>
                <w:b/>
                <w:color w:val="000000"/>
                <w:szCs w:val="21"/>
              </w:rPr>
              <w:t>序号</w:t>
            </w:r>
          </w:p>
        </w:tc>
        <w:tc>
          <w:tcPr>
            <w:tcW w:w="1154" w:type="pct"/>
            <w:tcBorders>
              <w:top w:val="double" w:color="auto" w:sz="4" w:space="0"/>
              <w:left w:val="single" w:color="auto" w:sz="4" w:space="0"/>
              <w:bottom w:val="single" w:color="auto" w:sz="4" w:space="0"/>
              <w:right w:val="single" w:color="auto" w:sz="4" w:space="0"/>
            </w:tcBorders>
            <w:vAlign w:val="center"/>
          </w:tcPr>
          <w:p>
            <w:pPr>
              <w:spacing w:line="312" w:lineRule="auto"/>
              <w:jc w:val="center"/>
              <w:rPr>
                <w:rFonts w:hint="eastAsia" w:ascii="仿宋" w:hAnsi="仿宋" w:eastAsia="仿宋" w:cs="仿宋"/>
                <w:b/>
                <w:bCs/>
                <w:color w:val="000000"/>
              </w:rPr>
            </w:pPr>
            <w:r>
              <w:rPr>
                <w:rFonts w:hint="eastAsia" w:ascii="仿宋" w:hAnsi="仿宋" w:eastAsia="仿宋" w:cs="仿宋"/>
                <w:b/>
                <w:bCs/>
                <w:color w:val="000000"/>
              </w:rPr>
              <w:t>技术偏离类型(正负偏离)</w:t>
            </w:r>
          </w:p>
        </w:tc>
        <w:tc>
          <w:tcPr>
            <w:tcW w:w="1254" w:type="pct"/>
            <w:tcBorders>
              <w:top w:val="double" w:color="auto" w:sz="4" w:space="0"/>
              <w:left w:val="single" w:color="auto" w:sz="4" w:space="0"/>
              <w:bottom w:val="single" w:color="auto" w:sz="4" w:space="0"/>
              <w:right w:val="single" w:color="auto" w:sz="4" w:space="0"/>
            </w:tcBorders>
            <w:vAlign w:val="center"/>
          </w:tcPr>
          <w:p>
            <w:pPr>
              <w:spacing w:line="312" w:lineRule="auto"/>
              <w:jc w:val="center"/>
              <w:rPr>
                <w:rFonts w:hint="eastAsia" w:ascii="仿宋" w:hAnsi="仿宋" w:eastAsia="仿宋" w:cs="仿宋"/>
                <w:b/>
                <w:bCs/>
                <w:color w:val="000000"/>
              </w:rPr>
            </w:pPr>
            <w:r>
              <w:rPr>
                <w:rFonts w:hint="eastAsia" w:ascii="仿宋" w:hAnsi="仿宋" w:eastAsia="仿宋" w:cs="仿宋"/>
                <w:b/>
                <w:bCs/>
                <w:color w:val="000000"/>
              </w:rPr>
              <w:t>技术偏离的文档章节号及页号</w:t>
            </w:r>
          </w:p>
        </w:tc>
        <w:tc>
          <w:tcPr>
            <w:tcW w:w="1355" w:type="pct"/>
            <w:tcBorders>
              <w:top w:val="double" w:color="auto" w:sz="4" w:space="0"/>
              <w:left w:val="single" w:color="auto" w:sz="4" w:space="0"/>
              <w:bottom w:val="single" w:color="auto" w:sz="4" w:space="0"/>
              <w:right w:val="single" w:color="auto" w:sz="4" w:space="0"/>
            </w:tcBorders>
            <w:vAlign w:val="center"/>
          </w:tcPr>
          <w:p>
            <w:pPr>
              <w:spacing w:line="312" w:lineRule="auto"/>
              <w:jc w:val="center"/>
              <w:rPr>
                <w:rFonts w:hint="eastAsia" w:ascii="仿宋" w:hAnsi="仿宋" w:eastAsia="仿宋" w:cs="仿宋"/>
                <w:b/>
                <w:bCs/>
                <w:color w:val="000000"/>
              </w:rPr>
            </w:pPr>
            <w:r>
              <w:rPr>
                <w:rFonts w:hint="eastAsia" w:ascii="仿宋" w:hAnsi="仿宋" w:eastAsia="仿宋" w:cs="仿宋"/>
                <w:b/>
                <w:bCs/>
                <w:color w:val="000000"/>
              </w:rPr>
              <w:t>技术偏离的主要内容说明</w:t>
            </w:r>
          </w:p>
        </w:tc>
        <w:tc>
          <w:tcPr>
            <w:tcW w:w="728" w:type="pct"/>
            <w:tcBorders>
              <w:top w:val="double" w:color="auto" w:sz="4" w:space="0"/>
              <w:left w:val="single" w:color="auto" w:sz="4" w:space="0"/>
              <w:bottom w:val="single" w:color="auto" w:sz="4" w:space="0"/>
              <w:right w:val="double" w:color="auto" w:sz="4" w:space="0"/>
            </w:tcBorders>
            <w:vAlign w:val="center"/>
          </w:tcPr>
          <w:p>
            <w:pPr>
              <w:spacing w:line="360" w:lineRule="auto"/>
              <w:jc w:val="center"/>
              <w:rPr>
                <w:rFonts w:hint="eastAsia" w:ascii="仿宋" w:hAnsi="仿宋" w:eastAsia="仿宋" w:cs="仿宋"/>
                <w:b/>
                <w:color w:val="000000"/>
                <w:szCs w:val="21"/>
              </w:rPr>
            </w:pPr>
            <w:r>
              <w:rPr>
                <w:rFonts w:hint="eastAsia" w:ascii="仿宋" w:hAnsi="仿宋" w:eastAsia="仿宋" w:cs="仿宋"/>
                <w:b/>
                <w:color w:val="000000"/>
                <w:szCs w:val="21"/>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r>
              <w:rPr>
                <w:rFonts w:hint="eastAsia" w:ascii="仿宋" w:hAnsi="仿宋" w:eastAsia="仿宋" w:cs="仿宋"/>
                <w:color w:val="000000"/>
                <w:szCs w:val="21"/>
              </w:rPr>
              <w:t>负偏离(不满足)</w:t>
            </w: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r>
              <w:rPr>
                <w:rFonts w:hint="eastAsia" w:ascii="仿宋" w:hAnsi="仿宋" w:eastAsia="仿宋" w:cs="仿宋"/>
                <w:color w:val="000000"/>
                <w:szCs w:val="21"/>
              </w:rPr>
              <w:t>……</w:t>
            </w: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r>
              <w:rPr>
                <w:rFonts w:hint="eastAsia" w:ascii="仿宋" w:hAnsi="仿宋" w:eastAsia="仿宋" w:cs="仿宋"/>
                <w:color w:val="000000"/>
                <w:szCs w:val="21"/>
              </w:rPr>
              <w:t>……</w:t>
            </w: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r>
              <w:rPr>
                <w:rFonts w:hint="eastAsia" w:ascii="仿宋" w:hAnsi="仿宋" w:eastAsia="仿宋" w:cs="仿宋"/>
                <w:color w:val="000000"/>
                <w:szCs w:val="21"/>
              </w:rPr>
              <w:t>正偏离(优于)</w:t>
            </w: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r>
              <w:rPr>
                <w:rFonts w:hint="eastAsia" w:ascii="仿宋" w:hAnsi="仿宋" w:eastAsia="仿宋" w:cs="仿宋"/>
                <w:color w:val="000000"/>
                <w:szCs w:val="21"/>
              </w:rPr>
              <w:t>……</w:t>
            </w: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r>
              <w:rPr>
                <w:rFonts w:hint="eastAsia" w:ascii="仿宋" w:hAnsi="仿宋" w:eastAsia="仿宋" w:cs="仿宋"/>
                <w:color w:val="000000"/>
                <w:szCs w:val="21"/>
              </w:rPr>
              <w:t>……</w:t>
            </w: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hint="eastAsia"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double" w:color="auto" w:sz="4" w:space="0"/>
              <w:right w:val="single" w:color="auto" w:sz="4" w:space="0"/>
            </w:tcBorders>
          </w:tcPr>
          <w:p>
            <w:pPr>
              <w:spacing w:line="360" w:lineRule="auto"/>
              <w:rPr>
                <w:rFonts w:hint="eastAsia" w:ascii="仿宋" w:hAnsi="仿宋" w:eastAsia="仿宋" w:cs="仿宋"/>
                <w:color w:val="000000"/>
                <w:szCs w:val="21"/>
              </w:rPr>
            </w:pPr>
          </w:p>
        </w:tc>
        <w:tc>
          <w:tcPr>
            <w:tcW w:w="1154" w:type="pct"/>
            <w:tcBorders>
              <w:top w:val="single" w:color="auto" w:sz="4" w:space="0"/>
              <w:left w:val="single" w:color="auto" w:sz="4" w:space="0"/>
              <w:bottom w:val="double" w:color="auto" w:sz="4" w:space="0"/>
              <w:right w:val="single" w:color="auto" w:sz="4" w:space="0"/>
            </w:tcBorders>
          </w:tcPr>
          <w:p>
            <w:pPr>
              <w:spacing w:line="360" w:lineRule="auto"/>
              <w:rPr>
                <w:rFonts w:hint="eastAsia" w:ascii="仿宋" w:hAnsi="仿宋" w:eastAsia="仿宋" w:cs="仿宋"/>
                <w:color w:val="000000"/>
                <w:szCs w:val="21"/>
              </w:rPr>
            </w:pPr>
          </w:p>
        </w:tc>
        <w:tc>
          <w:tcPr>
            <w:tcW w:w="1254" w:type="pct"/>
            <w:tcBorders>
              <w:top w:val="single" w:color="auto" w:sz="4" w:space="0"/>
              <w:left w:val="single" w:color="auto" w:sz="4" w:space="0"/>
              <w:bottom w:val="double" w:color="auto" w:sz="4" w:space="0"/>
              <w:right w:val="single" w:color="auto" w:sz="4" w:space="0"/>
            </w:tcBorders>
          </w:tcPr>
          <w:p>
            <w:pPr>
              <w:spacing w:line="360" w:lineRule="auto"/>
              <w:rPr>
                <w:rFonts w:hint="eastAsia" w:ascii="仿宋" w:hAnsi="仿宋" w:eastAsia="仿宋" w:cs="仿宋"/>
                <w:color w:val="000000"/>
                <w:szCs w:val="21"/>
              </w:rPr>
            </w:pPr>
          </w:p>
        </w:tc>
        <w:tc>
          <w:tcPr>
            <w:tcW w:w="1355" w:type="pct"/>
            <w:tcBorders>
              <w:top w:val="single" w:color="auto" w:sz="4" w:space="0"/>
              <w:left w:val="single" w:color="auto" w:sz="4" w:space="0"/>
              <w:bottom w:val="double" w:color="auto" w:sz="4" w:space="0"/>
              <w:right w:val="single" w:color="auto" w:sz="4" w:space="0"/>
            </w:tcBorders>
          </w:tcPr>
          <w:p>
            <w:pPr>
              <w:spacing w:line="360" w:lineRule="auto"/>
              <w:rPr>
                <w:rFonts w:hint="eastAsia" w:ascii="仿宋" w:hAnsi="仿宋" w:eastAsia="仿宋" w:cs="仿宋"/>
                <w:color w:val="000000"/>
                <w:szCs w:val="21"/>
              </w:rPr>
            </w:pPr>
          </w:p>
        </w:tc>
        <w:tc>
          <w:tcPr>
            <w:tcW w:w="728" w:type="pct"/>
            <w:tcBorders>
              <w:top w:val="single" w:color="auto" w:sz="4" w:space="0"/>
              <w:left w:val="single" w:color="auto" w:sz="4" w:space="0"/>
              <w:bottom w:val="double" w:color="auto" w:sz="4" w:space="0"/>
              <w:right w:val="double" w:color="auto" w:sz="4" w:space="0"/>
            </w:tcBorders>
          </w:tcPr>
          <w:p>
            <w:pPr>
              <w:spacing w:line="360" w:lineRule="auto"/>
              <w:rPr>
                <w:rFonts w:hint="eastAsia" w:ascii="仿宋" w:hAnsi="仿宋" w:eastAsia="仿宋" w:cs="仿宋"/>
                <w:color w:val="000000"/>
                <w:szCs w:val="21"/>
              </w:rPr>
            </w:pPr>
          </w:p>
        </w:tc>
      </w:tr>
    </w:tbl>
    <w:p>
      <w:pPr>
        <w:spacing w:before="240" w:line="360" w:lineRule="auto"/>
        <w:rPr>
          <w:rFonts w:hint="eastAsia" w:ascii="仿宋" w:hAnsi="仿宋" w:eastAsia="仿宋" w:cs="Cambria Math"/>
          <w:color w:val="000000"/>
        </w:rPr>
      </w:pPr>
      <w:r>
        <w:rPr>
          <w:rFonts w:hint="eastAsia" w:ascii="仿宋" w:hAnsi="仿宋" w:eastAsia="仿宋" w:cs="仿宋"/>
          <w:color w:val="000000"/>
        </w:rPr>
        <w:t>注：</w:t>
      </w:r>
      <w:r>
        <w:rPr>
          <w:rFonts w:hint="eastAsia" w:ascii="仿宋" w:hAnsi="仿宋" w:eastAsia="仿宋" w:cs="Cambria Math"/>
          <w:color w:val="000000"/>
        </w:rPr>
        <w:t>对于未列出的偏离内容视同供应商已完全接受竞争性磋商文件的要求，</w:t>
      </w:r>
      <w:r>
        <w:rPr>
          <w:rFonts w:hint="eastAsia" w:ascii="仿宋" w:hAnsi="仿宋" w:eastAsia="仿宋" w:cs="Cambria Math"/>
          <w:b/>
          <w:bCs/>
          <w:color w:val="000000"/>
        </w:rPr>
        <w:t>如全部满足，在偏离表中应答“全部满足”即可</w:t>
      </w:r>
      <w:r>
        <w:rPr>
          <w:rFonts w:hint="eastAsia" w:ascii="仿宋" w:hAnsi="仿宋" w:eastAsia="仿宋" w:cs="Cambria Math"/>
          <w:color w:val="000000"/>
        </w:rPr>
        <w:t>。</w:t>
      </w:r>
    </w:p>
    <w:p>
      <w:pPr>
        <w:spacing w:line="360" w:lineRule="auto"/>
        <w:ind w:left="480" w:hanging="480" w:hangingChars="200"/>
        <w:rPr>
          <w:rFonts w:hint="eastAsia" w:ascii="仿宋" w:hAnsi="仿宋" w:eastAsia="仿宋" w:cs="仿宋"/>
          <w:color w:val="000000"/>
        </w:rPr>
      </w:pPr>
    </w:p>
    <w:p>
      <w:pPr>
        <w:spacing w:line="440" w:lineRule="exact"/>
        <w:ind w:firstLine="4080" w:firstLineChars="1700"/>
        <w:jc w:val="right"/>
        <w:rPr>
          <w:rFonts w:hint="eastAsia" w:ascii="仿宋" w:hAnsi="仿宋" w:eastAsia="仿宋" w:cs="仿宋"/>
          <w:color w:val="000000"/>
        </w:rPr>
      </w:pPr>
    </w:p>
    <w:p>
      <w:pPr>
        <w:spacing w:line="440" w:lineRule="exact"/>
        <w:ind w:firstLine="4080" w:firstLineChars="1700"/>
        <w:jc w:val="right"/>
        <w:rPr>
          <w:rFonts w:hint="eastAsia"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pPr>
        <w:spacing w:line="440" w:lineRule="exact"/>
        <w:jc w:val="right"/>
        <w:rPr>
          <w:rFonts w:hint="eastAsia" w:ascii="仿宋" w:hAnsi="仿宋" w:eastAsia="仿宋" w:cs="仿宋"/>
          <w:b/>
          <w:bCs/>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pPr>
        <w:spacing w:line="360" w:lineRule="auto"/>
        <w:rPr>
          <w:rFonts w:hint="eastAsia" w:ascii="仿宋" w:hAnsi="仿宋" w:eastAsia="仿宋" w:cs="仿宋"/>
          <w:color w:val="000000"/>
        </w:rPr>
      </w:pPr>
    </w:p>
    <w:p>
      <w:pPr>
        <w:pStyle w:val="6"/>
        <w:spacing w:before="0" w:after="0" w:line="360" w:lineRule="auto"/>
        <w:rPr>
          <w:rFonts w:hint="eastAsia" w:ascii="仿宋" w:hAnsi="仿宋" w:eastAsia="仿宋" w:cs="仿宋"/>
          <w:color w:val="000000"/>
          <w:sz w:val="24"/>
          <w:szCs w:val="24"/>
        </w:rPr>
      </w:pPr>
      <w:r>
        <w:rPr>
          <w:rFonts w:hint="eastAsia" w:ascii="仿宋" w:hAnsi="仿宋" w:eastAsia="仿宋" w:cs="仿宋"/>
          <w:color w:val="000000"/>
        </w:rPr>
        <w:br w:type="page"/>
      </w:r>
      <w:bookmarkStart w:id="191" w:name="_Toc186737825"/>
      <w:bookmarkStart w:id="192" w:name="_Toc8284"/>
      <w:r>
        <w:rPr>
          <w:rFonts w:hint="eastAsia" w:ascii="仿宋" w:hAnsi="仿宋" w:eastAsia="仿宋" w:cs="仿宋"/>
          <w:color w:val="000000"/>
          <w:sz w:val="24"/>
          <w:szCs w:val="24"/>
        </w:rPr>
        <w:t>（二）技术方案</w:t>
      </w:r>
      <w:bookmarkEnd w:id="191"/>
      <w:bookmarkEnd w:id="192"/>
    </w:p>
    <w:p>
      <w:pPr>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 xml:space="preserve">供应商应根据采购需求的要求，提供相应的文件内容以及证明材料。 </w:t>
      </w:r>
      <w:bookmarkStart w:id="193" w:name="_Toc517281860"/>
      <w:bookmarkStart w:id="194" w:name="_Toc444891358"/>
      <w:r>
        <w:rPr>
          <w:rFonts w:hint="eastAsia" w:ascii="仿宋" w:hAnsi="仿宋" w:eastAsia="仿宋" w:cs="仿宋"/>
          <w:color w:val="000000"/>
        </w:rPr>
        <w:br w:type="page"/>
      </w:r>
    </w:p>
    <w:p>
      <w:pPr>
        <w:pStyle w:val="7"/>
        <w:rPr>
          <w:rFonts w:hint="eastAsia" w:ascii="仿宋" w:hAnsi="仿宋" w:eastAsia="仿宋" w:cs="Cambria Math"/>
          <w:color w:val="000000"/>
          <w:sz w:val="24"/>
          <w:szCs w:val="24"/>
        </w:rPr>
      </w:pPr>
      <w:r>
        <w:rPr>
          <w:rFonts w:hint="eastAsia" w:ascii="仿宋" w:hAnsi="仿宋" w:eastAsia="仿宋" w:cs="Cambria Math"/>
          <w:color w:val="000000"/>
          <w:sz w:val="24"/>
          <w:szCs w:val="24"/>
        </w:rPr>
        <w:t>1、拟派服务团队成员汇总表</w:t>
      </w:r>
    </w:p>
    <w:tbl>
      <w:tblPr>
        <w:tblStyle w:val="30"/>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60"/>
        <w:gridCol w:w="851"/>
        <w:gridCol w:w="980"/>
        <w:gridCol w:w="992"/>
        <w:gridCol w:w="1276"/>
        <w:gridCol w:w="1134"/>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blHeader/>
          <w:jc w:val="center"/>
        </w:trPr>
        <w:tc>
          <w:tcPr>
            <w:tcW w:w="750" w:type="dxa"/>
            <w:vAlign w:val="center"/>
          </w:tcPr>
          <w:p>
            <w:pPr>
              <w:snapToGrid w:val="0"/>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序号</w:t>
            </w:r>
          </w:p>
        </w:tc>
        <w:tc>
          <w:tcPr>
            <w:tcW w:w="1260" w:type="dxa"/>
            <w:vAlign w:val="center"/>
          </w:tcPr>
          <w:p>
            <w:pPr>
              <w:snapToGrid w:val="0"/>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姓名</w:t>
            </w:r>
          </w:p>
        </w:tc>
        <w:tc>
          <w:tcPr>
            <w:tcW w:w="851" w:type="dxa"/>
            <w:vAlign w:val="center"/>
          </w:tcPr>
          <w:p>
            <w:pPr>
              <w:snapToGrid w:val="0"/>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学历</w:t>
            </w:r>
          </w:p>
        </w:tc>
        <w:tc>
          <w:tcPr>
            <w:tcW w:w="980" w:type="dxa"/>
            <w:vAlign w:val="center"/>
          </w:tcPr>
          <w:p>
            <w:pPr>
              <w:snapToGrid w:val="0"/>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专业资质</w:t>
            </w:r>
          </w:p>
        </w:tc>
        <w:tc>
          <w:tcPr>
            <w:tcW w:w="992" w:type="dxa"/>
            <w:vAlign w:val="center"/>
          </w:tcPr>
          <w:p>
            <w:pPr>
              <w:snapToGrid w:val="0"/>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工作年限</w:t>
            </w:r>
          </w:p>
        </w:tc>
        <w:tc>
          <w:tcPr>
            <w:tcW w:w="1276" w:type="dxa"/>
            <w:vAlign w:val="center"/>
          </w:tcPr>
          <w:p>
            <w:pPr>
              <w:snapToGrid w:val="0"/>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本项目职务</w:t>
            </w:r>
          </w:p>
        </w:tc>
        <w:tc>
          <w:tcPr>
            <w:tcW w:w="1134" w:type="dxa"/>
            <w:vAlign w:val="center"/>
          </w:tcPr>
          <w:p>
            <w:pPr>
              <w:snapToGrid w:val="0"/>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服务内容</w:t>
            </w:r>
          </w:p>
        </w:tc>
        <w:tc>
          <w:tcPr>
            <w:tcW w:w="1695" w:type="dxa"/>
            <w:vAlign w:val="center"/>
          </w:tcPr>
          <w:p>
            <w:pPr>
              <w:snapToGrid w:val="0"/>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同类项目实施案例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50" w:type="dxa"/>
            <w:vAlign w:val="center"/>
          </w:tcPr>
          <w:p>
            <w:pPr>
              <w:snapToGrid w:val="0"/>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1</w:t>
            </w:r>
          </w:p>
        </w:tc>
        <w:tc>
          <w:tcPr>
            <w:tcW w:w="1260" w:type="dxa"/>
            <w:vAlign w:val="center"/>
          </w:tcPr>
          <w:p>
            <w:pPr>
              <w:snapToGrid w:val="0"/>
              <w:spacing w:line="360" w:lineRule="auto"/>
              <w:jc w:val="center"/>
              <w:rPr>
                <w:rFonts w:hint="eastAsia" w:ascii="仿宋" w:hAnsi="仿宋" w:eastAsia="仿宋" w:cs="仿宋"/>
                <w:color w:val="000000"/>
                <w:szCs w:val="21"/>
              </w:rPr>
            </w:pPr>
          </w:p>
        </w:tc>
        <w:tc>
          <w:tcPr>
            <w:tcW w:w="851" w:type="dxa"/>
          </w:tcPr>
          <w:p>
            <w:pPr>
              <w:snapToGrid w:val="0"/>
              <w:spacing w:line="360" w:lineRule="auto"/>
              <w:jc w:val="center"/>
              <w:rPr>
                <w:rFonts w:hint="eastAsia" w:ascii="仿宋" w:hAnsi="仿宋" w:eastAsia="仿宋" w:cs="仿宋"/>
                <w:color w:val="000000"/>
                <w:szCs w:val="21"/>
              </w:rPr>
            </w:pPr>
          </w:p>
        </w:tc>
        <w:tc>
          <w:tcPr>
            <w:tcW w:w="980" w:type="dxa"/>
            <w:vAlign w:val="center"/>
          </w:tcPr>
          <w:p>
            <w:pPr>
              <w:snapToGrid w:val="0"/>
              <w:spacing w:line="360" w:lineRule="auto"/>
              <w:jc w:val="center"/>
              <w:rPr>
                <w:rFonts w:hint="eastAsia" w:ascii="仿宋" w:hAnsi="仿宋" w:eastAsia="仿宋" w:cs="仿宋"/>
                <w:color w:val="000000"/>
                <w:szCs w:val="21"/>
              </w:rPr>
            </w:pPr>
          </w:p>
        </w:tc>
        <w:tc>
          <w:tcPr>
            <w:tcW w:w="992" w:type="dxa"/>
            <w:vAlign w:val="center"/>
          </w:tcPr>
          <w:p>
            <w:pPr>
              <w:snapToGrid w:val="0"/>
              <w:spacing w:line="360" w:lineRule="auto"/>
              <w:jc w:val="center"/>
              <w:rPr>
                <w:rFonts w:hint="eastAsia" w:ascii="仿宋" w:hAnsi="仿宋" w:eastAsia="仿宋" w:cs="仿宋"/>
                <w:color w:val="000000"/>
                <w:szCs w:val="21"/>
              </w:rPr>
            </w:pPr>
          </w:p>
        </w:tc>
        <w:tc>
          <w:tcPr>
            <w:tcW w:w="1276" w:type="dxa"/>
            <w:vAlign w:val="center"/>
          </w:tcPr>
          <w:p>
            <w:pPr>
              <w:snapToGrid w:val="0"/>
              <w:spacing w:line="360" w:lineRule="auto"/>
              <w:jc w:val="center"/>
              <w:rPr>
                <w:rFonts w:hint="eastAsia" w:ascii="仿宋" w:hAnsi="仿宋" w:eastAsia="仿宋" w:cs="仿宋"/>
                <w:color w:val="000000"/>
                <w:szCs w:val="21"/>
              </w:rPr>
            </w:pPr>
          </w:p>
        </w:tc>
        <w:tc>
          <w:tcPr>
            <w:tcW w:w="1134" w:type="dxa"/>
            <w:vAlign w:val="center"/>
          </w:tcPr>
          <w:p>
            <w:pPr>
              <w:snapToGrid w:val="0"/>
              <w:spacing w:line="360" w:lineRule="auto"/>
              <w:jc w:val="center"/>
              <w:rPr>
                <w:rFonts w:hint="eastAsia" w:ascii="仿宋" w:hAnsi="仿宋" w:eastAsia="仿宋" w:cs="仿宋"/>
                <w:color w:val="000000"/>
                <w:szCs w:val="21"/>
              </w:rPr>
            </w:pPr>
          </w:p>
        </w:tc>
        <w:tc>
          <w:tcPr>
            <w:tcW w:w="1695" w:type="dxa"/>
            <w:vAlign w:val="center"/>
          </w:tcPr>
          <w:p>
            <w:pPr>
              <w:snapToGrid w:val="0"/>
              <w:spacing w:line="360" w:lineRule="auto"/>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vAlign w:val="center"/>
          </w:tcPr>
          <w:p>
            <w:pPr>
              <w:snapToGrid w:val="0"/>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2</w:t>
            </w:r>
          </w:p>
        </w:tc>
        <w:tc>
          <w:tcPr>
            <w:tcW w:w="1260" w:type="dxa"/>
            <w:vAlign w:val="center"/>
          </w:tcPr>
          <w:p>
            <w:pPr>
              <w:snapToGrid w:val="0"/>
              <w:spacing w:line="360" w:lineRule="auto"/>
              <w:jc w:val="center"/>
              <w:rPr>
                <w:rFonts w:hint="eastAsia" w:ascii="仿宋" w:hAnsi="仿宋" w:eastAsia="仿宋" w:cs="仿宋"/>
                <w:color w:val="000000"/>
                <w:szCs w:val="21"/>
              </w:rPr>
            </w:pPr>
          </w:p>
        </w:tc>
        <w:tc>
          <w:tcPr>
            <w:tcW w:w="851" w:type="dxa"/>
          </w:tcPr>
          <w:p>
            <w:pPr>
              <w:snapToGrid w:val="0"/>
              <w:spacing w:line="360" w:lineRule="auto"/>
              <w:jc w:val="center"/>
              <w:rPr>
                <w:rFonts w:hint="eastAsia" w:ascii="仿宋" w:hAnsi="仿宋" w:eastAsia="仿宋" w:cs="仿宋"/>
                <w:color w:val="000000"/>
                <w:szCs w:val="21"/>
              </w:rPr>
            </w:pPr>
          </w:p>
        </w:tc>
        <w:tc>
          <w:tcPr>
            <w:tcW w:w="980" w:type="dxa"/>
            <w:vAlign w:val="center"/>
          </w:tcPr>
          <w:p>
            <w:pPr>
              <w:snapToGrid w:val="0"/>
              <w:spacing w:line="360" w:lineRule="auto"/>
              <w:jc w:val="center"/>
              <w:rPr>
                <w:rFonts w:hint="eastAsia" w:ascii="仿宋" w:hAnsi="仿宋" w:eastAsia="仿宋" w:cs="仿宋"/>
                <w:color w:val="000000"/>
                <w:szCs w:val="21"/>
              </w:rPr>
            </w:pPr>
          </w:p>
        </w:tc>
        <w:tc>
          <w:tcPr>
            <w:tcW w:w="992" w:type="dxa"/>
            <w:vAlign w:val="center"/>
          </w:tcPr>
          <w:p>
            <w:pPr>
              <w:snapToGrid w:val="0"/>
              <w:spacing w:line="360" w:lineRule="auto"/>
              <w:jc w:val="center"/>
              <w:rPr>
                <w:rFonts w:hint="eastAsia" w:ascii="仿宋" w:hAnsi="仿宋" w:eastAsia="仿宋" w:cs="仿宋"/>
                <w:color w:val="000000"/>
                <w:szCs w:val="21"/>
              </w:rPr>
            </w:pPr>
          </w:p>
        </w:tc>
        <w:tc>
          <w:tcPr>
            <w:tcW w:w="1276" w:type="dxa"/>
            <w:vAlign w:val="center"/>
          </w:tcPr>
          <w:p>
            <w:pPr>
              <w:snapToGrid w:val="0"/>
              <w:spacing w:line="360" w:lineRule="auto"/>
              <w:jc w:val="center"/>
              <w:rPr>
                <w:rFonts w:hint="eastAsia" w:ascii="仿宋" w:hAnsi="仿宋" w:eastAsia="仿宋" w:cs="仿宋"/>
                <w:color w:val="000000"/>
                <w:szCs w:val="21"/>
              </w:rPr>
            </w:pPr>
          </w:p>
        </w:tc>
        <w:tc>
          <w:tcPr>
            <w:tcW w:w="1134" w:type="dxa"/>
            <w:vAlign w:val="center"/>
          </w:tcPr>
          <w:p>
            <w:pPr>
              <w:snapToGrid w:val="0"/>
              <w:spacing w:line="360" w:lineRule="auto"/>
              <w:jc w:val="center"/>
              <w:rPr>
                <w:rFonts w:hint="eastAsia" w:ascii="仿宋" w:hAnsi="仿宋" w:eastAsia="仿宋" w:cs="仿宋"/>
                <w:color w:val="000000"/>
                <w:szCs w:val="21"/>
              </w:rPr>
            </w:pPr>
          </w:p>
        </w:tc>
        <w:tc>
          <w:tcPr>
            <w:tcW w:w="1695" w:type="dxa"/>
            <w:vAlign w:val="center"/>
          </w:tcPr>
          <w:p>
            <w:pPr>
              <w:snapToGrid w:val="0"/>
              <w:spacing w:line="360" w:lineRule="auto"/>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vAlign w:val="center"/>
          </w:tcPr>
          <w:p>
            <w:pPr>
              <w:snapToGrid w:val="0"/>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3</w:t>
            </w:r>
          </w:p>
        </w:tc>
        <w:tc>
          <w:tcPr>
            <w:tcW w:w="1260" w:type="dxa"/>
            <w:vAlign w:val="center"/>
          </w:tcPr>
          <w:p>
            <w:pPr>
              <w:snapToGrid w:val="0"/>
              <w:spacing w:line="360" w:lineRule="auto"/>
              <w:jc w:val="center"/>
              <w:rPr>
                <w:rFonts w:hint="eastAsia" w:ascii="仿宋" w:hAnsi="仿宋" w:eastAsia="仿宋" w:cs="仿宋"/>
                <w:color w:val="000000"/>
                <w:szCs w:val="21"/>
              </w:rPr>
            </w:pPr>
          </w:p>
        </w:tc>
        <w:tc>
          <w:tcPr>
            <w:tcW w:w="851" w:type="dxa"/>
          </w:tcPr>
          <w:p>
            <w:pPr>
              <w:snapToGrid w:val="0"/>
              <w:spacing w:line="360" w:lineRule="auto"/>
              <w:jc w:val="center"/>
              <w:rPr>
                <w:rFonts w:hint="eastAsia" w:ascii="仿宋" w:hAnsi="仿宋" w:eastAsia="仿宋" w:cs="仿宋"/>
                <w:color w:val="000000"/>
                <w:szCs w:val="21"/>
              </w:rPr>
            </w:pPr>
          </w:p>
        </w:tc>
        <w:tc>
          <w:tcPr>
            <w:tcW w:w="980" w:type="dxa"/>
            <w:vAlign w:val="center"/>
          </w:tcPr>
          <w:p>
            <w:pPr>
              <w:snapToGrid w:val="0"/>
              <w:spacing w:line="360" w:lineRule="auto"/>
              <w:jc w:val="center"/>
              <w:rPr>
                <w:rFonts w:hint="eastAsia" w:ascii="仿宋" w:hAnsi="仿宋" w:eastAsia="仿宋" w:cs="仿宋"/>
                <w:color w:val="000000"/>
                <w:szCs w:val="21"/>
              </w:rPr>
            </w:pPr>
          </w:p>
        </w:tc>
        <w:tc>
          <w:tcPr>
            <w:tcW w:w="992" w:type="dxa"/>
            <w:vAlign w:val="center"/>
          </w:tcPr>
          <w:p>
            <w:pPr>
              <w:snapToGrid w:val="0"/>
              <w:spacing w:line="360" w:lineRule="auto"/>
              <w:jc w:val="center"/>
              <w:rPr>
                <w:rFonts w:hint="eastAsia" w:ascii="仿宋" w:hAnsi="仿宋" w:eastAsia="仿宋" w:cs="仿宋"/>
                <w:color w:val="000000"/>
                <w:szCs w:val="21"/>
              </w:rPr>
            </w:pPr>
          </w:p>
        </w:tc>
        <w:tc>
          <w:tcPr>
            <w:tcW w:w="1276" w:type="dxa"/>
            <w:vAlign w:val="center"/>
          </w:tcPr>
          <w:p>
            <w:pPr>
              <w:snapToGrid w:val="0"/>
              <w:spacing w:line="360" w:lineRule="auto"/>
              <w:jc w:val="center"/>
              <w:rPr>
                <w:rFonts w:hint="eastAsia" w:ascii="仿宋" w:hAnsi="仿宋" w:eastAsia="仿宋" w:cs="仿宋"/>
                <w:color w:val="000000"/>
                <w:szCs w:val="21"/>
              </w:rPr>
            </w:pPr>
          </w:p>
        </w:tc>
        <w:tc>
          <w:tcPr>
            <w:tcW w:w="1134" w:type="dxa"/>
            <w:vAlign w:val="center"/>
          </w:tcPr>
          <w:p>
            <w:pPr>
              <w:snapToGrid w:val="0"/>
              <w:spacing w:line="360" w:lineRule="auto"/>
              <w:jc w:val="center"/>
              <w:rPr>
                <w:rFonts w:hint="eastAsia" w:ascii="仿宋" w:hAnsi="仿宋" w:eastAsia="仿宋" w:cs="仿宋"/>
                <w:color w:val="000000"/>
                <w:szCs w:val="21"/>
              </w:rPr>
            </w:pPr>
          </w:p>
        </w:tc>
        <w:tc>
          <w:tcPr>
            <w:tcW w:w="1695" w:type="dxa"/>
            <w:vAlign w:val="center"/>
          </w:tcPr>
          <w:p>
            <w:pPr>
              <w:snapToGrid w:val="0"/>
              <w:spacing w:line="360" w:lineRule="auto"/>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vAlign w:val="center"/>
          </w:tcPr>
          <w:p>
            <w:pPr>
              <w:snapToGrid w:val="0"/>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4</w:t>
            </w:r>
          </w:p>
        </w:tc>
        <w:tc>
          <w:tcPr>
            <w:tcW w:w="1260" w:type="dxa"/>
            <w:vAlign w:val="center"/>
          </w:tcPr>
          <w:p>
            <w:pPr>
              <w:snapToGrid w:val="0"/>
              <w:spacing w:line="360" w:lineRule="auto"/>
              <w:jc w:val="center"/>
              <w:rPr>
                <w:rFonts w:hint="eastAsia" w:ascii="仿宋" w:hAnsi="仿宋" w:eastAsia="仿宋" w:cs="仿宋"/>
                <w:color w:val="000000"/>
                <w:szCs w:val="21"/>
              </w:rPr>
            </w:pPr>
          </w:p>
        </w:tc>
        <w:tc>
          <w:tcPr>
            <w:tcW w:w="851" w:type="dxa"/>
          </w:tcPr>
          <w:p>
            <w:pPr>
              <w:snapToGrid w:val="0"/>
              <w:spacing w:line="360" w:lineRule="auto"/>
              <w:jc w:val="center"/>
              <w:rPr>
                <w:rFonts w:hint="eastAsia" w:ascii="仿宋" w:hAnsi="仿宋" w:eastAsia="仿宋" w:cs="仿宋"/>
                <w:color w:val="000000"/>
                <w:szCs w:val="21"/>
              </w:rPr>
            </w:pPr>
          </w:p>
        </w:tc>
        <w:tc>
          <w:tcPr>
            <w:tcW w:w="980" w:type="dxa"/>
            <w:vAlign w:val="center"/>
          </w:tcPr>
          <w:p>
            <w:pPr>
              <w:snapToGrid w:val="0"/>
              <w:spacing w:line="360" w:lineRule="auto"/>
              <w:jc w:val="center"/>
              <w:rPr>
                <w:rFonts w:hint="eastAsia" w:ascii="仿宋" w:hAnsi="仿宋" w:eastAsia="仿宋" w:cs="仿宋"/>
                <w:color w:val="000000"/>
                <w:szCs w:val="21"/>
              </w:rPr>
            </w:pPr>
          </w:p>
        </w:tc>
        <w:tc>
          <w:tcPr>
            <w:tcW w:w="992" w:type="dxa"/>
            <w:vAlign w:val="center"/>
          </w:tcPr>
          <w:p>
            <w:pPr>
              <w:snapToGrid w:val="0"/>
              <w:spacing w:line="360" w:lineRule="auto"/>
              <w:jc w:val="center"/>
              <w:rPr>
                <w:rFonts w:hint="eastAsia" w:ascii="仿宋" w:hAnsi="仿宋" w:eastAsia="仿宋" w:cs="仿宋"/>
                <w:color w:val="000000"/>
                <w:szCs w:val="21"/>
              </w:rPr>
            </w:pPr>
          </w:p>
        </w:tc>
        <w:tc>
          <w:tcPr>
            <w:tcW w:w="1276" w:type="dxa"/>
            <w:vAlign w:val="center"/>
          </w:tcPr>
          <w:p>
            <w:pPr>
              <w:snapToGrid w:val="0"/>
              <w:spacing w:line="360" w:lineRule="auto"/>
              <w:jc w:val="center"/>
              <w:rPr>
                <w:rFonts w:hint="eastAsia" w:ascii="仿宋" w:hAnsi="仿宋" w:eastAsia="仿宋" w:cs="仿宋"/>
                <w:color w:val="000000"/>
                <w:szCs w:val="21"/>
              </w:rPr>
            </w:pPr>
          </w:p>
        </w:tc>
        <w:tc>
          <w:tcPr>
            <w:tcW w:w="1134" w:type="dxa"/>
            <w:vAlign w:val="center"/>
          </w:tcPr>
          <w:p>
            <w:pPr>
              <w:snapToGrid w:val="0"/>
              <w:spacing w:line="360" w:lineRule="auto"/>
              <w:jc w:val="center"/>
              <w:rPr>
                <w:rFonts w:hint="eastAsia" w:ascii="仿宋" w:hAnsi="仿宋" w:eastAsia="仿宋" w:cs="仿宋"/>
                <w:color w:val="000000"/>
                <w:szCs w:val="21"/>
              </w:rPr>
            </w:pPr>
          </w:p>
        </w:tc>
        <w:tc>
          <w:tcPr>
            <w:tcW w:w="1695" w:type="dxa"/>
            <w:vAlign w:val="center"/>
          </w:tcPr>
          <w:p>
            <w:pPr>
              <w:snapToGrid w:val="0"/>
              <w:spacing w:line="360" w:lineRule="auto"/>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vAlign w:val="center"/>
          </w:tcPr>
          <w:p>
            <w:pPr>
              <w:snapToGrid w:val="0"/>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260" w:type="dxa"/>
            <w:vAlign w:val="center"/>
          </w:tcPr>
          <w:p>
            <w:pPr>
              <w:snapToGrid w:val="0"/>
              <w:spacing w:line="360" w:lineRule="auto"/>
              <w:jc w:val="center"/>
              <w:rPr>
                <w:rFonts w:hint="eastAsia" w:ascii="仿宋" w:hAnsi="仿宋" w:eastAsia="仿宋" w:cs="仿宋"/>
                <w:color w:val="000000"/>
                <w:szCs w:val="21"/>
              </w:rPr>
            </w:pPr>
          </w:p>
        </w:tc>
        <w:tc>
          <w:tcPr>
            <w:tcW w:w="851" w:type="dxa"/>
          </w:tcPr>
          <w:p>
            <w:pPr>
              <w:snapToGrid w:val="0"/>
              <w:spacing w:line="360" w:lineRule="auto"/>
              <w:jc w:val="center"/>
              <w:rPr>
                <w:rFonts w:hint="eastAsia" w:ascii="仿宋" w:hAnsi="仿宋" w:eastAsia="仿宋" w:cs="仿宋"/>
                <w:color w:val="000000"/>
                <w:szCs w:val="21"/>
              </w:rPr>
            </w:pPr>
          </w:p>
        </w:tc>
        <w:tc>
          <w:tcPr>
            <w:tcW w:w="980" w:type="dxa"/>
            <w:vAlign w:val="center"/>
          </w:tcPr>
          <w:p>
            <w:pPr>
              <w:snapToGrid w:val="0"/>
              <w:spacing w:line="360" w:lineRule="auto"/>
              <w:jc w:val="center"/>
              <w:rPr>
                <w:rFonts w:hint="eastAsia" w:ascii="仿宋" w:hAnsi="仿宋" w:eastAsia="仿宋" w:cs="仿宋"/>
                <w:color w:val="000000"/>
                <w:szCs w:val="21"/>
              </w:rPr>
            </w:pPr>
          </w:p>
        </w:tc>
        <w:tc>
          <w:tcPr>
            <w:tcW w:w="992" w:type="dxa"/>
            <w:vAlign w:val="center"/>
          </w:tcPr>
          <w:p>
            <w:pPr>
              <w:snapToGrid w:val="0"/>
              <w:spacing w:line="360" w:lineRule="auto"/>
              <w:jc w:val="center"/>
              <w:rPr>
                <w:rFonts w:hint="eastAsia" w:ascii="仿宋" w:hAnsi="仿宋" w:eastAsia="仿宋" w:cs="仿宋"/>
                <w:color w:val="000000"/>
                <w:szCs w:val="21"/>
              </w:rPr>
            </w:pPr>
          </w:p>
        </w:tc>
        <w:tc>
          <w:tcPr>
            <w:tcW w:w="1276" w:type="dxa"/>
            <w:vAlign w:val="center"/>
          </w:tcPr>
          <w:p>
            <w:pPr>
              <w:snapToGrid w:val="0"/>
              <w:spacing w:line="360" w:lineRule="auto"/>
              <w:jc w:val="center"/>
              <w:rPr>
                <w:rFonts w:hint="eastAsia" w:ascii="仿宋" w:hAnsi="仿宋" w:eastAsia="仿宋" w:cs="仿宋"/>
                <w:color w:val="000000"/>
                <w:szCs w:val="21"/>
              </w:rPr>
            </w:pPr>
          </w:p>
        </w:tc>
        <w:tc>
          <w:tcPr>
            <w:tcW w:w="1134" w:type="dxa"/>
            <w:vAlign w:val="center"/>
          </w:tcPr>
          <w:p>
            <w:pPr>
              <w:snapToGrid w:val="0"/>
              <w:spacing w:line="360" w:lineRule="auto"/>
              <w:jc w:val="center"/>
              <w:rPr>
                <w:rFonts w:hint="eastAsia" w:ascii="仿宋" w:hAnsi="仿宋" w:eastAsia="仿宋" w:cs="仿宋"/>
                <w:color w:val="000000"/>
                <w:szCs w:val="21"/>
              </w:rPr>
            </w:pPr>
          </w:p>
        </w:tc>
        <w:tc>
          <w:tcPr>
            <w:tcW w:w="1695" w:type="dxa"/>
            <w:vAlign w:val="center"/>
          </w:tcPr>
          <w:p>
            <w:pPr>
              <w:snapToGrid w:val="0"/>
              <w:spacing w:line="360" w:lineRule="auto"/>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vAlign w:val="center"/>
          </w:tcPr>
          <w:p>
            <w:pPr>
              <w:snapToGrid w:val="0"/>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260" w:type="dxa"/>
            <w:vAlign w:val="center"/>
          </w:tcPr>
          <w:p>
            <w:pPr>
              <w:snapToGrid w:val="0"/>
              <w:spacing w:line="360" w:lineRule="auto"/>
              <w:jc w:val="center"/>
              <w:rPr>
                <w:rFonts w:hint="eastAsia" w:ascii="仿宋" w:hAnsi="仿宋" w:eastAsia="仿宋" w:cs="仿宋"/>
                <w:color w:val="000000"/>
                <w:szCs w:val="21"/>
              </w:rPr>
            </w:pPr>
          </w:p>
        </w:tc>
        <w:tc>
          <w:tcPr>
            <w:tcW w:w="851" w:type="dxa"/>
          </w:tcPr>
          <w:p>
            <w:pPr>
              <w:snapToGrid w:val="0"/>
              <w:spacing w:line="360" w:lineRule="auto"/>
              <w:jc w:val="center"/>
              <w:rPr>
                <w:rFonts w:hint="eastAsia" w:ascii="仿宋" w:hAnsi="仿宋" w:eastAsia="仿宋" w:cs="仿宋"/>
                <w:color w:val="000000"/>
                <w:szCs w:val="21"/>
              </w:rPr>
            </w:pPr>
          </w:p>
        </w:tc>
        <w:tc>
          <w:tcPr>
            <w:tcW w:w="980" w:type="dxa"/>
            <w:vAlign w:val="center"/>
          </w:tcPr>
          <w:p>
            <w:pPr>
              <w:snapToGrid w:val="0"/>
              <w:spacing w:line="360" w:lineRule="auto"/>
              <w:jc w:val="center"/>
              <w:rPr>
                <w:rFonts w:hint="eastAsia" w:ascii="仿宋" w:hAnsi="仿宋" w:eastAsia="仿宋" w:cs="仿宋"/>
                <w:color w:val="000000"/>
                <w:szCs w:val="21"/>
              </w:rPr>
            </w:pPr>
          </w:p>
        </w:tc>
        <w:tc>
          <w:tcPr>
            <w:tcW w:w="992" w:type="dxa"/>
            <w:vAlign w:val="center"/>
          </w:tcPr>
          <w:p>
            <w:pPr>
              <w:snapToGrid w:val="0"/>
              <w:spacing w:line="360" w:lineRule="auto"/>
              <w:jc w:val="center"/>
              <w:rPr>
                <w:rFonts w:hint="eastAsia" w:ascii="仿宋" w:hAnsi="仿宋" w:eastAsia="仿宋" w:cs="仿宋"/>
                <w:color w:val="000000"/>
                <w:szCs w:val="21"/>
              </w:rPr>
            </w:pPr>
          </w:p>
        </w:tc>
        <w:tc>
          <w:tcPr>
            <w:tcW w:w="1276" w:type="dxa"/>
            <w:vAlign w:val="center"/>
          </w:tcPr>
          <w:p>
            <w:pPr>
              <w:snapToGrid w:val="0"/>
              <w:spacing w:line="360" w:lineRule="auto"/>
              <w:jc w:val="center"/>
              <w:rPr>
                <w:rFonts w:hint="eastAsia" w:ascii="仿宋" w:hAnsi="仿宋" w:eastAsia="仿宋" w:cs="仿宋"/>
                <w:color w:val="000000"/>
                <w:szCs w:val="21"/>
              </w:rPr>
            </w:pPr>
          </w:p>
        </w:tc>
        <w:tc>
          <w:tcPr>
            <w:tcW w:w="1134" w:type="dxa"/>
            <w:vAlign w:val="center"/>
          </w:tcPr>
          <w:p>
            <w:pPr>
              <w:snapToGrid w:val="0"/>
              <w:spacing w:line="360" w:lineRule="auto"/>
              <w:jc w:val="center"/>
              <w:rPr>
                <w:rFonts w:hint="eastAsia" w:ascii="仿宋" w:hAnsi="仿宋" w:eastAsia="仿宋" w:cs="仿宋"/>
                <w:color w:val="000000"/>
                <w:szCs w:val="21"/>
              </w:rPr>
            </w:pPr>
          </w:p>
        </w:tc>
        <w:tc>
          <w:tcPr>
            <w:tcW w:w="1695" w:type="dxa"/>
            <w:vAlign w:val="center"/>
          </w:tcPr>
          <w:p>
            <w:pPr>
              <w:snapToGrid w:val="0"/>
              <w:spacing w:line="360" w:lineRule="auto"/>
              <w:jc w:val="center"/>
              <w:rPr>
                <w:rFonts w:hint="eastAsia" w:ascii="仿宋" w:hAnsi="仿宋" w:eastAsia="仿宋" w:cs="仿宋"/>
                <w:color w:val="000000"/>
                <w:szCs w:val="21"/>
              </w:rPr>
            </w:pPr>
          </w:p>
        </w:tc>
      </w:tr>
    </w:tbl>
    <w:p>
      <w:pPr>
        <w:adjustRightInd w:val="0"/>
        <w:snapToGrid w:val="0"/>
        <w:spacing w:before="240" w:line="360" w:lineRule="auto"/>
        <w:ind w:firstLine="482" w:firstLineChars="200"/>
        <w:rPr>
          <w:rFonts w:hint="eastAsia" w:ascii="仿宋" w:hAnsi="仿宋" w:eastAsia="仿宋" w:cs="仿宋"/>
          <w:b/>
          <w:bCs/>
          <w:color w:val="000000"/>
        </w:rPr>
      </w:pPr>
      <w:r>
        <w:rPr>
          <w:rFonts w:hint="eastAsia" w:ascii="仿宋" w:hAnsi="仿宋" w:eastAsia="仿宋" w:cs="仿宋"/>
          <w:b/>
          <w:bCs/>
          <w:color w:val="000000"/>
        </w:rPr>
        <w:t>注：需按照采购需求中的相关要求，列明本项目服务团队所有人员信息及职责分工。</w:t>
      </w:r>
    </w:p>
    <w:p>
      <w:pPr>
        <w:rPr>
          <w:rFonts w:hint="eastAsia" w:ascii="仿宋" w:hAnsi="仿宋" w:eastAsia="仿宋" w:cs="仿宋"/>
          <w:color w:val="000000"/>
        </w:rPr>
      </w:pPr>
      <w:r>
        <w:rPr>
          <w:rFonts w:hint="eastAsia" w:ascii="仿宋" w:hAnsi="仿宋" w:eastAsia="仿宋" w:cs="仿宋"/>
          <w:color w:val="000000"/>
        </w:rPr>
        <w:br w:type="page"/>
      </w:r>
    </w:p>
    <w:p>
      <w:pPr>
        <w:pStyle w:val="6"/>
        <w:spacing w:before="0" w:after="0" w:line="360" w:lineRule="auto"/>
        <w:rPr>
          <w:rFonts w:hint="eastAsia" w:ascii="仿宋" w:hAnsi="仿宋" w:eastAsia="仿宋" w:cs="仿宋"/>
          <w:color w:val="000000"/>
          <w:sz w:val="24"/>
          <w:szCs w:val="24"/>
        </w:rPr>
      </w:pPr>
      <w:bookmarkStart w:id="195" w:name="_Toc20365"/>
      <w:bookmarkStart w:id="196" w:name="_Toc186737826"/>
      <w:r>
        <w:rPr>
          <w:rFonts w:hint="eastAsia" w:ascii="仿宋" w:hAnsi="仿宋" w:eastAsia="仿宋" w:cs="仿宋"/>
          <w:color w:val="000000"/>
          <w:sz w:val="24"/>
          <w:szCs w:val="24"/>
        </w:rPr>
        <w:t>（三）</w:t>
      </w:r>
      <w:bookmarkEnd w:id="193"/>
      <w:bookmarkEnd w:id="194"/>
      <w:r>
        <w:rPr>
          <w:rFonts w:hint="eastAsia" w:ascii="仿宋" w:hAnsi="仿宋" w:eastAsia="仿宋" w:cs="仿宋"/>
          <w:color w:val="000000"/>
          <w:sz w:val="24"/>
          <w:szCs w:val="24"/>
        </w:rPr>
        <w:t>其他材料</w:t>
      </w:r>
      <w:bookmarkEnd w:id="195"/>
      <w:bookmarkEnd w:id="196"/>
    </w:p>
    <w:p>
      <w:pPr>
        <w:spacing w:line="360" w:lineRule="auto"/>
        <w:rPr>
          <w:rFonts w:hint="eastAsia" w:ascii="仿宋" w:hAnsi="仿宋" w:eastAsia="仿宋" w:cs="仿宋"/>
          <w:color w:val="000000"/>
        </w:rPr>
        <w:sectPr>
          <w:pgSz w:w="11906" w:h="16838"/>
          <w:pgMar w:top="1417" w:right="1134" w:bottom="1134" w:left="1134" w:header="964" w:footer="964" w:gutter="0"/>
          <w:cols w:space="720" w:num="1"/>
          <w:docGrid w:linePitch="312" w:charSpace="0"/>
        </w:sectPr>
      </w:pPr>
      <w:r>
        <w:rPr>
          <w:rFonts w:hint="eastAsia" w:ascii="仿宋" w:hAnsi="仿宋" w:eastAsia="仿宋" w:cs="Cambria Math"/>
          <w:color w:val="000000"/>
        </w:rPr>
        <w:t>供应商</w:t>
      </w:r>
      <w:r>
        <w:rPr>
          <w:rFonts w:ascii="仿宋" w:hAnsi="仿宋" w:eastAsia="仿宋" w:cs="Cambria Math"/>
          <w:color w:val="000000"/>
        </w:rPr>
        <w:t>认为需提供的其他材料</w:t>
      </w:r>
    </w:p>
    <w:p>
      <w:pPr>
        <w:pStyle w:val="5"/>
        <w:jc w:val="both"/>
        <w:rPr>
          <w:rFonts w:hint="eastAsia" w:ascii="仿宋" w:hAnsi="仿宋" w:eastAsia="仿宋" w:cs="仿宋"/>
          <w:color w:val="000000"/>
          <w:sz w:val="24"/>
          <w:szCs w:val="24"/>
        </w:rPr>
      </w:pPr>
      <w:bookmarkStart w:id="197" w:name="_Toc20443"/>
      <w:bookmarkStart w:id="198" w:name="_Toc186737827"/>
      <w:r>
        <w:rPr>
          <w:rFonts w:hint="eastAsia" w:ascii="仿宋" w:hAnsi="仿宋" w:eastAsia="仿宋" w:cs="仿宋"/>
          <w:color w:val="000000"/>
          <w:sz w:val="24"/>
          <w:szCs w:val="24"/>
        </w:rPr>
        <w:t>三、报价文件</w:t>
      </w:r>
      <w:bookmarkEnd w:id="197"/>
      <w:bookmarkEnd w:id="198"/>
    </w:p>
    <w:p>
      <w:pPr>
        <w:pStyle w:val="6"/>
        <w:spacing w:before="0" w:after="0" w:line="360" w:lineRule="auto"/>
        <w:ind w:firstLine="482"/>
        <w:rPr>
          <w:rFonts w:hint="eastAsia" w:ascii="仿宋" w:hAnsi="仿宋" w:eastAsia="仿宋" w:cs="仿宋"/>
          <w:color w:val="000000"/>
          <w:sz w:val="24"/>
          <w:szCs w:val="24"/>
        </w:rPr>
      </w:pPr>
      <w:bookmarkStart w:id="199" w:name="_Toc511726864"/>
      <w:bookmarkStart w:id="200" w:name="_Toc18942"/>
      <w:bookmarkStart w:id="201" w:name="_Toc186737828"/>
      <w:r>
        <w:rPr>
          <w:rFonts w:hint="eastAsia" w:ascii="仿宋" w:hAnsi="仿宋" w:eastAsia="仿宋" w:cs="仿宋"/>
          <w:color w:val="000000"/>
          <w:sz w:val="24"/>
          <w:szCs w:val="24"/>
        </w:rPr>
        <w:t>（一）报价</w:t>
      </w:r>
      <w:bookmarkEnd w:id="199"/>
      <w:r>
        <w:rPr>
          <w:rFonts w:hint="eastAsia" w:ascii="仿宋" w:hAnsi="仿宋" w:eastAsia="仿宋" w:cs="仿宋"/>
          <w:color w:val="000000"/>
          <w:sz w:val="24"/>
          <w:szCs w:val="24"/>
        </w:rPr>
        <w:t>一览表</w:t>
      </w:r>
      <w:bookmarkEnd w:id="200"/>
      <w:bookmarkEnd w:id="201"/>
    </w:p>
    <w:p>
      <w:pPr>
        <w:pStyle w:val="12"/>
        <w:spacing w:line="360" w:lineRule="auto"/>
        <w:ind w:hanging="142"/>
        <w:rPr>
          <w:rFonts w:hint="eastAsia" w:ascii="仿宋" w:hAnsi="仿宋" w:eastAsia="仿宋" w:cs="仿宋"/>
          <w:color w:val="000000"/>
          <w:sz w:val="24"/>
          <w:szCs w:val="24"/>
        </w:rPr>
      </w:pPr>
      <w:r>
        <w:rPr>
          <w:rFonts w:hint="eastAsia" w:ascii="仿宋" w:hAnsi="仿宋" w:eastAsia="仿宋" w:cs="仿宋"/>
          <w:color w:val="000000"/>
          <w:sz w:val="24"/>
          <w:szCs w:val="24"/>
        </w:rPr>
        <w:t>项目名称：</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  </w:t>
      </w:r>
    </w:p>
    <w:p>
      <w:pPr>
        <w:pStyle w:val="12"/>
        <w:spacing w:line="360" w:lineRule="auto"/>
        <w:ind w:hanging="142"/>
        <w:rPr>
          <w:rFonts w:hint="eastAsia" w:ascii="仿宋" w:hAnsi="仿宋" w:eastAsia="仿宋" w:cs="仿宋"/>
          <w:color w:val="000000"/>
          <w:sz w:val="24"/>
          <w:szCs w:val="24"/>
        </w:rPr>
      </w:pPr>
      <w:r>
        <w:rPr>
          <w:rFonts w:hint="eastAsia" w:ascii="仿宋" w:hAnsi="仿宋" w:eastAsia="仿宋" w:cs="仿宋"/>
          <w:color w:val="000000"/>
          <w:sz w:val="24"/>
          <w:szCs w:val="24"/>
        </w:rPr>
        <w:t>货币单位：</w:t>
      </w:r>
      <w:r>
        <w:rPr>
          <w:rFonts w:hint="eastAsia" w:ascii="仿宋" w:hAnsi="仿宋" w:eastAsia="仿宋" w:cs="仿宋"/>
          <w:color w:val="000000"/>
          <w:sz w:val="24"/>
          <w:szCs w:val="24"/>
          <w:u w:val="single"/>
        </w:rPr>
        <w:t xml:space="preserve"> 人民币元    </w:t>
      </w:r>
    </w:p>
    <w:p>
      <w:pPr>
        <w:jc w:val="center"/>
        <w:textAlignment w:val="center"/>
        <w:rPr>
          <w:rFonts w:hint="eastAsia" w:ascii="仿宋" w:hAnsi="仿宋" w:eastAsia="仿宋" w:cs="仿宋"/>
          <w:color w:val="000000"/>
          <w:szCs w:val="21"/>
          <w:lang w:bidi="ar"/>
        </w:rPr>
      </w:pPr>
    </w:p>
    <w:tbl>
      <w:tblPr>
        <w:tblStyle w:val="30"/>
        <w:tblW w:w="5121" w:type="pct"/>
        <w:jc w:val="center"/>
        <w:tblLayout w:type="autofit"/>
        <w:tblCellMar>
          <w:top w:w="0" w:type="dxa"/>
          <w:left w:w="108" w:type="dxa"/>
          <w:bottom w:w="0" w:type="dxa"/>
          <w:right w:w="108" w:type="dxa"/>
        </w:tblCellMar>
      </w:tblPr>
      <w:tblGrid>
        <w:gridCol w:w="624"/>
        <w:gridCol w:w="1845"/>
        <w:gridCol w:w="1468"/>
        <w:gridCol w:w="1694"/>
        <w:gridCol w:w="1447"/>
        <w:gridCol w:w="1472"/>
        <w:gridCol w:w="705"/>
      </w:tblGrid>
      <w:tr>
        <w:tblPrEx>
          <w:tblCellMar>
            <w:top w:w="0" w:type="dxa"/>
            <w:left w:w="108" w:type="dxa"/>
            <w:bottom w:w="0" w:type="dxa"/>
            <w:right w:w="108" w:type="dxa"/>
          </w:tblCellMar>
        </w:tblPrEx>
        <w:trPr>
          <w:trHeight w:val="927" w:hRule="atLeast"/>
          <w:jc w:val="center"/>
        </w:trPr>
        <w:tc>
          <w:tcPr>
            <w:tcW w:w="33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宋体"/>
                <w:b/>
                <w:bCs/>
                <w:color w:val="000000"/>
                <w:szCs w:val="21"/>
              </w:rPr>
            </w:pPr>
            <w:r>
              <w:rPr>
                <w:rFonts w:hint="eastAsia" w:ascii="仿宋" w:hAnsi="仿宋" w:eastAsia="仿宋" w:cs="宋体"/>
                <w:b/>
                <w:bCs/>
                <w:color w:val="000000"/>
                <w:szCs w:val="21"/>
              </w:rPr>
              <w:t>序号</w:t>
            </w:r>
          </w:p>
        </w:tc>
        <w:tc>
          <w:tcPr>
            <w:tcW w:w="997" w:type="pct"/>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宋体"/>
                <w:b/>
                <w:bCs/>
                <w:color w:val="000000"/>
                <w:szCs w:val="21"/>
              </w:rPr>
            </w:pPr>
            <w:r>
              <w:rPr>
                <w:rFonts w:hint="eastAsia" w:ascii="仿宋" w:hAnsi="仿宋" w:eastAsia="仿宋" w:cs="宋体"/>
                <w:b/>
                <w:bCs/>
                <w:color w:val="000000"/>
                <w:szCs w:val="21"/>
              </w:rPr>
              <w:t>报价内容</w:t>
            </w:r>
          </w:p>
        </w:tc>
        <w:tc>
          <w:tcPr>
            <w:tcW w:w="793" w:type="pct"/>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宋体"/>
                <w:b/>
                <w:bCs/>
                <w:color w:val="000000"/>
                <w:szCs w:val="21"/>
              </w:rPr>
            </w:pPr>
            <w:r>
              <w:rPr>
                <w:rFonts w:hint="eastAsia" w:ascii="仿宋" w:hAnsi="仿宋" w:eastAsia="仿宋" w:cs="宋体"/>
                <w:b/>
                <w:bCs/>
                <w:color w:val="000000"/>
                <w:szCs w:val="21"/>
              </w:rPr>
              <w:t>含税总价</w:t>
            </w:r>
            <w:r>
              <w:rPr>
                <w:rFonts w:hint="eastAsia" w:ascii="仿宋" w:hAnsi="仿宋" w:eastAsia="仿宋" w:cs="宋体"/>
                <w:b/>
                <w:color w:val="000000"/>
                <w:szCs w:val="21"/>
              </w:rPr>
              <w:t>（元）</w:t>
            </w:r>
          </w:p>
        </w:tc>
        <w:tc>
          <w:tcPr>
            <w:tcW w:w="91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宋体"/>
                <w:b/>
                <w:bCs/>
                <w:color w:val="000000"/>
                <w:szCs w:val="21"/>
              </w:rPr>
            </w:pPr>
            <w:r>
              <w:rPr>
                <w:rFonts w:hint="eastAsia" w:ascii="仿宋" w:hAnsi="仿宋" w:eastAsia="仿宋" w:cs="宋体"/>
                <w:b/>
                <w:bCs/>
                <w:color w:val="000000"/>
                <w:szCs w:val="21"/>
              </w:rPr>
              <w:t>增值发票类型（专票/普票）</w:t>
            </w:r>
          </w:p>
        </w:tc>
        <w:tc>
          <w:tcPr>
            <w:tcW w:w="782"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宋体"/>
                <w:b/>
                <w:bCs/>
                <w:color w:val="000000"/>
                <w:szCs w:val="21"/>
              </w:rPr>
            </w:pPr>
            <w:r>
              <w:rPr>
                <w:rFonts w:hint="eastAsia" w:ascii="仿宋" w:hAnsi="仿宋" w:eastAsia="仿宋" w:cs="宋体"/>
                <w:b/>
                <w:bCs/>
                <w:color w:val="000000"/>
                <w:szCs w:val="21"/>
              </w:rPr>
              <w:t>税率</w:t>
            </w:r>
          </w:p>
          <w:p>
            <w:pPr>
              <w:jc w:val="center"/>
              <w:rPr>
                <w:rFonts w:hint="eastAsia" w:ascii="仿宋" w:hAnsi="仿宋" w:eastAsia="仿宋" w:cs="宋体"/>
                <w:b/>
                <w:bCs/>
                <w:color w:val="000000"/>
                <w:szCs w:val="21"/>
              </w:rPr>
            </w:pPr>
            <w:r>
              <w:rPr>
                <w:rFonts w:hint="eastAsia" w:ascii="仿宋" w:hAnsi="仿宋" w:eastAsia="仿宋" w:cs="宋体"/>
                <w:b/>
                <w:bCs/>
                <w:color w:val="000000"/>
                <w:szCs w:val="21"/>
              </w:rPr>
              <w:t>（%）</w:t>
            </w:r>
          </w:p>
        </w:tc>
        <w:tc>
          <w:tcPr>
            <w:tcW w:w="79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宋体"/>
                <w:color w:val="000000"/>
                <w:szCs w:val="21"/>
              </w:rPr>
            </w:pPr>
            <w:r>
              <w:rPr>
                <w:rFonts w:hint="eastAsia" w:ascii="仿宋" w:hAnsi="仿宋" w:eastAsia="仿宋" w:cs="宋体"/>
                <w:b/>
                <w:bCs/>
                <w:color w:val="000000"/>
                <w:szCs w:val="21"/>
              </w:rPr>
              <w:t>不含税总价</w:t>
            </w:r>
            <w:r>
              <w:rPr>
                <w:rFonts w:hint="eastAsia" w:ascii="仿宋" w:hAnsi="仿宋" w:eastAsia="仿宋" w:cs="宋体"/>
                <w:b/>
                <w:color w:val="000000"/>
                <w:szCs w:val="21"/>
              </w:rPr>
              <w:t>（元）</w:t>
            </w:r>
          </w:p>
        </w:tc>
        <w:tc>
          <w:tcPr>
            <w:tcW w:w="38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宋体"/>
                <w:b/>
                <w:bCs/>
                <w:color w:val="000000"/>
                <w:szCs w:val="21"/>
              </w:rPr>
            </w:pPr>
            <w:r>
              <w:rPr>
                <w:rFonts w:hint="eastAsia" w:ascii="仿宋" w:hAnsi="仿宋" w:eastAsia="仿宋" w:cs="宋体"/>
                <w:b/>
                <w:bCs/>
                <w:color w:val="000000"/>
                <w:szCs w:val="21"/>
              </w:rPr>
              <w:t>备注</w:t>
            </w:r>
          </w:p>
        </w:tc>
      </w:tr>
      <w:tr>
        <w:tblPrEx>
          <w:tblCellMar>
            <w:top w:w="0" w:type="dxa"/>
            <w:left w:w="108" w:type="dxa"/>
            <w:bottom w:w="0" w:type="dxa"/>
            <w:right w:w="108" w:type="dxa"/>
          </w:tblCellMar>
        </w:tblPrEx>
        <w:trPr>
          <w:trHeight w:val="1409" w:hRule="atLeast"/>
          <w:jc w:val="center"/>
        </w:trPr>
        <w:tc>
          <w:tcPr>
            <w:tcW w:w="337" w:type="pct"/>
            <w:tcBorders>
              <w:top w:val="nil"/>
              <w:left w:val="single" w:color="auto" w:sz="4" w:space="0"/>
              <w:bottom w:val="single" w:color="auto" w:sz="4" w:space="0"/>
              <w:right w:val="single" w:color="auto" w:sz="4" w:space="0"/>
            </w:tcBorders>
            <w:vAlign w:val="center"/>
          </w:tcPr>
          <w:p>
            <w:pPr>
              <w:jc w:val="center"/>
              <w:rPr>
                <w:rFonts w:hint="eastAsia" w:ascii="仿宋" w:hAnsi="仿宋" w:eastAsia="仿宋" w:cs="宋体"/>
                <w:bCs/>
                <w:color w:val="000000"/>
                <w:szCs w:val="21"/>
              </w:rPr>
            </w:pPr>
            <w:r>
              <w:rPr>
                <w:rFonts w:hint="eastAsia" w:ascii="仿宋" w:hAnsi="仿宋" w:eastAsia="仿宋" w:cs="宋体"/>
                <w:bCs/>
                <w:color w:val="000000"/>
                <w:szCs w:val="21"/>
              </w:rPr>
              <w:t>1</w:t>
            </w:r>
          </w:p>
        </w:tc>
        <w:tc>
          <w:tcPr>
            <w:tcW w:w="997" w:type="pct"/>
            <w:tcBorders>
              <w:top w:val="nil"/>
              <w:left w:val="nil"/>
              <w:bottom w:val="single" w:color="auto" w:sz="4" w:space="0"/>
              <w:right w:val="single" w:color="auto" w:sz="4" w:space="0"/>
            </w:tcBorders>
            <w:vAlign w:val="center"/>
          </w:tcPr>
          <w:p>
            <w:pPr>
              <w:jc w:val="center"/>
              <w:rPr>
                <w:rFonts w:hint="eastAsia" w:ascii="仿宋" w:hAnsi="仿宋" w:eastAsia="仿宋" w:cs="宋体"/>
                <w:bCs/>
                <w:color w:val="000000"/>
                <w:szCs w:val="21"/>
              </w:rPr>
            </w:pPr>
          </w:p>
        </w:tc>
        <w:tc>
          <w:tcPr>
            <w:tcW w:w="793" w:type="pct"/>
            <w:tcBorders>
              <w:top w:val="nil"/>
              <w:left w:val="nil"/>
              <w:bottom w:val="single" w:color="auto" w:sz="4" w:space="0"/>
              <w:right w:val="single" w:color="auto" w:sz="4" w:space="0"/>
            </w:tcBorders>
            <w:vAlign w:val="center"/>
          </w:tcPr>
          <w:p>
            <w:pPr>
              <w:jc w:val="center"/>
              <w:rPr>
                <w:rFonts w:hint="eastAsia" w:ascii="仿宋" w:hAnsi="仿宋" w:eastAsia="仿宋" w:cs="宋体"/>
                <w:color w:val="000000"/>
                <w:szCs w:val="21"/>
              </w:rPr>
            </w:pPr>
          </w:p>
        </w:tc>
        <w:tc>
          <w:tcPr>
            <w:tcW w:w="915" w:type="pct"/>
            <w:tcBorders>
              <w:top w:val="single" w:color="auto" w:sz="4" w:space="0"/>
              <w:left w:val="single" w:color="auto" w:sz="4" w:space="0"/>
              <w:bottom w:val="single" w:color="auto" w:sz="4" w:space="0"/>
              <w:right w:val="single" w:color="auto" w:sz="4" w:space="0"/>
            </w:tcBorders>
          </w:tcPr>
          <w:p>
            <w:pPr>
              <w:jc w:val="center"/>
              <w:rPr>
                <w:rFonts w:hint="eastAsia" w:ascii="仿宋" w:hAnsi="仿宋" w:eastAsia="仿宋" w:cs="宋体"/>
                <w:color w:val="000000"/>
                <w:szCs w:val="21"/>
              </w:rPr>
            </w:pPr>
          </w:p>
        </w:tc>
        <w:tc>
          <w:tcPr>
            <w:tcW w:w="782"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宋体"/>
                <w:color w:val="000000"/>
                <w:szCs w:val="21"/>
              </w:rPr>
            </w:pPr>
          </w:p>
        </w:tc>
        <w:tc>
          <w:tcPr>
            <w:tcW w:w="795"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宋体"/>
                <w:color w:val="000000"/>
                <w:szCs w:val="21"/>
              </w:rPr>
            </w:pPr>
            <w:r>
              <w:rPr>
                <w:rFonts w:hint="eastAsia" w:ascii="仿宋" w:hAnsi="仿宋" w:eastAsia="仿宋" w:cs="宋体"/>
                <w:color w:val="000000"/>
                <w:szCs w:val="21"/>
              </w:rPr>
              <w:t xml:space="preserve">  </w:t>
            </w:r>
          </w:p>
        </w:tc>
        <w:tc>
          <w:tcPr>
            <w:tcW w:w="38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宋体"/>
                <w:color w:val="000000"/>
                <w:szCs w:val="21"/>
              </w:rPr>
            </w:pPr>
          </w:p>
        </w:tc>
      </w:tr>
    </w:tbl>
    <w:p>
      <w:pPr>
        <w:spacing w:line="360" w:lineRule="auto"/>
        <w:rPr>
          <w:rFonts w:hint="eastAsia" w:ascii="仿宋" w:hAnsi="仿宋" w:eastAsia="仿宋" w:cs="仿宋"/>
          <w:bCs/>
          <w:color w:val="000000"/>
        </w:rPr>
      </w:pPr>
    </w:p>
    <w:p>
      <w:pPr>
        <w:spacing w:line="360" w:lineRule="auto"/>
        <w:rPr>
          <w:rFonts w:hint="eastAsia" w:ascii="仿宋" w:hAnsi="仿宋" w:eastAsia="仿宋" w:cs="仿宋"/>
          <w:bCs/>
          <w:color w:val="000000"/>
        </w:rPr>
      </w:pPr>
      <w:r>
        <w:rPr>
          <w:rFonts w:hint="eastAsia" w:ascii="仿宋" w:hAnsi="仿宋" w:eastAsia="仿宋" w:cs="仿宋"/>
          <w:bCs/>
          <w:color w:val="000000"/>
        </w:rPr>
        <w:t>备注：</w:t>
      </w:r>
    </w:p>
    <w:p>
      <w:pPr>
        <w:spacing w:line="360" w:lineRule="auto"/>
        <w:rPr>
          <w:rFonts w:hint="eastAsia" w:ascii="仿宋" w:hAnsi="仿宋" w:eastAsia="仿宋"/>
          <w:bCs/>
        </w:rPr>
      </w:pPr>
      <w:r>
        <w:rPr>
          <w:rFonts w:hint="eastAsia" w:ascii="仿宋" w:hAnsi="仿宋" w:eastAsia="仿宋"/>
          <w:bCs/>
        </w:rPr>
        <w:t>1.本次报价精确到小数点后两位（四舍五入）。</w:t>
      </w:r>
    </w:p>
    <w:p>
      <w:pPr>
        <w:pStyle w:val="52"/>
        <w:spacing w:line="360" w:lineRule="auto"/>
        <w:ind w:firstLine="0" w:firstLineChars="0"/>
        <w:rPr>
          <w:rFonts w:hint="eastAsia" w:ascii="仿宋" w:hAnsi="仿宋" w:eastAsia="仿宋" w:cs="宋体"/>
          <w:bCs/>
          <w:color w:val="000000"/>
        </w:rPr>
      </w:pPr>
      <w:r>
        <w:rPr>
          <w:rFonts w:hint="eastAsia" w:ascii="仿宋" w:hAnsi="仿宋" w:eastAsia="仿宋" w:cs="宋体"/>
          <w:bCs/>
          <w:color w:val="000000"/>
        </w:rPr>
        <w:t>2.含税价=不含税价*(1+税率)，若报价与此公式不符，增值税专用发票以不含税</w:t>
      </w:r>
    </w:p>
    <w:p>
      <w:pPr>
        <w:pStyle w:val="52"/>
        <w:spacing w:line="360" w:lineRule="auto"/>
        <w:ind w:firstLine="0" w:firstLineChars="0"/>
        <w:rPr>
          <w:rFonts w:hint="eastAsia" w:ascii="仿宋" w:hAnsi="仿宋" w:eastAsia="仿宋" w:cs="宋体"/>
          <w:bCs/>
          <w:color w:val="000000"/>
        </w:rPr>
      </w:pPr>
      <w:r>
        <w:rPr>
          <w:rFonts w:hint="eastAsia" w:ascii="仿宋" w:hAnsi="仿宋" w:eastAsia="仿宋" w:cs="宋体"/>
          <w:bCs/>
          <w:color w:val="000000"/>
        </w:rPr>
        <w:t>价为准进行修正，增值税普通发票以含税价进行修正。</w:t>
      </w:r>
    </w:p>
    <w:p>
      <w:pPr>
        <w:pStyle w:val="52"/>
        <w:spacing w:line="360" w:lineRule="auto"/>
        <w:ind w:firstLine="0" w:firstLineChars="0"/>
        <w:rPr>
          <w:rFonts w:hint="eastAsia" w:ascii="仿宋" w:hAnsi="仿宋" w:eastAsia="仿宋" w:cs="宋体"/>
          <w:bCs/>
          <w:color w:val="000000"/>
        </w:rPr>
      </w:pPr>
      <w:r>
        <w:rPr>
          <w:rFonts w:hint="eastAsia" w:ascii="仿宋" w:hAnsi="仿宋" w:eastAsia="仿宋" w:cs="宋体"/>
          <w:bCs/>
          <w:color w:val="000000"/>
        </w:rPr>
        <w:t>3.后续如因国家税率调整，专票以不含税价不变进行调整，普票以含税价不变进行</w:t>
      </w:r>
    </w:p>
    <w:p>
      <w:pPr>
        <w:pStyle w:val="52"/>
        <w:spacing w:line="360" w:lineRule="auto"/>
        <w:ind w:firstLine="0" w:firstLineChars="0"/>
        <w:rPr>
          <w:rFonts w:hint="eastAsia" w:ascii="仿宋" w:hAnsi="仿宋" w:eastAsia="仿宋" w:cs="宋体"/>
          <w:bCs/>
          <w:color w:val="000000"/>
        </w:rPr>
      </w:pPr>
      <w:r>
        <w:rPr>
          <w:rFonts w:hint="eastAsia" w:ascii="仿宋" w:hAnsi="仿宋" w:eastAsia="仿宋" w:cs="宋体"/>
          <w:bCs/>
          <w:color w:val="000000"/>
        </w:rPr>
        <w:t>调整。</w:t>
      </w:r>
    </w:p>
    <w:p>
      <w:pPr>
        <w:spacing w:line="360" w:lineRule="auto"/>
        <w:rPr>
          <w:rFonts w:hint="eastAsia" w:ascii="仿宋" w:hAnsi="仿宋" w:eastAsia="仿宋" w:cs="仿宋"/>
          <w:color w:val="000000"/>
        </w:rPr>
      </w:pPr>
    </w:p>
    <w:p>
      <w:pPr>
        <w:widowControl w:val="0"/>
        <w:numPr>
          <w:ilvl w:val="0"/>
          <w:numId w:val="1"/>
        </w:numPr>
        <w:spacing w:line="440" w:lineRule="exact"/>
        <w:jc w:val="right"/>
        <w:rPr>
          <w:rFonts w:hint="eastAsia" w:ascii="仿宋" w:hAnsi="仿宋" w:eastAsia="仿宋" w:cs="宋体"/>
          <w:color w:val="000000"/>
        </w:rPr>
      </w:pPr>
      <w:bookmarkStart w:id="202" w:name="_Toc530319762"/>
      <w:bookmarkStart w:id="203" w:name="_Toc16591840"/>
      <w:bookmarkStart w:id="204" w:name="_Toc517281864"/>
      <w:bookmarkStart w:id="205" w:name="_Toc518302646"/>
      <w:bookmarkStart w:id="206" w:name="_Toc482180015"/>
      <w:bookmarkStart w:id="207" w:name="_Toc2267055"/>
    </w:p>
    <w:p>
      <w:pPr>
        <w:widowControl w:val="0"/>
        <w:numPr>
          <w:ilvl w:val="0"/>
          <w:numId w:val="1"/>
        </w:numPr>
        <w:spacing w:line="440" w:lineRule="exact"/>
        <w:jc w:val="right"/>
        <w:rPr>
          <w:rFonts w:hint="eastAsia"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pPr>
        <w:widowControl w:val="0"/>
        <w:numPr>
          <w:ilvl w:val="0"/>
          <w:numId w:val="1"/>
        </w:numPr>
        <w:spacing w:line="440" w:lineRule="exact"/>
        <w:jc w:val="right"/>
        <w:rPr>
          <w:rFonts w:hint="eastAsia" w:ascii="仿宋" w:hAnsi="仿宋" w:eastAsia="仿宋" w:cs="宋体"/>
          <w:color w:val="000000"/>
        </w:rPr>
      </w:pPr>
      <w:r>
        <w:rPr>
          <w:rFonts w:hint="eastAsia" w:ascii="仿宋" w:hAnsi="仿宋" w:eastAsia="仿宋" w:cs="宋体"/>
          <w:color w:val="000000"/>
        </w:rPr>
        <w:t>法定代表人或其授权代理人：</w:t>
      </w:r>
      <w:r>
        <w:rPr>
          <w:rFonts w:hint="eastAsia" w:ascii="仿宋" w:hAnsi="仿宋" w:eastAsia="仿宋" w:cs="宋体"/>
          <w:color w:val="000000"/>
          <w:u w:val="single"/>
        </w:rPr>
        <w:t xml:space="preserve">             </w:t>
      </w:r>
      <w:r>
        <w:rPr>
          <w:rFonts w:hint="eastAsia" w:ascii="仿宋" w:hAnsi="仿宋" w:eastAsia="仿宋" w:cs="宋体"/>
          <w:color w:val="000000"/>
        </w:rPr>
        <w:t>（签字）</w:t>
      </w:r>
    </w:p>
    <w:p>
      <w:pPr>
        <w:widowControl w:val="0"/>
        <w:numPr>
          <w:ilvl w:val="0"/>
          <w:numId w:val="1"/>
        </w:numPr>
        <w:spacing w:line="440" w:lineRule="exact"/>
        <w:jc w:val="right"/>
        <w:rPr>
          <w:rFonts w:hint="eastAsia" w:ascii="仿宋" w:hAnsi="仿宋" w:eastAsia="仿宋" w:cs="宋体"/>
          <w:color w:val="000000"/>
        </w:r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p>
    <w:p>
      <w:pPr>
        <w:pStyle w:val="6"/>
        <w:numPr>
          <w:ilvl w:val="5"/>
          <w:numId w:val="0"/>
        </w:numPr>
        <w:spacing w:line="360" w:lineRule="auto"/>
        <w:jc w:val="center"/>
        <w:rPr>
          <w:rFonts w:hint="eastAsia" w:ascii="仿宋" w:hAnsi="仿宋" w:eastAsia="仿宋" w:cs="仿宋"/>
          <w:color w:val="000000"/>
          <w:sz w:val="24"/>
          <w:szCs w:val="24"/>
        </w:rPr>
      </w:pPr>
      <w:r>
        <w:rPr>
          <w:rFonts w:hint="eastAsia" w:ascii="仿宋" w:hAnsi="仿宋" w:eastAsia="仿宋" w:cs="仿宋"/>
          <w:color w:val="000000"/>
          <w:sz w:val="24"/>
          <w:szCs w:val="24"/>
        </w:rPr>
        <w:br w:type="page"/>
      </w:r>
      <w:bookmarkEnd w:id="202"/>
      <w:bookmarkEnd w:id="203"/>
      <w:bookmarkEnd w:id="204"/>
      <w:bookmarkEnd w:id="205"/>
      <w:bookmarkEnd w:id="206"/>
      <w:bookmarkEnd w:id="207"/>
      <w:bookmarkStart w:id="208" w:name="_Toc186737829"/>
      <w:bookmarkStart w:id="209" w:name="_Toc15457"/>
      <w:r>
        <w:rPr>
          <w:rFonts w:hint="eastAsia" w:ascii="仿宋" w:hAnsi="仿宋" w:eastAsia="仿宋" w:cs="仿宋"/>
          <w:color w:val="000000"/>
          <w:sz w:val="24"/>
          <w:szCs w:val="24"/>
        </w:rPr>
        <w:t>（二）分项报价表</w:t>
      </w:r>
      <w:bookmarkEnd w:id="208"/>
      <w:bookmarkEnd w:id="209"/>
    </w:p>
    <w:bookmarkEnd w:id="131"/>
    <w:p>
      <w:pPr>
        <w:adjustRightInd w:val="0"/>
        <w:snapToGrid w:val="0"/>
        <w:spacing w:line="360" w:lineRule="auto"/>
        <w:jc w:val="center"/>
        <w:rPr>
          <w:rFonts w:hint="eastAsia" w:ascii="宋体" w:hAnsi="宋体" w:cs="宋体"/>
          <w:color w:val="FF0000"/>
        </w:rPr>
      </w:pPr>
    </w:p>
    <w:p>
      <w:pPr>
        <w:adjustRightInd w:val="0"/>
        <w:snapToGrid w:val="0"/>
        <w:spacing w:line="360" w:lineRule="auto"/>
        <w:rPr>
          <w:rFonts w:hint="eastAsia" w:ascii="楷体" w:hAnsi="楷体" w:eastAsia="楷体" w:cs="仿宋_GB2312"/>
          <w:iCs/>
          <w:color w:val="000000" w:themeColor="text1"/>
          <w:szCs w:val="32"/>
          <w14:textFill>
            <w14:solidFill>
              <w14:schemeClr w14:val="tx1"/>
            </w14:solidFill>
          </w14:textFill>
        </w:rPr>
      </w:pPr>
      <w:r>
        <w:rPr>
          <w:rFonts w:hint="eastAsia" w:ascii="楷体" w:hAnsi="楷体" w:eastAsia="楷体" w:cs="仿宋_GB2312"/>
          <w:iCs/>
          <w:color w:val="000000" w:themeColor="text1"/>
          <w:szCs w:val="32"/>
          <w14:textFill>
            <w14:solidFill>
              <w14:schemeClr w14:val="tx1"/>
            </w14:solidFill>
          </w14:textFill>
        </w:rPr>
        <w:t xml:space="preserve">供应商名称： </w:t>
      </w:r>
    </w:p>
    <w:p>
      <w:pPr>
        <w:adjustRightInd w:val="0"/>
        <w:snapToGrid w:val="0"/>
        <w:spacing w:line="360" w:lineRule="auto"/>
        <w:rPr>
          <w:rFonts w:hint="eastAsia" w:ascii="楷体" w:hAnsi="楷体" w:eastAsia="楷体" w:cs="仿宋_GB2312"/>
          <w:iCs/>
          <w:color w:val="000000" w:themeColor="text1"/>
          <w:szCs w:val="32"/>
          <w14:textFill>
            <w14:solidFill>
              <w14:schemeClr w14:val="tx1"/>
            </w14:solidFill>
          </w14:textFill>
        </w:rPr>
      </w:pPr>
      <w:r>
        <w:rPr>
          <w:rFonts w:hint="eastAsia" w:ascii="楷体" w:hAnsi="楷体" w:eastAsia="楷体" w:cs="仿宋_GB2312"/>
          <w:iCs/>
          <w:color w:val="000000" w:themeColor="text1"/>
          <w:szCs w:val="32"/>
          <w14:textFill>
            <w14:solidFill>
              <w14:schemeClr w14:val="tx1"/>
            </w14:solidFill>
          </w14:textFill>
        </w:rPr>
        <w:t>项目名称：</w:t>
      </w:r>
    </w:p>
    <w:tbl>
      <w:tblPr>
        <w:tblStyle w:val="30"/>
        <w:tblW w:w="8847" w:type="dxa"/>
        <w:tblInd w:w="0" w:type="dxa"/>
        <w:tblLayout w:type="fixed"/>
        <w:tblCellMar>
          <w:top w:w="15" w:type="dxa"/>
          <w:left w:w="15" w:type="dxa"/>
          <w:bottom w:w="15" w:type="dxa"/>
          <w:right w:w="15" w:type="dxa"/>
        </w:tblCellMar>
      </w:tblPr>
      <w:tblGrid>
        <w:gridCol w:w="2972"/>
        <w:gridCol w:w="1370"/>
        <w:gridCol w:w="2138"/>
        <w:gridCol w:w="2367"/>
      </w:tblGrid>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Cs/>
                <w:color w:val="000000" w:themeColor="text1"/>
                <w:szCs w:val="32"/>
                <w14:textFill>
                  <w14:solidFill>
                    <w14:schemeClr w14:val="tx1"/>
                  </w14:solidFill>
                </w14:textFill>
              </w:rPr>
            </w:pPr>
            <w:r>
              <w:rPr>
                <w:rFonts w:hint="eastAsia" w:ascii="楷体" w:hAnsi="楷体" w:eastAsia="楷体" w:cs="仿宋_GB2312"/>
                <w:iCs/>
                <w:color w:val="000000" w:themeColor="text1"/>
                <w:szCs w:val="32"/>
                <w14:textFill>
                  <w14:solidFill>
                    <w14:schemeClr w14:val="tx1"/>
                  </w14:solidFill>
                </w14:textFill>
              </w:rPr>
              <w:t>名称</w:t>
            </w: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Cs/>
                <w:color w:val="000000" w:themeColor="text1"/>
                <w:szCs w:val="32"/>
                <w14:textFill>
                  <w14:solidFill>
                    <w14:schemeClr w14:val="tx1"/>
                  </w14:solidFill>
                </w14:textFill>
              </w:rPr>
            </w:pPr>
            <w:r>
              <w:rPr>
                <w:rFonts w:hint="eastAsia" w:ascii="楷体" w:hAnsi="楷体" w:eastAsia="楷体" w:cs="仿宋_GB2312"/>
                <w:iCs/>
                <w:color w:val="000000" w:themeColor="text1"/>
                <w:szCs w:val="32"/>
                <w14:textFill>
                  <w14:solidFill>
                    <w14:schemeClr w14:val="tx1"/>
                  </w14:solidFill>
                </w14:textFill>
              </w:rPr>
              <w:t>数量</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Cs/>
                <w:color w:val="000000" w:themeColor="text1"/>
                <w:szCs w:val="32"/>
                <w14:textFill>
                  <w14:solidFill>
                    <w14:schemeClr w14:val="tx1"/>
                  </w14:solidFill>
                </w14:textFill>
              </w:rPr>
            </w:pPr>
            <w:r>
              <w:rPr>
                <w:rFonts w:hint="eastAsia" w:ascii="楷体" w:hAnsi="楷体" w:eastAsia="楷体" w:cs="仿宋_GB2312"/>
                <w:iCs/>
                <w:color w:val="000000" w:themeColor="text1"/>
                <w:szCs w:val="32"/>
                <w14:textFill>
                  <w14:solidFill>
                    <w14:schemeClr w14:val="tx1"/>
                  </w14:solidFill>
                </w14:textFill>
              </w:rPr>
              <w:t>单价（含税）（元）</w:t>
            </w: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Cs/>
                <w:color w:val="000000" w:themeColor="text1"/>
                <w:szCs w:val="32"/>
                <w14:textFill>
                  <w14:solidFill>
                    <w14:schemeClr w14:val="tx1"/>
                  </w14:solidFill>
                </w14:textFill>
              </w:rPr>
            </w:pPr>
            <w:r>
              <w:rPr>
                <w:rFonts w:hint="eastAsia" w:ascii="楷体" w:hAnsi="楷体" w:eastAsia="楷体" w:cs="仿宋_GB2312"/>
                <w:iCs/>
                <w:color w:val="000000" w:themeColor="text1"/>
                <w:szCs w:val="32"/>
                <w14:textFill>
                  <w14:solidFill>
                    <w14:schemeClr w14:val="tx1"/>
                  </w14:solidFill>
                </w14:textFill>
              </w:rPr>
              <w:t>单价净价（元）</w:t>
            </w:r>
          </w:p>
        </w:tc>
      </w:tr>
      <w:tr>
        <w:tblPrEx>
          <w:tblCellMar>
            <w:top w:w="15" w:type="dxa"/>
            <w:left w:w="15" w:type="dxa"/>
            <w:bottom w:w="15" w:type="dxa"/>
            <w:right w:w="15" w:type="dxa"/>
          </w:tblCellMar>
        </w:tblPrEx>
        <w:trPr>
          <w:trHeight w:val="300"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r>
              <w:rPr>
                <w:rFonts w:hint="eastAsia" w:ascii="楷体" w:hAnsi="楷体" w:eastAsia="楷体" w:cs="仿宋_GB2312"/>
                <w:i/>
                <w:color w:val="FF0000"/>
                <w:szCs w:val="32"/>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r>
      <w:tr>
        <w:tblPrEx>
          <w:tblCellMar>
            <w:top w:w="15" w:type="dxa"/>
            <w:left w:w="15" w:type="dxa"/>
            <w:bottom w:w="15" w:type="dxa"/>
            <w:right w:w="15" w:type="dxa"/>
          </w:tblCellMar>
        </w:tblPrEx>
        <w:trPr>
          <w:trHeight w:val="330"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r>
              <w:rPr>
                <w:rFonts w:hint="eastAsia" w:ascii="楷体" w:hAnsi="楷体" w:eastAsia="楷体" w:cs="仿宋_GB2312"/>
                <w:i/>
                <w:color w:val="FF0000"/>
                <w:szCs w:val="32"/>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r>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r>
              <w:rPr>
                <w:rFonts w:hint="eastAsia" w:ascii="楷体" w:hAnsi="楷体" w:eastAsia="楷体" w:cs="仿宋_GB2312"/>
                <w:i/>
                <w:color w:val="FF0000"/>
                <w:szCs w:val="32"/>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r>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c>
          <w:tcPr>
            <w:tcW w:w="137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r>
              <w:rPr>
                <w:rFonts w:hint="eastAsia" w:ascii="楷体" w:hAnsi="楷体" w:eastAsia="楷体" w:cs="仿宋_GB2312"/>
                <w:i/>
                <w:color w:val="FF0000"/>
                <w:szCs w:val="32"/>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hint="eastAsia" w:ascii="楷体" w:hAnsi="楷体" w:eastAsia="楷体" w:cs="仿宋_GB2312"/>
                <w:i/>
                <w:color w:val="FF0000"/>
                <w:szCs w:val="32"/>
              </w:rPr>
            </w:pPr>
          </w:p>
        </w:tc>
      </w:tr>
    </w:tbl>
    <w:p>
      <w:pPr>
        <w:adjustRightInd w:val="0"/>
        <w:snapToGrid w:val="0"/>
        <w:spacing w:line="360" w:lineRule="auto"/>
        <w:rPr>
          <w:rFonts w:hint="eastAsia" w:ascii="楷体" w:hAnsi="楷体" w:eastAsia="楷体" w:cs="仿宋_GB2312"/>
          <w:i/>
          <w:color w:val="FF0000"/>
          <w:szCs w:val="32"/>
        </w:rPr>
      </w:pPr>
    </w:p>
    <w:p>
      <w:pPr>
        <w:adjustRightInd w:val="0"/>
        <w:snapToGrid w:val="0"/>
        <w:spacing w:line="360" w:lineRule="auto"/>
        <w:rPr>
          <w:rFonts w:hint="eastAsia" w:ascii="楷体" w:hAnsi="楷体" w:eastAsia="楷体" w:cs="仿宋_GB2312"/>
          <w:iCs/>
          <w:color w:val="000000" w:themeColor="text1"/>
          <w:szCs w:val="32"/>
          <w14:textFill>
            <w14:solidFill>
              <w14:schemeClr w14:val="tx1"/>
            </w14:solidFill>
          </w14:textFill>
        </w:rPr>
      </w:pPr>
      <w:r>
        <w:rPr>
          <w:rFonts w:ascii="楷体" w:hAnsi="楷体" w:eastAsia="楷体" w:cs="仿宋_GB2312"/>
          <w:iCs/>
          <w:color w:val="000000" w:themeColor="text1"/>
          <w:szCs w:val="32"/>
          <w14:textFill>
            <w14:solidFill>
              <w14:schemeClr w14:val="tx1"/>
            </w14:solidFill>
          </w14:textFill>
        </w:rPr>
        <w:t>注：</w:t>
      </w:r>
    </w:p>
    <w:p>
      <w:pPr>
        <w:adjustRightInd w:val="0"/>
        <w:snapToGrid w:val="0"/>
        <w:spacing w:line="360" w:lineRule="auto"/>
        <w:rPr>
          <w:rFonts w:hint="eastAsia" w:ascii="楷体" w:hAnsi="楷体" w:eastAsia="楷体" w:cs="仿宋_GB2312"/>
          <w:iCs/>
          <w:color w:val="000000" w:themeColor="text1"/>
          <w:szCs w:val="32"/>
          <w14:textFill>
            <w14:solidFill>
              <w14:schemeClr w14:val="tx1"/>
            </w14:solidFill>
          </w14:textFill>
        </w:rPr>
      </w:pPr>
      <w:r>
        <w:rPr>
          <w:rFonts w:ascii="楷体" w:hAnsi="楷体" w:eastAsia="楷体" w:cs="仿宋_GB2312"/>
          <w:iCs/>
          <w:color w:val="000000" w:themeColor="text1"/>
          <w:szCs w:val="32"/>
          <w14:textFill>
            <w14:solidFill>
              <w14:schemeClr w14:val="tx1"/>
            </w14:solidFill>
          </w14:textFill>
        </w:rPr>
        <w:t>1.涉及需分项报价的</w:t>
      </w:r>
      <w:r>
        <w:rPr>
          <w:rFonts w:hint="eastAsia" w:ascii="楷体" w:hAnsi="楷体" w:eastAsia="楷体" w:cs="仿宋_GB2312"/>
          <w:iCs/>
          <w:color w:val="000000" w:themeColor="text1"/>
          <w:szCs w:val="32"/>
          <w14:textFill>
            <w14:solidFill>
              <w14:schemeClr w14:val="tx1"/>
            </w14:solidFill>
          </w14:textFill>
        </w:rPr>
        <w:t>，</w:t>
      </w:r>
      <w:r>
        <w:rPr>
          <w:rFonts w:ascii="楷体" w:hAnsi="楷体" w:eastAsia="楷体" w:cs="仿宋_GB2312"/>
          <w:iCs/>
          <w:color w:val="000000" w:themeColor="text1"/>
          <w:szCs w:val="32"/>
          <w14:textFill>
            <w14:solidFill>
              <w14:schemeClr w14:val="tx1"/>
            </w14:solidFill>
          </w14:textFill>
        </w:rPr>
        <w:t>供应商每次报价均需提供本表。</w:t>
      </w:r>
    </w:p>
    <w:p>
      <w:pPr>
        <w:adjustRightInd w:val="0"/>
        <w:snapToGrid w:val="0"/>
        <w:spacing w:line="360" w:lineRule="auto"/>
        <w:rPr>
          <w:rFonts w:hint="eastAsia" w:ascii="楷体" w:hAnsi="楷体" w:eastAsia="楷体" w:cs="仿宋_GB2312"/>
          <w:iCs/>
          <w:color w:val="000000" w:themeColor="text1"/>
          <w:szCs w:val="32"/>
          <w14:textFill>
            <w14:solidFill>
              <w14:schemeClr w14:val="tx1"/>
            </w14:solidFill>
          </w14:textFill>
        </w:rPr>
      </w:pPr>
      <w:r>
        <w:rPr>
          <w:rFonts w:ascii="楷体" w:hAnsi="楷体" w:eastAsia="楷体" w:cs="仿宋_GB2312"/>
          <w:iCs/>
          <w:color w:val="000000" w:themeColor="text1"/>
          <w:szCs w:val="32"/>
          <w14:textFill>
            <w14:solidFill>
              <w14:schemeClr w14:val="tx1"/>
            </w14:solidFill>
          </w14:textFill>
        </w:rPr>
        <w:t>2.如果按单价计算的结果与总价不一致，以单价为准修正总价。</w:t>
      </w:r>
    </w:p>
    <w:p>
      <w:pPr>
        <w:adjustRightInd w:val="0"/>
        <w:snapToGrid w:val="0"/>
        <w:spacing w:line="360" w:lineRule="auto"/>
        <w:rPr>
          <w:rFonts w:hint="eastAsia" w:ascii="楷体" w:hAnsi="楷体" w:eastAsia="楷体" w:cs="仿宋_GB2312"/>
          <w:iCs/>
          <w:color w:val="000000" w:themeColor="text1"/>
          <w:szCs w:val="32"/>
          <w14:textFill>
            <w14:solidFill>
              <w14:schemeClr w14:val="tx1"/>
            </w14:solidFill>
          </w14:textFill>
        </w:rPr>
      </w:pPr>
      <w:r>
        <w:rPr>
          <w:rFonts w:ascii="楷体" w:hAnsi="楷体" w:eastAsia="楷体" w:cs="仿宋_GB2312"/>
          <w:iCs/>
          <w:color w:val="000000" w:themeColor="text1"/>
          <w:szCs w:val="32"/>
          <w14:textFill>
            <w14:solidFill>
              <w14:schemeClr w14:val="tx1"/>
            </w14:solidFill>
          </w14:textFill>
        </w:rPr>
        <w:t>3.供应商可根据实际情况自行扩展表格细项。</w:t>
      </w:r>
    </w:p>
    <w:p>
      <w:pPr>
        <w:adjustRightInd w:val="0"/>
        <w:snapToGrid w:val="0"/>
        <w:spacing w:line="360" w:lineRule="auto"/>
        <w:rPr>
          <w:rFonts w:hint="eastAsia" w:ascii="楷体" w:hAnsi="楷体" w:eastAsia="楷体" w:cs="仿宋_GB2312"/>
          <w:i/>
          <w:color w:val="FF0000"/>
          <w:szCs w:val="32"/>
        </w:rPr>
      </w:pPr>
    </w:p>
    <w:p>
      <w:pPr>
        <w:adjustRightInd w:val="0"/>
        <w:snapToGrid w:val="0"/>
        <w:spacing w:line="360" w:lineRule="auto"/>
        <w:rPr>
          <w:rFonts w:hint="eastAsia" w:ascii="宋体" w:hAnsi="宋体" w:cs="宋体"/>
          <w:color w:val="FF0000"/>
        </w:rPr>
      </w:pPr>
    </w:p>
    <w:p>
      <w:pPr>
        <w:adjustRightInd w:val="0"/>
        <w:snapToGrid w:val="0"/>
        <w:spacing w:line="360" w:lineRule="auto"/>
        <w:rPr>
          <w:rFonts w:hint="eastAsia" w:ascii="宋体" w:hAnsi="宋体" w:cs="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授权代表签字并加盖公章</w:t>
      </w:r>
      <w:r>
        <w:rPr>
          <w:rFonts w:hint="eastAsia" w:ascii="宋体" w:hAnsi="宋体" w:cs="宋体"/>
          <w:color w:val="000000" w:themeColor="text1"/>
          <w:u w:val="single"/>
          <w14:textFill>
            <w14:solidFill>
              <w14:schemeClr w14:val="tx1"/>
            </w14:solidFill>
          </w14:textFill>
        </w:rPr>
        <w:t xml:space="preserve"> </w:t>
      </w:r>
    </w:p>
    <w:p>
      <w:pPr>
        <w:adjustRightInd w:val="0"/>
        <w:snapToGrid w:val="0"/>
        <w:spacing w:line="360" w:lineRule="auto"/>
        <w:rPr>
          <w:rFonts w:hint="eastAsia" w:ascii="宋体" w:hAnsi="宋体" w:cs="宋体"/>
          <w:b/>
          <w:bCs/>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日期：</w:t>
      </w:r>
      <w:r>
        <w:rPr>
          <w:rFonts w:hint="eastAsia" w:ascii="宋体" w:hAnsi="宋体" w:cs="宋体"/>
          <w:color w:val="000000" w:themeColor="text1"/>
          <w:u w:val="single"/>
          <w14:textFill>
            <w14:solidFill>
              <w14:schemeClr w14:val="tx1"/>
            </w14:solidFill>
          </w14:textFill>
        </w:rPr>
        <w:t xml:space="preserve"> </w:t>
      </w:r>
      <w:bookmarkStart w:id="210" w:name="_Toc127761806"/>
      <w:bookmarkEnd w:id="210"/>
      <w:bookmarkStart w:id="211" w:name="_Toc125183170"/>
      <w:bookmarkEnd w:id="211"/>
      <w:bookmarkStart w:id="212" w:name="_Toc104714659"/>
      <w:bookmarkEnd w:id="212"/>
    </w:p>
    <w:p>
      <w:pPr>
        <w:pStyle w:val="4"/>
        <w:tabs>
          <w:tab w:val="clear" w:pos="425"/>
        </w:tabs>
        <w:spacing w:before="0" w:after="0" w:line="560" w:lineRule="exact"/>
        <w:ind w:left="424" w:hanging="424" w:hangingChars="151"/>
        <w:jc w:val="left"/>
        <w:rPr>
          <w:rFonts w:hint="eastAsia" w:ascii="仿宋_GB2312" w:hAnsi="宋体" w:eastAsia="仿宋_GB2312" w:cs="宋体"/>
          <w:color w:val="auto"/>
          <w:sz w:val="28"/>
          <w:szCs w:val="28"/>
        </w:rPr>
      </w:pPr>
    </w:p>
    <w:sectPr>
      <w:headerReference r:id="rId8" w:type="default"/>
      <w:footerReference r:id="rId9" w:type="default"/>
      <w:pgSz w:w="11906" w:h="16838"/>
      <w:pgMar w:top="1418" w:right="1555" w:bottom="1418" w:left="1531"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Monaco">
    <w:altName w:val="Courier New"/>
    <w:panose1 w:val="00000000000000000000"/>
    <w:charset w:val="00"/>
    <w:family w:val="moder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3"/>
      </w:rPr>
    </w:pPr>
    <w:r>
      <w:fldChar w:fldCharType="begin"/>
    </w:r>
    <w:r>
      <w:rPr>
        <w:rStyle w:val="33"/>
      </w:rPr>
      <w:instrText xml:space="preserve">PAGE  </w:instrText>
    </w:r>
    <w:r>
      <w:fldChar w:fldCharType="end"/>
    </w:r>
  </w:p>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0"/>
                            <w:jc w:val="center"/>
                          </w:pPr>
                          <w:r>
                            <w:fldChar w:fldCharType="begin"/>
                          </w:r>
                          <w:r>
                            <w:instrText xml:space="preserve">PAGE   \* MERGEFORMAT</w:instrText>
                          </w:r>
                          <w:r>
                            <w:fldChar w:fldCharType="separate"/>
                          </w:r>
                          <w:r>
                            <w:rPr>
                              <w:lang w:val="zh-CN"/>
                            </w:rPr>
                            <w:t>25</w:t>
                          </w:r>
                          <w:r>
                            <w:fldChar w:fldCharType="end"/>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RZW+UywEAAJgDAAAOAAAAAAAAAAEAIAAAACIBAABkcnMv&#10;ZTJvRG9jLnhtbFBLBQYAAAAABgAGAFkBAABfBQAAAAA=&#10;">
              <v:fill on="f" focussize="0,0"/>
              <v:stroke on="f" weight="1.25pt"/>
              <v:imagedata o:title=""/>
              <o:lock v:ext="edit" aspectratio="f"/>
              <v:textbox inset="0mm,0mm,0mm,0mm" style="mso-fit-shape-to-text:t;">
                <w:txbxContent>
                  <w:p>
                    <w:pPr>
                      <w:pStyle w:val="20"/>
                      <w:jc w:val="center"/>
                    </w:pPr>
                    <w:r>
                      <w:fldChar w:fldCharType="begin"/>
                    </w:r>
                    <w:r>
                      <w:instrText xml:space="preserve">PAGE   \* MERGEFORMAT</w:instrText>
                    </w:r>
                    <w:r>
                      <w:fldChar w:fldCharType="separate"/>
                    </w:r>
                    <w:r>
                      <w:rPr>
                        <w:lang w:val="zh-CN"/>
                      </w:rPr>
                      <w:t>25</w:t>
                    </w:r>
                    <w:r>
                      <w:fldChar w:fldCharType="end"/>
                    </w:r>
                  </w:p>
                </w:txbxContent>
              </v:textbox>
            </v:shape>
          </w:pict>
        </mc:Fallback>
      </mc:AlternateContent>
    </w:r>
  </w:p>
  <w:p>
    <w:pPr>
      <w:pStyle w:val="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rFonts w:hint="eastAsia"/>
      </w:rPr>
      <w:t>磋商</w:t>
    </w:r>
    <w:r>
      <w:t>文件</w:t>
    </w:r>
  </w:p>
  <w:p>
    <w:pPr>
      <w:pStyle w:val="21"/>
      <w:pBdr>
        <w:bottom w:val="none" w:color="auto" w:sz="0" w:space="0"/>
      </w:pBdr>
      <w:rPr>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6"/>
    <w:multiLevelType w:val="multilevel"/>
    <w:tmpl w:val="00000016"/>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8"/>
      <w:lvlText w:val="           "/>
      <w:lvlJc w:val="left"/>
      <w:pPr>
        <w:tabs>
          <w:tab w:val="left" w:pos="1440"/>
        </w:tabs>
        <w:ind w:left="1152" w:hanging="1152"/>
      </w:pPr>
      <w:rPr>
        <w:rFonts w:hint="eastAsia"/>
      </w:rPr>
    </w:lvl>
    <w:lvl w:ilvl="6" w:tentative="0">
      <w:start w:val="1"/>
      <w:numFmt w:val="decimal"/>
      <w:pStyle w:val="9"/>
      <w:lvlText w:val="%1.%2.%3.%4.%5.%6.%7"/>
      <w:lvlJc w:val="left"/>
      <w:pPr>
        <w:tabs>
          <w:tab w:val="left" w:pos="2520"/>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abstractNum w:abstractNumId="1">
    <w:nsid w:val="25EA8E4F"/>
    <w:multiLevelType w:val="singleLevel"/>
    <w:tmpl w:val="25EA8E4F"/>
    <w:lvl w:ilvl="0" w:tentative="0">
      <w:start w:val="1"/>
      <w:numFmt w:val="chineseCounting"/>
      <w:suff w:val="nothing"/>
      <w:lvlText w:val="%1、"/>
      <w:lvlJc w:val="left"/>
      <w:rPr>
        <w:rFonts w:hint="eastAsia"/>
      </w:rPr>
    </w:lvl>
  </w:abstractNum>
  <w:abstractNum w:abstractNumId="2">
    <w:nsid w:val="5D4608AD"/>
    <w:multiLevelType w:val="multilevel"/>
    <w:tmpl w:val="5D4608AD"/>
    <w:lvl w:ilvl="0" w:tentative="0">
      <w:start w:val="1"/>
      <w:numFmt w:val="chineseCountingThousand"/>
      <w:pStyle w:val="54"/>
      <w:lvlText w:val="%1、"/>
      <w:lvlJc w:val="left"/>
      <w:pPr>
        <w:tabs>
          <w:tab w:val="left" w:pos="1349"/>
        </w:tabs>
        <w:ind w:left="0" w:firstLine="629"/>
      </w:pPr>
      <w:rPr>
        <w:rFonts w:hint="eastAsia"/>
      </w:rPr>
    </w:lvl>
    <w:lvl w:ilvl="1" w:tentative="0">
      <w:start w:val="1"/>
      <w:numFmt w:val="chineseCountingThousand"/>
      <w:lvlText w:val="(%2)"/>
      <w:lvlJc w:val="left"/>
      <w:pPr>
        <w:tabs>
          <w:tab w:val="left" w:pos="1349"/>
        </w:tabs>
        <w:ind w:left="0" w:firstLine="629"/>
      </w:pPr>
      <w:rPr>
        <w:rFonts w:hint="eastAsia"/>
      </w:rPr>
    </w:lvl>
    <w:lvl w:ilvl="2" w:tentative="0">
      <w:start w:val="1"/>
      <w:numFmt w:val="decimal"/>
      <w:lvlText w:val="%3."/>
      <w:lvlJc w:val="left"/>
      <w:pPr>
        <w:tabs>
          <w:tab w:val="left" w:pos="989"/>
        </w:tabs>
        <w:ind w:left="0" w:firstLine="629"/>
      </w:pPr>
      <w:rPr>
        <w:rFonts w:hint="eastAsia"/>
      </w:rPr>
    </w:lvl>
    <w:lvl w:ilvl="3" w:tentative="0">
      <w:start w:val="1"/>
      <w:numFmt w:val="decimal"/>
      <w:lvlText w:val="(%4)"/>
      <w:lvlJc w:val="left"/>
      <w:pPr>
        <w:tabs>
          <w:tab w:val="left" w:pos="1349"/>
        </w:tabs>
        <w:ind w:left="0" w:firstLine="629"/>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711"/>
        </w:tabs>
        <w:ind w:left="3827" w:hanging="1276"/>
      </w:pPr>
      <w:rPr>
        <w:rFonts w:hint="eastAsia"/>
      </w:rPr>
    </w:lvl>
    <w:lvl w:ilvl="7" w:tentative="0">
      <w:start w:val="1"/>
      <w:numFmt w:val="decimal"/>
      <w:lvlText w:val="%1.%2.%3.%4.%5.%6.%7.%8"/>
      <w:lvlJc w:val="left"/>
      <w:pPr>
        <w:tabs>
          <w:tab w:val="left" w:pos="5496"/>
        </w:tabs>
        <w:ind w:left="4394" w:hanging="1418"/>
      </w:pPr>
      <w:rPr>
        <w:rFonts w:hint="eastAsia"/>
      </w:rPr>
    </w:lvl>
    <w:lvl w:ilvl="8" w:tentative="0">
      <w:start w:val="1"/>
      <w:numFmt w:val="decimal"/>
      <w:lvlText w:val="%1.%2.%3.%4.%5.%6.%7.%8.%9"/>
      <w:lvlJc w:val="left"/>
      <w:pPr>
        <w:tabs>
          <w:tab w:val="left" w:pos="6282"/>
        </w:tabs>
        <w:ind w:left="5102" w:hanging="1700"/>
      </w:pPr>
      <w:rPr>
        <w:rFonts w:hint="eastAsia"/>
      </w:rPr>
    </w:lvl>
  </w:abstractNum>
  <w:abstractNum w:abstractNumId="3">
    <w:nsid w:val="765EBD17"/>
    <w:multiLevelType w:val="singleLevel"/>
    <w:tmpl w:val="765EBD17"/>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58F"/>
    <w:rsid w:val="00001351"/>
    <w:rsid w:val="00004883"/>
    <w:rsid w:val="000060BA"/>
    <w:rsid w:val="000063B7"/>
    <w:rsid w:val="0000746A"/>
    <w:rsid w:val="000112BF"/>
    <w:rsid w:val="00012306"/>
    <w:rsid w:val="00012E9F"/>
    <w:rsid w:val="00015713"/>
    <w:rsid w:val="00021719"/>
    <w:rsid w:val="0002375A"/>
    <w:rsid w:val="00027353"/>
    <w:rsid w:val="00027EFB"/>
    <w:rsid w:val="00030B08"/>
    <w:rsid w:val="0003271C"/>
    <w:rsid w:val="00032BC1"/>
    <w:rsid w:val="00036E66"/>
    <w:rsid w:val="00036EC4"/>
    <w:rsid w:val="00037399"/>
    <w:rsid w:val="00037A1C"/>
    <w:rsid w:val="00046575"/>
    <w:rsid w:val="000503A9"/>
    <w:rsid w:val="000514BA"/>
    <w:rsid w:val="00053A41"/>
    <w:rsid w:val="00055B72"/>
    <w:rsid w:val="000612DD"/>
    <w:rsid w:val="000621BC"/>
    <w:rsid w:val="00063CBA"/>
    <w:rsid w:val="000668AF"/>
    <w:rsid w:val="000701FC"/>
    <w:rsid w:val="00070E95"/>
    <w:rsid w:val="00071E6A"/>
    <w:rsid w:val="00074628"/>
    <w:rsid w:val="0007615C"/>
    <w:rsid w:val="00077638"/>
    <w:rsid w:val="000805C8"/>
    <w:rsid w:val="00084636"/>
    <w:rsid w:val="000877E5"/>
    <w:rsid w:val="00087EAE"/>
    <w:rsid w:val="0009102D"/>
    <w:rsid w:val="00091A25"/>
    <w:rsid w:val="000928E9"/>
    <w:rsid w:val="00093909"/>
    <w:rsid w:val="00094D27"/>
    <w:rsid w:val="0009798B"/>
    <w:rsid w:val="000A1566"/>
    <w:rsid w:val="000A3236"/>
    <w:rsid w:val="000B0226"/>
    <w:rsid w:val="000B236A"/>
    <w:rsid w:val="000C066D"/>
    <w:rsid w:val="000C16C0"/>
    <w:rsid w:val="000C5A44"/>
    <w:rsid w:val="000C6058"/>
    <w:rsid w:val="000C7AB0"/>
    <w:rsid w:val="000C7E52"/>
    <w:rsid w:val="000D4DCA"/>
    <w:rsid w:val="000D718B"/>
    <w:rsid w:val="000E01B4"/>
    <w:rsid w:val="000E13CF"/>
    <w:rsid w:val="000E4913"/>
    <w:rsid w:val="000F0B6C"/>
    <w:rsid w:val="000F197A"/>
    <w:rsid w:val="000F29A7"/>
    <w:rsid w:val="000F61FB"/>
    <w:rsid w:val="000F6280"/>
    <w:rsid w:val="000F7453"/>
    <w:rsid w:val="0010302B"/>
    <w:rsid w:val="001077DE"/>
    <w:rsid w:val="0011186D"/>
    <w:rsid w:val="00111940"/>
    <w:rsid w:val="00111A81"/>
    <w:rsid w:val="001124F4"/>
    <w:rsid w:val="001166CC"/>
    <w:rsid w:val="0012321E"/>
    <w:rsid w:val="00124BC3"/>
    <w:rsid w:val="00130AE0"/>
    <w:rsid w:val="00132769"/>
    <w:rsid w:val="00142437"/>
    <w:rsid w:val="00143790"/>
    <w:rsid w:val="00147A0D"/>
    <w:rsid w:val="00147BA4"/>
    <w:rsid w:val="00151287"/>
    <w:rsid w:val="0015241B"/>
    <w:rsid w:val="0015677D"/>
    <w:rsid w:val="00157822"/>
    <w:rsid w:val="001624C4"/>
    <w:rsid w:val="001710A5"/>
    <w:rsid w:val="00171A30"/>
    <w:rsid w:val="00172A27"/>
    <w:rsid w:val="001748ED"/>
    <w:rsid w:val="00174D8C"/>
    <w:rsid w:val="0018109E"/>
    <w:rsid w:val="00182053"/>
    <w:rsid w:val="00182D8C"/>
    <w:rsid w:val="00187A6C"/>
    <w:rsid w:val="00197ECF"/>
    <w:rsid w:val="001A35BB"/>
    <w:rsid w:val="001A58BA"/>
    <w:rsid w:val="001B036E"/>
    <w:rsid w:val="001B208B"/>
    <w:rsid w:val="001B424E"/>
    <w:rsid w:val="001B4B60"/>
    <w:rsid w:val="001C1FA4"/>
    <w:rsid w:val="001C51C9"/>
    <w:rsid w:val="001D0C34"/>
    <w:rsid w:val="001D1CB1"/>
    <w:rsid w:val="001D2E9A"/>
    <w:rsid w:val="001D2F99"/>
    <w:rsid w:val="001D394A"/>
    <w:rsid w:val="001D47FE"/>
    <w:rsid w:val="001D59D6"/>
    <w:rsid w:val="001F19F3"/>
    <w:rsid w:val="001F426E"/>
    <w:rsid w:val="001F5053"/>
    <w:rsid w:val="001F631F"/>
    <w:rsid w:val="001F739E"/>
    <w:rsid w:val="00202480"/>
    <w:rsid w:val="00202E15"/>
    <w:rsid w:val="00210EDE"/>
    <w:rsid w:val="00211367"/>
    <w:rsid w:val="002154D7"/>
    <w:rsid w:val="0021748F"/>
    <w:rsid w:val="002203C8"/>
    <w:rsid w:val="002212FB"/>
    <w:rsid w:val="0022160E"/>
    <w:rsid w:val="00226E0F"/>
    <w:rsid w:val="00227100"/>
    <w:rsid w:val="00227D8C"/>
    <w:rsid w:val="00230768"/>
    <w:rsid w:val="0023388E"/>
    <w:rsid w:val="002350D7"/>
    <w:rsid w:val="00250963"/>
    <w:rsid w:val="00255FA1"/>
    <w:rsid w:val="002565C3"/>
    <w:rsid w:val="00256673"/>
    <w:rsid w:val="00264BEA"/>
    <w:rsid w:val="00264FFB"/>
    <w:rsid w:val="0026752E"/>
    <w:rsid w:val="00271A68"/>
    <w:rsid w:val="00274477"/>
    <w:rsid w:val="002759D4"/>
    <w:rsid w:val="00275C4B"/>
    <w:rsid w:val="00276CF3"/>
    <w:rsid w:val="002818D9"/>
    <w:rsid w:val="00281BB9"/>
    <w:rsid w:val="00282651"/>
    <w:rsid w:val="00283C24"/>
    <w:rsid w:val="00286375"/>
    <w:rsid w:val="002905E1"/>
    <w:rsid w:val="00290A0D"/>
    <w:rsid w:val="00290C9C"/>
    <w:rsid w:val="00291A8D"/>
    <w:rsid w:val="0029203A"/>
    <w:rsid w:val="00295B7A"/>
    <w:rsid w:val="00297C77"/>
    <w:rsid w:val="002A6534"/>
    <w:rsid w:val="002B1848"/>
    <w:rsid w:val="002B2F24"/>
    <w:rsid w:val="002B322F"/>
    <w:rsid w:val="002B3E41"/>
    <w:rsid w:val="002B40A0"/>
    <w:rsid w:val="002B62F9"/>
    <w:rsid w:val="002C1073"/>
    <w:rsid w:val="002C1604"/>
    <w:rsid w:val="002C4718"/>
    <w:rsid w:val="002C6095"/>
    <w:rsid w:val="002C75B7"/>
    <w:rsid w:val="002D123C"/>
    <w:rsid w:val="002D3476"/>
    <w:rsid w:val="002E1A19"/>
    <w:rsid w:val="002E2440"/>
    <w:rsid w:val="002E312B"/>
    <w:rsid w:val="002E3225"/>
    <w:rsid w:val="002E4C43"/>
    <w:rsid w:val="002E5EC8"/>
    <w:rsid w:val="002E6CD2"/>
    <w:rsid w:val="002E71EB"/>
    <w:rsid w:val="002F12FA"/>
    <w:rsid w:val="002F2CF7"/>
    <w:rsid w:val="002F4843"/>
    <w:rsid w:val="002F4A68"/>
    <w:rsid w:val="00301D90"/>
    <w:rsid w:val="00302473"/>
    <w:rsid w:val="00303A30"/>
    <w:rsid w:val="00306525"/>
    <w:rsid w:val="00310884"/>
    <w:rsid w:val="00310B4A"/>
    <w:rsid w:val="00316D5C"/>
    <w:rsid w:val="0031776D"/>
    <w:rsid w:val="00321332"/>
    <w:rsid w:val="00321D05"/>
    <w:rsid w:val="003240C9"/>
    <w:rsid w:val="003256CE"/>
    <w:rsid w:val="003302E3"/>
    <w:rsid w:val="00331575"/>
    <w:rsid w:val="00332497"/>
    <w:rsid w:val="0034260D"/>
    <w:rsid w:val="00342DBB"/>
    <w:rsid w:val="0034443F"/>
    <w:rsid w:val="00345C1D"/>
    <w:rsid w:val="00346D6A"/>
    <w:rsid w:val="003509AA"/>
    <w:rsid w:val="0035200C"/>
    <w:rsid w:val="003540D8"/>
    <w:rsid w:val="00357641"/>
    <w:rsid w:val="003613F0"/>
    <w:rsid w:val="00362062"/>
    <w:rsid w:val="00366314"/>
    <w:rsid w:val="00366C5C"/>
    <w:rsid w:val="003708F2"/>
    <w:rsid w:val="00385259"/>
    <w:rsid w:val="0038532E"/>
    <w:rsid w:val="00392BD6"/>
    <w:rsid w:val="0039400C"/>
    <w:rsid w:val="003962D8"/>
    <w:rsid w:val="003A3E50"/>
    <w:rsid w:val="003A4EC3"/>
    <w:rsid w:val="003A7308"/>
    <w:rsid w:val="003A7C84"/>
    <w:rsid w:val="003B0C4A"/>
    <w:rsid w:val="003B20FB"/>
    <w:rsid w:val="003B5E6F"/>
    <w:rsid w:val="003B6DCA"/>
    <w:rsid w:val="003B7970"/>
    <w:rsid w:val="003C1B66"/>
    <w:rsid w:val="003C4276"/>
    <w:rsid w:val="003C7D67"/>
    <w:rsid w:val="003D3422"/>
    <w:rsid w:val="003D4E24"/>
    <w:rsid w:val="003D5690"/>
    <w:rsid w:val="003D5A19"/>
    <w:rsid w:val="003E2133"/>
    <w:rsid w:val="003E244E"/>
    <w:rsid w:val="003E2C5C"/>
    <w:rsid w:val="003F7390"/>
    <w:rsid w:val="003F7492"/>
    <w:rsid w:val="00405876"/>
    <w:rsid w:val="004104D4"/>
    <w:rsid w:val="004105E1"/>
    <w:rsid w:val="00415084"/>
    <w:rsid w:val="00420EFC"/>
    <w:rsid w:val="004217B3"/>
    <w:rsid w:val="00421F59"/>
    <w:rsid w:val="004220A2"/>
    <w:rsid w:val="00422902"/>
    <w:rsid w:val="00426605"/>
    <w:rsid w:val="00430A81"/>
    <w:rsid w:val="00431D9B"/>
    <w:rsid w:val="00433DEC"/>
    <w:rsid w:val="0043661F"/>
    <w:rsid w:val="00443DE5"/>
    <w:rsid w:val="00444110"/>
    <w:rsid w:val="00452201"/>
    <w:rsid w:val="00452637"/>
    <w:rsid w:val="00460EAA"/>
    <w:rsid w:val="004615C5"/>
    <w:rsid w:val="00463C5C"/>
    <w:rsid w:val="00465180"/>
    <w:rsid w:val="00465802"/>
    <w:rsid w:val="00467DDB"/>
    <w:rsid w:val="0047190A"/>
    <w:rsid w:val="0047218B"/>
    <w:rsid w:val="00474CAA"/>
    <w:rsid w:val="004767A5"/>
    <w:rsid w:val="004820F2"/>
    <w:rsid w:val="0048549C"/>
    <w:rsid w:val="00490AB6"/>
    <w:rsid w:val="004914EA"/>
    <w:rsid w:val="004915DC"/>
    <w:rsid w:val="004915ED"/>
    <w:rsid w:val="00491A7D"/>
    <w:rsid w:val="004927B9"/>
    <w:rsid w:val="004964FF"/>
    <w:rsid w:val="00497645"/>
    <w:rsid w:val="004A7DAD"/>
    <w:rsid w:val="004B0CE3"/>
    <w:rsid w:val="004B30C0"/>
    <w:rsid w:val="004B3E83"/>
    <w:rsid w:val="004B48A8"/>
    <w:rsid w:val="004B4B3B"/>
    <w:rsid w:val="004B7FD0"/>
    <w:rsid w:val="004C1A93"/>
    <w:rsid w:val="004C1AA9"/>
    <w:rsid w:val="004C5F4C"/>
    <w:rsid w:val="004C6169"/>
    <w:rsid w:val="004D1595"/>
    <w:rsid w:val="004D2726"/>
    <w:rsid w:val="004D33F5"/>
    <w:rsid w:val="004D44E4"/>
    <w:rsid w:val="004D4FA3"/>
    <w:rsid w:val="004D59CA"/>
    <w:rsid w:val="004D5A00"/>
    <w:rsid w:val="004D704A"/>
    <w:rsid w:val="004E3240"/>
    <w:rsid w:val="004E3BC1"/>
    <w:rsid w:val="004E6D4B"/>
    <w:rsid w:val="004E7F72"/>
    <w:rsid w:val="004E7FD7"/>
    <w:rsid w:val="004F05DA"/>
    <w:rsid w:val="004F399D"/>
    <w:rsid w:val="004F520F"/>
    <w:rsid w:val="00500EE9"/>
    <w:rsid w:val="00501F40"/>
    <w:rsid w:val="00503711"/>
    <w:rsid w:val="005048E9"/>
    <w:rsid w:val="0050678C"/>
    <w:rsid w:val="00507048"/>
    <w:rsid w:val="0051276A"/>
    <w:rsid w:val="00513B09"/>
    <w:rsid w:val="00516803"/>
    <w:rsid w:val="00517F3E"/>
    <w:rsid w:val="00520D4E"/>
    <w:rsid w:val="00521818"/>
    <w:rsid w:val="00522275"/>
    <w:rsid w:val="005241CA"/>
    <w:rsid w:val="005274D0"/>
    <w:rsid w:val="00527ED5"/>
    <w:rsid w:val="0053306A"/>
    <w:rsid w:val="00537EA4"/>
    <w:rsid w:val="00545294"/>
    <w:rsid w:val="00545B0D"/>
    <w:rsid w:val="00545FE6"/>
    <w:rsid w:val="00552CB1"/>
    <w:rsid w:val="0055725D"/>
    <w:rsid w:val="00560198"/>
    <w:rsid w:val="00564BF3"/>
    <w:rsid w:val="00565783"/>
    <w:rsid w:val="0056658A"/>
    <w:rsid w:val="0057086B"/>
    <w:rsid w:val="00570905"/>
    <w:rsid w:val="00572529"/>
    <w:rsid w:val="005757A0"/>
    <w:rsid w:val="005765FC"/>
    <w:rsid w:val="0058139C"/>
    <w:rsid w:val="00583880"/>
    <w:rsid w:val="00584A9A"/>
    <w:rsid w:val="00584CA7"/>
    <w:rsid w:val="005949DB"/>
    <w:rsid w:val="005A64FC"/>
    <w:rsid w:val="005A6B5B"/>
    <w:rsid w:val="005B45BD"/>
    <w:rsid w:val="005C0257"/>
    <w:rsid w:val="005C3C4A"/>
    <w:rsid w:val="005C4EA1"/>
    <w:rsid w:val="005D0B01"/>
    <w:rsid w:val="005D197D"/>
    <w:rsid w:val="005D2196"/>
    <w:rsid w:val="005D2D45"/>
    <w:rsid w:val="005D5BB6"/>
    <w:rsid w:val="005E2105"/>
    <w:rsid w:val="005E3E84"/>
    <w:rsid w:val="005E4A86"/>
    <w:rsid w:val="005E57E3"/>
    <w:rsid w:val="005E5A74"/>
    <w:rsid w:val="005E619A"/>
    <w:rsid w:val="005E7C58"/>
    <w:rsid w:val="005F5572"/>
    <w:rsid w:val="006167C0"/>
    <w:rsid w:val="00622835"/>
    <w:rsid w:val="006329BA"/>
    <w:rsid w:val="0064613E"/>
    <w:rsid w:val="0064654C"/>
    <w:rsid w:val="00646E2F"/>
    <w:rsid w:val="00651120"/>
    <w:rsid w:val="00653288"/>
    <w:rsid w:val="00653868"/>
    <w:rsid w:val="00661FE8"/>
    <w:rsid w:val="006623B0"/>
    <w:rsid w:val="006631C8"/>
    <w:rsid w:val="00665446"/>
    <w:rsid w:val="00666779"/>
    <w:rsid w:val="00670E24"/>
    <w:rsid w:val="00671458"/>
    <w:rsid w:val="00671643"/>
    <w:rsid w:val="0067190C"/>
    <w:rsid w:val="00675EF7"/>
    <w:rsid w:val="0068108C"/>
    <w:rsid w:val="00682DAB"/>
    <w:rsid w:val="0068318F"/>
    <w:rsid w:val="00684BD7"/>
    <w:rsid w:val="0068740A"/>
    <w:rsid w:val="006876A9"/>
    <w:rsid w:val="00690D0F"/>
    <w:rsid w:val="006920D4"/>
    <w:rsid w:val="0069245E"/>
    <w:rsid w:val="006A5E39"/>
    <w:rsid w:val="006B0296"/>
    <w:rsid w:val="006B15D2"/>
    <w:rsid w:val="006B2924"/>
    <w:rsid w:val="006B46F8"/>
    <w:rsid w:val="006B4F75"/>
    <w:rsid w:val="006B53EF"/>
    <w:rsid w:val="006C0520"/>
    <w:rsid w:val="006C05B5"/>
    <w:rsid w:val="006C24FF"/>
    <w:rsid w:val="006C6911"/>
    <w:rsid w:val="006C769E"/>
    <w:rsid w:val="006D0CFC"/>
    <w:rsid w:val="006D47D8"/>
    <w:rsid w:val="006D4AD5"/>
    <w:rsid w:val="006D60A8"/>
    <w:rsid w:val="006D7C85"/>
    <w:rsid w:val="006E06E9"/>
    <w:rsid w:val="006E4078"/>
    <w:rsid w:val="006E6E3A"/>
    <w:rsid w:val="006E7BDD"/>
    <w:rsid w:val="006F4970"/>
    <w:rsid w:val="00700783"/>
    <w:rsid w:val="0070502E"/>
    <w:rsid w:val="007151C7"/>
    <w:rsid w:val="00717D15"/>
    <w:rsid w:val="00717FB0"/>
    <w:rsid w:val="007217DA"/>
    <w:rsid w:val="00722A6E"/>
    <w:rsid w:val="00722ECE"/>
    <w:rsid w:val="00723958"/>
    <w:rsid w:val="007337FC"/>
    <w:rsid w:val="00734A4D"/>
    <w:rsid w:val="00736489"/>
    <w:rsid w:val="007409A0"/>
    <w:rsid w:val="007454C1"/>
    <w:rsid w:val="00754DDB"/>
    <w:rsid w:val="00756971"/>
    <w:rsid w:val="00757041"/>
    <w:rsid w:val="0075738F"/>
    <w:rsid w:val="00760830"/>
    <w:rsid w:val="00767818"/>
    <w:rsid w:val="007724C3"/>
    <w:rsid w:val="00776E82"/>
    <w:rsid w:val="00783073"/>
    <w:rsid w:val="00783DA9"/>
    <w:rsid w:val="00790DED"/>
    <w:rsid w:val="00792112"/>
    <w:rsid w:val="0079376E"/>
    <w:rsid w:val="00795F77"/>
    <w:rsid w:val="00796275"/>
    <w:rsid w:val="007977DB"/>
    <w:rsid w:val="007A1654"/>
    <w:rsid w:val="007A2E38"/>
    <w:rsid w:val="007A3199"/>
    <w:rsid w:val="007A4D28"/>
    <w:rsid w:val="007B0241"/>
    <w:rsid w:val="007B09B7"/>
    <w:rsid w:val="007B38D5"/>
    <w:rsid w:val="007B4916"/>
    <w:rsid w:val="007B5C0C"/>
    <w:rsid w:val="007B65A5"/>
    <w:rsid w:val="007B72F7"/>
    <w:rsid w:val="007C22CA"/>
    <w:rsid w:val="007C485D"/>
    <w:rsid w:val="007C4BF4"/>
    <w:rsid w:val="007C6335"/>
    <w:rsid w:val="007C6BB6"/>
    <w:rsid w:val="007C7334"/>
    <w:rsid w:val="007C7982"/>
    <w:rsid w:val="007C7A75"/>
    <w:rsid w:val="007D1CA7"/>
    <w:rsid w:val="007D3011"/>
    <w:rsid w:val="007D3306"/>
    <w:rsid w:val="007D3D79"/>
    <w:rsid w:val="007D7271"/>
    <w:rsid w:val="007D759D"/>
    <w:rsid w:val="007D7611"/>
    <w:rsid w:val="007E45B3"/>
    <w:rsid w:val="007E582F"/>
    <w:rsid w:val="007E5ACA"/>
    <w:rsid w:val="007F5014"/>
    <w:rsid w:val="007F6A13"/>
    <w:rsid w:val="00801C54"/>
    <w:rsid w:val="0080431B"/>
    <w:rsid w:val="0080672E"/>
    <w:rsid w:val="00810E46"/>
    <w:rsid w:val="00813A19"/>
    <w:rsid w:val="008156A9"/>
    <w:rsid w:val="00824655"/>
    <w:rsid w:val="0083008E"/>
    <w:rsid w:val="00830295"/>
    <w:rsid w:val="00832390"/>
    <w:rsid w:val="00834CB9"/>
    <w:rsid w:val="008364DC"/>
    <w:rsid w:val="0084012C"/>
    <w:rsid w:val="00842400"/>
    <w:rsid w:val="008469D6"/>
    <w:rsid w:val="00847117"/>
    <w:rsid w:val="00847BEF"/>
    <w:rsid w:val="00853B03"/>
    <w:rsid w:val="00861524"/>
    <w:rsid w:val="008619A2"/>
    <w:rsid w:val="008641E9"/>
    <w:rsid w:val="00864C50"/>
    <w:rsid w:val="008655E8"/>
    <w:rsid w:val="00866A9C"/>
    <w:rsid w:val="00871D36"/>
    <w:rsid w:val="00875F65"/>
    <w:rsid w:val="0088023A"/>
    <w:rsid w:val="008907A2"/>
    <w:rsid w:val="0089089D"/>
    <w:rsid w:val="00892CE4"/>
    <w:rsid w:val="0089398A"/>
    <w:rsid w:val="00897877"/>
    <w:rsid w:val="008A509B"/>
    <w:rsid w:val="008A7831"/>
    <w:rsid w:val="008B00D9"/>
    <w:rsid w:val="008B2918"/>
    <w:rsid w:val="008C29A4"/>
    <w:rsid w:val="008C3081"/>
    <w:rsid w:val="008D3621"/>
    <w:rsid w:val="008D61AE"/>
    <w:rsid w:val="008E08BE"/>
    <w:rsid w:val="008E248F"/>
    <w:rsid w:val="008E432B"/>
    <w:rsid w:val="008F4903"/>
    <w:rsid w:val="008F51C8"/>
    <w:rsid w:val="008F5577"/>
    <w:rsid w:val="009002D1"/>
    <w:rsid w:val="0090092E"/>
    <w:rsid w:val="0090164F"/>
    <w:rsid w:val="00903AF2"/>
    <w:rsid w:val="0090412B"/>
    <w:rsid w:val="00913557"/>
    <w:rsid w:val="0091464B"/>
    <w:rsid w:val="009231A0"/>
    <w:rsid w:val="00924025"/>
    <w:rsid w:val="009243B2"/>
    <w:rsid w:val="00925554"/>
    <w:rsid w:val="00925C5B"/>
    <w:rsid w:val="0093020F"/>
    <w:rsid w:val="00932525"/>
    <w:rsid w:val="009342E3"/>
    <w:rsid w:val="009353B8"/>
    <w:rsid w:val="00944A25"/>
    <w:rsid w:val="009450F9"/>
    <w:rsid w:val="00951326"/>
    <w:rsid w:val="0095619D"/>
    <w:rsid w:val="00956C38"/>
    <w:rsid w:val="00960CA0"/>
    <w:rsid w:val="00964582"/>
    <w:rsid w:val="009650E0"/>
    <w:rsid w:val="00966192"/>
    <w:rsid w:val="00967BCD"/>
    <w:rsid w:val="009727F7"/>
    <w:rsid w:val="009732FE"/>
    <w:rsid w:val="009740A2"/>
    <w:rsid w:val="009772BB"/>
    <w:rsid w:val="009778FF"/>
    <w:rsid w:val="00987BF9"/>
    <w:rsid w:val="00992E40"/>
    <w:rsid w:val="00993DBE"/>
    <w:rsid w:val="009957E7"/>
    <w:rsid w:val="00996A09"/>
    <w:rsid w:val="00997C26"/>
    <w:rsid w:val="009A5FC6"/>
    <w:rsid w:val="009B1536"/>
    <w:rsid w:val="009B36FC"/>
    <w:rsid w:val="009B4C9C"/>
    <w:rsid w:val="009B599D"/>
    <w:rsid w:val="009B71DF"/>
    <w:rsid w:val="009C070C"/>
    <w:rsid w:val="009C54EF"/>
    <w:rsid w:val="009C65BB"/>
    <w:rsid w:val="009C6C93"/>
    <w:rsid w:val="009D0438"/>
    <w:rsid w:val="009D13DC"/>
    <w:rsid w:val="009D170D"/>
    <w:rsid w:val="009D2434"/>
    <w:rsid w:val="009D3E6F"/>
    <w:rsid w:val="009D64F5"/>
    <w:rsid w:val="009E313A"/>
    <w:rsid w:val="009E7C8F"/>
    <w:rsid w:val="009F3FDC"/>
    <w:rsid w:val="009F530E"/>
    <w:rsid w:val="00A02097"/>
    <w:rsid w:val="00A0368D"/>
    <w:rsid w:val="00A05A38"/>
    <w:rsid w:val="00A06563"/>
    <w:rsid w:val="00A14215"/>
    <w:rsid w:val="00A15766"/>
    <w:rsid w:val="00A15DD5"/>
    <w:rsid w:val="00A16700"/>
    <w:rsid w:val="00A17C01"/>
    <w:rsid w:val="00A34427"/>
    <w:rsid w:val="00A40435"/>
    <w:rsid w:val="00A43BEF"/>
    <w:rsid w:val="00A47D16"/>
    <w:rsid w:val="00A5480D"/>
    <w:rsid w:val="00A568CA"/>
    <w:rsid w:val="00A604FD"/>
    <w:rsid w:val="00A608C6"/>
    <w:rsid w:val="00A6333F"/>
    <w:rsid w:val="00A7018D"/>
    <w:rsid w:val="00A74469"/>
    <w:rsid w:val="00A74B0B"/>
    <w:rsid w:val="00A750B7"/>
    <w:rsid w:val="00A76250"/>
    <w:rsid w:val="00A76BEB"/>
    <w:rsid w:val="00A84125"/>
    <w:rsid w:val="00A9373F"/>
    <w:rsid w:val="00A963F0"/>
    <w:rsid w:val="00A973F6"/>
    <w:rsid w:val="00AA4EE7"/>
    <w:rsid w:val="00AA69F3"/>
    <w:rsid w:val="00AB1485"/>
    <w:rsid w:val="00AB2BE8"/>
    <w:rsid w:val="00AB4399"/>
    <w:rsid w:val="00AB49E5"/>
    <w:rsid w:val="00AB6284"/>
    <w:rsid w:val="00AB7707"/>
    <w:rsid w:val="00AC2B74"/>
    <w:rsid w:val="00AC66DF"/>
    <w:rsid w:val="00AC75A6"/>
    <w:rsid w:val="00AC7EF9"/>
    <w:rsid w:val="00AD2129"/>
    <w:rsid w:val="00AD3040"/>
    <w:rsid w:val="00AD6CFD"/>
    <w:rsid w:val="00AE29E2"/>
    <w:rsid w:val="00AF3207"/>
    <w:rsid w:val="00AF3859"/>
    <w:rsid w:val="00AF4657"/>
    <w:rsid w:val="00AF53BC"/>
    <w:rsid w:val="00B000CD"/>
    <w:rsid w:val="00B01288"/>
    <w:rsid w:val="00B021FB"/>
    <w:rsid w:val="00B04762"/>
    <w:rsid w:val="00B05F75"/>
    <w:rsid w:val="00B071AD"/>
    <w:rsid w:val="00B100CC"/>
    <w:rsid w:val="00B10ABB"/>
    <w:rsid w:val="00B13BAD"/>
    <w:rsid w:val="00B13CEF"/>
    <w:rsid w:val="00B14DB5"/>
    <w:rsid w:val="00B156AF"/>
    <w:rsid w:val="00B16CEC"/>
    <w:rsid w:val="00B21300"/>
    <w:rsid w:val="00B228B9"/>
    <w:rsid w:val="00B22FDF"/>
    <w:rsid w:val="00B23CFD"/>
    <w:rsid w:val="00B30160"/>
    <w:rsid w:val="00B368A6"/>
    <w:rsid w:val="00B3792C"/>
    <w:rsid w:val="00B379D3"/>
    <w:rsid w:val="00B40F5E"/>
    <w:rsid w:val="00B42290"/>
    <w:rsid w:val="00B47D87"/>
    <w:rsid w:val="00B50DFC"/>
    <w:rsid w:val="00B53B8D"/>
    <w:rsid w:val="00B55293"/>
    <w:rsid w:val="00B55F0D"/>
    <w:rsid w:val="00B571F1"/>
    <w:rsid w:val="00B6171E"/>
    <w:rsid w:val="00B62399"/>
    <w:rsid w:val="00B650E1"/>
    <w:rsid w:val="00B67BBE"/>
    <w:rsid w:val="00B70816"/>
    <w:rsid w:val="00B82185"/>
    <w:rsid w:val="00B84CB5"/>
    <w:rsid w:val="00B85D82"/>
    <w:rsid w:val="00B86818"/>
    <w:rsid w:val="00B92434"/>
    <w:rsid w:val="00B926BF"/>
    <w:rsid w:val="00B94F15"/>
    <w:rsid w:val="00B960A6"/>
    <w:rsid w:val="00B968E8"/>
    <w:rsid w:val="00BA25AB"/>
    <w:rsid w:val="00BA3DAB"/>
    <w:rsid w:val="00BA7590"/>
    <w:rsid w:val="00BB2934"/>
    <w:rsid w:val="00BB67B5"/>
    <w:rsid w:val="00BB6BF1"/>
    <w:rsid w:val="00BB7F1C"/>
    <w:rsid w:val="00BC2646"/>
    <w:rsid w:val="00BC4B15"/>
    <w:rsid w:val="00BD04A2"/>
    <w:rsid w:val="00BD56FB"/>
    <w:rsid w:val="00BD6D73"/>
    <w:rsid w:val="00BD7376"/>
    <w:rsid w:val="00BE047E"/>
    <w:rsid w:val="00BE1F82"/>
    <w:rsid w:val="00BE5CDB"/>
    <w:rsid w:val="00BF1568"/>
    <w:rsid w:val="00BF5557"/>
    <w:rsid w:val="00BF7420"/>
    <w:rsid w:val="00BF792D"/>
    <w:rsid w:val="00C007B9"/>
    <w:rsid w:val="00C022FB"/>
    <w:rsid w:val="00C061F8"/>
    <w:rsid w:val="00C07CFB"/>
    <w:rsid w:val="00C1383D"/>
    <w:rsid w:val="00C13B92"/>
    <w:rsid w:val="00C24BE4"/>
    <w:rsid w:val="00C24F9E"/>
    <w:rsid w:val="00C275D1"/>
    <w:rsid w:val="00C3331E"/>
    <w:rsid w:val="00C343D4"/>
    <w:rsid w:val="00C34FAF"/>
    <w:rsid w:val="00C352CF"/>
    <w:rsid w:val="00C373E1"/>
    <w:rsid w:val="00C4056D"/>
    <w:rsid w:val="00C40EB7"/>
    <w:rsid w:val="00C42206"/>
    <w:rsid w:val="00C44670"/>
    <w:rsid w:val="00C45E55"/>
    <w:rsid w:val="00C55C56"/>
    <w:rsid w:val="00C60CEB"/>
    <w:rsid w:val="00C6128C"/>
    <w:rsid w:val="00C62DB3"/>
    <w:rsid w:val="00C64B67"/>
    <w:rsid w:val="00C7789A"/>
    <w:rsid w:val="00C83097"/>
    <w:rsid w:val="00C8351F"/>
    <w:rsid w:val="00C83AD9"/>
    <w:rsid w:val="00C84318"/>
    <w:rsid w:val="00C84C4C"/>
    <w:rsid w:val="00C94094"/>
    <w:rsid w:val="00CA01C9"/>
    <w:rsid w:val="00CA1898"/>
    <w:rsid w:val="00CA301B"/>
    <w:rsid w:val="00CA5F79"/>
    <w:rsid w:val="00CA62B3"/>
    <w:rsid w:val="00CA747D"/>
    <w:rsid w:val="00CB3501"/>
    <w:rsid w:val="00CB756C"/>
    <w:rsid w:val="00CC3153"/>
    <w:rsid w:val="00CC3585"/>
    <w:rsid w:val="00CC38E5"/>
    <w:rsid w:val="00CC73F9"/>
    <w:rsid w:val="00CD04A4"/>
    <w:rsid w:val="00CD28F6"/>
    <w:rsid w:val="00CD6873"/>
    <w:rsid w:val="00CE4358"/>
    <w:rsid w:val="00CE69B5"/>
    <w:rsid w:val="00CF6A36"/>
    <w:rsid w:val="00CF7333"/>
    <w:rsid w:val="00D0693B"/>
    <w:rsid w:val="00D12946"/>
    <w:rsid w:val="00D12FE7"/>
    <w:rsid w:val="00D159C3"/>
    <w:rsid w:val="00D211FF"/>
    <w:rsid w:val="00D21C61"/>
    <w:rsid w:val="00D22312"/>
    <w:rsid w:val="00D22C10"/>
    <w:rsid w:val="00D26211"/>
    <w:rsid w:val="00D272D8"/>
    <w:rsid w:val="00D3232B"/>
    <w:rsid w:val="00D34E17"/>
    <w:rsid w:val="00D3544B"/>
    <w:rsid w:val="00D414E9"/>
    <w:rsid w:val="00D41661"/>
    <w:rsid w:val="00D42128"/>
    <w:rsid w:val="00D43BD3"/>
    <w:rsid w:val="00D470B5"/>
    <w:rsid w:val="00D472F7"/>
    <w:rsid w:val="00D5226A"/>
    <w:rsid w:val="00D604B0"/>
    <w:rsid w:val="00D612A9"/>
    <w:rsid w:val="00D651AB"/>
    <w:rsid w:val="00D652EA"/>
    <w:rsid w:val="00D70341"/>
    <w:rsid w:val="00D7211A"/>
    <w:rsid w:val="00D734CA"/>
    <w:rsid w:val="00D73D1F"/>
    <w:rsid w:val="00D73FD1"/>
    <w:rsid w:val="00D75663"/>
    <w:rsid w:val="00D81C93"/>
    <w:rsid w:val="00D824D8"/>
    <w:rsid w:val="00D8270A"/>
    <w:rsid w:val="00D82C74"/>
    <w:rsid w:val="00D84F1E"/>
    <w:rsid w:val="00D85A47"/>
    <w:rsid w:val="00D9149E"/>
    <w:rsid w:val="00D9404F"/>
    <w:rsid w:val="00D965C9"/>
    <w:rsid w:val="00D96C53"/>
    <w:rsid w:val="00DA0B50"/>
    <w:rsid w:val="00DA3027"/>
    <w:rsid w:val="00DB3608"/>
    <w:rsid w:val="00DB4DB3"/>
    <w:rsid w:val="00DB5243"/>
    <w:rsid w:val="00DC148C"/>
    <w:rsid w:val="00DC1FF4"/>
    <w:rsid w:val="00DC2665"/>
    <w:rsid w:val="00DC4847"/>
    <w:rsid w:val="00DD2455"/>
    <w:rsid w:val="00DD7378"/>
    <w:rsid w:val="00DD7984"/>
    <w:rsid w:val="00DE0846"/>
    <w:rsid w:val="00DE0D7E"/>
    <w:rsid w:val="00DE21C6"/>
    <w:rsid w:val="00DE7524"/>
    <w:rsid w:val="00DF0E6E"/>
    <w:rsid w:val="00DF35E8"/>
    <w:rsid w:val="00DF37C9"/>
    <w:rsid w:val="00DF512D"/>
    <w:rsid w:val="00DF6003"/>
    <w:rsid w:val="00E01AE7"/>
    <w:rsid w:val="00E02438"/>
    <w:rsid w:val="00E027CB"/>
    <w:rsid w:val="00E04955"/>
    <w:rsid w:val="00E1043C"/>
    <w:rsid w:val="00E1142B"/>
    <w:rsid w:val="00E118B7"/>
    <w:rsid w:val="00E12590"/>
    <w:rsid w:val="00E138A2"/>
    <w:rsid w:val="00E15DE5"/>
    <w:rsid w:val="00E16701"/>
    <w:rsid w:val="00E17114"/>
    <w:rsid w:val="00E179E8"/>
    <w:rsid w:val="00E20050"/>
    <w:rsid w:val="00E219D5"/>
    <w:rsid w:val="00E22213"/>
    <w:rsid w:val="00E22291"/>
    <w:rsid w:val="00E2300D"/>
    <w:rsid w:val="00E27477"/>
    <w:rsid w:val="00E36296"/>
    <w:rsid w:val="00E37279"/>
    <w:rsid w:val="00E377D5"/>
    <w:rsid w:val="00E43585"/>
    <w:rsid w:val="00E44C9F"/>
    <w:rsid w:val="00E451EE"/>
    <w:rsid w:val="00E461B9"/>
    <w:rsid w:val="00E55953"/>
    <w:rsid w:val="00E572B2"/>
    <w:rsid w:val="00E572B3"/>
    <w:rsid w:val="00E60026"/>
    <w:rsid w:val="00E611F8"/>
    <w:rsid w:val="00E62CD5"/>
    <w:rsid w:val="00E6311C"/>
    <w:rsid w:val="00E727B9"/>
    <w:rsid w:val="00E752BD"/>
    <w:rsid w:val="00E820B2"/>
    <w:rsid w:val="00E868CE"/>
    <w:rsid w:val="00E87D78"/>
    <w:rsid w:val="00E917E3"/>
    <w:rsid w:val="00E91FC5"/>
    <w:rsid w:val="00E92EBE"/>
    <w:rsid w:val="00E935C3"/>
    <w:rsid w:val="00E93A49"/>
    <w:rsid w:val="00E93C2C"/>
    <w:rsid w:val="00E947A1"/>
    <w:rsid w:val="00E9614E"/>
    <w:rsid w:val="00E96723"/>
    <w:rsid w:val="00EA4726"/>
    <w:rsid w:val="00EA61C2"/>
    <w:rsid w:val="00EA730A"/>
    <w:rsid w:val="00EB164C"/>
    <w:rsid w:val="00EB1ABF"/>
    <w:rsid w:val="00EB7B9E"/>
    <w:rsid w:val="00EC1428"/>
    <w:rsid w:val="00EC1645"/>
    <w:rsid w:val="00EC507E"/>
    <w:rsid w:val="00EC61CE"/>
    <w:rsid w:val="00ED19E4"/>
    <w:rsid w:val="00ED2FC1"/>
    <w:rsid w:val="00ED459E"/>
    <w:rsid w:val="00EE1639"/>
    <w:rsid w:val="00EF2F6A"/>
    <w:rsid w:val="00F00AE7"/>
    <w:rsid w:val="00F060C2"/>
    <w:rsid w:val="00F121B6"/>
    <w:rsid w:val="00F13C90"/>
    <w:rsid w:val="00F16B93"/>
    <w:rsid w:val="00F16E49"/>
    <w:rsid w:val="00F20F76"/>
    <w:rsid w:val="00F21082"/>
    <w:rsid w:val="00F27064"/>
    <w:rsid w:val="00F30314"/>
    <w:rsid w:val="00F31667"/>
    <w:rsid w:val="00F3255E"/>
    <w:rsid w:val="00F336D9"/>
    <w:rsid w:val="00F437F5"/>
    <w:rsid w:val="00F4597B"/>
    <w:rsid w:val="00F4733D"/>
    <w:rsid w:val="00F53E3D"/>
    <w:rsid w:val="00F569A6"/>
    <w:rsid w:val="00F57249"/>
    <w:rsid w:val="00F57E4C"/>
    <w:rsid w:val="00F6223E"/>
    <w:rsid w:val="00F633EE"/>
    <w:rsid w:val="00F63848"/>
    <w:rsid w:val="00F66DC5"/>
    <w:rsid w:val="00F718E6"/>
    <w:rsid w:val="00F71A5F"/>
    <w:rsid w:val="00F75C63"/>
    <w:rsid w:val="00F7650F"/>
    <w:rsid w:val="00F77664"/>
    <w:rsid w:val="00F7776D"/>
    <w:rsid w:val="00F8104E"/>
    <w:rsid w:val="00F81B7E"/>
    <w:rsid w:val="00F83910"/>
    <w:rsid w:val="00F83C11"/>
    <w:rsid w:val="00F872F0"/>
    <w:rsid w:val="00F873FB"/>
    <w:rsid w:val="00F905D9"/>
    <w:rsid w:val="00F91373"/>
    <w:rsid w:val="00F95C0F"/>
    <w:rsid w:val="00FA213F"/>
    <w:rsid w:val="00FA781C"/>
    <w:rsid w:val="00FB3865"/>
    <w:rsid w:val="00FB3C02"/>
    <w:rsid w:val="00FB7FB9"/>
    <w:rsid w:val="00FC1EC8"/>
    <w:rsid w:val="00FC30AC"/>
    <w:rsid w:val="00FC4A95"/>
    <w:rsid w:val="00FD0E97"/>
    <w:rsid w:val="00FD74E7"/>
    <w:rsid w:val="00FE0692"/>
    <w:rsid w:val="00FE4408"/>
    <w:rsid w:val="00FE64F5"/>
    <w:rsid w:val="00FF0618"/>
    <w:rsid w:val="00FF2378"/>
    <w:rsid w:val="00FF4004"/>
    <w:rsid w:val="00FF6580"/>
    <w:rsid w:val="010E5B83"/>
    <w:rsid w:val="01FA03DE"/>
    <w:rsid w:val="037D44EE"/>
    <w:rsid w:val="03CA6EF6"/>
    <w:rsid w:val="0569312B"/>
    <w:rsid w:val="06A50AB1"/>
    <w:rsid w:val="075B3B3F"/>
    <w:rsid w:val="0A141145"/>
    <w:rsid w:val="0ACB4877"/>
    <w:rsid w:val="0B83607C"/>
    <w:rsid w:val="0E0D50F2"/>
    <w:rsid w:val="0E9733D5"/>
    <w:rsid w:val="10CF168D"/>
    <w:rsid w:val="12BA7338"/>
    <w:rsid w:val="13143FFE"/>
    <w:rsid w:val="13B40768"/>
    <w:rsid w:val="153123B6"/>
    <w:rsid w:val="17283764"/>
    <w:rsid w:val="17334565"/>
    <w:rsid w:val="178772D7"/>
    <w:rsid w:val="18146217"/>
    <w:rsid w:val="18215304"/>
    <w:rsid w:val="19191E6F"/>
    <w:rsid w:val="19332BB1"/>
    <w:rsid w:val="19BB0739"/>
    <w:rsid w:val="1B0D0BF0"/>
    <w:rsid w:val="1CC24EC4"/>
    <w:rsid w:val="1CC320D7"/>
    <w:rsid w:val="1D237383"/>
    <w:rsid w:val="1E876FC3"/>
    <w:rsid w:val="1F5171F9"/>
    <w:rsid w:val="1F84350B"/>
    <w:rsid w:val="20B23AF5"/>
    <w:rsid w:val="232457F5"/>
    <w:rsid w:val="24581890"/>
    <w:rsid w:val="24CF4FC0"/>
    <w:rsid w:val="27182917"/>
    <w:rsid w:val="292532D4"/>
    <w:rsid w:val="294D18CD"/>
    <w:rsid w:val="29FB2E26"/>
    <w:rsid w:val="2BF721B0"/>
    <w:rsid w:val="2DF81ACA"/>
    <w:rsid w:val="2E3461D7"/>
    <w:rsid w:val="2E674ACC"/>
    <w:rsid w:val="2F9A6079"/>
    <w:rsid w:val="306840EC"/>
    <w:rsid w:val="31AC30F4"/>
    <w:rsid w:val="34425E22"/>
    <w:rsid w:val="35F66290"/>
    <w:rsid w:val="362C1207"/>
    <w:rsid w:val="36AD3F68"/>
    <w:rsid w:val="373D5E61"/>
    <w:rsid w:val="37915A99"/>
    <w:rsid w:val="37E30951"/>
    <w:rsid w:val="397D76E1"/>
    <w:rsid w:val="39BF1218"/>
    <w:rsid w:val="3A4E60FC"/>
    <w:rsid w:val="3BF04154"/>
    <w:rsid w:val="3E0E5AA2"/>
    <w:rsid w:val="41BD277F"/>
    <w:rsid w:val="442F7853"/>
    <w:rsid w:val="461F6B47"/>
    <w:rsid w:val="47715E08"/>
    <w:rsid w:val="48425B85"/>
    <w:rsid w:val="49B57D9A"/>
    <w:rsid w:val="49E50EBD"/>
    <w:rsid w:val="4DBF1CEA"/>
    <w:rsid w:val="4F6613EE"/>
    <w:rsid w:val="507D6AAD"/>
    <w:rsid w:val="521C5BFD"/>
    <w:rsid w:val="55226F39"/>
    <w:rsid w:val="55B9168D"/>
    <w:rsid w:val="55FE463F"/>
    <w:rsid w:val="56257777"/>
    <w:rsid w:val="565D1FD4"/>
    <w:rsid w:val="576D0EEA"/>
    <w:rsid w:val="58D06441"/>
    <w:rsid w:val="5A0C5316"/>
    <w:rsid w:val="5A3455BE"/>
    <w:rsid w:val="5AE1183E"/>
    <w:rsid w:val="5B26074F"/>
    <w:rsid w:val="5B7D6727"/>
    <w:rsid w:val="5B9A01BB"/>
    <w:rsid w:val="5BEB5689"/>
    <w:rsid w:val="5C0150E1"/>
    <w:rsid w:val="5C5D0552"/>
    <w:rsid w:val="5DF53B11"/>
    <w:rsid w:val="5F3764EB"/>
    <w:rsid w:val="614E0C9F"/>
    <w:rsid w:val="63936F88"/>
    <w:rsid w:val="65E07A1C"/>
    <w:rsid w:val="65FF4C5D"/>
    <w:rsid w:val="66BF7D5E"/>
    <w:rsid w:val="6936651F"/>
    <w:rsid w:val="6AFD2628"/>
    <w:rsid w:val="6C680405"/>
    <w:rsid w:val="6C6B0957"/>
    <w:rsid w:val="6D03546E"/>
    <w:rsid w:val="6D535020"/>
    <w:rsid w:val="702F1AC9"/>
    <w:rsid w:val="71CC5E2A"/>
    <w:rsid w:val="720107B1"/>
    <w:rsid w:val="72CF053F"/>
    <w:rsid w:val="746305B1"/>
    <w:rsid w:val="74862811"/>
    <w:rsid w:val="75E021D6"/>
    <w:rsid w:val="772B54F6"/>
    <w:rsid w:val="77967387"/>
    <w:rsid w:val="7913570D"/>
    <w:rsid w:val="7CB95E7A"/>
    <w:rsid w:val="7F1242E9"/>
    <w:rsid w:val="7F7E49ED"/>
    <w:rsid w:val="7F811C3D"/>
    <w:rsid w:val="7F842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semiHidden="0" w:name="toc 2"/>
    <w:lsdException w:qFormat="1" w:uiPriority="39" w:semiHidden="0" w:name="toc 3"/>
    <w:lsdException w:uiPriority="0" w:name="toc 4"/>
    <w:lsdException w:uiPriority="0" w:name="toc 5"/>
    <w:lsdException w:qFormat="1" w:unhideWhenUsed="0" w:uiPriority="39" w:semiHidden="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heme="minorHAnsi" w:hAnsiTheme="minorHAnsi" w:eastAsiaTheme="minorEastAsia" w:cstheme="minorBidi"/>
      <w:sz w:val="24"/>
      <w:szCs w:val="24"/>
      <w:lang w:val="en-US" w:eastAsia="zh-CN" w:bidi="ar-SA"/>
    </w:rPr>
  </w:style>
  <w:style w:type="paragraph" w:styleId="4">
    <w:name w:val="heading 1"/>
    <w:basedOn w:val="1"/>
    <w:next w:val="1"/>
    <w:link w:val="40"/>
    <w:qFormat/>
    <w:uiPriority w:val="0"/>
    <w:pPr>
      <w:keepNext/>
      <w:keepLines/>
      <w:tabs>
        <w:tab w:val="left" w:pos="425"/>
        <w:tab w:val="left" w:pos="4265"/>
      </w:tabs>
      <w:spacing w:before="340" w:after="330" w:line="360" w:lineRule="auto"/>
      <w:ind w:left="4265" w:hanging="425"/>
      <w:jc w:val="center"/>
      <w:outlineLvl w:val="0"/>
    </w:pPr>
    <w:rPr>
      <w:rFonts w:ascii="华文中宋" w:hAnsi="华文中宋" w:eastAsia="华文中宋"/>
      <w:b/>
      <w:bCs/>
      <w:color w:val="000000"/>
      <w:kern w:val="44"/>
      <w:sz w:val="32"/>
      <w:szCs w:val="32"/>
    </w:rPr>
  </w:style>
  <w:style w:type="paragraph" w:styleId="5">
    <w:name w:val="heading 2"/>
    <w:basedOn w:val="1"/>
    <w:next w:val="1"/>
    <w:semiHidden/>
    <w:unhideWhenUsed/>
    <w:qFormat/>
    <w:uiPriority w:val="0"/>
    <w:pPr>
      <w:keepNext/>
      <w:keepLines/>
      <w:widowControl w:val="0"/>
      <w:tabs>
        <w:tab w:val="left" w:pos="720"/>
      </w:tabs>
      <w:spacing w:before="260" w:after="260" w:line="360" w:lineRule="auto"/>
      <w:jc w:val="center"/>
      <w:outlineLvl w:val="1"/>
    </w:pPr>
    <w:rPr>
      <w:rFonts w:ascii="宋体" w:hAnsi="宋体" w:cs="Arial"/>
      <w:b/>
      <w:bCs/>
      <w:iCs/>
      <w:sz w:val="28"/>
      <w:szCs w:val="28"/>
    </w:rPr>
  </w:style>
  <w:style w:type="paragraph" w:styleId="6">
    <w:name w:val="heading 3"/>
    <w:basedOn w:val="1"/>
    <w:next w:val="1"/>
    <w:link w:val="59"/>
    <w:semiHidden/>
    <w:unhideWhenUsed/>
    <w:qFormat/>
    <w:uiPriority w:val="0"/>
    <w:pPr>
      <w:keepNext/>
      <w:keepLines/>
      <w:spacing w:before="260" w:after="260" w:line="416" w:lineRule="auto"/>
      <w:outlineLvl w:val="2"/>
    </w:pPr>
    <w:rPr>
      <w:b/>
      <w:bCs/>
      <w:sz w:val="32"/>
      <w:szCs w:val="32"/>
    </w:rPr>
  </w:style>
  <w:style w:type="paragraph" w:styleId="7">
    <w:name w:val="heading 4"/>
    <w:basedOn w:val="1"/>
    <w:next w:val="1"/>
    <w:link w:val="60"/>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8">
    <w:name w:val="heading 6"/>
    <w:basedOn w:val="1"/>
    <w:next w:val="1"/>
    <w:link w:val="81"/>
    <w:qFormat/>
    <w:uiPriority w:val="0"/>
    <w:pPr>
      <w:keepNext/>
      <w:keepLines/>
      <w:numPr>
        <w:ilvl w:val="5"/>
        <w:numId w:val="1"/>
      </w:numPr>
      <w:spacing w:before="240" w:after="64" w:line="320" w:lineRule="auto"/>
      <w:outlineLvl w:val="5"/>
    </w:pPr>
    <w:rPr>
      <w:rFonts w:ascii="Arial" w:hAnsi="Arial" w:eastAsia="黑体" w:cs="Times New Roman"/>
      <w:b/>
      <w:bCs/>
    </w:rPr>
  </w:style>
  <w:style w:type="paragraph" w:styleId="9">
    <w:name w:val="heading 7"/>
    <w:basedOn w:val="1"/>
    <w:next w:val="1"/>
    <w:link w:val="82"/>
    <w:qFormat/>
    <w:uiPriority w:val="0"/>
    <w:pPr>
      <w:keepNext/>
      <w:keepLines/>
      <w:numPr>
        <w:ilvl w:val="6"/>
        <w:numId w:val="1"/>
      </w:numPr>
      <w:spacing w:before="240" w:after="64" w:line="320" w:lineRule="auto"/>
      <w:outlineLvl w:val="6"/>
    </w:pPr>
    <w:rPr>
      <w:rFonts w:ascii="Times New Roman" w:hAnsi="Times New Roman" w:eastAsia="宋体" w:cs="Times New Roman"/>
      <w:b/>
      <w:bCs/>
    </w:rPr>
  </w:style>
  <w:style w:type="paragraph" w:styleId="10">
    <w:name w:val="heading 8"/>
    <w:basedOn w:val="1"/>
    <w:next w:val="1"/>
    <w:link w:val="83"/>
    <w:qFormat/>
    <w:uiPriority w:val="0"/>
    <w:pPr>
      <w:keepNext/>
      <w:keepLines/>
      <w:numPr>
        <w:ilvl w:val="7"/>
        <w:numId w:val="1"/>
      </w:numPr>
      <w:spacing w:before="240" w:after="64" w:line="320" w:lineRule="auto"/>
      <w:outlineLvl w:val="7"/>
    </w:pPr>
    <w:rPr>
      <w:rFonts w:ascii="Arial" w:hAnsi="Arial" w:eastAsia="黑体" w:cs="Times New Roman"/>
    </w:rPr>
  </w:style>
  <w:style w:type="paragraph" w:styleId="11">
    <w:name w:val="heading 9"/>
    <w:basedOn w:val="1"/>
    <w:next w:val="1"/>
    <w:link w:val="84"/>
    <w:qFormat/>
    <w:uiPriority w:val="0"/>
    <w:pPr>
      <w:keepNext/>
      <w:keepLines/>
      <w:numPr>
        <w:ilvl w:val="8"/>
        <w:numId w:val="1"/>
      </w:numPr>
      <w:spacing w:before="240" w:after="64" w:line="320" w:lineRule="auto"/>
      <w:outlineLvl w:val="8"/>
    </w:pPr>
    <w:rPr>
      <w:rFonts w:ascii="Arial" w:hAnsi="Arial" w:eastAsia="黑体" w:cs="Times New Roman"/>
      <w:sz w:val="21"/>
      <w:szCs w:val="21"/>
    </w:rPr>
  </w:style>
  <w:style w:type="character" w:default="1" w:styleId="32">
    <w:name w:val="Default Paragraph Font"/>
    <w:semiHidden/>
    <w:unhideWhenUsed/>
    <w:qFormat/>
    <w:uiPriority w:val="1"/>
  </w:style>
  <w:style w:type="table" w:default="1" w:styleId="30">
    <w:name w:val="Normal Table"/>
    <w:semiHidden/>
    <w:unhideWhenUsed/>
    <w:uiPriority w:val="99"/>
    <w:tblPr>
      <w:tblCellMar>
        <w:top w:w="0" w:type="dxa"/>
        <w:left w:w="108" w:type="dxa"/>
        <w:bottom w:w="0" w:type="dxa"/>
        <w:right w:w="108" w:type="dxa"/>
      </w:tblCellMar>
    </w:tblPr>
  </w:style>
  <w:style w:type="paragraph" w:styleId="2">
    <w:name w:val="Body Text"/>
    <w:basedOn w:val="1"/>
    <w:next w:val="3"/>
    <w:link w:val="63"/>
    <w:qFormat/>
    <w:uiPriority w:val="99"/>
    <w:pPr>
      <w:spacing w:after="120"/>
    </w:pPr>
  </w:style>
  <w:style w:type="paragraph" w:styleId="3">
    <w:name w:val="Body Text First Indent"/>
    <w:basedOn w:val="2"/>
    <w:next w:val="1"/>
    <w:unhideWhenUsed/>
    <w:qFormat/>
    <w:uiPriority w:val="0"/>
    <w:pPr>
      <w:ind w:firstLine="420" w:firstLineChars="100"/>
    </w:pPr>
    <w:rPr>
      <w:sz w:val="21"/>
    </w:rPr>
  </w:style>
  <w:style w:type="paragraph" w:styleId="12">
    <w:name w:val="Normal Indent"/>
    <w:basedOn w:val="1"/>
    <w:link w:val="56"/>
    <w:qFormat/>
    <w:uiPriority w:val="0"/>
    <w:pPr>
      <w:widowControl w:val="0"/>
      <w:ind w:firstLine="420"/>
      <w:jc w:val="both"/>
    </w:pPr>
    <w:rPr>
      <w:rFonts w:ascii="Calibri" w:hAnsi="Calibri" w:eastAsia="宋体" w:cs="Times New Roman"/>
      <w:sz w:val="20"/>
      <w:szCs w:val="20"/>
    </w:rPr>
  </w:style>
  <w:style w:type="paragraph" w:styleId="13">
    <w:name w:val="annotation text"/>
    <w:basedOn w:val="1"/>
    <w:link w:val="50"/>
    <w:qFormat/>
    <w:uiPriority w:val="99"/>
  </w:style>
  <w:style w:type="paragraph" w:styleId="14">
    <w:name w:val="Body Text Indent"/>
    <w:basedOn w:val="1"/>
    <w:link w:val="55"/>
    <w:semiHidden/>
    <w:unhideWhenUsed/>
    <w:qFormat/>
    <w:uiPriority w:val="0"/>
    <w:pPr>
      <w:spacing w:after="120"/>
      <w:ind w:left="420" w:leftChars="200"/>
    </w:pPr>
  </w:style>
  <w:style w:type="paragraph" w:styleId="15">
    <w:name w:val="toc 3"/>
    <w:basedOn w:val="1"/>
    <w:next w:val="1"/>
    <w:unhideWhenUsed/>
    <w:qFormat/>
    <w:uiPriority w:val="39"/>
    <w:pPr>
      <w:ind w:left="840" w:leftChars="400"/>
    </w:pPr>
  </w:style>
  <w:style w:type="paragraph" w:styleId="16">
    <w:name w:val="Plain Text"/>
    <w:basedOn w:val="1"/>
    <w:link w:val="46"/>
    <w:qFormat/>
    <w:uiPriority w:val="0"/>
    <w:pPr>
      <w:widowControl w:val="0"/>
      <w:jc w:val="both"/>
    </w:pPr>
    <w:rPr>
      <w:rFonts w:ascii="宋体" w:hAnsi="Courier New" w:eastAsia="宋体" w:cs="Times New Roman"/>
      <w:snapToGrid w:val="0"/>
      <w:kern w:val="10"/>
      <w:sz w:val="28"/>
      <w:szCs w:val="20"/>
    </w:rPr>
  </w:style>
  <w:style w:type="paragraph" w:styleId="17">
    <w:name w:val="Date"/>
    <w:basedOn w:val="1"/>
    <w:next w:val="1"/>
    <w:link w:val="45"/>
    <w:qFormat/>
    <w:uiPriority w:val="0"/>
    <w:pPr>
      <w:widowControl w:val="0"/>
      <w:ind w:left="100" w:leftChars="2500"/>
      <w:jc w:val="both"/>
    </w:pPr>
    <w:rPr>
      <w:rFonts w:ascii="Times New Roman" w:hAnsi="Times New Roman" w:eastAsia="宋体" w:cs="Times New Roman"/>
      <w:kern w:val="2"/>
      <w:sz w:val="21"/>
    </w:rPr>
  </w:style>
  <w:style w:type="paragraph" w:styleId="18">
    <w:name w:val="Body Text Indent 2"/>
    <w:basedOn w:val="1"/>
    <w:link w:val="80"/>
    <w:semiHidden/>
    <w:unhideWhenUsed/>
    <w:qFormat/>
    <w:uiPriority w:val="0"/>
    <w:pPr>
      <w:spacing w:after="120" w:line="480" w:lineRule="auto"/>
      <w:ind w:left="420" w:leftChars="200"/>
    </w:pPr>
  </w:style>
  <w:style w:type="paragraph" w:styleId="19">
    <w:name w:val="Balloon Text"/>
    <w:basedOn w:val="1"/>
    <w:link w:val="44"/>
    <w:qFormat/>
    <w:uiPriority w:val="0"/>
    <w:rPr>
      <w:sz w:val="18"/>
      <w:szCs w:val="18"/>
    </w:rPr>
  </w:style>
  <w:style w:type="paragraph" w:styleId="20">
    <w:name w:val="footer"/>
    <w:basedOn w:val="1"/>
    <w:link w:val="70"/>
    <w:qFormat/>
    <w:uiPriority w:val="99"/>
    <w:pPr>
      <w:tabs>
        <w:tab w:val="center" w:pos="4153"/>
        <w:tab w:val="right" w:pos="8306"/>
      </w:tabs>
      <w:snapToGrid w:val="0"/>
    </w:pPr>
    <w:rPr>
      <w:sz w:val="18"/>
      <w:szCs w:val="18"/>
    </w:rPr>
  </w:style>
  <w:style w:type="paragraph" w:styleId="21">
    <w:name w:val="header"/>
    <w:basedOn w:val="1"/>
    <w:link w:val="72"/>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spacing w:before="120" w:after="120"/>
    </w:pPr>
    <w:rPr>
      <w:b/>
      <w:bCs/>
      <w:caps/>
      <w:szCs w:val="20"/>
    </w:rPr>
  </w:style>
  <w:style w:type="paragraph" w:styleId="23">
    <w:name w:val="Subtitle"/>
    <w:basedOn w:val="1"/>
    <w:next w:val="1"/>
    <w:link w:val="48"/>
    <w:qFormat/>
    <w:uiPriority w:val="0"/>
    <w:pPr>
      <w:widowControl w:val="0"/>
      <w:spacing w:before="240" w:after="60" w:line="312" w:lineRule="auto"/>
      <w:jc w:val="center"/>
      <w:outlineLvl w:val="1"/>
    </w:pPr>
    <w:rPr>
      <w:rFonts w:ascii="等线 Light" w:hAnsi="等线 Light" w:eastAsia="宋体" w:cs="Times New Roman"/>
      <w:b/>
      <w:bCs/>
      <w:kern w:val="28"/>
      <w:szCs w:val="32"/>
    </w:rPr>
  </w:style>
  <w:style w:type="paragraph" w:styleId="24">
    <w:name w:val="toc 6"/>
    <w:basedOn w:val="1"/>
    <w:next w:val="1"/>
    <w:qFormat/>
    <w:uiPriority w:val="39"/>
    <w:pPr>
      <w:widowControl w:val="0"/>
      <w:ind w:left="1050"/>
    </w:pPr>
    <w:rPr>
      <w:rFonts w:ascii="Calibri" w:hAnsi="Calibri" w:eastAsia="宋体" w:cs="Calibri"/>
      <w:kern w:val="2"/>
      <w:sz w:val="18"/>
      <w:szCs w:val="18"/>
    </w:rPr>
  </w:style>
  <w:style w:type="paragraph" w:styleId="25">
    <w:name w:val="toc 2"/>
    <w:basedOn w:val="1"/>
    <w:next w:val="1"/>
    <w:unhideWhenUsed/>
    <w:qFormat/>
    <w:uiPriority w:val="39"/>
    <w:pPr>
      <w:ind w:left="420" w:leftChars="200"/>
    </w:pPr>
  </w:style>
  <w:style w:type="paragraph" w:styleId="26">
    <w:name w:val="HTML Preformatted"/>
    <w:basedOn w:val="1"/>
    <w:link w:val="58"/>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hAnsi="Arial" w:eastAsia="宋体" w:cs="Times New Roman"/>
      <w:sz w:val="21"/>
      <w:szCs w:val="21"/>
    </w:rPr>
  </w:style>
  <w:style w:type="paragraph" w:styleId="27">
    <w:name w:val="Normal (Web)"/>
    <w:basedOn w:val="1"/>
    <w:semiHidden/>
    <w:unhideWhenUsed/>
    <w:qFormat/>
    <w:uiPriority w:val="99"/>
    <w:pPr>
      <w:spacing w:before="100" w:beforeAutospacing="1" w:after="100" w:afterAutospacing="1"/>
    </w:pPr>
    <w:rPr>
      <w:rFonts w:ascii="宋体" w:hAnsi="宋体" w:eastAsia="宋体" w:cs="Times New Roman"/>
    </w:rPr>
  </w:style>
  <w:style w:type="paragraph" w:styleId="28">
    <w:name w:val="Title"/>
    <w:basedOn w:val="1"/>
    <w:next w:val="1"/>
    <w:link w:val="47"/>
    <w:qFormat/>
    <w:uiPriority w:val="10"/>
    <w:pPr>
      <w:widowControl w:val="0"/>
      <w:spacing w:before="240" w:after="60"/>
      <w:jc w:val="center"/>
      <w:outlineLvl w:val="0"/>
    </w:pPr>
    <w:rPr>
      <w:rFonts w:ascii="Cambria" w:hAnsi="Cambria" w:eastAsia="宋体" w:cs="Times New Roman"/>
      <w:b/>
      <w:bCs/>
      <w:kern w:val="2"/>
      <w:sz w:val="32"/>
      <w:szCs w:val="32"/>
    </w:rPr>
  </w:style>
  <w:style w:type="paragraph" w:styleId="29">
    <w:name w:val="annotation subject"/>
    <w:basedOn w:val="13"/>
    <w:next w:val="13"/>
    <w:link w:val="51"/>
    <w:qFormat/>
    <w:uiPriority w:val="0"/>
    <w:rPr>
      <w:b/>
      <w:bCs/>
    </w:rPr>
  </w:style>
  <w:style w:type="table" w:styleId="31">
    <w:name w:val="Table Grid"/>
    <w:basedOn w:val="30"/>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page number"/>
    <w:basedOn w:val="32"/>
    <w:qFormat/>
    <w:uiPriority w:val="0"/>
  </w:style>
  <w:style w:type="character" w:styleId="34">
    <w:name w:val="Hyperlink"/>
    <w:qFormat/>
    <w:uiPriority w:val="99"/>
    <w:rPr>
      <w:color w:val="333333"/>
      <w:u w:val="none"/>
    </w:rPr>
  </w:style>
  <w:style w:type="character" w:styleId="35">
    <w:name w:val="annotation reference"/>
    <w:qFormat/>
    <w:uiPriority w:val="0"/>
    <w:rPr>
      <w:sz w:val="21"/>
    </w:rPr>
  </w:style>
  <w:style w:type="paragraph" w:customStyle="1" w:styleId="36">
    <w:name w:val="正文1"/>
    <w:qFormat/>
    <w:uiPriority w:val="0"/>
    <w:pPr>
      <w:widowControl w:val="0"/>
      <w:adjustRightInd w:val="0"/>
      <w:spacing w:line="312" w:lineRule="atLeast"/>
      <w:jc w:val="both"/>
      <w:textAlignment w:val="baseline"/>
    </w:pPr>
    <w:rPr>
      <w:rFonts w:ascii="宋体" w:hAnsiTheme="minorHAnsi" w:eastAsiaTheme="minorEastAsia" w:cstheme="minorBidi"/>
      <w:sz w:val="34"/>
      <w:szCs w:val="22"/>
      <w:lang w:val="en-US" w:eastAsia="zh-CN" w:bidi="ar-SA"/>
    </w:rPr>
  </w:style>
  <w:style w:type="paragraph" w:customStyle="1" w:styleId="37">
    <w:name w:val="标题 71"/>
    <w:basedOn w:val="1"/>
    <w:qFormat/>
    <w:uiPriority w:val="1"/>
    <w:pPr>
      <w:widowControl w:val="0"/>
      <w:ind w:left="138" w:right="1012"/>
      <w:outlineLvl w:val="7"/>
    </w:pPr>
    <w:rPr>
      <w:rFonts w:ascii="微软雅黑" w:hAnsi="微软雅黑" w:eastAsia="微软雅黑" w:cs="微软雅黑"/>
      <w:b/>
      <w:bCs/>
      <w:sz w:val="28"/>
      <w:szCs w:val="28"/>
      <w:lang w:eastAsia="en-US"/>
    </w:rPr>
  </w:style>
  <w:style w:type="paragraph" w:customStyle="1" w:styleId="38">
    <w:name w:val="Table Paragraph"/>
    <w:basedOn w:val="1"/>
    <w:qFormat/>
    <w:uiPriority w:val="1"/>
    <w:pPr>
      <w:widowControl w:val="0"/>
    </w:pPr>
    <w:rPr>
      <w:rFonts w:ascii="宋体" w:hAnsi="宋体" w:cs="宋体"/>
      <w:sz w:val="22"/>
      <w:szCs w:val="22"/>
      <w:lang w:eastAsia="en-US"/>
    </w:rPr>
  </w:style>
  <w:style w:type="paragraph" w:customStyle="1" w:styleId="39">
    <w:name w:val="标题 81"/>
    <w:basedOn w:val="1"/>
    <w:qFormat/>
    <w:uiPriority w:val="1"/>
    <w:pPr>
      <w:widowControl w:val="0"/>
      <w:ind w:left="138" w:right="1012"/>
      <w:outlineLvl w:val="8"/>
    </w:pPr>
    <w:rPr>
      <w:rFonts w:ascii="微软雅黑" w:hAnsi="微软雅黑" w:eastAsia="微软雅黑" w:cs="微软雅黑"/>
      <w:b/>
      <w:bCs/>
      <w:lang w:eastAsia="en-US"/>
    </w:rPr>
  </w:style>
  <w:style w:type="character" w:customStyle="1" w:styleId="40">
    <w:name w:val="标题 1 字符"/>
    <w:link w:val="4"/>
    <w:qFormat/>
    <w:uiPriority w:val="0"/>
    <w:rPr>
      <w:rFonts w:ascii="华文中宋" w:hAnsi="华文中宋" w:eastAsia="华文中宋"/>
      <w:b/>
      <w:bCs/>
      <w:color w:val="000000"/>
      <w:kern w:val="44"/>
      <w:sz w:val="32"/>
      <w:szCs w:val="32"/>
    </w:rPr>
  </w:style>
  <w:style w:type="paragraph" w:customStyle="1" w:styleId="41">
    <w:name w:val="正文 New New New New New New New New New New New New New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42">
    <w:name w:val="标题新"/>
    <w:basedOn w:val="5"/>
    <w:next w:val="1"/>
    <w:qFormat/>
    <w:uiPriority w:val="0"/>
    <w:pPr>
      <w:tabs>
        <w:tab w:val="clear" w:pos="720"/>
      </w:tabs>
      <w:spacing w:before="140" w:after="140" w:line="416" w:lineRule="auto"/>
      <w:jc w:val="both"/>
    </w:pPr>
    <w:rPr>
      <w:rFonts w:ascii="Arial" w:hAnsi="Arial" w:cs="Times New Roman"/>
      <w:iCs w:val="0"/>
      <w:kern w:val="2"/>
      <w:sz w:val="30"/>
      <w:szCs w:val="32"/>
    </w:rPr>
  </w:style>
  <w:style w:type="character" w:customStyle="1" w:styleId="43">
    <w:name w:val="未处理的提及1"/>
    <w:basedOn w:val="32"/>
    <w:semiHidden/>
    <w:unhideWhenUsed/>
    <w:qFormat/>
    <w:uiPriority w:val="99"/>
    <w:rPr>
      <w:color w:val="808080"/>
      <w:shd w:val="clear" w:color="auto" w:fill="E6E6E6"/>
    </w:rPr>
  </w:style>
  <w:style w:type="character" w:customStyle="1" w:styleId="44">
    <w:name w:val="批注框文本 字符"/>
    <w:basedOn w:val="32"/>
    <w:link w:val="19"/>
    <w:qFormat/>
    <w:uiPriority w:val="0"/>
    <w:rPr>
      <w:sz w:val="18"/>
      <w:szCs w:val="18"/>
    </w:rPr>
  </w:style>
  <w:style w:type="character" w:customStyle="1" w:styleId="45">
    <w:name w:val="日期 字符"/>
    <w:basedOn w:val="32"/>
    <w:link w:val="17"/>
    <w:qFormat/>
    <w:uiPriority w:val="0"/>
    <w:rPr>
      <w:rFonts w:ascii="Times New Roman" w:hAnsi="Times New Roman"/>
      <w:kern w:val="2"/>
      <w:sz w:val="21"/>
      <w:szCs w:val="24"/>
    </w:rPr>
  </w:style>
  <w:style w:type="character" w:customStyle="1" w:styleId="46">
    <w:name w:val="纯文本 字符"/>
    <w:basedOn w:val="32"/>
    <w:link w:val="16"/>
    <w:qFormat/>
    <w:uiPriority w:val="0"/>
    <w:rPr>
      <w:rFonts w:ascii="宋体" w:hAnsi="Courier New"/>
      <w:snapToGrid w:val="0"/>
      <w:kern w:val="10"/>
      <w:sz w:val="28"/>
    </w:rPr>
  </w:style>
  <w:style w:type="character" w:customStyle="1" w:styleId="47">
    <w:name w:val="标题 字符"/>
    <w:basedOn w:val="32"/>
    <w:link w:val="28"/>
    <w:qFormat/>
    <w:uiPriority w:val="10"/>
    <w:rPr>
      <w:rFonts w:ascii="Cambria" w:hAnsi="Cambria"/>
      <w:b/>
      <w:bCs/>
      <w:kern w:val="2"/>
      <w:sz w:val="32"/>
      <w:szCs w:val="32"/>
    </w:rPr>
  </w:style>
  <w:style w:type="character" w:customStyle="1" w:styleId="48">
    <w:name w:val="副标题 字符"/>
    <w:basedOn w:val="32"/>
    <w:link w:val="23"/>
    <w:qFormat/>
    <w:uiPriority w:val="0"/>
    <w:rPr>
      <w:rFonts w:ascii="等线 Light" w:hAnsi="等线 Light"/>
      <w:b/>
      <w:bCs/>
      <w:kern w:val="28"/>
      <w:sz w:val="24"/>
      <w:szCs w:val="32"/>
    </w:rPr>
  </w:style>
  <w:style w:type="paragraph" w:customStyle="1" w:styleId="49">
    <w:name w:val="GP正文(首行缩进)"/>
    <w:basedOn w:val="1"/>
    <w:qFormat/>
    <w:uiPriority w:val="0"/>
    <w:pPr>
      <w:widowControl w:val="0"/>
      <w:spacing w:line="360" w:lineRule="auto"/>
      <w:ind w:firstLine="480" w:firstLineChars="200"/>
    </w:pPr>
    <w:rPr>
      <w:rFonts w:ascii="Times New Roman" w:hAnsi="宋体" w:eastAsia="宋体" w:cs="Times New Roman"/>
      <w:kern w:val="2"/>
    </w:rPr>
  </w:style>
  <w:style w:type="character" w:customStyle="1" w:styleId="50">
    <w:name w:val="批注文字 字符"/>
    <w:basedOn w:val="32"/>
    <w:link w:val="13"/>
    <w:qFormat/>
    <w:uiPriority w:val="99"/>
    <w:rPr>
      <w:rFonts w:asciiTheme="minorHAnsi" w:hAnsiTheme="minorHAnsi" w:eastAsiaTheme="minorEastAsia" w:cstheme="minorBidi"/>
      <w:sz w:val="24"/>
      <w:szCs w:val="24"/>
    </w:rPr>
  </w:style>
  <w:style w:type="character" w:customStyle="1" w:styleId="51">
    <w:name w:val="批注主题 字符"/>
    <w:basedOn w:val="50"/>
    <w:link w:val="29"/>
    <w:qFormat/>
    <w:uiPriority w:val="0"/>
    <w:rPr>
      <w:rFonts w:asciiTheme="minorHAnsi" w:hAnsiTheme="minorHAnsi" w:eastAsiaTheme="minorEastAsia" w:cstheme="minorBidi"/>
      <w:b/>
      <w:bCs/>
      <w:sz w:val="24"/>
      <w:szCs w:val="24"/>
    </w:rPr>
  </w:style>
  <w:style w:type="paragraph" w:styleId="52">
    <w:name w:val="List Paragraph"/>
    <w:basedOn w:val="1"/>
    <w:link w:val="75"/>
    <w:unhideWhenUsed/>
    <w:qFormat/>
    <w:uiPriority w:val="34"/>
    <w:pPr>
      <w:ind w:firstLine="420" w:firstLineChars="200"/>
    </w:pPr>
  </w:style>
  <w:style w:type="paragraph" w:customStyle="1" w:styleId="53">
    <w:name w:val="普通正文"/>
    <w:basedOn w:val="1"/>
    <w:qFormat/>
    <w:uiPriority w:val="0"/>
    <w:pPr>
      <w:widowControl w:val="0"/>
      <w:spacing w:line="580" w:lineRule="exact"/>
      <w:ind w:firstLine="629"/>
      <w:jc w:val="both"/>
    </w:pPr>
    <w:rPr>
      <w:rFonts w:ascii="宋体" w:hAnsi="Times New Roman" w:eastAsia="宋体" w:cs="Times New Roman"/>
      <w:kern w:val="2"/>
      <w:sz w:val="28"/>
      <w:szCs w:val="20"/>
    </w:rPr>
  </w:style>
  <w:style w:type="paragraph" w:customStyle="1" w:styleId="54">
    <w:name w:val="多级自动编号"/>
    <w:basedOn w:val="53"/>
    <w:qFormat/>
    <w:uiPriority w:val="0"/>
    <w:pPr>
      <w:numPr>
        <w:ilvl w:val="0"/>
        <w:numId w:val="2"/>
      </w:numPr>
    </w:pPr>
  </w:style>
  <w:style w:type="character" w:customStyle="1" w:styleId="55">
    <w:name w:val="正文文本缩进 字符"/>
    <w:basedOn w:val="32"/>
    <w:link w:val="14"/>
    <w:semiHidden/>
    <w:qFormat/>
    <w:uiPriority w:val="0"/>
    <w:rPr>
      <w:rFonts w:asciiTheme="minorHAnsi" w:hAnsiTheme="minorHAnsi" w:eastAsiaTheme="minorEastAsia" w:cstheme="minorBidi"/>
      <w:sz w:val="24"/>
      <w:szCs w:val="24"/>
    </w:rPr>
  </w:style>
  <w:style w:type="character" w:customStyle="1" w:styleId="56">
    <w:name w:val="正文缩进 字符"/>
    <w:link w:val="12"/>
    <w:qFormat/>
    <w:locked/>
    <w:uiPriority w:val="0"/>
  </w:style>
  <w:style w:type="paragraph" w:customStyle="1" w:styleId="57">
    <w:name w:val="段"/>
    <w:qFormat/>
    <w:uiPriority w:val="0"/>
    <w:pPr>
      <w:autoSpaceDE w:val="0"/>
      <w:autoSpaceDN w:val="0"/>
      <w:ind w:firstLine="200" w:firstLineChars="200"/>
      <w:jc w:val="both"/>
    </w:pPr>
    <w:rPr>
      <w:rFonts w:ascii="宋体" w:hAnsi="Times New Roman" w:eastAsiaTheme="minorEastAsia" w:cstheme="minorBidi"/>
      <w:sz w:val="21"/>
      <w:szCs w:val="22"/>
      <w:lang w:val="en-US" w:eastAsia="zh-CN" w:bidi="ar-SA"/>
    </w:rPr>
  </w:style>
  <w:style w:type="character" w:customStyle="1" w:styleId="58">
    <w:name w:val="HTML 预设格式 字符"/>
    <w:basedOn w:val="32"/>
    <w:link w:val="26"/>
    <w:semiHidden/>
    <w:qFormat/>
    <w:uiPriority w:val="0"/>
    <w:rPr>
      <w:rFonts w:ascii="Arial" w:hAnsi="Arial"/>
      <w:sz w:val="21"/>
      <w:szCs w:val="21"/>
    </w:rPr>
  </w:style>
  <w:style w:type="character" w:customStyle="1" w:styleId="59">
    <w:name w:val="标题 3 字符"/>
    <w:basedOn w:val="32"/>
    <w:link w:val="6"/>
    <w:qFormat/>
    <w:uiPriority w:val="0"/>
    <w:rPr>
      <w:rFonts w:asciiTheme="minorHAnsi" w:hAnsiTheme="minorHAnsi" w:eastAsiaTheme="minorEastAsia" w:cstheme="minorBidi"/>
      <w:b/>
      <w:bCs/>
      <w:sz w:val="32"/>
      <w:szCs w:val="32"/>
    </w:rPr>
  </w:style>
  <w:style w:type="character" w:customStyle="1" w:styleId="60">
    <w:name w:val="标题 4 字符"/>
    <w:basedOn w:val="32"/>
    <w:link w:val="7"/>
    <w:qFormat/>
    <w:uiPriority w:val="0"/>
    <w:rPr>
      <w:rFonts w:asciiTheme="majorHAnsi" w:hAnsiTheme="majorHAnsi" w:eastAsiaTheme="majorEastAsia" w:cstheme="majorBidi"/>
      <w:b/>
      <w:bCs/>
      <w:sz w:val="28"/>
      <w:szCs w:val="28"/>
    </w:rPr>
  </w:style>
  <w:style w:type="paragraph" w:customStyle="1" w:styleId="61">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paragraph" w:customStyle="1" w:styleId="62">
    <w:name w:val="p0"/>
    <w:basedOn w:val="1"/>
    <w:qFormat/>
    <w:uiPriority w:val="0"/>
    <w:pPr>
      <w:jc w:val="both"/>
    </w:pPr>
    <w:rPr>
      <w:rFonts w:ascii="宋体" w:hAnsi="宋体" w:eastAsia="宋体" w:cs="宋体"/>
      <w:sz w:val="21"/>
      <w:szCs w:val="21"/>
    </w:rPr>
  </w:style>
  <w:style w:type="character" w:customStyle="1" w:styleId="63">
    <w:name w:val="正文文本 字符"/>
    <w:basedOn w:val="32"/>
    <w:link w:val="2"/>
    <w:qFormat/>
    <w:uiPriority w:val="99"/>
    <w:rPr>
      <w:rFonts w:asciiTheme="minorHAnsi" w:hAnsiTheme="minorHAnsi" w:eastAsiaTheme="minorEastAsia" w:cstheme="minorBidi"/>
      <w:sz w:val="24"/>
      <w:szCs w:val="24"/>
    </w:rPr>
  </w:style>
  <w:style w:type="paragraph" w:customStyle="1" w:styleId="64">
    <w:name w:val="图文"/>
    <w:basedOn w:val="1"/>
    <w:qFormat/>
    <w:uiPriority w:val="0"/>
    <w:pPr>
      <w:widowControl w:val="0"/>
      <w:adjustRightInd w:val="0"/>
      <w:snapToGrid w:val="0"/>
      <w:spacing w:after="50" w:line="360" w:lineRule="auto"/>
      <w:jc w:val="both"/>
    </w:pPr>
    <w:rPr>
      <w:rFonts w:ascii="Times New Roman" w:hAnsi="Times New Roman" w:eastAsia="宋体" w:cs="Times New Roman"/>
      <w:kern w:val="2"/>
    </w:rPr>
  </w:style>
  <w:style w:type="character" w:customStyle="1" w:styleId="65">
    <w:name w:val="中文正文、 Char Char"/>
    <w:link w:val="66"/>
    <w:qFormat/>
    <w:uiPriority w:val="0"/>
    <w:rPr>
      <w:kern w:val="2"/>
      <w:sz w:val="21"/>
      <w:szCs w:val="21"/>
    </w:rPr>
  </w:style>
  <w:style w:type="paragraph" w:customStyle="1" w:styleId="66">
    <w:name w:val="中文正文、"/>
    <w:basedOn w:val="1"/>
    <w:link w:val="65"/>
    <w:qFormat/>
    <w:uiPriority w:val="0"/>
    <w:pPr>
      <w:widowControl w:val="0"/>
      <w:spacing w:line="360" w:lineRule="auto"/>
      <w:ind w:firstLine="420" w:firstLineChars="200"/>
      <w:jc w:val="both"/>
    </w:pPr>
    <w:rPr>
      <w:rFonts w:ascii="Calibri" w:hAnsi="Calibri" w:eastAsia="宋体" w:cs="Times New Roman"/>
      <w:kern w:val="2"/>
      <w:sz w:val="21"/>
      <w:szCs w:val="21"/>
    </w:rPr>
  </w:style>
  <w:style w:type="paragraph" w:customStyle="1" w:styleId="67">
    <w:name w:val="p16"/>
    <w:basedOn w:val="1"/>
    <w:qFormat/>
    <w:uiPriority w:val="0"/>
    <w:pPr>
      <w:jc w:val="both"/>
    </w:pPr>
    <w:rPr>
      <w:rFonts w:ascii="宋体" w:hAnsi="宋体" w:eastAsia="宋体" w:cs="Times New Roman"/>
      <w:szCs w:val="20"/>
    </w:rPr>
  </w:style>
  <w:style w:type="character" w:customStyle="1" w:styleId="68">
    <w:name w:val="纯文本 Char1"/>
    <w:qFormat/>
    <w:uiPriority w:val="0"/>
    <w:rPr>
      <w:rFonts w:ascii="宋体" w:hAnsi="Courier New"/>
      <w:kern w:val="2"/>
      <w:sz w:val="21"/>
    </w:rPr>
  </w:style>
  <w:style w:type="paragraph" w:customStyle="1" w:styleId="69">
    <w:name w:val="正文文本 31"/>
    <w:basedOn w:val="1"/>
    <w:qFormat/>
    <w:uiPriority w:val="0"/>
    <w:pPr>
      <w:widowControl w:val="0"/>
      <w:jc w:val="both"/>
    </w:pPr>
    <w:rPr>
      <w:rFonts w:ascii="宋体" w:hAnsi="Times New Roman" w:eastAsia="宋体" w:cs="Times New Roman"/>
      <w:kern w:val="2"/>
    </w:rPr>
  </w:style>
  <w:style w:type="character" w:customStyle="1" w:styleId="70">
    <w:name w:val="页脚 字符"/>
    <w:link w:val="20"/>
    <w:qFormat/>
    <w:uiPriority w:val="99"/>
    <w:rPr>
      <w:rFonts w:asciiTheme="minorHAnsi" w:hAnsiTheme="minorHAnsi" w:eastAsiaTheme="minorEastAsia" w:cstheme="minorBidi"/>
      <w:sz w:val="18"/>
      <w:szCs w:val="18"/>
    </w:rPr>
  </w:style>
  <w:style w:type="character" w:customStyle="1" w:styleId="71">
    <w:name w:val="15"/>
    <w:qFormat/>
    <w:uiPriority w:val="0"/>
    <w:rPr>
      <w:rFonts w:hint="eastAsia" w:ascii="宋体" w:hAnsi="宋体" w:eastAsia="宋体"/>
      <w:sz w:val="24"/>
      <w:szCs w:val="24"/>
    </w:rPr>
  </w:style>
  <w:style w:type="character" w:customStyle="1" w:styleId="72">
    <w:name w:val="页眉 字符"/>
    <w:basedOn w:val="32"/>
    <w:link w:val="21"/>
    <w:qFormat/>
    <w:uiPriority w:val="99"/>
    <w:rPr>
      <w:rFonts w:asciiTheme="minorHAnsi" w:hAnsiTheme="minorHAnsi" w:eastAsiaTheme="minorEastAsia" w:cstheme="minorBidi"/>
      <w:sz w:val="18"/>
      <w:szCs w:val="18"/>
    </w:rPr>
  </w:style>
  <w:style w:type="paragraph" w:customStyle="1" w:styleId="73">
    <w:name w:val="正文文本 32"/>
    <w:basedOn w:val="1"/>
    <w:qFormat/>
    <w:uiPriority w:val="0"/>
    <w:pPr>
      <w:widowControl w:val="0"/>
      <w:spacing w:line="312" w:lineRule="auto"/>
      <w:jc w:val="both"/>
    </w:pPr>
    <w:rPr>
      <w:rFonts w:ascii="宋体" w:hAnsi="Times New Roman" w:eastAsia="宋体" w:cs="Times New Roman"/>
      <w:kern w:val="2"/>
      <w:szCs w:val="20"/>
    </w:rPr>
  </w:style>
  <w:style w:type="paragraph" w:customStyle="1" w:styleId="74">
    <w:name w:val="正文文本 33"/>
    <w:basedOn w:val="1"/>
    <w:qFormat/>
    <w:uiPriority w:val="0"/>
    <w:pPr>
      <w:widowControl w:val="0"/>
      <w:jc w:val="both"/>
    </w:pPr>
    <w:rPr>
      <w:rFonts w:ascii="宋体" w:hAnsi="Times New Roman" w:eastAsia="宋体" w:cs="Times New Roman"/>
      <w:kern w:val="2"/>
    </w:rPr>
  </w:style>
  <w:style w:type="character" w:customStyle="1" w:styleId="75">
    <w:name w:val="列表段落 字符"/>
    <w:link w:val="52"/>
    <w:qFormat/>
    <w:locked/>
    <w:uiPriority w:val="34"/>
    <w:rPr>
      <w:rFonts w:asciiTheme="minorHAnsi" w:hAnsiTheme="minorHAnsi" w:eastAsiaTheme="minorEastAsia" w:cstheme="minorBidi"/>
      <w:sz w:val="24"/>
      <w:szCs w:val="24"/>
    </w:rPr>
  </w:style>
  <w:style w:type="character" w:customStyle="1" w:styleId="76">
    <w:name w:val="font11"/>
    <w:qFormat/>
    <w:uiPriority w:val="0"/>
    <w:rPr>
      <w:rFonts w:hint="eastAsia" w:ascii="仿宋" w:hAnsi="仿宋" w:eastAsia="仿宋" w:cs="仿宋"/>
      <w:color w:val="FF0000"/>
      <w:sz w:val="20"/>
      <w:szCs w:val="20"/>
      <w:u w:val="none"/>
      <w:lang w:val="en-US" w:eastAsia="zh-CN" w:bidi="ar-SA"/>
    </w:rPr>
  </w:style>
  <w:style w:type="paragraph" w:customStyle="1" w:styleId="77">
    <w:name w:val="1正文"/>
    <w:basedOn w:val="1"/>
    <w:qFormat/>
    <w:uiPriority w:val="0"/>
    <w:pPr>
      <w:widowControl w:val="0"/>
      <w:spacing w:line="560" w:lineRule="exact"/>
      <w:ind w:firstLine="200" w:firstLineChars="200"/>
      <w:jc w:val="both"/>
    </w:pPr>
    <w:rPr>
      <w:rFonts w:ascii="Times New Roman" w:hAnsi="Times New Roman" w:eastAsia="Cambria Math" w:cs="Times New Roman"/>
      <w:kern w:val="2"/>
      <w:sz w:val="32"/>
    </w:rPr>
  </w:style>
  <w:style w:type="paragraph" w:customStyle="1" w:styleId="78">
    <w:name w:val="1"/>
    <w:basedOn w:val="1"/>
    <w:next w:val="18"/>
    <w:qFormat/>
    <w:uiPriority w:val="0"/>
    <w:pPr>
      <w:widowControl w:val="0"/>
      <w:tabs>
        <w:tab w:val="left" w:pos="3060"/>
      </w:tabs>
      <w:spacing w:line="140" w:lineRule="atLeast"/>
      <w:ind w:firstLine="560" w:firstLineChars="200"/>
      <w:jc w:val="both"/>
    </w:pPr>
    <w:rPr>
      <w:rFonts w:ascii="Times New Roman" w:hAnsi="Times New Roman" w:eastAsia="宋体" w:cs="Times New Roman"/>
      <w:kern w:val="2"/>
      <w:sz w:val="28"/>
    </w:rPr>
  </w:style>
  <w:style w:type="paragraph" w:customStyle="1" w:styleId="79">
    <w:name w:val="_Style 160"/>
    <w:basedOn w:val="1"/>
    <w:next w:val="52"/>
    <w:qFormat/>
    <w:uiPriority w:val="0"/>
    <w:pPr>
      <w:widowControl w:val="0"/>
      <w:pBdr>
        <w:bottom w:val="single" w:color="auto" w:sz="6" w:space="1"/>
      </w:pBdr>
      <w:jc w:val="center"/>
    </w:pPr>
    <w:rPr>
      <w:rFonts w:ascii="Arial" w:hAnsi="Times New Roman" w:eastAsia="宋体" w:cs="Times New Roman"/>
      <w:vanish/>
      <w:kern w:val="2"/>
      <w:sz w:val="16"/>
    </w:rPr>
  </w:style>
  <w:style w:type="character" w:customStyle="1" w:styleId="80">
    <w:name w:val="正文文本缩进 2 字符"/>
    <w:basedOn w:val="32"/>
    <w:link w:val="18"/>
    <w:semiHidden/>
    <w:qFormat/>
    <w:uiPriority w:val="0"/>
    <w:rPr>
      <w:rFonts w:asciiTheme="minorHAnsi" w:hAnsiTheme="minorHAnsi" w:eastAsiaTheme="minorEastAsia" w:cstheme="minorBidi"/>
      <w:sz w:val="24"/>
      <w:szCs w:val="24"/>
    </w:rPr>
  </w:style>
  <w:style w:type="character" w:customStyle="1" w:styleId="81">
    <w:name w:val="标题 6 字符"/>
    <w:basedOn w:val="32"/>
    <w:link w:val="8"/>
    <w:qFormat/>
    <w:uiPriority w:val="0"/>
    <w:rPr>
      <w:rFonts w:ascii="Arial" w:hAnsi="Arial" w:eastAsia="黑体"/>
      <w:b/>
      <w:bCs/>
      <w:sz w:val="24"/>
      <w:szCs w:val="24"/>
    </w:rPr>
  </w:style>
  <w:style w:type="character" w:customStyle="1" w:styleId="82">
    <w:name w:val="标题 7 字符"/>
    <w:basedOn w:val="32"/>
    <w:link w:val="9"/>
    <w:qFormat/>
    <w:uiPriority w:val="0"/>
    <w:rPr>
      <w:rFonts w:ascii="Times New Roman" w:hAnsi="Times New Roman"/>
      <w:b/>
      <w:bCs/>
      <w:sz w:val="24"/>
      <w:szCs w:val="24"/>
    </w:rPr>
  </w:style>
  <w:style w:type="character" w:customStyle="1" w:styleId="83">
    <w:name w:val="标题 8 字符"/>
    <w:basedOn w:val="32"/>
    <w:link w:val="10"/>
    <w:qFormat/>
    <w:uiPriority w:val="0"/>
    <w:rPr>
      <w:rFonts w:ascii="Arial" w:hAnsi="Arial" w:eastAsia="黑体"/>
      <w:sz w:val="24"/>
      <w:szCs w:val="24"/>
    </w:rPr>
  </w:style>
  <w:style w:type="character" w:customStyle="1" w:styleId="84">
    <w:name w:val="标题 9 字符"/>
    <w:basedOn w:val="32"/>
    <w:link w:val="11"/>
    <w:qFormat/>
    <w:uiPriority w:val="0"/>
    <w:rPr>
      <w:rFonts w:ascii="Arial" w:hAnsi="Arial" w:eastAsia="黑体"/>
      <w:sz w:val="21"/>
      <w:szCs w:val="21"/>
    </w:rPr>
  </w:style>
  <w:style w:type="paragraph" w:customStyle="1" w:styleId="85">
    <w:name w:val="Revision"/>
    <w:hidden/>
    <w:unhideWhenUsed/>
    <w:qFormat/>
    <w:uiPriority w:val="99"/>
    <w:rPr>
      <w:rFonts w:asciiTheme="minorHAnsi" w:hAnsiTheme="minorHAnsi" w:eastAsiaTheme="minorEastAsia" w:cstheme="minorBidi"/>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58679D-6B03-43F1-B7A5-65ED4E904136}">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80</Pages>
  <Words>16710</Words>
  <Characters>17359</Characters>
  <Lines>291</Lines>
  <Paragraphs>82</Paragraphs>
  <TotalTime>32</TotalTime>
  <ScaleCrop>false</ScaleCrop>
  <LinksUpToDate>false</LinksUpToDate>
  <CharactersWithSpaces>17696</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2025-01-15T11:20:00Z</dcterms:created>
  <dc:creator>Administrator</dc:creator>
  <cp:lastModifiedBy>唐敏</cp:lastModifiedBy>
  <cp:lastPrinted>2019-12-03T09:03:00Z</cp:lastPrinted>
  <dcterms:modified xsi:type="dcterms:W3CDTF">2025-02-25T06:26:42Z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63ADAA3049194B018194AEACE9A9C325_13</vt:lpwstr>
  </property>
  <property fmtid="{D5CDD505-2E9C-101B-9397-08002B2CF9AE}" pid="4" name="KSOTemplateDocerSaveRecord">
    <vt:lpwstr>eyJoZGlkIjoiNGVjMTVmYTdjM2IyZTNhYzM3NzgwMDZmODZkNzRiZTMiLCJ1c2VySWQiOiIzMTQxMDExMjgifQ==</vt:lpwstr>
  </property>
</Properties>
</file>