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pageBreakBefore w:val="0"/>
        <w:kinsoku/>
        <w:wordWrap/>
        <w:overflowPunct/>
        <w:topLinePunct w:val="0"/>
        <w:autoSpaceDE/>
        <w:bidi w:val="0"/>
        <w:spacing w:line="600" w:lineRule="exact"/>
        <w:ind w:left="0"/>
        <w:jc w:val="center"/>
        <w:textAlignment w:val="auto"/>
        <w:rPr>
          <w:rFonts w:hint="eastAsia" w:ascii="仿宋_GB2312" w:hAnsi="宋体" w:eastAsia="仿宋_GB2312"/>
          <w:b/>
          <w:sz w:val="36"/>
          <w:szCs w:val="36"/>
          <w:lang w:val="en-US" w:eastAsia="zh-CN"/>
        </w:rPr>
      </w:pPr>
      <w:r>
        <w:rPr>
          <w:rFonts w:hint="eastAsia" w:ascii="仿宋_GB2312" w:hAnsi="宋体" w:eastAsia="仿宋_GB2312"/>
          <w:b/>
          <w:sz w:val="36"/>
          <w:szCs w:val="36"/>
          <w:lang w:val="en-US" w:eastAsia="zh-CN"/>
        </w:rPr>
        <w:t>人保财险四川省绵阳市分公司机关工会</w:t>
      </w:r>
    </w:p>
    <w:p>
      <w:pPr>
        <w:pageBreakBefore w:val="0"/>
        <w:kinsoku/>
        <w:wordWrap/>
        <w:overflowPunct/>
        <w:topLinePunct w:val="0"/>
        <w:autoSpaceDE/>
        <w:bidi w:val="0"/>
        <w:spacing w:line="600" w:lineRule="exact"/>
        <w:ind w:left="0"/>
        <w:jc w:val="center"/>
        <w:textAlignment w:val="auto"/>
        <w:rPr>
          <w:rFonts w:hint="eastAsia" w:ascii="方正小标宋简体" w:hAnsi="方正小标宋简体" w:eastAsia="方正小标宋简体" w:cs="方正小标宋简体"/>
          <w:sz w:val="44"/>
          <w:szCs w:val="44"/>
          <w:lang w:val="en-US" w:eastAsia="zh-CN"/>
        </w:rPr>
      </w:pPr>
      <w:r>
        <w:rPr>
          <w:rFonts w:hint="eastAsia" w:ascii="仿宋_GB2312" w:hAnsi="宋体" w:eastAsia="仿宋_GB2312"/>
          <w:b/>
          <w:sz w:val="36"/>
          <w:szCs w:val="36"/>
          <w:lang w:val="en-US" w:eastAsia="zh-CN"/>
        </w:rPr>
        <w:t>2025年度节日慰问品提货券采购项目</w:t>
      </w:r>
    </w:p>
    <w:p>
      <w:pPr>
        <w:jc w:val="center"/>
        <w:rPr>
          <w:rFonts w:ascii="仿宋_GB2312" w:eastAsia="仿宋_GB2312"/>
          <w:sz w:val="72"/>
          <w:szCs w:val="72"/>
        </w:rPr>
      </w:pP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hint="eastAsia" w:ascii="仿宋_GB2312" w:hAnsi="宋体" w:eastAsia="仿宋_GB2312"/>
          <w:b/>
          <w:sz w:val="28"/>
          <w:szCs w:val="28"/>
        </w:rPr>
      </w:pPr>
      <w:r>
        <w:rPr>
          <w:rFonts w:hint="eastAsia" w:ascii="仿宋_GB2312" w:hAnsi="宋体" w:eastAsia="仿宋_GB2312"/>
          <w:b/>
          <w:sz w:val="28"/>
          <w:szCs w:val="28"/>
          <w:lang w:val="en-US" w:eastAsia="zh-CN"/>
        </w:rPr>
        <w:t>2025</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01</w:t>
      </w:r>
      <w:r>
        <w:rPr>
          <w:rFonts w:hint="eastAsia" w:ascii="仿宋_GB2312" w:hAnsi="宋体" w:eastAsia="仿宋_GB2312"/>
          <w:b/>
          <w:sz w:val="28"/>
          <w:szCs w:val="28"/>
        </w:rPr>
        <w:t>月</w:t>
      </w:r>
    </w:p>
    <w:p>
      <w:pPr>
        <w:rPr>
          <w:rFonts w:hint="eastAsia" w:ascii="仿宋_GB2312" w:hAnsi="宋体" w:eastAsia="仿宋_GB2312"/>
          <w:b/>
          <w:sz w:val="28"/>
          <w:szCs w:val="28"/>
        </w:rPr>
      </w:pPr>
    </w:p>
    <w:p>
      <w:pPr>
        <w:pStyle w:val="2"/>
        <w:rPr>
          <w:rFonts w:hint="eastAsia" w:ascii="仿宋_GB2312" w:hAnsi="宋体" w:eastAsia="仿宋_GB2312"/>
          <w:b/>
          <w:sz w:val="28"/>
          <w:szCs w:val="28"/>
        </w:rPr>
      </w:pPr>
    </w:p>
    <w:p>
      <w:pPr>
        <w:pStyle w:val="2"/>
        <w:rPr>
          <w:rFonts w:hint="eastAsia" w:ascii="仿宋_GB2312" w:hAnsi="宋体" w:eastAsia="仿宋_GB2312"/>
          <w:b/>
          <w:sz w:val="28"/>
          <w:szCs w:val="28"/>
        </w:rPr>
      </w:pPr>
    </w:p>
    <w:p>
      <w:bookmarkStart w:id="0" w:name="_Toc5589"/>
      <w:bookmarkStart w:id="1" w:name="_Toc23661"/>
      <w:bookmarkStart w:id="2" w:name="_Toc21360"/>
      <w:bookmarkStart w:id="3" w:name="_Toc186737790"/>
    </w:p>
    <w:sdt>
      <w:sdtPr>
        <w:rPr>
          <w:rFonts w:ascii="宋体" w:hAnsi="宋体" w:eastAsia="宋体" w:cstheme="minorBidi"/>
          <w:sz w:val="21"/>
          <w:szCs w:val="24"/>
          <w:lang w:val="en-US" w:eastAsia="zh-CN" w:bidi="ar-SA"/>
        </w:rPr>
        <w:id w:val="147483582"/>
        <w15:color w:val="DBDBDB"/>
        <w:docPartObj>
          <w:docPartGallery w:val="Table of Contents"/>
          <w:docPartUnique/>
        </w:docPartObj>
      </w:sdtPr>
      <w:sdtEndPr>
        <w:rPr>
          <w:rFonts w:ascii="宋体" w:hAnsi="宋体" w:eastAsia="宋体" w:cstheme="minorBidi"/>
          <w:sz w:val="21"/>
          <w:szCs w:val="24"/>
          <w:lang w:val="en-US" w:eastAsia="zh-CN" w:bidi="ar-SA"/>
        </w:rPr>
      </w:sdtEndPr>
      <w:sdtContent>
        <w:p>
          <w:pPr>
            <w:spacing w:before="0" w:beforeLines="0" w:after="0" w:afterLines="0" w:line="240" w:lineRule="auto"/>
            <w:ind w:left="0" w:leftChars="0" w:right="0" w:rightChars="0" w:firstLine="0" w:firstLineChars="0"/>
            <w:jc w:val="center"/>
          </w:pPr>
          <w:bookmarkStart w:id="4" w:name="_Toc25269"/>
          <w:r>
            <w:rPr>
              <w:rFonts w:ascii="宋体" w:hAnsi="宋体" w:eastAsia="宋体"/>
              <w:sz w:val="21"/>
            </w:rPr>
            <w:t>目录</w:t>
          </w:r>
        </w:p>
        <w:p>
          <w:pPr>
            <w:pStyle w:val="21"/>
            <w:tabs>
              <w:tab w:val="right" w:leader="dot" w:pos="8306"/>
            </w:tabs>
          </w:pPr>
          <w:r>
            <w:fldChar w:fldCharType="begin"/>
          </w:r>
          <w:r>
            <w:instrText xml:space="preserve">TOC \o "1-3" \h \u </w:instrText>
          </w:r>
          <w:r>
            <w:fldChar w:fldCharType="separate"/>
          </w:r>
          <w:r>
            <w:fldChar w:fldCharType="begin"/>
          </w:r>
          <w:r>
            <w:instrText xml:space="preserve"> HYPERLINK \l _Toc27044 </w:instrText>
          </w:r>
          <w:r>
            <w:fldChar w:fldCharType="separate"/>
          </w:r>
          <w:r>
            <w:rPr>
              <w:rFonts w:hint="eastAsia" w:ascii="仿宋_GB2312" w:hAnsi="宋体" w:eastAsia="仿宋_GB2312"/>
              <w:szCs w:val="28"/>
            </w:rPr>
            <w:t>第一章 竞争性磋商邀请</w:t>
          </w:r>
          <w:r>
            <w:tab/>
          </w:r>
          <w:r>
            <w:fldChar w:fldCharType="begin"/>
          </w:r>
          <w:r>
            <w:instrText xml:space="preserve"> PAGEREF _Toc27044 \h </w:instrText>
          </w:r>
          <w:r>
            <w:fldChar w:fldCharType="separate"/>
          </w:r>
          <w:r>
            <w:t>3</w:t>
          </w:r>
          <w:r>
            <w:fldChar w:fldCharType="end"/>
          </w:r>
          <w:r>
            <w:fldChar w:fldCharType="end"/>
          </w:r>
        </w:p>
        <w:p>
          <w:pPr>
            <w:pStyle w:val="24"/>
            <w:tabs>
              <w:tab w:val="right" w:leader="dot" w:pos="8306"/>
            </w:tabs>
          </w:pPr>
          <w:r>
            <w:fldChar w:fldCharType="begin"/>
          </w:r>
          <w:r>
            <w:instrText xml:space="preserve"> HYPERLINK \l _Toc26685 </w:instrText>
          </w:r>
          <w:r>
            <w:fldChar w:fldCharType="separate"/>
          </w:r>
          <w:r>
            <w:rPr>
              <w:rFonts w:hint="eastAsia" w:ascii="仿宋" w:hAnsi="仿宋" w:eastAsia="仿宋" w:cs="仿宋"/>
              <w:szCs w:val="24"/>
            </w:rPr>
            <w:t>一、项目概况与采购范围</w:t>
          </w:r>
          <w:r>
            <w:tab/>
          </w:r>
          <w:r>
            <w:fldChar w:fldCharType="begin"/>
          </w:r>
          <w:r>
            <w:instrText xml:space="preserve"> PAGEREF _Toc26685 \h </w:instrText>
          </w:r>
          <w:r>
            <w:fldChar w:fldCharType="separate"/>
          </w:r>
          <w:r>
            <w:t>3</w:t>
          </w:r>
          <w:r>
            <w:fldChar w:fldCharType="end"/>
          </w:r>
          <w:r>
            <w:fldChar w:fldCharType="end"/>
          </w:r>
        </w:p>
        <w:p>
          <w:pPr>
            <w:pStyle w:val="24"/>
            <w:tabs>
              <w:tab w:val="right" w:leader="dot" w:pos="8306"/>
            </w:tabs>
          </w:pPr>
          <w:r>
            <w:fldChar w:fldCharType="begin"/>
          </w:r>
          <w:r>
            <w:instrText xml:space="preserve"> HYPERLINK \l _Toc5068 </w:instrText>
          </w:r>
          <w:r>
            <w:fldChar w:fldCharType="separate"/>
          </w:r>
          <w:r>
            <w:rPr>
              <w:rFonts w:hint="eastAsia" w:ascii="仿宋" w:hAnsi="仿宋" w:eastAsia="仿宋" w:cs="仿宋"/>
              <w:szCs w:val="24"/>
            </w:rPr>
            <w:t>二、供应商资格要求</w:t>
          </w:r>
          <w:r>
            <w:tab/>
          </w:r>
          <w:r>
            <w:fldChar w:fldCharType="begin"/>
          </w:r>
          <w:r>
            <w:instrText xml:space="preserve"> PAGEREF _Toc5068 \h </w:instrText>
          </w:r>
          <w:r>
            <w:fldChar w:fldCharType="separate"/>
          </w:r>
          <w:r>
            <w:t>3</w:t>
          </w:r>
          <w:r>
            <w:fldChar w:fldCharType="end"/>
          </w:r>
          <w:r>
            <w:fldChar w:fldCharType="end"/>
          </w:r>
        </w:p>
        <w:p>
          <w:pPr>
            <w:pStyle w:val="24"/>
            <w:tabs>
              <w:tab w:val="right" w:leader="dot" w:pos="8306"/>
            </w:tabs>
          </w:pPr>
          <w:r>
            <w:fldChar w:fldCharType="begin"/>
          </w:r>
          <w:r>
            <w:instrText xml:space="preserve"> HYPERLINK \l _Toc20860 </w:instrText>
          </w:r>
          <w:r>
            <w:fldChar w:fldCharType="separate"/>
          </w:r>
          <w:r>
            <w:rPr>
              <w:rFonts w:hint="eastAsia" w:ascii="仿宋" w:hAnsi="仿宋" w:eastAsia="仿宋" w:cs="仿宋"/>
              <w:szCs w:val="24"/>
            </w:rPr>
            <w:t>三、磋商文件的获取</w:t>
          </w:r>
          <w:r>
            <w:tab/>
          </w:r>
          <w:r>
            <w:fldChar w:fldCharType="begin"/>
          </w:r>
          <w:r>
            <w:instrText xml:space="preserve"> PAGEREF _Toc20860 \h </w:instrText>
          </w:r>
          <w:r>
            <w:fldChar w:fldCharType="separate"/>
          </w:r>
          <w:r>
            <w:t>4</w:t>
          </w:r>
          <w:r>
            <w:fldChar w:fldCharType="end"/>
          </w:r>
          <w:r>
            <w:fldChar w:fldCharType="end"/>
          </w:r>
        </w:p>
        <w:p>
          <w:pPr>
            <w:pStyle w:val="24"/>
            <w:tabs>
              <w:tab w:val="right" w:leader="dot" w:pos="8306"/>
            </w:tabs>
          </w:pPr>
          <w:r>
            <w:fldChar w:fldCharType="begin"/>
          </w:r>
          <w:r>
            <w:instrText xml:space="preserve"> HYPERLINK \l _Toc29694 </w:instrText>
          </w:r>
          <w:r>
            <w:fldChar w:fldCharType="separate"/>
          </w:r>
          <w:r>
            <w:rPr>
              <w:rFonts w:hint="eastAsia" w:ascii="仿宋" w:hAnsi="仿宋" w:eastAsia="仿宋" w:cs="仿宋"/>
              <w:szCs w:val="24"/>
            </w:rPr>
            <w:t>四、响应文件的递交</w:t>
          </w:r>
          <w:r>
            <w:tab/>
          </w:r>
          <w:r>
            <w:fldChar w:fldCharType="begin"/>
          </w:r>
          <w:r>
            <w:instrText xml:space="preserve"> PAGEREF _Toc29694 \h </w:instrText>
          </w:r>
          <w:r>
            <w:fldChar w:fldCharType="separate"/>
          </w:r>
          <w:r>
            <w:t>5</w:t>
          </w:r>
          <w:r>
            <w:fldChar w:fldCharType="end"/>
          </w:r>
          <w:r>
            <w:fldChar w:fldCharType="end"/>
          </w:r>
        </w:p>
        <w:p>
          <w:pPr>
            <w:pStyle w:val="24"/>
            <w:tabs>
              <w:tab w:val="right" w:leader="dot" w:pos="8306"/>
            </w:tabs>
          </w:pPr>
          <w:r>
            <w:fldChar w:fldCharType="begin"/>
          </w:r>
          <w:r>
            <w:instrText xml:space="preserve"> HYPERLINK \l _Toc25523 </w:instrText>
          </w:r>
          <w:r>
            <w:fldChar w:fldCharType="separate"/>
          </w:r>
          <w:r>
            <w:rPr>
              <w:rFonts w:hint="eastAsia" w:ascii="仿宋" w:hAnsi="仿宋" w:eastAsia="仿宋" w:cs="仿宋"/>
              <w:szCs w:val="24"/>
            </w:rPr>
            <w:t>五、发布公告的媒介</w:t>
          </w:r>
          <w:r>
            <w:tab/>
          </w:r>
          <w:r>
            <w:fldChar w:fldCharType="begin"/>
          </w:r>
          <w:r>
            <w:instrText xml:space="preserve"> PAGEREF _Toc25523 \h </w:instrText>
          </w:r>
          <w:r>
            <w:fldChar w:fldCharType="separate"/>
          </w:r>
          <w:r>
            <w:t>5</w:t>
          </w:r>
          <w:r>
            <w:fldChar w:fldCharType="end"/>
          </w:r>
          <w:r>
            <w:fldChar w:fldCharType="end"/>
          </w:r>
        </w:p>
        <w:p>
          <w:pPr>
            <w:pStyle w:val="24"/>
            <w:tabs>
              <w:tab w:val="right" w:leader="dot" w:pos="8306"/>
            </w:tabs>
          </w:pPr>
          <w:r>
            <w:fldChar w:fldCharType="begin"/>
          </w:r>
          <w:r>
            <w:instrText xml:space="preserve"> HYPERLINK \l _Toc4373 </w:instrText>
          </w:r>
          <w:r>
            <w:fldChar w:fldCharType="separate"/>
          </w:r>
          <w:r>
            <w:rPr>
              <w:rFonts w:hint="eastAsia" w:ascii="仿宋" w:hAnsi="仿宋" w:eastAsia="仿宋" w:cs="仿宋"/>
              <w:szCs w:val="24"/>
            </w:rPr>
            <w:t>六、联系方式</w:t>
          </w:r>
          <w:r>
            <w:tab/>
          </w:r>
          <w:r>
            <w:fldChar w:fldCharType="begin"/>
          </w:r>
          <w:r>
            <w:instrText xml:space="preserve"> PAGEREF _Toc4373 \h </w:instrText>
          </w:r>
          <w:r>
            <w:fldChar w:fldCharType="separate"/>
          </w:r>
          <w:r>
            <w:t>5</w:t>
          </w:r>
          <w:r>
            <w:fldChar w:fldCharType="end"/>
          </w:r>
          <w:r>
            <w:fldChar w:fldCharType="end"/>
          </w:r>
        </w:p>
        <w:p>
          <w:pPr>
            <w:pStyle w:val="21"/>
            <w:tabs>
              <w:tab w:val="right" w:leader="dot" w:pos="8306"/>
            </w:tabs>
          </w:pPr>
          <w:r>
            <w:fldChar w:fldCharType="begin"/>
          </w:r>
          <w:r>
            <w:instrText xml:space="preserve"> HYPERLINK \l _Toc19680 </w:instrText>
          </w:r>
          <w:r>
            <w:fldChar w:fldCharType="separate"/>
          </w:r>
          <w:r>
            <w:rPr>
              <w:rFonts w:hint="eastAsia" w:ascii="仿宋_GB2312" w:hAnsi="宋体" w:eastAsia="仿宋_GB2312"/>
              <w:szCs w:val="28"/>
            </w:rPr>
            <w:t>第二章 供应商须知</w:t>
          </w:r>
          <w:r>
            <w:tab/>
          </w:r>
          <w:r>
            <w:fldChar w:fldCharType="begin"/>
          </w:r>
          <w:r>
            <w:instrText xml:space="preserve"> PAGEREF _Toc19680 \h </w:instrText>
          </w:r>
          <w:r>
            <w:fldChar w:fldCharType="separate"/>
          </w:r>
          <w:r>
            <w:t>7</w:t>
          </w:r>
          <w:r>
            <w:fldChar w:fldCharType="end"/>
          </w:r>
          <w:r>
            <w:fldChar w:fldCharType="end"/>
          </w:r>
        </w:p>
        <w:p>
          <w:pPr>
            <w:pStyle w:val="24"/>
            <w:tabs>
              <w:tab w:val="right" w:leader="dot" w:pos="8306"/>
            </w:tabs>
          </w:pPr>
          <w:r>
            <w:fldChar w:fldCharType="begin"/>
          </w:r>
          <w:r>
            <w:instrText xml:space="preserve"> HYPERLINK \l _Toc24924 </w:instrText>
          </w:r>
          <w:r>
            <w:fldChar w:fldCharType="separate"/>
          </w:r>
          <w:r>
            <w:rPr>
              <w:rFonts w:hint="eastAsia" w:ascii="仿宋" w:hAnsi="仿宋" w:eastAsia="仿宋" w:cs="仿宋"/>
              <w:szCs w:val="24"/>
            </w:rPr>
            <w:t>一、供应商须知前附表</w:t>
          </w:r>
          <w:r>
            <w:tab/>
          </w:r>
          <w:r>
            <w:fldChar w:fldCharType="begin"/>
          </w:r>
          <w:r>
            <w:instrText xml:space="preserve"> PAGEREF _Toc24924 \h </w:instrText>
          </w:r>
          <w:r>
            <w:fldChar w:fldCharType="separate"/>
          </w:r>
          <w:r>
            <w:t>7</w:t>
          </w:r>
          <w:r>
            <w:fldChar w:fldCharType="end"/>
          </w:r>
          <w:r>
            <w:fldChar w:fldCharType="end"/>
          </w:r>
        </w:p>
        <w:p>
          <w:pPr>
            <w:pStyle w:val="24"/>
            <w:tabs>
              <w:tab w:val="right" w:leader="dot" w:pos="8306"/>
            </w:tabs>
          </w:pPr>
          <w:r>
            <w:fldChar w:fldCharType="begin"/>
          </w:r>
          <w:r>
            <w:instrText xml:space="preserve"> HYPERLINK \l _Toc20803 </w:instrText>
          </w:r>
          <w:r>
            <w:fldChar w:fldCharType="separate"/>
          </w:r>
          <w:r>
            <w:rPr>
              <w:rFonts w:hint="eastAsia" w:ascii="仿宋" w:hAnsi="仿宋" w:eastAsia="仿宋" w:cs="仿宋"/>
              <w:szCs w:val="24"/>
            </w:rPr>
            <w:t>二、供应商须知正文</w:t>
          </w:r>
          <w:r>
            <w:tab/>
          </w:r>
          <w:r>
            <w:fldChar w:fldCharType="begin"/>
          </w:r>
          <w:r>
            <w:instrText xml:space="preserve"> PAGEREF _Toc20803 \h </w:instrText>
          </w:r>
          <w:r>
            <w:fldChar w:fldCharType="separate"/>
          </w:r>
          <w:r>
            <w:t>10</w:t>
          </w:r>
          <w:r>
            <w:fldChar w:fldCharType="end"/>
          </w:r>
          <w:r>
            <w:fldChar w:fldCharType="end"/>
          </w:r>
        </w:p>
        <w:p>
          <w:pPr>
            <w:pStyle w:val="14"/>
            <w:tabs>
              <w:tab w:val="right" w:leader="dot" w:pos="8306"/>
            </w:tabs>
          </w:pPr>
          <w:r>
            <w:fldChar w:fldCharType="begin"/>
          </w:r>
          <w:r>
            <w:instrText xml:space="preserve"> HYPERLINK \l _Toc10924 </w:instrText>
          </w:r>
          <w:r>
            <w:fldChar w:fldCharType="separate"/>
          </w:r>
          <w:r>
            <w:rPr>
              <w:rFonts w:hint="eastAsia" w:ascii="仿宋" w:hAnsi="仿宋" w:eastAsia="仿宋" w:cs="仿宋"/>
              <w:szCs w:val="24"/>
            </w:rPr>
            <w:t>（一）总 则</w:t>
          </w:r>
          <w:r>
            <w:tab/>
          </w:r>
          <w:r>
            <w:fldChar w:fldCharType="begin"/>
          </w:r>
          <w:r>
            <w:instrText xml:space="preserve"> PAGEREF _Toc10924 \h </w:instrText>
          </w:r>
          <w:r>
            <w:fldChar w:fldCharType="separate"/>
          </w:r>
          <w:r>
            <w:t>10</w:t>
          </w:r>
          <w:r>
            <w:fldChar w:fldCharType="end"/>
          </w:r>
          <w:r>
            <w:fldChar w:fldCharType="end"/>
          </w:r>
        </w:p>
        <w:p>
          <w:pPr>
            <w:pStyle w:val="14"/>
            <w:tabs>
              <w:tab w:val="right" w:leader="dot" w:pos="8306"/>
            </w:tabs>
          </w:pPr>
          <w:r>
            <w:fldChar w:fldCharType="begin"/>
          </w:r>
          <w:r>
            <w:instrText xml:space="preserve"> HYPERLINK \l _Toc20352 </w:instrText>
          </w:r>
          <w:r>
            <w:fldChar w:fldCharType="separate"/>
          </w:r>
          <w:r>
            <w:rPr>
              <w:rFonts w:hint="eastAsia" w:ascii="仿宋" w:hAnsi="仿宋" w:eastAsia="仿宋" w:cs="仿宋"/>
              <w:szCs w:val="24"/>
            </w:rPr>
            <w:t>（二）磋商文件</w:t>
          </w:r>
          <w:r>
            <w:tab/>
          </w:r>
          <w:r>
            <w:fldChar w:fldCharType="begin"/>
          </w:r>
          <w:r>
            <w:instrText xml:space="preserve"> PAGEREF _Toc20352 \h </w:instrText>
          </w:r>
          <w:r>
            <w:fldChar w:fldCharType="separate"/>
          </w:r>
          <w:r>
            <w:t>10</w:t>
          </w:r>
          <w:r>
            <w:fldChar w:fldCharType="end"/>
          </w:r>
          <w:r>
            <w:fldChar w:fldCharType="end"/>
          </w:r>
        </w:p>
        <w:p>
          <w:pPr>
            <w:pStyle w:val="14"/>
            <w:tabs>
              <w:tab w:val="right" w:leader="dot" w:pos="8306"/>
            </w:tabs>
          </w:pPr>
          <w:r>
            <w:fldChar w:fldCharType="begin"/>
          </w:r>
          <w:r>
            <w:instrText xml:space="preserve"> HYPERLINK \l _Toc2185 </w:instrText>
          </w:r>
          <w:r>
            <w:fldChar w:fldCharType="separate"/>
          </w:r>
          <w:r>
            <w:rPr>
              <w:rFonts w:hint="eastAsia" w:ascii="仿宋" w:hAnsi="仿宋" w:eastAsia="仿宋" w:cs="仿宋"/>
              <w:szCs w:val="24"/>
            </w:rPr>
            <w:t>（三）响应文件</w:t>
          </w:r>
          <w:r>
            <w:tab/>
          </w:r>
          <w:r>
            <w:fldChar w:fldCharType="begin"/>
          </w:r>
          <w:r>
            <w:instrText xml:space="preserve"> PAGEREF _Toc2185 \h </w:instrText>
          </w:r>
          <w:r>
            <w:fldChar w:fldCharType="separate"/>
          </w:r>
          <w:r>
            <w:t>11</w:t>
          </w:r>
          <w:r>
            <w:fldChar w:fldCharType="end"/>
          </w:r>
          <w:r>
            <w:fldChar w:fldCharType="end"/>
          </w:r>
        </w:p>
        <w:p>
          <w:pPr>
            <w:pStyle w:val="14"/>
            <w:tabs>
              <w:tab w:val="right" w:leader="dot" w:pos="8306"/>
            </w:tabs>
          </w:pPr>
          <w:r>
            <w:fldChar w:fldCharType="begin"/>
          </w:r>
          <w:r>
            <w:instrText xml:space="preserve"> HYPERLINK \l _Toc30419 </w:instrText>
          </w:r>
          <w:r>
            <w:fldChar w:fldCharType="separate"/>
          </w:r>
          <w:r>
            <w:rPr>
              <w:rFonts w:hint="eastAsia" w:ascii="仿宋" w:hAnsi="仿宋" w:eastAsia="仿宋" w:cs="仿宋"/>
              <w:szCs w:val="24"/>
            </w:rPr>
            <w:t>（四）响应文件的递交</w:t>
          </w:r>
          <w:r>
            <w:tab/>
          </w:r>
          <w:r>
            <w:fldChar w:fldCharType="begin"/>
          </w:r>
          <w:r>
            <w:instrText xml:space="preserve"> PAGEREF _Toc30419 \h </w:instrText>
          </w:r>
          <w:r>
            <w:fldChar w:fldCharType="separate"/>
          </w:r>
          <w:r>
            <w:t>13</w:t>
          </w:r>
          <w:r>
            <w:fldChar w:fldCharType="end"/>
          </w:r>
          <w:r>
            <w:fldChar w:fldCharType="end"/>
          </w:r>
        </w:p>
        <w:p>
          <w:pPr>
            <w:pStyle w:val="14"/>
            <w:tabs>
              <w:tab w:val="right" w:leader="dot" w:pos="8306"/>
            </w:tabs>
          </w:pPr>
          <w:r>
            <w:fldChar w:fldCharType="begin"/>
          </w:r>
          <w:r>
            <w:instrText xml:space="preserve"> HYPERLINK \l _Toc28660 </w:instrText>
          </w:r>
          <w:r>
            <w:fldChar w:fldCharType="separate"/>
          </w:r>
          <w:r>
            <w:rPr>
              <w:rFonts w:hint="eastAsia" w:ascii="仿宋" w:hAnsi="仿宋" w:eastAsia="仿宋" w:cs="仿宋"/>
              <w:szCs w:val="24"/>
            </w:rPr>
            <w:t>（五）竞争性磋商和评审</w:t>
          </w:r>
          <w:r>
            <w:tab/>
          </w:r>
          <w:r>
            <w:fldChar w:fldCharType="begin"/>
          </w:r>
          <w:r>
            <w:instrText xml:space="preserve"> PAGEREF _Toc28660 \h </w:instrText>
          </w:r>
          <w:r>
            <w:fldChar w:fldCharType="separate"/>
          </w:r>
          <w:r>
            <w:t>13</w:t>
          </w:r>
          <w:r>
            <w:fldChar w:fldCharType="end"/>
          </w:r>
          <w:r>
            <w:fldChar w:fldCharType="end"/>
          </w:r>
        </w:p>
        <w:p>
          <w:pPr>
            <w:pStyle w:val="14"/>
            <w:tabs>
              <w:tab w:val="right" w:leader="dot" w:pos="8306"/>
            </w:tabs>
          </w:pPr>
          <w:r>
            <w:fldChar w:fldCharType="begin"/>
          </w:r>
          <w:r>
            <w:instrText xml:space="preserve"> HYPERLINK \l _Toc18441 </w:instrText>
          </w:r>
          <w:r>
            <w:fldChar w:fldCharType="separate"/>
          </w:r>
          <w:r>
            <w:rPr>
              <w:rFonts w:hint="eastAsia" w:ascii="仿宋" w:hAnsi="仿宋" w:eastAsia="仿宋" w:cs="仿宋"/>
              <w:szCs w:val="24"/>
            </w:rPr>
            <w:t>（六）授予合同</w:t>
          </w:r>
          <w:r>
            <w:tab/>
          </w:r>
          <w:r>
            <w:fldChar w:fldCharType="begin"/>
          </w:r>
          <w:r>
            <w:instrText xml:space="preserve"> PAGEREF _Toc18441 \h </w:instrText>
          </w:r>
          <w:r>
            <w:fldChar w:fldCharType="separate"/>
          </w:r>
          <w:r>
            <w:t>16</w:t>
          </w:r>
          <w:r>
            <w:fldChar w:fldCharType="end"/>
          </w:r>
          <w:r>
            <w:fldChar w:fldCharType="end"/>
          </w:r>
        </w:p>
        <w:p>
          <w:pPr>
            <w:pStyle w:val="21"/>
            <w:tabs>
              <w:tab w:val="right" w:leader="dot" w:pos="8306"/>
            </w:tabs>
          </w:pPr>
          <w:r>
            <w:fldChar w:fldCharType="begin"/>
          </w:r>
          <w:r>
            <w:instrText xml:space="preserve"> HYPERLINK \l _Toc1808 </w:instrText>
          </w:r>
          <w:r>
            <w:fldChar w:fldCharType="separate"/>
          </w:r>
          <w:r>
            <w:rPr>
              <w:rFonts w:hint="eastAsia" w:ascii="仿宋" w:hAnsi="仿宋" w:eastAsia="仿宋" w:cs="仿宋"/>
              <w:szCs w:val="28"/>
            </w:rPr>
            <w:t>第三章 评审办法</w:t>
          </w:r>
          <w:r>
            <w:tab/>
          </w:r>
          <w:r>
            <w:fldChar w:fldCharType="begin"/>
          </w:r>
          <w:r>
            <w:instrText xml:space="preserve"> PAGEREF _Toc1808 \h </w:instrText>
          </w:r>
          <w:r>
            <w:fldChar w:fldCharType="separate"/>
          </w:r>
          <w:r>
            <w:t>17</w:t>
          </w:r>
          <w:r>
            <w:fldChar w:fldCharType="end"/>
          </w:r>
          <w:r>
            <w:fldChar w:fldCharType="end"/>
          </w:r>
        </w:p>
        <w:p>
          <w:pPr>
            <w:pStyle w:val="24"/>
            <w:tabs>
              <w:tab w:val="right" w:leader="dot" w:pos="8306"/>
            </w:tabs>
          </w:pPr>
          <w:r>
            <w:fldChar w:fldCharType="begin"/>
          </w:r>
          <w:r>
            <w:instrText xml:space="preserve"> HYPERLINK \l _Toc32535 </w:instrText>
          </w:r>
          <w:r>
            <w:fldChar w:fldCharType="separate"/>
          </w:r>
          <w:r>
            <w:rPr>
              <w:rFonts w:hint="eastAsia" w:ascii="仿宋" w:hAnsi="仿宋" w:eastAsia="仿宋" w:cs="仿宋"/>
              <w:szCs w:val="24"/>
            </w:rPr>
            <w:t>一、评审程序</w:t>
          </w:r>
          <w:r>
            <w:tab/>
          </w:r>
          <w:r>
            <w:fldChar w:fldCharType="begin"/>
          </w:r>
          <w:r>
            <w:instrText xml:space="preserve"> PAGEREF _Toc32535 \h </w:instrText>
          </w:r>
          <w:r>
            <w:fldChar w:fldCharType="separate"/>
          </w:r>
          <w:r>
            <w:t>17</w:t>
          </w:r>
          <w:r>
            <w:fldChar w:fldCharType="end"/>
          </w:r>
          <w:r>
            <w:fldChar w:fldCharType="end"/>
          </w:r>
        </w:p>
        <w:p>
          <w:pPr>
            <w:pStyle w:val="24"/>
            <w:tabs>
              <w:tab w:val="right" w:leader="dot" w:pos="8306"/>
            </w:tabs>
          </w:pPr>
          <w:r>
            <w:fldChar w:fldCharType="begin"/>
          </w:r>
          <w:r>
            <w:instrText xml:space="preserve"> HYPERLINK \l _Toc5848 </w:instrText>
          </w:r>
          <w:r>
            <w:fldChar w:fldCharType="separate"/>
          </w:r>
          <w:r>
            <w:rPr>
              <w:rFonts w:hint="eastAsia" w:ascii="仿宋" w:hAnsi="仿宋" w:eastAsia="仿宋" w:cs="仿宋"/>
              <w:szCs w:val="24"/>
            </w:rPr>
            <w:t>二、初步评审</w:t>
          </w:r>
          <w:r>
            <w:tab/>
          </w:r>
          <w:r>
            <w:fldChar w:fldCharType="begin"/>
          </w:r>
          <w:r>
            <w:instrText xml:space="preserve"> PAGEREF _Toc5848 \h </w:instrText>
          </w:r>
          <w:r>
            <w:fldChar w:fldCharType="separate"/>
          </w:r>
          <w:r>
            <w:t>19</w:t>
          </w:r>
          <w:r>
            <w:fldChar w:fldCharType="end"/>
          </w:r>
          <w:r>
            <w:fldChar w:fldCharType="end"/>
          </w:r>
        </w:p>
        <w:p>
          <w:pPr>
            <w:pStyle w:val="24"/>
            <w:tabs>
              <w:tab w:val="right" w:leader="dot" w:pos="8306"/>
            </w:tabs>
          </w:pPr>
          <w:r>
            <w:fldChar w:fldCharType="begin"/>
          </w:r>
          <w:r>
            <w:instrText xml:space="preserve"> HYPERLINK \l _Toc12931 </w:instrText>
          </w:r>
          <w:r>
            <w:fldChar w:fldCharType="separate"/>
          </w:r>
          <w:r>
            <w:rPr>
              <w:rFonts w:hint="eastAsia" w:ascii="仿宋" w:hAnsi="仿宋" w:eastAsia="仿宋" w:cs="仿宋"/>
              <w:szCs w:val="24"/>
            </w:rPr>
            <w:t>三、详细评审</w:t>
          </w:r>
          <w:r>
            <w:tab/>
          </w:r>
          <w:r>
            <w:fldChar w:fldCharType="begin"/>
          </w:r>
          <w:r>
            <w:instrText xml:space="preserve"> PAGEREF _Toc12931 \h </w:instrText>
          </w:r>
          <w:r>
            <w:fldChar w:fldCharType="separate"/>
          </w:r>
          <w:r>
            <w:t>19</w:t>
          </w:r>
          <w:r>
            <w:fldChar w:fldCharType="end"/>
          </w:r>
          <w:r>
            <w:fldChar w:fldCharType="end"/>
          </w:r>
        </w:p>
        <w:p>
          <w:pPr>
            <w:pStyle w:val="21"/>
            <w:tabs>
              <w:tab w:val="right" w:leader="dot" w:pos="8306"/>
            </w:tabs>
          </w:pPr>
          <w:r>
            <w:fldChar w:fldCharType="begin"/>
          </w:r>
          <w:r>
            <w:instrText xml:space="preserve"> HYPERLINK \l _Toc20327 </w:instrText>
          </w:r>
          <w:r>
            <w:fldChar w:fldCharType="separate"/>
          </w:r>
          <w:r>
            <w:rPr>
              <w:rFonts w:hint="eastAsia" w:ascii="仿宋" w:hAnsi="仿宋" w:eastAsia="仿宋" w:cs="仿宋"/>
              <w:szCs w:val="28"/>
            </w:rPr>
            <w:t>第四章 合同条款</w:t>
          </w:r>
          <w:r>
            <w:tab/>
          </w:r>
          <w:r>
            <w:fldChar w:fldCharType="begin"/>
          </w:r>
          <w:r>
            <w:instrText xml:space="preserve"> PAGEREF _Toc20327 \h </w:instrText>
          </w:r>
          <w:r>
            <w:fldChar w:fldCharType="separate"/>
          </w:r>
          <w:r>
            <w:t>23</w:t>
          </w:r>
          <w:r>
            <w:fldChar w:fldCharType="end"/>
          </w:r>
          <w:r>
            <w:fldChar w:fldCharType="end"/>
          </w:r>
        </w:p>
        <w:p>
          <w:pPr>
            <w:pStyle w:val="21"/>
            <w:tabs>
              <w:tab w:val="right" w:leader="dot" w:pos="8306"/>
            </w:tabs>
          </w:pPr>
          <w:r>
            <w:fldChar w:fldCharType="begin"/>
          </w:r>
          <w:r>
            <w:instrText xml:space="preserve"> HYPERLINK \l _Toc7933 </w:instrText>
          </w:r>
          <w:r>
            <w:fldChar w:fldCharType="separate"/>
          </w:r>
          <w:r>
            <w:rPr>
              <w:rFonts w:hint="eastAsia" w:ascii="仿宋_GB2312" w:hAnsi="宋体" w:eastAsia="仿宋_GB2312"/>
              <w:szCs w:val="28"/>
            </w:rPr>
            <w:t>第五章 采购需求</w:t>
          </w:r>
          <w:r>
            <w:tab/>
          </w:r>
          <w:r>
            <w:fldChar w:fldCharType="begin"/>
          </w:r>
          <w:r>
            <w:instrText xml:space="preserve"> PAGEREF _Toc7933 \h </w:instrText>
          </w:r>
          <w:r>
            <w:fldChar w:fldCharType="separate"/>
          </w:r>
          <w:r>
            <w:t>42</w:t>
          </w:r>
          <w:r>
            <w:fldChar w:fldCharType="end"/>
          </w:r>
          <w:r>
            <w:fldChar w:fldCharType="end"/>
          </w:r>
        </w:p>
        <w:p>
          <w:pPr>
            <w:pStyle w:val="21"/>
            <w:tabs>
              <w:tab w:val="right" w:leader="dot" w:pos="8306"/>
            </w:tabs>
          </w:pPr>
          <w:r>
            <w:fldChar w:fldCharType="begin"/>
          </w:r>
          <w:r>
            <w:instrText xml:space="preserve"> HYPERLINK \l _Toc7080 </w:instrText>
          </w:r>
          <w:r>
            <w:fldChar w:fldCharType="separate"/>
          </w:r>
          <w:r>
            <w:rPr>
              <w:rFonts w:hint="eastAsia" w:ascii="仿宋" w:hAnsi="仿宋" w:eastAsia="仿宋" w:cs="仿宋"/>
              <w:szCs w:val="28"/>
            </w:rPr>
            <w:t>第六章 响应文件格式</w:t>
          </w:r>
          <w:r>
            <w:tab/>
          </w:r>
          <w:r>
            <w:fldChar w:fldCharType="begin"/>
          </w:r>
          <w:r>
            <w:instrText xml:space="preserve"> PAGEREF _Toc7080 \h </w:instrText>
          </w:r>
          <w:r>
            <w:fldChar w:fldCharType="separate"/>
          </w:r>
          <w:r>
            <w:t>44</w:t>
          </w:r>
          <w:r>
            <w:fldChar w:fldCharType="end"/>
          </w:r>
          <w:r>
            <w:fldChar w:fldCharType="end"/>
          </w:r>
        </w:p>
        <w:p>
          <w:pPr>
            <w:pStyle w:val="24"/>
            <w:tabs>
              <w:tab w:val="right" w:leader="dot" w:pos="8306"/>
            </w:tabs>
          </w:pPr>
          <w:r>
            <w:fldChar w:fldCharType="begin"/>
          </w:r>
          <w:r>
            <w:instrText xml:space="preserve"> HYPERLINK \l _Toc2263 </w:instrText>
          </w:r>
          <w:r>
            <w:fldChar w:fldCharType="separate"/>
          </w:r>
          <w:r>
            <w:rPr>
              <w:rFonts w:hint="eastAsia" w:ascii="仿宋" w:hAnsi="仿宋" w:eastAsia="仿宋" w:cs="仿宋"/>
              <w:szCs w:val="24"/>
            </w:rPr>
            <w:t>一、商务文件</w:t>
          </w:r>
          <w:r>
            <w:tab/>
          </w:r>
          <w:r>
            <w:fldChar w:fldCharType="begin"/>
          </w:r>
          <w:r>
            <w:instrText xml:space="preserve"> PAGEREF _Toc2263 \h </w:instrText>
          </w:r>
          <w:r>
            <w:fldChar w:fldCharType="separate"/>
          </w:r>
          <w:r>
            <w:t>47</w:t>
          </w:r>
          <w:r>
            <w:fldChar w:fldCharType="end"/>
          </w:r>
          <w:r>
            <w:fldChar w:fldCharType="end"/>
          </w:r>
        </w:p>
        <w:p>
          <w:pPr>
            <w:pStyle w:val="14"/>
            <w:tabs>
              <w:tab w:val="right" w:leader="dot" w:pos="8306"/>
            </w:tabs>
          </w:pPr>
          <w:r>
            <w:fldChar w:fldCharType="begin"/>
          </w:r>
          <w:r>
            <w:instrText xml:space="preserve"> HYPERLINK \l _Toc26472 </w:instrText>
          </w:r>
          <w:r>
            <w:fldChar w:fldCharType="separate"/>
          </w:r>
          <w:r>
            <w:rPr>
              <w:rFonts w:hint="eastAsia" w:ascii="仿宋" w:hAnsi="仿宋" w:eastAsia="仿宋" w:cs="仿宋"/>
              <w:szCs w:val="24"/>
            </w:rPr>
            <w:t>（一）响应函</w:t>
          </w:r>
          <w:r>
            <w:tab/>
          </w:r>
          <w:r>
            <w:fldChar w:fldCharType="begin"/>
          </w:r>
          <w:r>
            <w:instrText xml:space="preserve"> PAGEREF _Toc26472 \h </w:instrText>
          </w:r>
          <w:r>
            <w:fldChar w:fldCharType="separate"/>
          </w:r>
          <w:r>
            <w:t>47</w:t>
          </w:r>
          <w:r>
            <w:fldChar w:fldCharType="end"/>
          </w:r>
          <w:r>
            <w:fldChar w:fldCharType="end"/>
          </w:r>
        </w:p>
        <w:p>
          <w:pPr>
            <w:pStyle w:val="14"/>
            <w:tabs>
              <w:tab w:val="right" w:leader="dot" w:pos="8306"/>
            </w:tabs>
          </w:pPr>
          <w:r>
            <w:fldChar w:fldCharType="begin"/>
          </w:r>
          <w:r>
            <w:instrText xml:space="preserve"> HYPERLINK \l _Toc10824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_Toc10824 \h </w:instrText>
          </w:r>
          <w:r>
            <w:fldChar w:fldCharType="separate"/>
          </w:r>
          <w:r>
            <w:t>48</w:t>
          </w:r>
          <w:r>
            <w:fldChar w:fldCharType="end"/>
          </w:r>
          <w:r>
            <w:fldChar w:fldCharType="end"/>
          </w:r>
        </w:p>
        <w:p>
          <w:pPr>
            <w:pStyle w:val="14"/>
            <w:tabs>
              <w:tab w:val="right" w:leader="dot" w:pos="8306"/>
            </w:tabs>
          </w:pPr>
          <w:r>
            <w:fldChar w:fldCharType="begin"/>
          </w:r>
          <w:r>
            <w:instrText xml:space="preserve"> HYPERLINK \l _Toc4899 </w:instrText>
          </w:r>
          <w:r>
            <w:fldChar w:fldCharType="separate"/>
          </w:r>
          <w:r>
            <w:rPr>
              <w:rFonts w:hint="eastAsia" w:ascii="仿宋" w:hAnsi="仿宋" w:eastAsia="仿宋" w:cs="仿宋"/>
              <w:szCs w:val="24"/>
            </w:rPr>
            <w:t>（三）法定代表人（负责人）授权委托书</w:t>
          </w:r>
          <w:r>
            <w:tab/>
          </w:r>
          <w:r>
            <w:fldChar w:fldCharType="begin"/>
          </w:r>
          <w:r>
            <w:instrText xml:space="preserve"> PAGEREF _Toc4899 \h </w:instrText>
          </w:r>
          <w:r>
            <w:fldChar w:fldCharType="separate"/>
          </w:r>
          <w:r>
            <w:t>49</w:t>
          </w:r>
          <w:r>
            <w:fldChar w:fldCharType="end"/>
          </w:r>
          <w:r>
            <w:fldChar w:fldCharType="end"/>
          </w:r>
        </w:p>
        <w:p>
          <w:pPr>
            <w:pStyle w:val="14"/>
            <w:tabs>
              <w:tab w:val="right" w:leader="dot" w:pos="8306"/>
            </w:tabs>
          </w:pPr>
          <w:r>
            <w:fldChar w:fldCharType="begin"/>
          </w:r>
          <w:r>
            <w:instrText xml:space="preserve"> HYPERLINK \l _Toc7311 </w:instrText>
          </w:r>
          <w:r>
            <w:fldChar w:fldCharType="separate"/>
          </w:r>
          <w:r>
            <w:rPr>
              <w:rFonts w:hint="eastAsia" w:ascii="仿宋" w:hAnsi="仿宋" w:eastAsia="仿宋" w:cs="仿宋"/>
              <w:szCs w:val="24"/>
            </w:rPr>
            <w:t>（四）资格证明文件</w:t>
          </w:r>
          <w:r>
            <w:tab/>
          </w:r>
          <w:r>
            <w:fldChar w:fldCharType="begin"/>
          </w:r>
          <w:r>
            <w:instrText xml:space="preserve"> PAGEREF _Toc7311 \h </w:instrText>
          </w:r>
          <w:r>
            <w:fldChar w:fldCharType="separate"/>
          </w:r>
          <w:r>
            <w:t>50</w:t>
          </w:r>
          <w:r>
            <w:fldChar w:fldCharType="end"/>
          </w:r>
          <w:r>
            <w:fldChar w:fldCharType="end"/>
          </w:r>
        </w:p>
        <w:p>
          <w:pPr>
            <w:pStyle w:val="14"/>
            <w:tabs>
              <w:tab w:val="right" w:leader="dot" w:pos="8306"/>
            </w:tabs>
          </w:pPr>
          <w:r>
            <w:fldChar w:fldCharType="begin"/>
          </w:r>
          <w:r>
            <w:instrText xml:space="preserve"> HYPERLINK \l _Toc27392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_Toc27392 \h </w:instrText>
          </w:r>
          <w:r>
            <w:fldChar w:fldCharType="separate"/>
          </w:r>
          <w:r>
            <w:t>59</w:t>
          </w:r>
          <w:r>
            <w:fldChar w:fldCharType="end"/>
          </w:r>
          <w:r>
            <w:fldChar w:fldCharType="end"/>
          </w:r>
        </w:p>
        <w:p>
          <w:pPr>
            <w:pStyle w:val="14"/>
            <w:tabs>
              <w:tab w:val="right" w:leader="dot" w:pos="8306"/>
            </w:tabs>
          </w:pPr>
          <w:r>
            <w:fldChar w:fldCharType="begin"/>
          </w:r>
          <w:r>
            <w:instrText xml:space="preserve"> HYPERLINK \l _Toc23418 </w:instrText>
          </w:r>
          <w:r>
            <w:fldChar w:fldCharType="separate"/>
          </w:r>
          <w:r>
            <w:rPr>
              <w:rFonts w:hint="eastAsia" w:ascii="仿宋" w:hAnsi="仿宋" w:eastAsia="仿宋" w:cs="仿宋"/>
              <w:szCs w:val="24"/>
            </w:rPr>
            <w:t>（七）供应商行为准则承诺书</w:t>
          </w:r>
          <w:r>
            <w:tab/>
          </w:r>
          <w:r>
            <w:fldChar w:fldCharType="begin"/>
          </w:r>
          <w:r>
            <w:instrText xml:space="preserve"> PAGEREF _Toc23418 \h </w:instrText>
          </w:r>
          <w:r>
            <w:fldChar w:fldCharType="separate"/>
          </w:r>
          <w:r>
            <w:t>61</w:t>
          </w:r>
          <w:r>
            <w:fldChar w:fldCharType="end"/>
          </w:r>
          <w:r>
            <w:fldChar w:fldCharType="end"/>
          </w:r>
        </w:p>
        <w:p>
          <w:pPr>
            <w:pStyle w:val="14"/>
            <w:tabs>
              <w:tab w:val="right" w:leader="dot" w:pos="8306"/>
            </w:tabs>
          </w:pPr>
          <w:r>
            <w:fldChar w:fldCharType="begin"/>
          </w:r>
          <w:r>
            <w:instrText xml:space="preserve"> HYPERLINK \l _Toc25301 </w:instrText>
          </w:r>
          <w:r>
            <w:fldChar w:fldCharType="separate"/>
          </w:r>
          <w:r>
            <w:rPr>
              <w:rFonts w:hint="eastAsia" w:ascii="仿宋" w:hAnsi="仿宋" w:eastAsia="仿宋" w:cs="宋体"/>
              <w:bCs w:val="0"/>
              <w:szCs w:val="24"/>
            </w:rPr>
            <w:t>（八）供应商廉洁诚信承诺书</w:t>
          </w:r>
          <w:r>
            <w:tab/>
          </w:r>
          <w:r>
            <w:fldChar w:fldCharType="begin"/>
          </w:r>
          <w:r>
            <w:instrText xml:space="preserve"> PAGEREF _Toc25301 \h </w:instrText>
          </w:r>
          <w:r>
            <w:fldChar w:fldCharType="separate"/>
          </w:r>
          <w:r>
            <w:t>63</w:t>
          </w:r>
          <w:r>
            <w:fldChar w:fldCharType="end"/>
          </w:r>
          <w:r>
            <w:fldChar w:fldCharType="end"/>
          </w:r>
        </w:p>
        <w:p>
          <w:pPr>
            <w:pStyle w:val="24"/>
            <w:tabs>
              <w:tab w:val="right" w:leader="dot" w:pos="8306"/>
            </w:tabs>
          </w:pPr>
          <w:r>
            <w:fldChar w:fldCharType="begin"/>
          </w:r>
          <w:r>
            <w:instrText xml:space="preserve"> HYPERLINK \l _Toc10027 </w:instrText>
          </w:r>
          <w:r>
            <w:fldChar w:fldCharType="separate"/>
          </w:r>
          <w:r>
            <w:rPr>
              <w:rFonts w:hint="eastAsia" w:ascii="仿宋" w:hAnsi="仿宋" w:eastAsia="仿宋" w:cs="仿宋"/>
              <w:szCs w:val="24"/>
            </w:rPr>
            <w:t>二、技术文件</w:t>
          </w:r>
          <w:r>
            <w:tab/>
          </w:r>
          <w:r>
            <w:fldChar w:fldCharType="begin"/>
          </w:r>
          <w:r>
            <w:instrText xml:space="preserve"> PAGEREF _Toc10027 \h </w:instrText>
          </w:r>
          <w:r>
            <w:fldChar w:fldCharType="separate"/>
          </w:r>
          <w:r>
            <w:t>68</w:t>
          </w:r>
          <w:r>
            <w:fldChar w:fldCharType="end"/>
          </w:r>
          <w:r>
            <w:fldChar w:fldCharType="end"/>
          </w:r>
        </w:p>
        <w:p>
          <w:pPr>
            <w:pStyle w:val="14"/>
            <w:tabs>
              <w:tab w:val="right" w:leader="dot" w:pos="8306"/>
            </w:tabs>
          </w:pPr>
          <w:r>
            <w:fldChar w:fldCharType="begin"/>
          </w:r>
          <w:r>
            <w:instrText xml:space="preserve"> HYPERLINK \l _Toc21240 </w:instrText>
          </w:r>
          <w:r>
            <w:fldChar w:fldCharType="separate"/>
          </w:r>
          <w:r>
            <w:rPr>
              <w:rFonts w:hint="eastAsia" w:ascii="仿宋" w:hAnsi="仿宋" w:eastAsia="仿宋" w:cs="仿宋"/>
              <w:szCs w:val="24"/>
            </w:rPr>
            <w:t>（一）采购需求应答偏离表</w:t>
          </w:r>
          <w:r>
            <w:tab/>
          </w:r>
          <w:r>
            <w:fldChar w:fldCharType="begin"/>
          </w:r>
          <w:r>
            <w:instrText xml:space="preserve"> PAGEREF _Toc21240 \h </w:instrText>
          </w:r>
          <w:r>
            <w:fldChar w:fldCharType="separate"/>
          </w:r>
          <w:r>
            <w:t>68</w:t>
          </w:r>
          <w:r>
            <w:fldChar w:fldCharType="end"/>
          </w:r>
          <w:r>
            <w:fldChar w:fldCharType="end"/>
          </w:r>
        </w:p>
        <w:p>
          <w:pPr>
            <w:pStyle w:val="14"/>
            <w:tabs>
              <w:tab w:val="right" w:leader="dot" w:pos="8306"/>
            </w:tabs>
          </w:pPr>
          <w:r>
            <w:fldChar w:fldCharType="begin"/>
          </w:r>
          <w:r>
            <w:instrText xml:space="preserve"> HYPERLINK \l _Toc21411 </w:instrText>
          </w:r>
          <w:r>
            <w:fldChar w:fldCharType="separate"/>
          </w:r>
          <w:r>
            <w:rPr>
              <w:rFonts w:hint="eastAsia" w:ascii="仿宋" w:hAnsi="仿宋" w:eastAsia="仿宋" w:cs="仿宋"/>
              <w:szCs w:val="24"/>
            </w:rPr>
            <w:t>（二）技术方案</w:t>
          </w:r>
          <w:r>
            <w:tab/>
          </w:r>
          <w:r>
            <w:fldChar w:fldCharType="begin"/>
          </w:r>
          <w:r>
            <w:instrText xml:space="preserve"> PAGEREF _Toc21411 \h </w:instrText>
          </w:r>
          <w:r>
            <w:fldChar w:fldCharType="separate"/>
          </w:r>
          <w:r>
            <w:t>69</w:t>
          </w:r>
          <w:r>
            <w:fldChar w:fldCharType="end"/>
          </w:r>
          <w:r>
            <w:fldChar w:fldCharType="end"/>
          </w:r>
        </w:p>
        <w:p>
          <w:pPr>
            <w:pStyle w:val="14"/>
            <w:tabs>
              <w:tab w:val="right" w:leader="dot" w:pos="8306"/>
            </w:tabs>
          </w:pPr>
          <w:r>
            <w:fldChar w:fldCharType="begin"/>
          </w:r>
          <w:r>
            <w:instrText xml:space="preserve"> HYPERLINK \l _Toc21472 </w:instrText>
          </w:r>
          <w:r>
            <w:fldChar w:fldCharType="separate"/>
          </w:r>
          <w:r>
            <w:rPr>
              <w:rFonts w:hint="eastAsia" w:ascii="仿宋" w:hAnsi="仿宋" w:eastAsia="仿宋" w:cs="仿宋"/>
              <w:szCs w:val="24"/>
            </w:rPr>
            <w:t>（三）其他材料</w:t>
          </w:r>
          <w:r>
            <w:tab/>
          </w:r>
          <w:r>
            <w:fldChar w:fldCharType="begin"/>
          </w:r>
          <w:r>
            <w:instrText xml:space="preserve"> PAGEREF _Toc21472 \h </w:instrText>
          </w:r>
          <w:r>
            <w:fldChar w:fldCharType="separate"/>
          </w:r>
          <w:r>
            <w:t>72</w:t>
          </w:r>
          <w:r>
            <w:fldChar w:fldCharType="end"/>
          </w:r>
          <w:r>
            <w:fldChar w:fldCharType="end"/>
          </w:r>
        </w:p>
        <w:p>
          <w:pPr>
            <w:pStyle w:val="24"/>
            <w:tabs>
              <w:tab w:val="right" w:leader="dot" w:pos="8306"/>
            </w:tabs>
          </w:pPr>
          <w:r>
            <w:fldChar w:fldCharType="begin"/>
          </w:r>
          <w:r>
            <w:instrText xml:space="preserve"> HYPERLINK \l _Toc24864 </w:instrText>
          </w:r>
          <w:r>
            <w:fldChar w:fldCharType="separate"/>
          </w:r>
          <w:r>
            <w:rPr>
              <w:rFonts w:hint="eastAsia" w:ascii="仿宋" w:hAnsi="仿宋" w:eastAsia="仿宋" w:cs="仿宋"/>
              <w:szCs w:val="24"/>
            </w:rPr>
            <w:t>三、报价文件</w:t>
          </w:r>
          <w:r>
            <w:tab/>
          </w:r>
          <w:r>
            <w:fldChar w:fldCharType="begin"/>
          </w:r>
          <w:r>
            <w:instrText xml:space="preserve"> PAGEREF _Toc24864 \h </w:instrText>
          </w:r>
          <w:r>
            <w:fldChar w:fldCharType="separate"/>
          </w:r>
          <w:r>
            <w:t>73</w:t>
          </w:r>
          <w:r>
            <w:fldChar w:fldCharType="end"/>
          </w:r>
          <w:r>
            <w:fldChar w:fldCharType="end"/>
          </w:r>
        </w:p>
        <w:p>
          <w:pPr>
            <w:pStyle w:val="14"/>
            <w:tabs>
              <w:tab w:val="right" w:leader="dot" w:pos="8306"/>
            </w:tabs>
          </w:pPr>
          <w:r>
            <w:fldChar w:fldCharType="begin"/>
          </w:r>
          <w:r>
            <w:instrText xml:space="preserve"> HYPERLINK \l _Toc4457 </w:instrText>
          </w:r>
          <w:r>
            <w:fldChar w:fldCharType="separate"/>
          </w:r>
          <w:r>
            <w:rPr>
              <w:rFonts w:hint="eastAsia" w:ascii="仿宋" w:hAnsi="仿宋" w:eastAsia="仿宋" w:cs="仿宋"/>
              <w:szCs w:val="24"/>
            </w:rPr>
            <w:t>（一）报价一览表</w:t>
          </w:r>
          <w:r>
            <w:tab/>
          </w:r>
          <w:r>
            <w:fldChar w:fldCharType="begin"/>
          </w:r>
          <w:r>
            <w:instrText xml:space="preserve"> PAGEREF _Toc4457 \h </w:instrText>
          </w:r>
          <w:r>
            <w:fldChar w:fldCharType="separate"/>
          </w:r>
          <w:r>
            <w:t>73</w:t>
          </w:r>
          <w:r>
            <w:fldChar w:fldCharType="end"/>
          </w:r>
          <w:r>
            <w:fldChar w:fldCharType="end"/>
          </w:r>
        </w:p>
        <w:p>
          <w:pPr>
            <w:pStyle w:val="14"/>
            <w:tabs>
              <w:tab w:val="right" w:leader="dot" w:pos="8306"/>
            </w:tabs>
          </w:pPr>
          <w:r>
            <w:fldChar w:fldCharType="begin"/>
          </w:r>
          <w:r>
            <w:instrText xml:space="preserve"> HYPERLINK \l _Toc12964 </w:instrText>
          </w:r>
          <w:r>
            <w:fldChar w:fldCharType="separate"/>
          </w:r>
          <w:r>
            <w:rPr>
              <w:rFonts w:hint="eastAsia" w:ascii="仿宋" w:hAnsi="仿宋" w:eastAsia="仿宋" w:cs="仿宋"/>
              <w:szCs w:val="24"/>
            </w:rPr>
            <w:t>（二）分项报价表</w:t>
          </w:r>
          <w:r>
            <w:tab/>
          </w:r>
          <w:r>
            <w:fldChar w:fldCharType="begin"/>
          </w:r>
          <w:r>
            <w:instrText xml:space="preserve"> PAGEREF _Toc12964 \h </w:instrText>
          </w:r>
          <w:r>
            <w:fldChar w:fldCharType="separate"/>
          </w:r>
          <w:r>
            <w:t>74</w:t>
          </w:r>
          <w:r>
            <w:fldChar w:fldCharType="end"/>
          </w:r>
          <w:r>
            <w:fldChar w:fldCharType="end"/>
          </w:r>
        </w:p>
        <w:p>
          <w:r>
            <w:fldChar w:fldCharType="end"/>
          </w:r>
        </w:p>
      </w:sdtContent>
    </w:sdt>
    <w:p>
      <w:pPr>
        <w:pStyle w:val="3"/>
        <w:ind w:left="0" w:firstLine="0"/>
        <w:rPr>
          <w:rFonts w:ascii="仿宋_GB2312" w:hAnsi="宋体" w:eastAsia="仿宋_GB2312"/>
          <w:color w:val="auto"/>
          <w:sz w:val="28"/>
          <w:szCs w:val="28"/>
        </w:rPr>
      </w:pPr>
      <w:bookmarkStart w:id="5" w:name="_Toc27044"/>
      <w:r>
        <w:rPr>
          <w:rFonts w:hint="eastAsia" w:ascii="仿宋_GB2312" w:hAnsi="宋体" w:eastAsia="仿宋_GB2312"/>
          <w:color w:val="auto"/>
          <w:sz w:val="28"/>
          <w:szCs w:val="28"/>
        </w:rPr>
        <w:t>第一章 竞争性磋商邀请</w:t>
      </w:r>
      <w:bookmarkEnd w:id="0"/>
      <w:bookmarkEnd w:id="1"/>
      <w:bookmarkEnd w:id="2"/>
      <w:bookmarkEnd w:id="3"/>
      <w:bookmarkEnd w:id="4"/>
      <w:bookmarkEnd w:id="5"/>
    </w:p>
    <w:p>
      <w:pPr>
        <w:wordWrap w:val="0"/>
        <w:spacing w:line="360" w:lineRule="auto"/>
        <w:ind w:firstLine="480" w:firstLineChars="200"/>
        <w:textAlignment w:val="baseline"/>
        <w:rPr>
          <w:rFonts w:hint="eastAsia" w:ascii="仿宋" w:hAnsi="仿宋" w:eastAsia="仿宋" w:cs="仿宋"/>
          <w:color w:val="auto"/>
        </w:rPr>
      </w:pPr>
      <w:r>
        <w:rPr>
          <w:rFonts w:hint="eastAsia" w:ascii="仿宋_GB2312" w:hAnsi="宋体" w:eastAsia="仿宋_GB2312"/>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w:t>
      </w:r>
      <w:r>
        <w:rPr>
          <w:rFonts w:hint="eastAsia" w:ascii="仿宋" w:hAnsi="仿宋" w:eastAsia="仿宋" w:cs="仿宋"/>
          <w:color w:val="auto"/>
          <w:u w:val="single"/>
          <w:lang w:val="en-US" w:eastAsia="zh-CN"/>
        </w:rPr>
        <w:t>四川省</w:t>
      </w:r>
      <w:r>
        <w:rPr>
          <w:rFonts w:hint="eastAsia" w:ascii="仿宋" w:hAnsi="仿宋" w:eastAsia="仿宋" w:cs="仿宋"/>
          <w:color w:val="auto"/>
          <w:u w:val="single"/>
        </w:rPr>
        <w:t>绵阳市分公司机关工会2025年度节日慰问品提货券采购项目</w:t>
      </w:r>
      <w:r>
        <w:rPr>
          <w:rFonts w:hint="eastAsia" w:ascii="仿宋" w:hAnsi="仿宋" w:eastAsia="仿宋" w:cs="仿宋"/>
          <w:color w:val="auto"/>
        </w:rPr>
        <w:t>（采购项目编号：XM25FGPC000850 ）由中国人民财产保险股份有限公司绵阳分公司</w:t>
      </w:r>
      <w:r>
        <w:rPr>
          <w:rFonts w:hint="eastAsia" w:ascii="仿宋" w:hAnsi="仿宋" w:eastAsia="仿宋" w:cs="仿宋"/>
          <w:color w:val="auto"/>
          <w:lang w:val="en-US" w:eastAsia="zh-CN"/>
        </w:rPr>
        <w:t>工会委员会</w:t>
      </w:r>
      <w:r>
        <w:rPr>
          <w:rFonts w:hint="eastAsia" w:ascii="仿宋" w:hAnsi="仿宋" w:eastAsia="仿宋" w:cs="仿宋"/>
          <w:color w:val="auto"/>
        </w:rPr>
        <w:t>（以下简称“采购人”）批准并落实资金，组织本项目的磋商工作，采购合同由中国人民财产保险股份有限公司绵阳分公司</w:t>
      </w:r>
      <w:r>
        <w:rPr>
          <w:rFonts w:hint="eastAsia" w:ascii="仿宋" w:hAnsi="仿宋" w:eastAsia="仿宋" w:cs="仿宋"/>
          <w:color w:val="auto"/>
          <w:lang w:val="en-US" w:eastAsia="zh-CN"/>
        </w:rPr>
        <w:t>工会委员会</w:t>
      </w:r>
      <w:r>
        <w:rPr>
          <w:rFonts w:hint="eastAsia" w:ascii="仿宋" w:hAnsi="仿宋" w:eastAsia="仿宋" w:cs="仿宋"/>
          <w:color w:val="auto"/>
        </w:rPr>
        <w:t>（以下简称“</w:t>
      </w:r>
      <w:r>
        <w:rPr>
          <w:rFonts w:hint="eastAsia" w:ascii="仿宋" w:hAnsi="仿宋" w:eastAsia="仿宋" w:cs="仿宋"/>
          <w:color w:val="auto"/>
          <w:lang w:val="en-US" w:eastAsia="zh-CN"/>
        </w:rPr>
        <w:t>采购人</w:t>
      </w:r>
      <w:r>
        <w:rPr>
          <w:rFonts w:hint="eastAsia" w:ascii="仿宋" w:hAnsi="仿宋" w:eastAsia="仿宋" w:cs="仿宋"/>
          <w:color w:val="auto"/>
        </w:rPr>
        <w:t xml:space="preserve">”）根据成交结果与成交人签署。现通过竞争性磋商方式实施，有意向且具有提供标的物能力的潜在供应商（以下简称“供应商”）可前来参与磋商响应。 </w:t>
      </w:r>
    </w:p>
    <w:p>
      <w:pPr>
        <w:pStyle w:val="4"/>
        <w:jc w:val="left"/>
        <w:rPr>
          <w:rFonts w:ascii="仿宋" w:hAnsi="仿宋" w:eastAsia="仿宋" w:cs="仿宋"/>
          <w:color w:val="000000"/>
          <w:sz w:val="24"/>
          <w:szCs w:val="24"/>
        </w:rPr>
      </w:pPr>
      <w:bookmarkStart w:id="6" w:name="_Toc186737791"/>
      <w:bookmarkStart w:id="7" w:name="_Toc30586"/>
      <w:bookmarkStart w:id="8" w:name="_Toc21020"/>
      <w:bookmarkStart w:id="9" w:name="_Toc26685"/>
      <w:bookmarkStart w:id="10" w:name="_Toc15676"/>
      <w:bookmarkStart w:id="11" w:name="_Toc21237"/>
      <w:r>
        <w:rPr>
          <w:rFonts w:hint="eastAsia" w:ascii="仿宋" w:hAnsi="仿宋" w:eastAsia="仿宋" w:cs="仿宋"/>
          <w:color w:val="000000"/>
          <w:sz w:val="24"/>
          <w:szCs w:val="24"/>
        </w:rPr>
        <w:t>一、项目概况与采购范围</w:t>
      </w:r>
      <w:bookmarkEnd w:id="6"/>
      <w:bookmarkEnd w:id="7"/>
      <w:bookmarkEnd w:id="8"/>
      <w:bookmarkEnd w:id="9"/>
      <w:bookmarkEnd w:id="10"/>
      <w:bookmarkEnd w:id="11"/>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000000"/>
        </w:rPr>
        <w:t>1.1 项目</w:t>
      </w:r>
      <w:r>
        <w:rPr>
          <w:rFonts w:hint="eastAsia" w:ascii="仿宋" w:hAnsi="仿宋" w:eastAsia="仿宋" w:cs="仿宋"/>
          <w:color w:val="auto"/>
        </w:rPr>
        <w:t>名称：人保财险</w:t>
      </w:r>
      <w:r>
        <w:rPr>
          <w:rFonts w:hint="eastAsia" w:ascii="仿宋" w:hAnsi="仿宋" w:eastAsia="仿宋" w:cs="仿宋"/>
          <w:color w:val="auto"/>
          <w:lang w:val="en-US" w:eastAsia="zh-CN"/>
        </w:rPr>
        <w:t>四川省</w:t>
      </w:r>
      <w:r>
        <w:rPr>
          <w:rFonts w:hint="eastAsia" w:ascii="仿宋" w:hAnsi="仿宋" w:eastAsia="仿宋" w:cs="仿宋"/>
          <w:color w:val="auto"/>
        </w:rPr>
        <w:t>绵阳市分公司机关工会2025年度节日慰问品提货券采购项目。</w:t>
      </w:r>
    </w:p>
    <w:p>
      <w:pPr>
        <w:spacing w:after="156" w:afterLines="50" w:line="360" w:lineRule="auto"/>
        <w:ind w:firstLine="480" w:firstLineChars="200"/>
        <w:rPr>
          <w:rFonts w:hint="eastAsia" w:ascii="仿宋" w:hAnsi="仿宋" w:eastAsia="仿宋" w:cs="仿宋"/>
          <w:color w:val="000000"/>
        </w:rPr>
      </w:pPr>
      <w:r>
        <w:rPr>
          <w:rFonts w:hint="eastAsia" w:ascii="仿宋" w:hAnsi="仿宋" w:eastAsia="仿宋" w:cs="仿宋"/>
          <w:color w:val="000000"/>
        </w:rPr>
        <w:t>1.2 采购</w:t>
      </w:r>
      <w:r>
        <w:rPr>
          <w:rFonts w:hint="eastAsia" w:ascii="仿宋" w:hAnsi="仿宋" w:eastAsia="仿宋" w:cs="仿宋"/>
          <w:color w:val="auto"/>
        </w:rPr>
        <w:t>范围：本项目拟采购</w:t>
      </w:r>
      <w:r>
        <w:rPr>
          <w:rFonts w:hint="eastAsia" w:ascii="仿宋" w:hAnsi="仿宋" w:eastAsia="仿宋" w:cs="仿宋"/>
          <w:color w:val="auto"/>
          <w:lang w:val="en-US" w:eastAsia="zh-CN"/>
        </w:rPr>
        <w:t>2025年度节日慰问品提货券</w:t>
      </w:r>
      <w:r>
        <w:rPr>
          <w:rFonts w:hint="eastAsia" w:ascii="仿宋" w:hAnsi="仿宋" w:eastAsia="仿宋" w:cs="仿宋"/>
          <w:color w:val="000000"/>
        </w:rPr>
        <w:t>，具体要求详见第五章采购需求。</w:t>
      </w:r>
    </w:p>
    <w:p>
      <w:pPr>
        <w:spacing w:after="156" w:afterLines="50"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000000"/>
        </w:rPr>
        <w:t xml:space="preserve">1.3 </w:t>
      </w:r>
      <w:r>
        <w:rPr>
          <w:rFonts w:hint="eastAsia" w:ascii="仿宋" w:hAnsi="仿宋" w:eastAsia="仿宋" w:cs="仿宋"/>
        </w:rPr>
        <w:t>标</w:t>
      </w:r>
      <w:r>
        <w:rPr>
          <w:rFonts w:hint="eastAsia" w:ascii="仿宋" w:hAnsi="仿宋" w:eastAsia="仿宋" w:cs="仿宋"/>
          <w:color w:val="auto"/>
        </w:rPr>
        <w:t>包划分：</w:t>
      </w:r>
      <w:r>
        <w:rPr>
          <w:rFonts w:hint="eastAsia" w:ascii="仿宋" w:hAnsi="仿宋" w:eastAsia="仿宋" w:cs="仿宋"/>
          <w:color w:val="000000"/>
          <w:lang w:val="en-US" w:eastAsia="zh-CN"/>
        </w:rPr>
        <w:t>本项目不划分标包。</w:t>
      </w:r>
    </w:p>
    <w:p>
      <w:pPr>
        <w:adjustRightInd w:val="0"/>
        <w:snapToGrid w:val="0"/>
        <w:spacing w:line="360" w:lineRule="auto"/>
        <w:ind w:firstLine="480" w:firstLineChars="200"/>
        <w:rPr>
          <w:rFonts w:hint="eastAsia"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项目性质：货物。</w:t>
      </w:r>
    </w:p>
    <w:p>
      <w:pPr>
        <w:adjustRightInd w:val="0"/>
        <w:snapToGrid w:val="0"/>
        <w:spacing w:line="360" w:lineRule="auto"/>
        <w:ind w:firstLine="480" w:firstLineChars="200"/>
        <w:rPr>
          <w:rFonts w:hint="eastAsia" w:ascii="仿宋" w:hAnsi="仿宋" w:eastAsia="仿宋" w:cs="宋体"/>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000000"/>
        </w:rPr>
        <w:t>自合同签订之日起</w:t>
      </w:r>
      <w:r>
        <w:rPr>
          <w:rFonts w:hint="eastAsia" w:ascii="仿宋" w:hAnsi="仿宋" w:eastAsia="仿宋" w:cs="宋体"/>
          <w:color w:val="000000"/>
          <w:lang w:val="en-US" w:eastAsia="zh-CN"/>
        </w:rPr>
        <w:t>1</w:t>
      </w:r>
      <w:r>
        <w:rPr>
          <w:rFonts w:hint="eastAsia" w:ascii="仿宋" w:hAnsi="仿宋" w:eastAsia="仿宋" w:cs="宋体"/>
          <w:color w:val="000000"/>
        </w:rPr>
        <w:t>年</w:t>
      </w:r>
      <w:r>
        <w:rPr>
          <w:rFonts w:hint="eastAsia" w:ascii="仿宋" w:hAnsi="仿宋" w:eastAsia="仿宋" w:cs="仿宋"/>
          <w:color w:val="auto"/>
        </w:rPr>
        <w:t>。</w:t>
      </w:r>
    </w:p>
    <w:p>
      <w:pPr>
        <w:adjustRightInd w:val="0"/>
        <w:snapToGrid w:val="0"/>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1.6服务地点/交货地点：</w:t>
      </w:r>
      <w:r>
        <w:rPr>
          <w:rFonts w:hint="eastAsia" w:ascii="仿宋" w:hAnsi="仿宋" w:eastAsia="仿宋" w:cs="宋体"/>
          <w:color w:val="000000"/>
          <w:lang w:val="en-US" w:eastAsia="zh-CN"/>
        </w:rPr>
        <w:t>南河路3号人保大厦</w:t>
      </w:r>
      <w:r>
        <w:rPr>
          <w:rFonts w:hint="eastAsia" w:ascii="仿宋" w:hAnsi="仿宋" w:eastAsia="仿宋" w:cs="宋体"/>
          <w:color w:val="000000"/>
        </w:rPr>
        <w:t>。</w:t>
      </w:r>
    </w:p>
    <w:p>
      <w:pPr>
        <w:adjustRightInd w:val="0"/>
        <w:snapToGrid w:val="0"/>
        <w:spacing w:line="360" w:lineRule="auto"/>
        <w:ind w:firstLine="480" w:firstLineChars="200"/>
        <w:rPr>
          <w:rFonts w:hint="default" w:ascii="仿宋" w:hAnsi="仿宋" w:eastAsia="仿宋" w:cs="宋体"/>
          <w:color w:val="000000"/>
          <w:lang w:val="en-US" w:eastAsia="zh-CN"/>
        </w:rPr>
      </w:pPr>
      <w:r>
        <w:rPr>
          <w:rFonts w:hint="eastAsia" w:ascii="仿宋" w:hAnsi="仿宋" w:eastAsia="仿宋" w:cs="宋体"/>
          <w:color w:val="000000"/>
        </w:rPr>
        <w:t>1.7 项目限价：项目设置最高限价，即供应商报价不得高于</w:t>
      </w:r>
      <w:r>
        <w:rPr>
          <w:rFonts w:hint="eastAsia" w:ascii="仿宋" w:hAnsi="仿宋" w:eastAsia="仿宋" w:cs="宋体"/>
          <w:color w:val="000000"/>
          <w:lang w:val="en-US" w:eastAsia="zh-CN"/>
        </w:rPr>
        <w:t>266000元。</w:t>
      </w:r>
    </w:p>
    <w:p>
      <w:pPr>
        <w:pStyle w:val="4"/>
        <w:jc w:val="left"/>
        <w:rPr>
          <w:rFonts w:ascii="仿宋" w:hAnsi="仿宋" w:eastAsia="仿宋" w:cs="仿宋"/>
          <w:color w:val="000000"/>
          <w:sz w:val="24"/>
          <w:szCs w:val="24"/>
        </w:rPr>
      </w:pPr>
      <w:bookmarkStart w:id="12" w:name="_Toc186737792"/>
      <w:bookmarkStart w:id="13" w:name="_Toc3907"/>
      <w:bookmarkStart w:id="14" w:name="_Toc17569"/>
      <w:bookmarkStart w:id="15" w:name="_Toc27289"/>
      <w:bookmarkStart w:id="16" w:name="_Toc5068"/>
      <w:bookmarkStart w:id="17" w:name="_Toc18652"/>
      <w:r>
        <w:rPr>
          <w:rFonts w:hint="eastAsia" w:ascii="仿宋" w:hAnsi="仿宋" w:eastAsia="仿宋" w:cs="仿宋"/>
          <w:color w:val="000000"/>
          <w:sz w:val="24"/>
          <w:szCs w:val="24"/>
        </w:rPr>
        <w:t>二、供应商资格要求</w:t>
      </w:r>
      <w:bookmarkEnd w:id="12"/>
      <w:bookmarkEnd w:id="13"/>
      <w:bookmarkEnd w:id="14"/>
      <w:bookmarkEnd w:id="15"/>
      <w:bookmarkEnd w:id="16"/>
      <w:bookmarkEnd w:id="17"/>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2.2具有良好的商业信誉和健全的财务会计制度，需提供</w:t>
      </w:r>
      <w:r>
        <w:rPr>
          <w:rFonts w:hint="eastAsia" w:ascii="仿宋" w:hAnsi="仿宋" w:eastAsia="仿宋" w:cs="宋体"/>
          <w:color w:val="000000"/>
          <w:lang w:val="en-US" w:eastAsia="zh-CN"/>
        </w:rPr>
        <w:t>2023年度或</w:t>
      </w:r>
      <w:r>
        <w:rPr>
          <w:rFonts w:hint="eastAsia" w:ascii="仿宋" w:hAnsi="仿宋" w:eastAsia="仿宋" w:cs="宋体"/>
          <w:color w:val="000000"/>
        </w:rPr>
        <w:t>20</w:t>
      </w:r>
      <w:r>
        <w:rPr>
          <w:rFonts w:hint="eastAsia" w:ascii="仿宋" w:hAnsi="仿宋" w:eastAsia="仿宋" w:cs="宋体"/>
          <w:color w:val="000000"/>
          <w:lang w:val="en-US" w:eastAsia="zh-CN"/>
        </w:rPr>
        <w:t>24</w:t>
      </w:r>
      <w:r>
        <w:rPr>
          <w:rFonts w:hint="eastAsia" w:ascii="仿宋" w:hAnsi="仿宋" w:eastAsia="仿宋" w:cs="宋体"/>
          <w:color w:val="000000"/>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格式详见第六章响应文件格式。</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，近三年（20</w:t>
      </w:r>
      <w:r>
        <w:rPr>
          <w:rFonts w:hint="eastAsia" w:ascii="仿宋" w:hAnsi="仿宋" w:eastAsia="仿宋" w:cs="宋体"/>
          <w:color w:val="000000"/>
          <w:lang w:val="en-US" w:eastAsia="zh-CN"/>
        </w:rPr>
        <w:t>22</w:t>
      </w:r>
      <w:r>
        <w:rPr>
          <w:rFonts w:hint="eastAsia" w:ascii="仿宋" w:hAnsi="仿宋" w:eastAsia="仿宋" w:cs="宋体"/>
          <w:color w:val="000000"/>
        </w:rPr>
        <w:t>年1月1日至今）应具有1个</w:t>
      </w:r>
      <w:r>
        <w:rPr>
          <w:rFonts w:hint="eastAsia" w:ascii="仿宋" w:hAnsi="仿宋" w:eastAsia="仿宋" w:cs="宋体"/>
          <w:color w:val="000000"/>
          <w:lang w:val="en-US" w:eastAsia="zh-CN"/>
        </w:rPr>
        <w:t>26.60</w:t>
      </w:r>
      <w:r>
        <w:rPr>
          <w:rFonts w:hint="eastAsia" w:ascii="仿宋" w:hAnsi="仿宋" w:eastAsia="仿宋" w:cs="宋体"/>
          <w:color w:val="000000"/>
        </w:rPr>
        <w:t>万元(含)以上同类项目实施案例，并提供符合上述要求的合同关键页作为有效的业绩证明材料。合同关键页包含但不限于合同首页、合同标的页、签署日期页及盖章页，格式详见第六章响应文件格式。</w:t>
      </w:r>
    </w:p>
    <w:p>
      <w:pPr>
        <w:spacing w:line="360" w:lineRule="auto"/>
        <w:ind w:firstLine="480" w:firstLineChars="200"/>
        <w:textAlignment w:val="baseline"/>
        <w:rPr>
          <w:rFonts w:hint="eastAsia" w:ascii="仿宋" w:hAnsi="仿宋" w:eastAsia="仿宋" w:cs="宋体"/>
          <w:color w:val="FF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供应商应经营状况良好，且近三年内（20</w:t>
      </w:r>
      <w:r>
        <w:rPr>
          <w:rFonts w:hint="eastAsia" w:ascii="仿宋" w:hAnsi="仿宋" w:eastAsia="仿宋" w:cs="宋体"/>
          <w:b/>
          <w:bCs/>
          <w:color w:val="000000"/>
          <w:lang w:val="en-US" w:eastAsia="zh-CN"/>
        </w:rPr>
        <w:t>22</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信用中国查询网址：</w:t>
      </w:r>
      <w:r>
        <w:rPr>
          <w:rFonts w:hint="eastAsia" w:ascii="仿宋" w:hAnsi="仿宋" w:eastAsia="仿宋" w:cs="宋体"/>
          <w:color w:val="000000"/>
          <w:sz w:val="21"/>
          <w:szCs w:val="21"/>
        </w:rPr>
        <w:t>https://www.creditchina.gov.cn/xinyongfuwu/?navPage=5</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2.8本项目不接受联合体磋商响应。提供承诺函，格式详见第六章响应文件格式。</w:t>
      </w:r>
    </w:p>
    <w:p>
      <w:pPr>
        <w:pStyle w:val="4"/>
        <w:spacing w:after="240"/>
        <w:jc w:val="left"/>
        <w:rPr>
          <w:rFonts w:ascii="仿宋" w:hAnsi="仿宋" w:eastAsia="仿宋" w:cs="仿宋"/>
          <w:color w:val="000000"/>
          <w:sz w:val="24"/>
          <w:szCs w:val="24"/>
        </w:rPr>
      </w:pPr>
      <w:bookmarkStart w:id="18" w:name="_Toc20860"/>
      <w:bookmarkStart w:id="19" w:name="_Toc32373"/>
      <w:bookmarkStart w:id="20" w:name="_Toc30733"/>
      <w:bookmarkStart w:id="21" w:name="_Toc186737793"/>
      <w:bookmarkStart w:id="22" w:name="_Toc2019"/>
      <w:bookmarkStart w:id="23" w:name="_Toc13742"/>
      <w:r>
        <w:rPr>
          <w:rFonts w:hint="eastAsia" w:ascii="仿宋" w:hAnsi="仿宋" w:eastAsia="仿宋" w:cs="仿宋"/>
          <w:color w:val="000000"/>
          <w:sz w:val="24"/>
          <w:szCs w:val="24"/>
        </w:rPr>
        <w:t>三、磋商文件的获取</w:t>
      </w:r>
      <w:bookmarkEnd w:id="18"/>
      <w:bookmarkEnd w:id="19"/>
      <w:bookmarkEnd w:id="20"/>
      <w:bookmarkEnd w:id="21"/>
      <w:bookmarkEnd w:id="22"/>
      <w:bookmarkEnd w:id="23"/>
    </w:p>
    <w:p>
      <w:pPr>
        <w:pStyle w:val="65"/>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3</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7</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3</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11</w:t>
      </w:r>
      <w:r>
        <w:rPr>
          <w:rFonts w:hint="eastAsia" w:ascii="仿宋" w:hAnsi="仿宋" w:eastAsia="仿宋" w:cs="宋体"/>
          <w:b/>
          <w:color w:val="FF0000"/>
          <w:sz w:val="24"/>
          <w:szCs w:val="24"/>
          <w:u w:val="single"/>
        </w:rPr>
        <w:t>日，</w:t>
      </w:r>
      <w:r>
        <w:rPr>
          <w:rFonts w:hint="eastAsia" w:ascii="仿宋" w:hAnsi="仿宋" w:eastAsia="仿宋" w:cs="宋体"/>
          <w:color w:val="FF0000"/>
          <w:sz w:val="24"/>
          <w:szCs w:val="24"/>
        </w:rPr>
        <w:t>上午</w:t>
      </w:r>
      <w:r>
        <w:rPr>
          <w:rFonts w:hint="eastAsia" w:ascii="仿宋" w:hAnsi="仿宋" w:eastAsia="仿宋" w:cs="宋体"/>
          <w:color w:val="FF0000"/>
          <w:sz w:val="24"/>
          <w:szCs w:val="24"/>
          <w:lang w:val="en-US" w:eastAsia="zh-CN"/>
        </w:rPr>
        <w:t>9</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12</w:t>
      </w:r>
      <w:r>
        <w:rPr>
          <w:rFonts w:hint="eastAsia" w:ascii="仿宋" w:hAnsi="仿宋" w:eastAsia="仿宋" w:cs="宋体"/>
          <w:color w:val="FF0000"/>
          <w:sz w:val="24"/>
          <w:szCs w:val="24"/>
        </w:rPr>
        <w:t>时，下午</w:t>
      </w:r>
      <w:r>
        <w:rPr>
          <w:rFonts w:hint="eastAsia" w:ascii="仿宋" w:hAnsi="仿宋" w:eastAsia="仿宋" w:cs="宋体"/>
          <w:color w:val="FF0000"/>
          <w:sz w:val="24"/>
          <w:szCs w:val="24"/>
          <w:lang w:val="en-US" w:eastAsia="zh-CN"/>
        </w:rPr>
        <w:t>12</w:t>
      </w:r>
      <w:bookmarkStart w:id="348" w:name="_GoBack"/>
      <w:bookmarkEnd w:id="348"/>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18</w:t>
      </w:r>
      <w:r>
        <w:rPr>
          <w:rFonts w:hint="eastAsia" w:ascii="仿宋" w:hAnsi="仿宋" w:eastAsia="仿宋" w:cs="宋体"/>
          <w:color w:val="FF0000"/>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请通过“人保e采”外网门户获取磋商文件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24" w:name="_Toc32115"/>
      <w:bookmarkStart w:id="25" w:name="_Toc3351"/>
      <w:bookmarkStart w:id="26" w:name="_Toc186737794"/>
      <w:bookmarkStart w:id="27" w:name="_Toc18746"/>
      <w:bookmarkStart w:id="28" w:name="_Toc19782"/>
      <w:bookmarkStart w:id="29" w:name="_Toc29694"/>
      <w:r>
        <w:rPr>
          <w:rFonts w:hint="eastAsia" w:ascii="仿宋" w:hAnsi="仿宋" w:eastAsia="仿宋" w:cs="仿宋"/>
          <w:color w:val="000000"/>
          <w:sz w:val="24"/>
          <w:szCs w:val="24"/>
        </w:rPr>
        <w:t>四、响应文件的递交</w:t>
      </w:r>
      <w:bookmarkEnd w:id="24"/>
      <w:bookmarkEnd w:id="25"/>
      <w:bookmarkEnd w:id="26"/>
      <w:bookmarkEnd w:id="27"/>
      <w:bookmarkEnd w:id="28"/>
      <w:bookmarkEnd w:id="2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FF0000"/>
          <w:u w:val="single"/>
        </w:rPr>
        <w:t>20</w:t>
      </w:r>
      <w:r>
        <w:rPr>
          <w:rFonts w:hint="eastAsia" w:ascii="仿宋" w:hAnsi="仿宋" w:eastAsia="仿宋" w:cs="宋体"/>
          <w:color w:val="FF0000"/>
          <w:u w:val="single"/>
          <w:lang w:val="en-US" w:eastAsia="zh-CN"/>
        </w:rPr>
        <w:t>25</w:t>
      </w:r>
      <w:r>
        <w:rPr>
          <w:rFonts w:hint="eastAsia" w:ascii="仿宋" w:hAnsi="仿宋" w:eastAsia="仿宋" w:cs="宋体"/>
          <w:color w:val="FF0000"/>
          <w:u w:val="single"/>
        </w:rPr>
        <w:t>年</w:t>
      </w:r>
      <w:r>
        <w:rPr>
          <w:rFonts w:hint="eastAsia" w:ascii="仿宋" w:hAnsi="仿宋" w:eastAsia="仿宋" w:cs="宋体"/>
          <w:color w:val="FF0000"/>
          <w:u w:val="single"/>
          <w:lang w:val="en-US" w:eastAsia="zh-CN"/>
        </w:rPr>
        <w:t>3</w:t>
      </w:r>
      <w:r>
        <w:rPr>
          <w:rFonts w:hint="eastAsia" w:ascii="仿宋" w:hAnsi="仿宋" w:eastAsia="仿宋" w:cs="宋体"/>
          <w:color w:val="FF0000"/>
          <w:u w:val="single"/>
        </w:rPr>
        <w:t>月</w:t>
      </w:r>
      <w:r>
        <w:rPr>
          <w:rFonts w:hint="eastAsia" w:ascii="仿宋" w:hAnsi="仿宋" w:eastAsia="仿宋" w:cs="宋体"/>
          <w:color w:val="FF0000"/>
          <w:u w:val="single"/>
          <w:lang w:val="en-US" w:eastAsia="zh-CN"/>
        </w:rPr>
        <w:t>17</w:t>
      </w:r>
      <w:r>
        <w:rPr>
          <w:rFonts w:hint="eastAsia" w:ascii="仿宋" w:hAnsi="仿宋" w:eastAsia="仿宋" w:cs="宋体"/>
          <w:color w:val="FF0000"/>
          <w:u w:val="single"/>
        </w:rPr>
        <w:t>日</w:t>
      </w:r>
      <w:r>
        <w:rPr>
          <w:rFonts w:hint="eastAsia" w:ascii="仿宋" w:hAnsi="仿宋" w:eastAsia="仿宋" w:cs="宋体"/>
          <w:color w:val="FF0000"/>
          <w:u w:val="single"/>
          <w:lang w:val="en-US" w:eastAsia="zh-CN"/>
        </w:rPr>
        <w:t>14</w:t>
      </w:r>
      <w:r>
        <w:rPr>
          <w:rFonts w:hint="eastAsia" w:ascii="仿宋" w:hAnsi="仿宋" w:eastAsia="仿宋" w:cs="宋体"/>
          <w:color w:val="FF0000"/>
          <w:u w:val="single"/>
        </w:rPr>
        <w:t>时</w:t>
      </w:r>
      <w:r>
        <w:rPr>
          <w:rFonts w:hint="eastAsia" w:ascii="仿宋" w:hAnsi="仿宋" w:eastAsia="仿宋" w:cs="宋体"/>
          <w:color w:val="FF0000"/>
          <w:u w:val="single"/>
          <w:lang w:val="en-US" w:eastAsia="zh-CN"/>
        </w:rPr>
        <w:t>00</w:t>
      </w:r>
      <w:r>
        <w:rPr>
          <w:rFonts w:hint="eastAsia" w:ascii="仿宋" w:hAnsi="仿宋" w:eastAsia="仿宋" w:cs="宋体"/>
          <w:color w:val="FF0000"/>
          <w:u w:val="single"/>
        </w:rPr>
        <w:t>分00秒</w:t>
      </w:r>
      <w:r>
        <w:rPr>
          <w:rFonts w:hint="eastAsia" w:ascii="仿宋" w:hAnsi="仿宋" w:eastAsia="仿宋" w:cs="宋体"/>
          <w:color w:val="FF0000"/>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w:t>
      </w:r>
      <w:r>
        <w:rPr>
          <w:rFonts w:hint="eastAsia" w:ascii="仿宋" w:hAnsi="仿宋" w:eastAsia="仿宋" w:cs="宋体"/>
          <w:color w:val="auto"/>
        </w:rPr>
        <w:t>交：须现场递交（</w:t>
      </w:r>
      <w:r>
        <w:rPr>
          <w:rFonts w:hint="eastAsia" w:ascii="仿宋" w:hAnsi="仿宋" w:eastAsia="仿宋" w:cs="宋体"/>
          <w:color w:val="auto"/>
          <w:u w:val="single"/>
          <w:lang w:val="en-US" w:eastAsia="zh-CN"/>
        </w:rPr>
        <w:t>绵阳</w:t>
      </w:r>
      <w:r>
        <w:rPr>
          <w:rFonts w:hint="eastAsia" w:ascii="仿宋" w:hAnsi="仿宋" w:eastAsia="仿宋" w:cs="宋体"/>
          <w:color w:val="auto"/>
          <w:u w:val="single"/>
        </w:rPr>
        <w:t>市</w:t>
      </w:r>
      <w:r>
        <w:rPr>
          <w:rFonts w:hint="eastAsia" w:ascii="仿宋" w:hAnsi="仿宋" w:eastAsia="仿宋" w:cs="宋体"/>
          <w:color w:val="auto"/>
          <w:u w:val="single"/>
          <w:lang w:val="en-US" w:eastAsia="zh-CN"/>
        </w:rPr>
        <w:t>涪城</w:t>
      </w:r>
      <w:r>
        <w:rPr>
          <w:rFonts w:hint="eastAsia" w:ascii="仿宋" w:hAnsi="仿宋" w:eastAsia="仿宋" w:cs="宋体"/>
          <w:color w:val="auto"/>
          <w:u w:val="single"/>
        </w:rPr>
        <w:t>区</w:t>
      </w:r>
      <w:r>
        <w:rPr>
          <w:rFonts w:hint="eastAsia" w:ascii="仿宋" w:hAnsi="仿宋" w:eastAsia="仿宋" w:cs="宋体"/>
          <w:color w:val="auto"/>
          <w:u w:val="single"/>
          <w:lang w:val="en-US" w:eastAsia="zh-CN"/>
        </w:rPr>
        <w:t>南河路3号6楼综合部</w:t>
      </w:r>
      <w:r>
        <w:rPr>
          <w:rFonts w:hint="eastAsia" w:ascii="仿宋" w:hAnsi="仿宋" w:eastAsia="仿宋" w:cs="Cambria Math"/>
          <w:color w:val="auto"/>
          <w:lang w:eastAsia="zh-CN"/>
        </w:rPr>
        <w:t>）</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4"/>
        <w:jc w:val="left"/>
        <w:rPr>
          <w:rFonts w:ascii="仿宋" w:hAnsi="仿宋" w:eastAsia="仿宋" w:cs="仿宋"/>
          <w:color w:val="000000"/>
          <w:sz w:val="24"/>
          <w:szCs w:val="24"/>
        </w:rPr>
      </w:pPr>
      <w:bookmarkStart w:id="30" w:name="_Toc31400"/>
      <w:bookmarkStart w:id="31" w:name="_Toc25523"/>
      <w:bookmarkStart w:id="32" w:name="_Toc7163"/>
      <w:bookmarkStart w:id="33" w:name="_Toc874"/>
      <w:bookmarkStart w:id="34" w:name="_Toc186737795"/>
      <w:bookmarkStart w:id="35" w:name="_Toc10592"/>
      <w:r>
        <w:rPr>
          <w:rFonts w:hint="eastAsia" w:ascii="仿宋" w:hAnsi="仿宋" w:eastAsia="仿宋" w:cs="仿宋"/>
          <w:color w:val="000000"/>
          <w:sz w:val="24"/>
          <w:szCs w:val="24"/>
        </w:rPr>
        <w:t>五、发布公告的媒介</w:t>
      </w:r>
      <w:bookmarkEnd w:id="30"/>
      <w:bookmarkEnd w:id="31"/>
      <w:bookmarkEnd w:id="32"/>
      <w:bookmarkEnd w:id="33"/>
      <w:bookmarkEnd w:id="34"/>
      <w:bookmarkEnd w:id="35"/>
    </w:p>
    <w:p>
      <w:pPr>
        <w:spacing w:line="360" w:lineRule="auto"/>
        <w:ind w:firstLine="480" w:firstLineChars="200"/>
        <w:textAlignment w:val="baseline"/>
        <w:rPr>
          <w:rFonts w:hint="eastAsia" w:ascii="仿宋" w:hAnsi="仿宋" w:eastAsia="仿宋" w:cs="仿宋"/>
          <w:color w:val="000000"/>
        </w:rPr>
      </w:pPr>
      <w:r>
        <w:rPr>
          <w:rFonts w:hint="eastAsia" w:ascii="仿宋" w:hAnsi="仿宋" w:eastAsia="仿宋" w:cs="仿宋"/>
          <w:color w:val="000000"/>
        </w:rPr>
        <w:t>本项目磋商公告同时在“人保e采”外网门户（https://ec.picc.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4"/>
        <w:jc w:val="left"/>
        <w:rPr>
          <w:rFonts w:ascii="仿宋" w:hAnsi="仿宋" w:eastAsia="仿宋" w:cs="仿宋"/>
          <w:color w:val="000000"/>
          <w:sz w:val="24"/>
          <w:szCs w:val="24"/>
        </w:rPr>
      </w:pPr>
      <w:bookmarkStart w:id="36" w:name="_Toc30596"/>
      <w:bookmarkStart w:id="37" w:name="_Toc8735"/>
      <w:bookmarkStart w:id="38" w:name="_Toc12965"/>
      <w:bookmarkStart w:id="39" w:name="_Toc4373"/>
      <w:bookmarkStart w:id="40" w:name="_Toc186737796"/>
      <w:bookmarkStart w:id="41" w:name="_Toc29679"/>
      <w:r>
        <w:rPr>
          <w:rFonts w:hint="eastAsia" w:ascii="仿宋" w:hAnsi="仿宋" w:eastAsia="仿宋" w:cs="仿宋"/>
          <w:color w:val="000000"/>
          <w:sz w:val="24"/>
          <w:szCs w:val="24"/>
        </w:rPr>
        <w:t>六、联系方式</w:t>
      </w:r>
      <w:bookmarkEnd w:id="36"/>
      <w:bookmarkEnd w:id="37"/>
      <w:bookmarkEnd w:id="38"/>
      <w:bookmarkEnd w:id="39"/>
      <w:bookmarkEnd w:id="40"/>
      <w:bookmarkEnd w:id="41"/>
    </w:p>
    <w:p>
      <w:pPr>
        <w:tabs>
          <w:tab w:val="left" w:pos="-105"/>
          <w:tab w:val="left" w:pos="420"/>
          <w:tab w:val="left" w:pos="630"/>
          <w:tab w:val="left" w:pos="1155"/>
          <w:tab w:val="left" w:pos="1890"/>
          <w:tab w:val="left" w:pos="3150"/>
          <w:tab w:val="left" w:pos="3780"/>
        </w:tabs>
        <w:spacing w:line="360" w:lineRule="auto"/>
        <w:ind w:firstLine="422" w:firstLineChars="175"/>
        <w:rPr>
          <w:rFonts w:hint="default" w:ascii="仿宋" w:hAnsi="仿宋" w:eastAsia="仿宋" w:cs="仿宋"/>
          <w:b/>
          <w:bCs/>
          <w:color w:val="auto"/>
          <w:lang w:val="en-US" w:eastAsia="zh-CN"/>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绵阳市</w:t>
      </w:r>
      <w:r>
        <w:rPr>
          <w:rFonts w:hint="eastAsia" w:ascii="仿宋" w:hAnsi="仿宋" w:eastAsia="仿宋" w:cs="仿宋"/>
          <w:b/>
          <w:bCs/>
          <w:color w:val="auto"/>
        </w:rPr>
        <w:t>分公司</w:t>
      </w:r>
      <w:r>
        <w:rPr>
          <w:rFonts w:hint="eastAsia" w:ascii="仿宋" w:hAnsi="仿宋" w:eastAsia="仿宋" w:cs="仿宋"/>
          <w:b/>
          <w:bCs/>
          <w:color w:val="auto"/>
          <w:lang w:val="en-US" w:eastAsia="zh-CN"/>
        </w:rPr>
        <w:t>工会委员会</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地址：绵阳市涪城区南河路3号6楼综合部</w:t>
      </w:r>
      <w:r>
        <w:rPr>
          <w:rFonts w:ascii="仿宋" w:hAnsi="仿宋" w:eastAsia="仿宋" w:cs="宋体"/>
          <w:color w:val="auto"/>
        </w:rPr>
        <w:t xml:space="preserve"> </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姚婉婷</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0816-2245382、18121891158</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lang w:val="en-US" w:eastAsia="zh-CN"/>
        </w:rPr>
        <w:t>电子邮件：yaowanting@sic.picc.com.cn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hint="default" w:ascii="仿宋" w:hAnsi="仿宋" w:eastAsia="仿宋" w:cs="宋体"/>
          <w:color w:val="auto"/>
          <w:lang w:val="en-US" w:eastAsia="zh-CN"/>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绵阳市</w:t>
      </w:r>
      <w:r>
        <w:rPr>
          <w:rFonts w:hint="eastAsia" w:ascii="仿宋" w:hAnsi="仿宋" w:eastAsia="仿宋" w:cs="宋体"/>
          <w:color w:val="auto"/>
        </w:rPr>
        <w:t>分公司</w:t>
      </w:r>
      <w:r>
        <w:rPr>
          <w:rFonts w:hint="eastAsia" w:ascii="仿宋" w:hAnsi="仿宋" w:eastAsia="仿宋" w:cs="宋体"/>
          <w:color w:val="auto"/>
          <w:lang w:val="en-US" w:eastAsia="zh-CN"/>
        </w:rPr>
        <w:t>工会委员会</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5</w:t>
      </w:r>
      <w:r>
        <w:rPr>
          <w:rFonts w:hint="eastAsia" w:ascii="仿宋" w:hAnsi="仿宋" w:eastAsia="仿宋" w:cs="宋体"/>
          <w:color w:val="auto"/>
        </w:rPr>
        <w:t>年</w:t>
      </w:r>
      <w:r>
        <w:rPr>
          <w:rFonts w:hint="eastAsia" w:ascii="仿宋" w:hAnsi="仿宋" w:eastAsia="仿宋" w:cs="宋体"/>
          <w:color w:val="auto"/>
          <w:lang w:val="en-US" w:eastAsia="zh-CN"/>
        </w:rPr>
        <w:t>2</w:t>
      </w:r>
      <w:r>
        <w:rPr>
          <w:rFonts w:hint="eastAsia" w:ascii="仿宋" w:hAnsi="仿宋" w:eastAsia="仿宋" w:cs="宋体"/>
          <w:color w:val="auto"/>
        </w:rPr>
        <w:t>月</w:t>
      </w:r>
      <w:r>
        <w:rPr>
          <w:rFonts w:hint="eastAsia" w:ascii="仿宋" w:hAnsi="仿宋" w:eastAsia="仿宋" w:cs="宋体"/>
          <w:color w:val="auto"/>
          <w:lang w:val="en-US" w:eastAsia="zh-CN"/>
        </w:rPr>
        <w:t>28</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42" w:name="_Toc19680"/>
      <w:bookmarkStart w:id="43" w:name="_Toc28594"/>
      <w:bookmarkStart w:id="44" w:name="_Toc10769"/>
      <w:bookmarkStart w:id="45" w:name="_Toc2457"/>
      <w:bookmarkStart w:id="46" w:name="_Toc186737797"/>
      <w:bookmarkStart w:id="47" w:name="_Toc16027"/>
      <w:r>
        <w:rPr>
          <w:rFonts w:hint="eastAsia" w:ascii="仿宋_GB2312" w:hAnsi="宋体" w:eastAsia="仿宋_GB2312"/>
          <w:color w:val="auto"/>
          <w:sz w:val="28"/>
          <w:szCs w:val="28"/>
        </w:rPr>
        <w:t>第二章 供应商须知</w:t>
      </w:r>
      <w:bookmarkEnd w:id="42"/>
      <w:bookmarkEnd w:id="43"/>
      <w:bookmarkEnd w:id="44"/>
      <w:bookmarkEnd w:id="45"/>
      <w:bookmarkEnd w:id="46"/>
      <w:bookmarkEnd w:id="47"/>
    </w:p>
    <w:p>
      <w:pPr>
        <w:pStyle w:val="4"/>
        <w:adjustRightInd w:val="0"/>
        <w:snapToGrid w:val="0"/>
        <w:spacing w:before="0" w:after="0"/>
        <w:rPr>
          <w:sz w:val="24"/>
          <w:szCs w:val="24"/>
        </w:rPr>
      </w:pPr>
      <w:bookmarkStart w:id="48" w:name="_Toc186737798"/>
      <w:bookmarkStart w:id="49" w:name="_Toc439"/>
      <w:bookmarkStart w:id="50" w:name="_Toc17685"/>
      <w:bookmarkStart w:id="51" w:name="_Toc24924"/>
      <w:bookmarkStart w:id="52" w:name="_Toc699"/>
      <w:r>
        <w:rPr>
          <w:rFonts w:hint="eastAsia" w:ascii="仿宋" w:hAnsi="仿宋" w:eastAsia="仿宋" w:cs="仿宋"/>
          <w:color w:val="000000"/>
          <w:sz w:val="24"/>
          <w:szCs w:val="24"/>
        </w:rPr>
        <w:t>一、供应商须知前附表</w:t>
      </w:r>
      <w:bookmarkEnd w:id="48"/>
      <w:bookmarkEnd w:id="49"/>
      <w:bookmarkEnd w:id="50"/>
      <w:bookmarkEnd w:id="51"/>
      <w:bookmarkEnd w:id="52"/>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序号</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项  目</w:t>
            </w:r>
          </w:p>
        </w:tc>
        <w:tc>
          <w:tcPr>
            <w:tcW w:w="7199"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2.1.1</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采购范围</w:t>
            </w:r>
          </w:p>
        </w:tc>
        <w:tc>
          <w:tcPr>
            <w:tcW w:w="7199"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详见第一章 竞争性磋商邀请“一、项目概况与采购范围”。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2.1.2</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2.1.3</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2.1.4</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2.1.5</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2.1.6</w:t>
            </w:r>
          </w:p>
        </w:tc>
        <w:tc>
          <w:tcPr>
            <w:tcW w:w="1841" w:type="dxa"/>
            <w:vAlign w:val="center"/>
          </w:tcPr>
          <w:p>
            <w:pPr>
              <w:spacing w:line="400" w:lineRule="exact"/>
              <w:jc w:val="center"/>
              <w:rPr>
                <w:rFonts w:hint="eastAsia" w:ascii="仿宋" w:hAnsi="仿宋" w:eastAsia="仿宋" w:cs="仿宋"/>
                <w:color w:val="000000"/>
                <w:szCs w:val="21"/>
              </w:rPr>
            </w:pPr>
            <w:r>
              <w:rPr>
                <w:rFonts w:hint="eastAsia" w:ascii="仿宋" w:hAnsi="仿宋" w:eastAsia="仿宋" w:cs="仿宋"/>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2.1.7</w:t>
            </w:r>
          </w:p>
        </w:tc>
        <w:tc>
          <w:tcPr>
            <w:tcW w:w="1841" w:type="dxa"/>
            <w:vAlign w:val="center"/>
          </w:tcPr>
          <w:p>
            <w:pPr>
              <w:pStyle w:val="37"/>
              <w:snapToGrid w:val="0"/>
              <w:spacing w:line="300" w:lineRule="auto"/>
              <w:ind w:left="114" w:right="114"/>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★磋商响应有效期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olor w:val="auto"/>
                <w:lang w:eastAsia="zh-CN"/>
              </w:rPr>
              <w:t>：</w:t>
            </w:r>
            <w:r>
              <w:rPr>
                <w:rFonts w:hint="eastAsia" w:ascii="仿宋" w:hAnsi="仿宋" w:eastAsia="仿宋"/>
                <w:color w:val="auto"/>
                <w:u w:val="single"/>
                <w:lang w:val="en-US" w:eastAsia="zh-CN"/>
              </w:rPr>
              <w:t>180</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non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4" w:right="114"/>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2.1.8</w:t>
            </w:r>
          </w:p>
        </w:tc>
        <w:tc>
          <w:tcPr>
            <w:tcW w:w="1841" w:type="dxa"/>
            <w:vAlign w:val="center"/>
          </w:tcPr>
          <w:p>
            <w:pPr>
              <w:pStyle w:val="37"/>
              <w:snapToGrid w:val="0"/>
              <w:spacing w:line="300" w:lineRule="auto"/>
              <w:ind w:left="114" w:right="114"/>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份（具体格式要求）；纸质文件正本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 w:hAnsi="仿宋" w:eastAsia="仿宋" w:cs="宋体"/>
                <w:color w:val="000000"/>
                <w:sz w:val="21"/>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2.1.9</w:t>
            </w:r>
          </w:p>
        </w:tc>
        <w:tc>
          <w:tcPr>
            <w:tcW w:w="1841" w:type="dxa"/>
            <w:vAlign w:val="center"/>
          </w:tcPr>
          <w:p>
            <w:pPr>
              <w:pStyle w:val="37"/>
              <w:snapToGrid w:val="0"/>
              <w:spacing w:line="300" w:lineRule="auto"/>
              <w:ind w:left="114" w:right="114"/>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磋商响应报价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2.1.10</w:t>
            </w:r>
          </w:p>
        </w:tc>
        <w:tc>
          <w:tcPr>
            <w:tcW w:w="1841" w:type="dxa"/>
            <w:vAlign w:val="center"/>
          </w:tcPr>
          <w:p>
            <w:pPr>
              <w:pStyle w:val="37"/>
              <w:snapToGrid w:val="0"/>
              <w:spacing w:line="300" w:lineRule="auto"/>
              <w:ind w:left="114" w:right="114"/>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纸质响应文件的装订、密封和标记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D+DJRr1gAAAAUBAAAPAAAAAAAAAAEAIAAA&#10;ADgAAABkcnMvZG93bnJldi54bWxQSwECFAAUAAAACACHTuJAvDlWNzECAACCBAAADgAAAAAAAAAB&#10;ACAAAAA7AQAAZHJzL2Uyb0RvYy54bWxQSwUGAAAAAAYABgBZAQAA3gU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2.1.11</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本项目磋商小组成员人数为</w:t>
            </w:r>
            <w:r>
              <w:rPr>
                <w:rFonts w:hint="eastAsia" w:ascii="仿宋" w:hAnsi="仿宋" w:eastAsia="仿宋" w:cs="仿宋"/>
                <w:color w:val="auto"/>
                <w:sz w:val="22"/>
                <w:u w:val="single"/>
                <w:lang w:val="en-US" w:eastAsia="zh-CN"/>
              </w:rPr>
              <w:t xml:space="preserve"> 5 </w:t>
            </w:r>
            <w:r>
              <w:rPr>
                <w:rFonts w:hint="eastAsia" w:ascii="仿宋" w:hAnsi="仿宋" w:eastAsia="仿宋" w:cs="仿宋"/>
                <w:color w:val="000000"/>
                <w:sz w:val="22"/>
                <w:u w:val="non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磋商程序及方式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2.1.13</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000000"/>
                <w:sz w:val="22"/>
                <w:u w:val="single"/>
                <w:lang w:val="en-US" w:eastAsia="zh-CN"/>
              </w:rPr>
              <w:t>货物</w:t>
            </w:r>
            <w:r>
              <w:rPr>
                <w:rFonts w:hint="eastAsia" w:ascii="仿宋" w:hAnsi="仿宋" w:eastAsia="仿宋" w:cs="仿宋"/>
                <w:color w:val="000000"/>
                <w:sz w:val="22"/>
                <w:u w:val="single"/>
              </w:rPr>
              <w:t>方案、实施方案、人员配置、服务承诺、商务条款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2.1.15</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成交人数量</w:t>
            </w:r>
          </w:p>
        </w:tc>
        <w:tc>
          <w:tcPr>
            <w:tcW w:w="7199" w:type="dxa"/>
            <w:vAlign w:val="center"/>
          </w:tcPr>
          <w:p>
            <w:pPr>
              <w:pStyle w:val="61"/>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w:t>
            </w:r>
            <w:r>
              <w:rPr>
                <w:rFonts w:hint="eastAsia" w:ascii="仿宋" w:hAnsi="仿宋" w:eastAsia="仿宋" w:cs="仿宋"/>
                <w:color w:val="auto"/>
                <w:sz w:val="22"/>
                <w:szCs w:val="22"/>
              </w:rPr>
              <w:t>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none"/>
              </w:rPr>
              <w:t>综合排名第一</w:t>
            </w:r>
            <w:r>
              <w:rPr>
                <w:rFonts w:hint="eastAsia" w:ascii="仿宋" w:hAnsi="仿宋" w:eastAsia="仿宋" w:cs="仿宋"/>
                <w:color w:val="auto"/>
                <w:sz w:val="22"/>
                <w:szCs w:val="22"/>
                <w:u w:val="none"/>
              </w:rPr>
              <w:t>成</w:t>
            </w:r>
            <w:r>
              <w:rPr>
                <w:rFonts w:hint="eastAsia" w:ascii="仿宋" w:hAnsi="仿宋" w:eastAsia="仿宋" w:cs="仿宋"/>
                <w:sz w:val="22"/>
                <w:szCs w:val="22"/>
              </w:rPr>
              <w:t>交候选人放弃成交、因不可抗力不能履行合同、</w:t>
            </w:r>
            <w:r>
              <w:rPr>
                <w:rFonts w:hint="eastAsia" w:ascii="仿宋" w:hAnsi="仿宋" w:eastAsia="仿宋" w:cs="宋体"/>
                <w:color w:val="000000"/>
                <w:sz w:val="22"/>
                <w:szCs w:val="22"/>
              </w:rPr>
              <w:t>不按照磋商文件要求提交履约保证金</w:t>
            </w:r>
            <w:r>
              <w:rPr>
                <w:rFonts w:hint="eastAsia" w:ascii="仿宋" w:hAnsi="仿宋" w:eastAsia="仿宋" w:cs="仿宋"/>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2.1.16</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 w:val="24"/>
                <w:szCs w:val="21"/>
                <w:lang w:val="en-US" w:eastAsia="zh-CN" w:bidi="ar-SA"/>
              </w:rPr>
            </w:pPr>
            <w:r>
              <w:rPr>
                <w:rFonts w:hint="eastAsia" w:ascii="仿宋" w:hAnsi="仿宋" w:eastAsia="仿宋" w:cs="仿宋"/>
                <w:color w:val="auto"/>
                <w:sz w:val="24"/>
                <w:szCs w:val="21"/>
                <w:lang w:val="en-US" w:eastAsia="zh-CN" w:bidi="ar-SA"/>
              </w:rPr>
              <w:t>履约保证金</w:t>
            </w:r>
          </w:p>
        </w:tc>
        <w:tc>
          <w:tcPr>
            <w:tcW w:w="7199" w:type="dxa"/>
            <w:vAlign w:val="center"/>
          </w:tcPr>
          <w:p>
            <w:pPr>
              <w:pStyle w:val="61"/>
              <w:spacing w:before="62" w:beforeLines="20" w:after="62" w:afterLines="20"/>
              <w:jc w:val="center"/>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2.1.17</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合同签署</w:t>
            </w:r>
          </w:p>
        </w:tc>
        <w:tc>
          <w:tcPr>
            <w:tcW w:w="7199" w:type="dxa"/>
            <w:vAlign w:val="center"/>
          </w:tcPr>
          <w:p>
            <w:pPr>
              <w:autoSpaceDE w:val="0"/>
              <w:autoSpaceDN w:val="0"/>
              <w:adjustRightInd w:val="0"/>
              <w:spacing w:line="400" w:lineRule="exact"/>
              <w:jc w:val="center"/>
              <w:rPr>
                <w:rFonts w:hint="default" w:ascii="仿宋" w:hAnsi="仿宋" w:eastAsia="仿宋" w:cs="仿宋"/>
                <w:sz w:val="22"/>
                <w:szCs w:val="22"/>
                <w:lang w:val="en-US" w:eastAsia="zh-CN"/>
              </w:rPr>
            </w:pPr>
            <w:r>
              <w:rPr>
                <w:rFonts w:hint="eastAsia" w:ascii="仿宋" w:hAnsi="仿宋" w:eastAsia="仿宋" w:cs="仿宋"/>
                <w:sz w:val="22"/>
                <w:szCs w:val="22"/>
              </w:rPr>
              <w:t>项目采购人为中国人民财产保险股份有限公司</w:t>
            </w:r>
            <w:r>
              <w:rPr>
                <w:rFonts w:hint="eastAsia" w:ascii="仿宋" w:hAnsi="仿宋" w:eastAsia="仿宋" w:cs="仿宋"/>
                <w:sz w:val="22"/>
                <w:szCs w:val="22"/>
                <w:lang w:val="en-US" w:eastAsia="zh-CN"/>
              </w:rPr>
              <w:t>绵阳市</w:t>
            </w:r>
            <w:r>
              <w:rPr>
                <w:rFonts w:hint="eastAsia" w:ascii="仿宋" w:hAnsi="仿宋" w:eastAsia="仿宋" w:cs="仿宋"/>
                <w:sz w:val="22"/>
                <w:szCs w:val="22"/>
              </w:rPr>
              <w:t>分公司</w:t>
            </w:r>
            <w:r>
              <w:rPr>
                <w:rFonts w:hint="eastAsia" w:ascii="仿宋" w:hAnsi="仿宋" w:eastAsia="仿宋" w:cs="仿宋"/>
                <w:sz w:val="22"/>
                <w:szCs w:val="22"/>
                <w:lang w:val="en-US" w:eastAsia="zh-CN"/>
              </w:rPr>
              <w:t>工会委员会</w:t>
            </w:r>
          </w:p>
          <w:p>
            <w:pPr>
              <w:autoSpaceDE w:val="0"/>
              <w:autoSpaceDN w:val="0"/>
              <w:adjustRightInd w:val="0"/>
              <w:spacing w:line="400" w:lineRule="exact"/>
              <w:ind w:left="146" w:leftChars="61" w:firstLine="2"/>
              <w:jc w:val="center"/>
              <w:rPr>
                <w:rFonts w:hint="eastAsia" w:ascii="仿宋_GB2312" w:hAnsi="宋体" w:eastAsia="仿宋" w:cs="新宋体"/>
                <w:szCs w:val="21"/>
                <w:lang w:val="zh-CN" w:eastAsia="zh-CN"/>
              </w:rPr>
            </w:pP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53" w:name="_Toc517281816"/>
      <w:bookmarkStart w:id="54" w:name="_Toc19783313"/>
      <w:bookmarkStart w:id="55" w:name="_Toc20514"/>
      <w:bookmarkStart w:id="56" w:name="_Toc11071"/>
      <w:bookmarkStart w:id="57" w:name="_Toc444891336"/>
      <w:bookmarkStart w:id="58" w:name="_Toc6047"/>
      <w:bookmarkStart w:id="59" w:name="_Toc27232"/>
      <w:bookmarkStart w:id="60" w:name="_Toc287600118"/>
      <w:bookmarkStart w:id="61" w:name="_Toc24072"/>
      <w:bookmarkStart w:id="62" w:name="_Toc11479"/>
      <w:bookmarkStart w:id="63" w:name="_Toc20803"/>
      <w:bookmarkStart w:id="64" w:name="_Toc11461"/>
      <w:bookmarkStart w:id="65" w:name="_Toc186737799"/>
      <w:bookmarkStart w:id="66" w:name="_Toc27220"/>
      <w:r>
        <w:rPr>
          <w:rFonts w:hint="eastAsia" w:ascii="仿宋" w:hAnsi="仿宋" w:eastAsia="仿宋" w:cs="仿宋"/>
          <w:color w:val="000000"/>
          <w:sz w:val="24"/>
          <w:szCs w:val="24"/>
        </w:rPr>
        <w:t>二、供应商须知</w:t>
      </w:r>
      <w:bookmarkEnd w:id="53"/>
      <w:bookmarkEnd w:id="54"/>
      <w:bookmarkEnd w:id="55"/>
      <w:bookmarkEnd w:id="56"/>
      <w:bookmarkEnd w:id="57"/>
      <w:bookmarkEnd w:id="58"/>
      <w:bookmarkEnd w:id="59"/>
      <w:bookmarkEnd w:id="60"/>
      <w:r>
        <w:rPr>
          <w:rFonts w:hint="eastAsia" w:ascii="仿宋" w:hAnsi="仿宋" w:eastAsia="仿宋" w:cs="仿宋"/>
          <w:color w:val="000000"/>
          <w:sz w:val="24"/>
          <w:szCs w:val="24"/>
        </w:rPr>
        <w:t>正文</w:t>
      </w:r>
      <w:bookmarkEnd w:id="61"/>
      <w:bookmarkEnd w:id="62"/>
      <w:bookmarkEnd w:id="63"/>
      <w:bookmarkEnd w:id="64"/>
      <w:bookmarkEnd w:id="65"/>
      <w:bookmarkEnd w:id="66"/>
    </w:p>
    <w:p>
      <w:pPr>
        <w:pStyle w:val="5"/>
        <w:spacing w:before="0" w:after="0" w:line="360" w:lineRule="auto"/>
        <w:ind w:firstLine="482"/>
        <w:jc w:val="center"/>
        <w:rPr>
          <w:rFonts w:ascii="仿宋" w:hAnsi="仿宋" w:eastAsia="仿宋" w:cs="仿宋"/>
          <w:color w:val="000000"/>
          <w:sz w:val="24"/>
          <w:szCs w:val="24"/>
        </w:rPr>
      </w:pPr>
      <w:bookmarkStart w:id="67" w:name="_Toc16866"/>
      <w:bookmarkStart w:id="68" w:name="_Toc444891337"/>
      <w:bookmarkStart w:id="69" w:name="_Toc287600119"/>
      <w:bookmarkStart w:id="70" w:name="_Toc6681"/>
      <w:bookmarkStart w:id="71" w:name="_Toc22969"/>
      <w:bookmarkStart w:id="72" w:name="_Toc431"/>
      <w:bookmarkStart w:id="73" w:name="_Toc3678"/>
      <w:bookmarkStart w:id="74" w:name="_Toc11851"/>
      <w:bookmarkStart w:id="75" w:name="_Toc10924"/>
      <w:bookmarkStart w:id="76" w:name="_Toc29875"/>
      <w:bookmarkStart w:id="77" w:name="_Toc517281817"/>
      <w:bookmarkStart w:id="78" w:name="_Toc16441"/>
      <w:bookmarkStart w:id="79" w:name="_Toc186737800"/>
      <w:bookmarkStart w:id="80" w:name="_Toc19370"/>
      <w:bookmarkStart w:id="81" w:name="_Toc19783314"/>
      <w:r>
        <w:rPr>
          <w:rFonts w:hint="eastAsia" w:ascii="仿宋" w:hAnsi="仿宋" w:eastAsia="仿宋" w:cs="仿宋"/>
          <w:color w:val="000000"/>
          <w:sz w:val="24"/>
          <w:szCs w:val="24"/>
        </w:rPr>
        <w:t>（一）总 则</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5"/>
        <w:spacing w:after="0" w:line="360" w:lineRule="auto"/>
        <w:jc w:val="center"/>
        <w:rPr>
          <w:rFonts w:ascii="仿宋" w:hAnsi="仿宋" w:eastAsia="仿宋" w:cs="仿宋"/>
          <w:color w:val="000000"/>
          <w:sz w:val="24"/>
          <w:szCs w:val="24"/>
        </w:rPr>
      </w:pPr>
      <w:bookmarkStart w:id="82" w:name="_Toc24246"/>
      <w:bookmarkStart w:id="83" w:name="_Toc25513"/>
      <w:bookmarkStart w:id="84" w:name="_Toc14164"/>
      <w:bookmarkStart w:id="85" w:name="_Toc18754"/>
      <w:bookmarkStart w:id="86" w:name="_Toc5255"/>
      <w:bookmarkStart w:id="87" w:name="_Toc444891338"/>
      <w:bookmarkStart w:id="88" w:name="_Toc19783315"/>
      <w:bookmarkStart w:id="89" w:name="_Toc10975"/>
      <w:bookmarkStart w:id="90" w:name="_Toc3016"/>
      <w:bookmarkStart w:id="91" w:name="_Toc21198"/>
      <w:bookmarkStart w:id="92" w:name="_Toc25367"/>
      <w:bookmarkStart w:id="93" w:name="_Toc287600120"/>
      <w:bookmarkStart w:id="94" w:name="_Toc186737801"/>
      <w:bookmarkStart w:id="95" w:name="_Toc20352"/>
      <w:bookmarkStart w:id="96" w:name="_Toc517281818"/>
      <w:r>
        <w:rPr>
          <w:rFonts w:hint="eastAsia" w:ascii="仿宋" w:hAnsi="仿宋" w:eastAsia="仿宋" w:cs="仿宋"/>
          <w:color w:val="000000"/>
          <w:sz w:val="24"/>
          <w:szCs w:val="24"/>
        </w:rPr>
        <w:t>（二）磋商文件</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7.1在响应文件递交截止时间前，无论出于何种原因，采购人可主动地或在解答供应商要求澄清的问题时对磋商文件进行修改。</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7.2供应商有权要求采购人对磋商文件中的有关问题进行答疑、澄清。</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7.4对于磋商文件的修改，如影响供应商响应文件编制的，采购人应推迟响应文件递交截止日期，并以书面或邮件形式通知所有已获取磋商文件的供应商。</w:t>
      </w:r>
    </w:p>
    <w:p>
      <w:pPr>
        <w:spacing w:line="360" w:lineRule="auto"/>
        <w:textAlignment w:val="baseline"/>
        <w:rPr>
          <w:rFonts w:hint="eastAsia" w:ascii="仿宋" w:hAnsi="仿宋" w:eastAsia="仿宋" w:cs="宋体"/>
          <w:color w:val="000000"/>
        </w:rPr>
      </w:pPr>
      <w:r>
        <w:rPr>
          <w:rFonts w:hint="eastAsia" w:ascii="仿宋" w:hAnsi="仿宋" w:eastAsia="仿宋" w:cs="宋体"/>
          <w:color w:val="000000"/>
        </w:rPr>
        <w:t>7.5任何对磋商文件的澄清均为磋商文件的组成部分，并具有同等的法律效力。如磋商文件的澄清与磋商文件有矛盾，以日期后的为准。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5"/>
        <w:spacing w:after="0" w:line="360" w:lineRule="auto"/>
        <w:jc w:val="center"/>
        <w:rPr>
          <w:rFonts w:ascii="仿宋" w:hAnsi="仿宋" w:eastAsia="仿宋" w:cs="仿宋"/>
          <w:color w:val="000000"/>
          <w:sz w:val="24"/>
          <w:szCs w:val="24"/>
        </w:rPr>
      </w:pPr>
      <w:bookmarkStart w:id="97" w:name="_Toc27563"/>
      <w:bookmarkStart w:id="98" w:name="_Toc186737802"/>
      <w:bookmarkStart w:id="99" w:name="_Toc13691"/>
      <w:bookmarkStart w:id="100" w:name="_Toc444891339"/>
      <w:bookmarkStart w:id="101" w:name="_Toc27642"/>
      <w:bookmarkStart w:id="102" w:name="_Toc27951"/>
      <w:bookmarkStart w:id="103" w:name="_Toc287600121"/>
      <w:bookmarkStart w:id="104" w:name="_Toc20848"/>
      <w:bookmarkStart w:id="105" w:name="_Toc8431"/>
      <w:bookmarkStart w:id="106" w:name="_Toc19783316"/>
      <w:bookmarkStart w:id="107" w:name="_Toc14308"/>
      <w:bookmarkStart w:id="108" w:name="_Toc517281819"/>
      <w:bookmarkStart w:id="109" w:name="_Toc16985"/>
      <w:bookmarkStart w:id="110" w:name="_Toc2185"/>
      <w:bookmarkStart w:id="111" w:name="_Toc31141"/>
      <w:r>
        <w:rPr>
          <w:rFonts w:hint="eastAsia" w:ascii="仿宋" w:hAnsi="仿宋" w:eastAsia="仿宋" w:cs="仿宋"/>
          <w:color w:val="000000"/>
          <w:sz w:val="24"/>
          <w:szCs w:val="24"/>
        </w:rPr>
        <w:t>（三）响应文件</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112"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112"/>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电子版</w:t>
      </w:r>
      <w:r>
        <w:rPr>
          <w:rFonts w:hint="eastAsia" w:ascii="仿宋" w:hAnsi="仿宋" w:eastAsia="仿宋" w:cs="宋体"/>
          <w:color w:val="000000"/>
        </w:rPr>
        <w:t xml:space="preserve">文件为准;响应文件正本与副本不一致时，以正本为准。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5"/>
        <w:spacing w:after="0" w:line="360" w:lineRule="auto"/>
        <w:jc w:val="center"/>
        <w:rPr>
          <w:rFonts w:ascii="仿宋" w:hAnsi="仿宋" w:eastAsia="仿宋" w:cs="仿宋"/>
          <w:color w:val="000000"/>
          <w:sz w:val="24"/>
          <w:szCs w:val="24"/>
        </w:rPr>
      </w:pPr>
      <w:bookmarkStart w:id="113" w:name="_Toc21600"/>
      <w:bookmarkStart w:id="114" w:name="_Toc444891340"/>
      <w:bookmarkStart w:id="115" w:name="_Toc14726"/>
      <w:bookmarkStart w:id="116" w:name="_Toc4155"/>
      <w:bookmarkStart w:id="117" w:name="_Toc18673"/>
      <w:bookmarkStart w:id="118" w:name="_Toc19783317"/>
      <w:bookmarkStart w:id="119" w:name="_Toc7129"/>
      <w:bookmarkStart w:id="120" w:name="_Toc517281820"/>
      <w:bookmarkStart w:id="121" w:name="_Toc287600122"/>
      <w:bookmarkStart w:id="122" w:name="_Toc186737803"/>
      <w:bookmarkStart w:id="123" w:name="_Toc30419"/>
      <w:bookmarkStart w:id="124" w:name="_Toc31633"/>
      <w:bookmarkStart w:id="125" w:name="_Toc17865"/>
      <w:bookmarkStart w:id="126" w:name="_Toc6841"/>
      <w:bookmarkStart w:id="127" w:name="_Toc6852"/>
      <w:r>
        <w:rPr>
          <w:rFonts w:hint="eastAsia" w:ascii="仿宋" w:hAnsi="仿宋" w:eastAsia="仿宋" w:cs="仿宋"/>
          <w:color w:val="000000"/>
          <w:sz w:val="24"/>
          <w:szCs w:val="24"/>
        </w:rPr>
        <w:t>（四）响应文件的</w:t>
      </w:r>
      <w:bookmarkEnd w:id="113"/>
      <w:bookmarkEnd w:id="114"/>
      <w:bookmarkEnd w:id="115"/>
      <w:bookmarkEnd w:id="116"/>
      <w:bookmarkEnd w:id="117"/>
      <w:bookmarkEnd w:id="118"/>
      <w:bookmarkEnd w:id="119"/>
      <w:bookmarkEnd w:id="120"/>
      <w:bookmarkEnd w:id="121"/>
      <w:r>
        <w:rPr>
          <w:rFonts w:hint="eastAsia" w:ascii="仿宋" w:hAnsi="仿宋" w:eastAsia="仿宋" w:cs="仿宋"/>
          <w:color w:val="000000"/>
          <w:sz w:val="24"/>
          <w:szCs w:val="24"/>
        </w:rPr>
        <w:t>递交</w:t>
      </w:r>
      <w:bookmarkEnd w:id="122"/>
      <w:bookmarkEnd w:id="123"/>
      <w:bookmarkEnd w:id="124"/>
      <w:bookmarkEnd w:id="125"/>
      <w:bookmarkEnd w:id="126"/>
      <w:bookmarkEnd w:id="12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128" w:name="_Toc326223561"/>
      <w:bookmarkStart w:id="129" w:name="_Toc179632576"/>
      <w:bookmarkStart w:id="130" w:name="_Toc334766948"/>
      <w:bookmarkStart w:id="131" w:name="_Toc152042334"/>
      <w:bookmarkStart w:id="132" w:name="_Toc247085716"/>
      <w:bookmarkStart w:id="133" w:name="_Toc332188194"/>
      <w:bookmarkStart w:id="134" w:name="_Toc152045558"/>
      <w:bookmarkStart w:id="135" w:name="_Toc246996945"/>
      <w:bookmarkStart w:id="136" w:name="_Toc144974526"/>
      <w:bookmarkStart w:id="137" w:name="_Toc246996202"/>
      <w:r>
        <w:rPr>
          <w:rFonts w:ascii="仿宋" w:hAnsi="仿宋" w:eastAsia="仿宋" w:cs="仿宋"/>
          <w:color w:val="000000"/>
        </w:rPr>
        <w:t>15.2</w:t>
      </w:r>
      <w:bookmarkEnd w:id="128"/>
      <w:bookmarkEnd w:id="129"/>
      <w:bookmarkEnd w:id="130"/>
      <w:bookmarkEnd w:id="131"/>
      <w:bookmarkEnd w:id="132"/>
      <w:bookmarkEnd w:id="133"/>
      <w:bookmarkEnd w:id="134"/>
      <w:bookmarkEnd w:id="135"/>
      <w:bookmarkEnd w:id="136"/>
      <w:bookmarkEnd w:id="137"/>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5"/>
        <w:spacing w:before="0" w:after="0" w:line="360" w:lineRule="auto"/>
        <w:jc w:val="center"/>
        <w:rPr>
          <w:rFonts w:ascii="仿宋" w:hAnsi="仿宋" w:eastAsia="仿宋" w:cs="仿宋"/>
          <w:color w:val="000000"/>
          <w:sz w:val="24"/>
          <w:szCs w:val="24"/>
        </w:rPr>
      </w:pPr>
      <w:bookmarkStart w:id="138" w:name="_Toc287600123"/>
      <w:bookmarkStart w:id="139" w:name="_Toc186737804"/>
      <w:bookmarkStart w:id="140" w:name="_Toc30466"/>
      <w:bookmarkStart w:id="141" w:name="_Toc11361"/>
      <w:bookmarkStart w:id="142" w:name="_Toc517281821"/>
      <w:bookmarkStart w:id="143" w:name="_Toc444891341"/>
      <w:bookmarkStart w:id="144" w:name="_Toc20741"/>
      <w:bookmarkStart w:id="145" w:name="_Toc2055"/>
      <w:bookmarkStart w:id="146" w:name="_Toc24989"/>
      <w:bookmarkStart w:id="147" w:name="_Toc8909"/>
      <w:bookmarkStart w:id="148" w:name="_Toc14297"/>
      <w:bookmarkStart w:id="149" w:name="_Toc2636"/>
      <w:bookmarkStart w:id="150" w:name="_Toc12797"/>
      <w:bookmarkStart w:id="151" w:name="_Toc28660"/>
      <w:r>
        <w:rPr>
          <w:rFonts w:hint="eastAsia" w:ascii="仿宋" w:hAnsi="仿宋" w:eastAsia="仿宋" w:cs="仿宋"/>
          <w:color w:val="000000"/>
          <w:sz w:val="24"/>
          <w:szCs w:val="24"/>
        </w:rPr>
        <w:t>（五）竞争性磋商和评审</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pPr>
        <w:pStyle w:val="6"/>
        <w:spacing w:before="0" w:after="0" w:line="360" w:lineRule="auto"/>
        <w:rPr>
          <w:rFonts w:ascii="仿宋" w:hAnsi="仿宋" w:eastAsia="仿宋" w:cs="仿宋"/>
          <w:color w:val="000000"/>
          <w:sz w:val="24"/>
          <w:szCs w:val="24"/>
        </w:rPr>
      </w:pPr>
      <w:bookmarkStart w:id="152" w:name="_Toc234223229"/>
      <w:bookmarkStart w:id="15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5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15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hint="eastAsia" w:ascii="仿宋" w:hAnsi="仿宋" w:eastAsia="仿宋" w:cs="仿宋"/>
          <w:color w:val="000000"/>
        </w:rPr>
      </w:pPr>
      <w:r>
        <w:rPr>
          <w:rFonts w:hint="eastAsia" w:ascii="仿宋" w:hAnsi="仿宋" w:eastAsia="仿宋" w:cs="仿宋"/>
          <w:color w:val="000000"/>
        </w:rPr>
        <w:t>18.3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15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15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topLinePunct/>
        <w:spacing w:line="360" w:lineRule="auto"/>
        <w:rPr>
          <w:rFonts w:hint="eastAsia" w:ascii="仿宋" w:hAnsi="仿宋" w:eastAsia="仿宋" w:cs="宋体"/>
          <w:color w:val="000000"/>
        </w:rPr>
      </w:pPr>
      <w:r>
        <w:rPr>
          <w:rFonts w:hint="eastAsia" w:ascii="仿宋" w:hAnsi="仿宋" w:eastAsia="仿宋" w:cs="宋体"/>
          <w:color w:val="000000"/>
        </w:rPr>
        <w:t>20.1供应商提供虚假材料或文件的，自动丧失参加资格。</w:t>
      </w:r>
    </w:p>
    <w:p>
      <w:pPr>
        <w:topLinePunct/>
        <w:spacing w:line="360" w:lineRule="auto"/>
        <w:rPr>
          <w:rFonts w:hint="eastAsia" w:ascii="仿宋" w:hAnsi="仿宋" w:eastAsia="仿宋" w:cs="宋体"/>
          <w:color w:val="000000"/>
        </w:rPr>
      </w:pPr>
      <w:r>
        <w:rPr>
          <w:rFonts w:hint="eastAsia" w:ascii="仿宋" w:hAnsi="仿宋" w:eastAsia="仿宋" w:cs="宋体"/>
          <w:color w:val="000000"/>
        </w:rPr>
        <w:t>20.2供应商未在响应文件中提及和承诺，但又未明确书面提出异议的事项，按本磋商磋商邀请函的有关要求执行。</w:t>
      </w:r>
    </w:p>
    <w:p>
      <w:pPr>
        <w:topLinePunct/>
        <w:spacing w:line="360" w:lineRule="auto"/>
        <w:rPr>
          <w:rFonts w:hint="eastAsia" w:ascii="仿宋" w:hAnsi="仿宋" w:eastAsia="仿宋" w:cs="宋体"/>
          <w:color w:val="000000"/>
        </w:rPr>
      </w:pPr>
      <w:r>
        <w:rPr>
          <w:rFonts w:hint="eastAsia" w:ascii="仿宋" w:hAnsi="仿宋" w:eastAsia="仿宋" w:cs="宋体"/>
          <w:color w:val="000000"/>
        </w:rPr>
        <w:t>20.3供应商不应将本次采购理解为政府采购与招标。</w:t>
      </w:r>
    </w:p>
    <w:p>
      <w:pPr>
        <w:topLinePunct/>
        <w:spacing w:line="360" w:lineRule="auto"/>
        <w:rPr>
          <w:rFonts w:hint="eastAsia" w:ascii="仿宋" w:hAnsi="仿宋" w:eastAsia="仿宋" w:cs="宋体"/>
          <w:color w:val="000000"/>
        </w:rPr>
      </w:pPr>
      <w:r>
        <w:rPr>
          <w:rFonts w:hint="eastAsia" w:ascii="仿宋" w:hAnsi="仿宋" w:eastAsia="仿宋" w:cs="宋体"/>
          <w:color w:val="000000"/>
        </w:rPr>
        <w:t>20.4供应商没有按规定时间和内容提供材料的，视为放弃。</w:t>
      </w:r>
    </w:p>
    <w:p>
      <w:pPr>
        <w:topLinePunct/>
        <w:spacing w:line="360" w:lineRule="auto"/>
        <w:rPr>
          <w:rFonts w:hint="eastAsia" w:ascii="仿宋" w:hAnsi="仿宋" w:eastAsia="仿宋" w:cs="宋体"/>
          <w:color w:val="000000"/>
        </w:rPr>
      </w:pPr>
      <w:r>
        <w:rPr>
          <w:rFonts w:hint="eastAsia" w:ascii="仿宋" w:hAnsi="仿宋" w:eastAsia="仿宋" w:cs="宋体"/>
          <w:color w:val="000000"/>
        </w:rPr>
        <w:t>20.5磋商文件及附件之著作权受中国法律保护，所有文件仅限于供应商参加本次采购磋商使用，任何用于其他目的之复制或引用均应事先获得</w:t>
      </w:r>
      <w:r>
        <w:rPr>
          <w:rFonts w:hint="eastAsia" w:ascii="仿宋" w:hAnsi="仿宋" w:eastAsia="仿宋" w:cs="宋体"/>
          <w:color w:val="000000"/>
          <w:lang w:eastAsia="zh-CN"/>
        </w:rPr>
        <w:t>采购人</w:t>
      </w:r>
      <w:r>
        <w:rPr>
          <w:rFonts w:hint="eastAsia" w:ascii="仿宋" w:hAnsi="仿宋" w:eastAsia="仿宋" w:cs="宋体"/>
          <w:color w:val="000000"/>
        </w:rPr>
        <w:t>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（1）成交候选供应商存在违法、违纪行为的；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（3）成交候选供应商书面自愿放弃成交，且无其他非法目的的；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（4）成交候选供应商在提交响应文件截止时间后撤回响应文件的；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（5）成交候选供应商在响应文件中提供虚假材料的；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（6）除因不可抗力或磋商文件认可的情形以外，成交供应商不与采购人签订合同的；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（7）成交候选供应商与采购人或者其他供应商恶意串通的；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（8）成交供应商在签订合同时向采购人提出附加条件或要求变更实质性合同条款的；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（9）供应商有恶意欺诈、弄虚作假、围标串标、哄抬标价、徇私行贿等法律法规中所列违规行为的；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（10）成交供应商不按照磋商文件要求提交履约保证金的；</w:t>
      </w:r>
    </w:p>
    <w:p>
      <w:pPr>
        <w:pStyle w:val="2"/>
        <w:snapToGrid w:val="0"/>
        <w:spacing w:after="0" w:line="360" w:lineRule="auto"/>
        <w:ind w:right="-57" w:firstLine="424" w:firstLineChars="177"/>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（11）其他不应确定成交供应商的情形。</w:t>
      </w:r>
    </w:p>
    <w:p>
      <w:pPr>
        <w:pStyle w:val="5"/>
        <w:spacing w:before="0" w:after="0" w:line="360" w:lineRule="auto"/>
        <w:jc w:val="center"/>
        <w:rPr>
          <w:rFonts w:ascii="仿宋" w:hAnsi="仿宋" w:eastAsia="仿宋" w:cs="仿宋"/>
          <w:color w:val="000000"/>
          <w:sz w:val="24"/>
          <w:szCs w:val="24"/>
        </w:rPr>
      </w:pPr>
      <w:bookmarkStart w:id="155" w:name="_Toc234223231"/>
      <w:bookmarkStart w:id="156" w:name="_Toc16781"/>
      <w:bookmarkStart w:id="157" w:name="_Toc917"/>
      <w:bookmarkStart w:id="158" w:name="_Toc19451"/>
      <w:bookmarkStart w:id="159" w:name="_Toc28031"/>
      <w:bookmarkStart w:id="160" w:name="_Toc186737805"/>
      <w:bookmarkStart w:id="161" w:name="_Toc30290"/>
      <w:bookmarkStart w:id="162" w:name="_Toc9911"/>
      <w:bookmarkStart w:id="163" w:name="_Toc517281822"/>
      <w:bookmarkStart w:id="164" w:name="_Toc2322"/>
      <w:bookmarkStart w:id="165" w:name="_Toc287600124"/>
      <w:bookmarkStart w:id="166" w:name="_Toc444891342"/>
      <w:bookmarkStart w:id="167" w:name="_Toc13936"/>
      <w:bookmarkStart w:id="168" w:name="_Toc18441"/>
      <w:bookmarkStart w:id="169" w:name="_Toc23087"/>
      <w:r>
        <w:rPr>
          <w:rFonts w:hint="eastAsia" w:ascii="仿宋" w:hAnsi="仿宋" w:eastAsia="仿宋" w:cs="仿宋"/>
          <w:color w:val="000000"/>
          <w:sz w:val="24"/>
          <w:szCs w:val="24"/>
        </w:rPr>
        <w:t>（六）授予合同</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6"/>
        <w:spacing w:before="0" w:after="0" w:line="360" w:lineRule="auto"/>
        <w:rPr>
          <w:rFonts w:ascii="仿宋" w:hAnsi="仿宋" w:eastAsia="仿宋" w:cs="仿宋"/>
          <w:color w:val="000000"/>
          <w:sz w:val="24"/>
          <w:szCs w:val="24"/>
        </w:rPr>
      </w:pPr>
      <w:bookmarkStart w:id="170"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70"/>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rPr>
          <w:rFonts w:hint="eastAsia" w:eastAsiaTheme="minorEastAsia"/>
          <w:lang w:eastAsia="zh-CN"/>
        </w:rPr>
      </w:pPr>
    </w:p>
    <w:p>
      <w:pPr>
        <w:pStyle w:val="2"/>
        <w:rPr>
          <w:rFonts w:hint="eastAsia" w:eastAsiaTheme="minorEastAsia"/>
          <w:lang w:eastAsia="zh-CN"/>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ind w:left="0" w:leftChars="0" w:firstLine="0" w:firstLineChars="0"/>
        <w:jc w:val="left"/>
        <w:rPr>
          <w:rFonts w:hint="eastAsia" w:ascii="仿宋" w:hAnsi="仿宋" w:eastAsia="仿宋" w:cs="仿宋"/>
          <w:sz w:val="28"/>
          <w:szCs w:val="28"/>
        </w:rPr>
      </w:pPr>
      <w:bookmarkStart w:id="171" w:name="_Toc186737806"/>
      <w:bookmarkStart w:id="172" w:name="_Toc10649"/>
      <w:bookmarkStart w:id="173" w:name="_Toc18373"/>
      <w:bookmarkStart w:id="174" w:name="_Toc1808"/>
      <w:bookmarkStart w:id="175" w:name="_Toc10670"/>
      <w:bookmarkStart w:id="176" w:name="_Toc1339"/>
      <w:bookmarkStart w:id="177" w:name="_Toc8109"/>
    </w:p>
    <w:p>
      <w:pPr>
        <w:pStyle w:val="3"/>
        <w:spacing w:before="0" w:after="0"/>
        <w:ind w:left="0" w:leftChars="0" w:firstLine="0" w:firstLineChars="0"/>
        <w:jc w:val="center"/>
        <w:rPr>
          <w:rFonts w:ascii="仿宋" w:hAnsi="仿宋" w:eastAsia="仿宋" w:cs="仿宋"/>
          <w:sz w:val="28"/>
          <w:szCs w:val="28"/>
        </w:rPr>
      </w:pPr>
      <w:r>
        <w:rPr>
          <w:rFonts w:hint="eastAsia" w:ascii="仿宋" w:hAnsi="仿宋" w:eastAsia="仿宋" w:cs="仿宋"/>
          <w:sz w:val="28"/>
          <w:szCs w:val="28"/>
        </w:rPr>
        <w:t>第三章 评审办法</w:t>
      </w:r>
      <w:bookmarkEnd w:id="171"/>
      <w:bookmarkEnd w:id="172"/>
      <w:bookmarkEnd w:id="173"/>
      <w:bookmarkEnd w:id="174"/>
      <w:bookmarkEnd w:id="175"/>
      <w:bookmarkEnd w:id="176"/>
    </w:p>
    <w:p>
      <w:pPr>
        <w:pStyle w:val="4"/>
        <w:jc w:val="left"/>
        <w:rPr>
          <w:rFonts w:ascii="仿宋" w:hAnsi="仿宋" w:eastAsia="仿宋" w:cs="仿宋"/>
          <w:color w:val="000000"/>
          <w:sz w:val="24"/>
          <w:szCs w:val="24"/>
        </w:rPr>
      </w:pPr>
      <w:bookmarkStart w:id="178" w:name="_Toc186737807"/>
      <w:bookmarkStart w:id="179" w:name="_Toc7201"/>
      <w:bookmarkStart w:id="180" w:name="_Toc4190"/>
      <w:bookmarkStart w:id="181" w:name="_Toc517281825"/>
      <w:bookmarkStart w:id="182" w:name="_Toc5131"/>
      <w:bookmarkStart w:id="183" w:name="_Toc444891344"/>
      <w:bookmarkStart w:id="184" w:name="_Toc10689"/>
      <w:bookmarkStart w:id="185" w:name="_Toc32535"/>
      <w:bookmarkStart w:id="186" w:name="_Toc226969358"/>
      <w:bookmarkStart w:id="187" w:name="_Toc227057964"/>
      <w:r>
        <w:rPr>
          <w:rFonts w:hint="eastAsia" w:ascii="仿宋" w:hAnsi="仿宋" w:eastAsia="仿宋" w:cs="仿宋"/>
          <w:color w:val="000000"/>
          <w:sz w:val="24"/>
          <w:szCs w:val="24"/>
        </w:rPr>
        <w:t>一、评审程序</w:t>
      </w:r>
      <w:bookmarkEnd w:id="178"/>
      <w:bookmarkEnd w:id="179"/>
      <w:bookmarkEnd w:id="180"/>
      <w:bookmarkEnd w:id="181"/>
      <w:bookmarkEnd w:id="182"/>
      <w:bookmarkEnd w:id="183"/>
      <w:bookmarkEnd w:id="184"/>
      <w:bookmarkEnd w:id="185"/>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firstLineChars="175"/>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内容允许在磋商过程中按磋商小组规定的时间内补充，若未在规定时间内补充则将导致响应无效。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88" w:name="_Toc444891345"/>
      <w:bookmarkStart w:id="189" w:name="_Toc517281826"/>
      <w:r>
        <w:rPr>
          <w:rFonts w:hint="eastAsia" w:ascii="仿宋" w:hAnsi="仿宋" w:eastAsia="仿宋" w:cs="仿宋"/>
          <w:color w:val="000000"/>
          <w:sz w:val="24"/>
          <w:szCs w:val="24"/>
        </w:rPr>
        <w:br w:type="page"/>
      </w:r>
      <w:bookmarkStart w:id="190" w:name="_Toc186737808"/>
      <w:bookmarkStart w:id="191" w:name="_Toc17105"/>
      <w:bookmarkStart w:id="192" w:name="_Toc32019"/>
      <w:bookmarkStart w:id="193" w:name="_Toc5848"/>
      <w:bookmarkStart w:id="194" w:name="_Toc20671"/>
      <w:bookmarkStart w:id="195" w:name="_Toc16230"/>
      <w:r>
        <w:rPr>
          <w:rFonts w:hint="eastAsia" w:ascii="仿宋" w:hAnsi="仿宋" w:eastAsia="仿宋" w:cs="仿宋"/>
          <w:color w:val="000000"/>
          <w:sz w:val="24"/>
          <w:szCs w:val="24"/>
        </w:rPr>
        <w:t>二、初步评审</w:t>
      </w:r>
      <w:bookmarkEnd w:id="188"/>
      <w:bookmarkEnd w:id="189"/>
      <w:bookmarkEnd w:id="190"/>
      <w:bookmarkEnd w:id="191"/>
      <w:bookmarkEnd w:id="192"/>
      <w:bookmarkEnd w:id="193"/>
      <w:bookmarkEnd w:id="194"/>
      <w:bookmarkEnd w:id="195"/>
    </w:p>
    <w:bookmarkEnd w:id="186"/>
    <w:bookmarkEnd w:id="187"/>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576"/>
        <w:gridCol w:w="1011"/>
        <w:gridCol w:w="1687"/>
        <w:gridCol w:w="524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7"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7"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7"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无违法违规记录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Cs w:val="21"/>
              </w:rPr>
              <w:t>未被列入黑名单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控股及管理关系</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7"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96" w:name="_Toc12931"/>
      <w:bookmarkStart w:id="197" w:name="_Toc186737809"/>
      <w:bookmarkStart w:id="198" w:name="_Toc15554"/>
      <w:bookmarkStart w:id="199" w:name="_Toc25550"/>
      <w:bookmarkStart w:id="200" w:name="_Toc17686"/>
      <w:bookmarkStart w:id="201" w:name="_Toc1491"/>
      <w:r>
        <w:rPr>
          <w:rFonts w:hint="eastAsia" w:ascii="仿宋" w:hAnsi="仿宋" w:eastAsia="仿宋" w:cs="仿宋"/>
          <w:color w:val="000000"/>
          <w:sz w:val="24"/>
          <w:szCs w:val="24"/>
        </w:rPr>
        <w:t>三、详细评审</w:t>
      </w:r>
      <w:bookmarkEnd w:id="196"/>
      <w:bookmarkEnd w:id="197"/>
      <w:bookmarkEnd w:id="198"/>
      <w:bookmarkEnd w:id="199"/>
      <w:bookmarkEnd w:id="200"/>
      <w:bookmarkEnd w:id="201"/>
    </w:p>
    <w:p>
      <w:pPr>
        <w:pStyle w:val="2"/>
        <w:snapToGrid w:val="0"/>
        <w:spacing w:after="0" w:line="360" w:lineRule="auto"/>
        <w:ind w:left="141" w:right="223" w:firstLine="48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3.1本项目采用综合评分法</w:t>
      </w:r>
    </w:p>
    <w:p>
      <w:pPr>
        <w:pStyle w:val="2"/>
        <w:snapToGrid w:val="0"/>
        <w:spacing w:after="0" w:line="360" w:lineRule="auto"/>
        <w:ind w:left="138" w:right="228" w:firstLine="48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3.2 评分明细</w:t>
      </w:r>
    </w:p>
    <w:tbl>
      <w:tblPr>
        <w:tblStyle w:val="29"/>
        <w:tblpPr w:leftFromText="180" w:rightFromText="180" w:vertAnchor="text" w:horzAnchor="page" w:tblpX="1101" w:tblpY="2770"/>
        <w:tblOverlap w:val="never"/>
        <w:tblW w:w="9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523"/>
        <w:gridCol w:w="6019"/>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trPr>
        <w:tc>
          <w:tcPr>
            <w:tcW w:w="1340" w:type="dxa"/>
            <w:vAlign w:val="center"/>
          </w:tcPr>
          <w:p>
            <w:pPr>
              <w:spacing w:line="320" w:lineRule="exact"/>
              <w:jc w:val="center"/>
              <w:rPr>
                <w:rFonts w:hint="eastAsia" w:ascii="楷体" w:hAnsi="楷体" w:eastAsia="楷体" w:cs="楷体"/>
                <w:i/>
                <w:color w:val="000000" w:themeColor="text1"/>
                <w:sz w:val="21"/>
                <w:szCs w:val="21"/>
                <w:lang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内容</w:t>
            </w:r>
          </w:p>
        </w:tc>
        <w:tc>
          <w:tcPr>
            <w:tcW w:w="1523" w:type="dxa"/>
            <w:vAlign w:val="center"/>
          </w:tcPr>
          <w:p>
            <w:pPr>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审评因素</w:t>
            </w:r>
          </w:p>
        </w:tc>
        <w:tc>
          <w:tcPr>
            <w:tcW w:w="6019" w:type="dxa"/>
            <w:vAlign w:val="center"/>
          </w:tcPr>
          <w:p>
            <w:pPr>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评分内容</w:t>
            </w:r>
          </w:p>
        </w:tc>
        <w:tc>
          <w:tcPr>
            <w:tcW w:w="1005" w:type="dxa"/>
            <w:vAlign w:val="center"/>
          </w:tcPr>
          <w:p>
            <w:pPr>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882" w:type="dxa"/>
            <w:gridSpan w:val="3"/>
            <w:vAlign w:val="center"/>
          </w:tcPr>
          <w:p>
            <w:pPr>
              <w:spacing w:line="320" w:lineRule="exact"/>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一、价格评审</w:t>
            </w:r>
          </w:p>
        </w:tc>
        <w:tc>
          <w:tcPr>
            <w:tcW w:w="1005" w:type="dxa"/>
            <w:vAlign w:val="center"/>
          </w:tcPr>
          <w:p>
            <w:pPr>
              <w:spacing w:line="320" w:lineRule="exact"/>
              <w:rPr>
                <w:rFonts w:hint="eastAsia" w:ascii="楷体" w:hAnsi="楷体" w:eastAsia="楷体" w:cs="楷体"/>
                <w:i/>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1340" w:type="dxa"/>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价格得分（</w:t>
            </w:r>
            <w:r>
              <w:rPr>
                <w:rFonts w:hint="eastAsia" w:ascii="楷体" w:hAnsi="楷体" w:eastAsia="楷体" w:cs="楷体"/>
                <w:i/>
                <w:color w:val="000000" w:themeColor="text1"/>
                <w:sz w:val="21"/>
                <w:szCs w:val="21"/>
                <w:lang w:val="en-US" w:eastAsia="zh-CN"/>
                <w14:textFill>
                  <w14:solidFill>
                    <w14:schemeClr w14:val="tx1"/>
                  </w14:solidFill>
                </w14:textFill>
              </w:rPr>
              <w:t>50</w:t>
            </w:r>
            <w:r>
              <w:rPr>
                <w:rFonts w:hint="eastAsia" w:ascii="楷体" w:hAnsi="楷体" w:eastAsia="楷体" w:cs="楷体"/>
                <w:i/>
                <w:color w:val="000000" w:themeColor="text1"/>
                <w:sz w:val="21"/>
                <w:szCs w:val="21"/>
                <w14:textFill>
                  <w14:solidFill>
                    <w14:schemeClr w14:val="tx1"/>
                  </w14:solidFill>
                </w14:textFill>
              </w:rPr>
              <w:t>）</w:t>
            </w:r>
          </w:p>
        </w:tc>
        <w:tc>
          <w:tcPr>
            <w:tcW w:w="1523" w:type="dxa"/>
            <w:vAlign w:val="center"/>
          </w:tcPr>
          <w:p>
            <w:pPr>
              <w:snapToGrid w:val="0"/>
              <w:spacing w:line="320" w:lineRule="exact"/>
              <w:jc w:val="center"/>
              <w:rPr>
                <w:rFonts w:hint="eastAsia" w:ascii="楷体" w:hAnsi="楷体" w:eastAsia="楷体" w:cs="楷体"/>
                <w:i/>
                <w:color w:val="auto"/>
                <w:sz w:val="21"/>
                <w:szCs w:val="21"/>
                <w:lang w:eastAsia="zh-CN"/>
              </w:rPr>
            </w:pPr>
            <w:r>
              <w:rPr>
                <w:rFonts w:hint="eastAsia" w:ascii="楷体" w:hAnsi="楷体" w:eastAsia="楷体" w:cs="楷体"/>
                <w:i/>
                <w:color w:val="auto"/>
                <w:sz w:val="21"/>
                <w:szCs w:val="21"/>
                <w:lang w:val="en-US" w:eastAsia="zh-CN"/>
              </w:rPr>
              <w:t>投标报价</w:t>
            </w:r>
          </w:p>
        </w:tc>
        <w:tc>
          <w:tcPr>
            <w:tcW w:w="6019" w:type="dxa"/>
            <w:vAlign w:val="center"/>
          </w:tcPr>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1、低价优先法</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1）适用情形：有效投标人少于5家（不含本数）</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2）评标价：各有效投标人的含税投标价,剔除可抵扣的增值税进项税额。（结合项目情况调整）</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3）评标基准价：满足招标文件要求且最低的有效评标价。</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4）价格分计算：评标价=评标基准价的投标人，得价格分的满分；其他投标人的价格分按照以下公式计算，并精确到小数点后两位：价格得分＝（评标基准价/该投标人的评标价）*50；</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2、偏离度计算法</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1）适用情形：有效投标人大于5家（含本数）</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2）评标价：各有效投标人的含税投标价,剔除可抵扣的增值税进项税额。（结合项目情况调整）</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3）评标基准价：取所有有效评标价的算术平均值。</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4）价格分计算：按照以下公式计算，并精确到小数点后两位：价格得分=(1-A*│1－该投标人的评标价／评标基准价│)*50</w:t>
            </w:r>
          </w:p>
          <w:p>
            <w:pPr>
              <w:spacing w:line="320" w:lineRule="exact"/>
              <w:jc w:val="left"/>
              <w:rPr>
                <w:rFonts w:hint="eastAsia" w:ascii="楷体" w:hAnsi="楷体" w:eastAsia="楷体" w:cs="楷体"/>
                <w:sz w:val="21"/>
                <w:szCs w:val="21"/>
              </w:rPr>
            </w:pPr>
            <w:r>
              <w:rPr>
                <w:rFonts w:hint="eastAsia" w:ascii="楷体" w:hAnsi="楷体" w:eastAsia="楷体" w:cs="楷体"/>
                <w:sz w:val="21"/>
                <w:szCs w:val="21"/>
              </w:rPr>
              <w:t>A：价格调整系数，当该投标人的评标价低于评标基准价时，A=0.3；当该投标人的评标价高于评标基准价时，A=1；当价格得分&lt;0时，取0。</w:t>
            </w:r>
          </w:p>
          <w:p>
            <w:pPr>
              <w:pStyle w:val="2"/>
              <w:rPr>
                <w:rFonts w:hint="eastAsia" w:ascii="楷体" w:hAnsi="楷体" w:eastAsia="楷体" w:cs="楷体"/>
                <w:sz w:val="21"/>
                <w:szCs w:val="21"/>
              </w:rPr>
            </w:pPr>
            <w:r>
              <w:rPr>
                <w:rFonts w:hint="eastAsia" w:ascii="楷体" w:hAnsi="楷体" w:eastAsia="楷体" w:cs="楷体"/>
                <w:b/>
                <w:bCs/>
                <w:sz w:val="21"/>
                <w:szCs w:val="21"/>
              </w:rPr>
              <w:t>注：以不含税报价进行评审。</w:t>
            </w:r>
          </w:p>
        </w:tc>
        <w:tc>
          <w:tcPr>
            <w:tcW w:w="1005" w:type="dxa"/>
            <w:vAlign w:val="center"/>
          </w:tcPr>
          <w:p>
            <w:pPr>
              <w:spacing w:line="320" w:lineRule="exact"/>
              <w:jc w:val="center"/>
              <w:rPr>
                <w:rFonts w:hint="eastAsia" w:ascii="楷体" w:hAnsi="楷体" w:eastAsia="楷体" w:cs="楷体"/>
                <w:i/>
                <w:color w:val="auto"/>
                <w:sz w:val="21"/>
                <w:szCs w:val="21"/>
                <w:lang w:val="en-US" w:eastAsia="zh-CN"/>
              </w:rPr>
            </w:pPr>
            <w:r>
              <w:rPr>
                <w:rFonts w:hint="eastAsia" w:ascii="楷体" w:hAnsi="楷体" w:eastAsia="楷体" w:cs="楷体"/>
                <w:i/>
                <w:color w:val="auto"/>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8882" w:type="dxa"/>
            <w:gridSpan w:val="3"/>
            <w:vAlign w:val="center"/>
          </w:tcPr>
          <w:p>
            <w:pPr>
              <w:spacing w:line="320" w:lineRule="exact"/>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二、技术和服务评审</w:t>
            </w:r>
          </w:p>
        </w:tc>
        <w:tc>
          <w:tcPr>
            <w:tcW w:w="1005" w:type="dxa"/>
            <w:vAlign w:val="center"/>
          </w:tcPr>
          <w:p>
            <w:pPr>
              <w:spacing w:line="320" w:lineRule="exact"/>
              <w:rPr>
                <w:rFonts w:hint="eastAsia" w:ascii="楷体" w:hAnsi="楷体" w:eastAsia="楷体" w:cs="楷体"/>
                <w:i/>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1340" w:type="dxa"/>
            <w:vMerge w:val="restart"/>
            <w:shd w:val="clear" w:color="auto" w:fill="auto"/>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p>
        </w:tc>
        <w:tc>
          <w:tcPr>
            <w:tcW w:w="1523" w:type="dxa"/>
            <w:vAlign w:val="center"/>
          </w:tcPr>
          <w:p>
            <w:pPr>
              <w:snapToGrid w:val="0"/>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项目实施方案</w:t>
            </w:r>
          </w:p>
        </w:tc>
        <w:tc>
          <w:tcPr>
            <w:tcW w:w="6019" w:type="dxa"/>
            <w:vAlign w:val="center"/>
          </w:tcPr>
          <w:p>
            <w:pPr>
              <w:snapToGrid w:val="0"/>
              <w:spacing w:line="320" w:lineRule="exact"/>
              <w:jc w:val="left"/>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方案内容、计划的合理性和可行性：项目实施方案（包括但不限于针对本项目的服务质量控制规章制度、服务响应及时性、服务团队人员安排、服务人员经验及能力情况、供货保障、配送方式（配送服务：承诺下单后5公里之内（含）2小时之内送达、5公里（不含）～10公里（含）之内4小时送达、其他距离下单后24小时内送达）、紧急配送方案、交货时间、产品质量保障、货物充足保障、服务保障）内容全面、计划合理。优得8-10分；良得4-7分；一般得0-3分。</w:t>
            </w:r>
          </w:p>
        </w:tc>
        <w:tc>
          <w:tcPr>
            <w:tcW w:w="1005" w:type="dxa"/>
            <w:vAlign w:val="center"/>
          </w:tcPr>
          <w:p>
            <w:pPr>
              <w:snapToGrid w:val="0"/>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40" w:type="dxa"/>
            <w:vMerge w:val="continue"/>
            <w:shd w:val="clear" w:color="auto" w:fill="auto"/>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p>
        </w:tc>
        <w:tc>
          <w:tcPr>
            <w:tcW w:w="1523" w:type="dxa"/>
            <w:vAlign w:val="center"/>
          </w:tcPr>
          <w:p>
            <w:pPr>
              <w:spacing w:line="320" w:lineRule="exact"/>
              <w:rPr>
                <w:rFonts w:hint="eastAsia" w:ascii="楷体" w:hAnsi="楷体" w:eastAsia="楷体" w:cs="楷体"/>
                <w:i/>
                <w:color w:val="000000" w:themeColor="text1"/>
                <w:sz w:val="21"/>
                <w:szCs w:val="21"/>
                <w:lang w:eastAsia="zh-CN"/>
                <w14:textFill>
                  <w14:solidFill>
                    <w14:schemeClr w14:val="tx1"/>
                  </w14:solidFill>
                </w14:textFill>
              </w:rPr>
            </w:pPr>
            <w:r>
              <w:rPr>
                <w:rFonts w:hint="eastAsia" w:ascii="楷体" w:hAnsi="楷体" w:eastAsia="楷体" w:cs="楷体"/>
                <w:i/>
                <w:color w:val="000000" w:themeColor="text1"/>
                <w:sz w:val="21"/>
                <w:szCs w:val="21"/>
                <w:lang w:eastAsia="zh-CN"/>
                <w14:textFill>
                  <w14:solidFill>
                    <w14:schemeClr w14:val="tx1"/>
                  </w14:solidFill>
                </w14:textFill>
              </w:rPr>
              <w:t>项目供应质量</w:t>
            </w:r>
          </w:p>
        </w:tc>
        <w:tc>
          <w:tcPr>
            <w:tcW w:w="6019" w:type="dxa"/>
            <w:vAlign w:val="center"/>
          </w:tcPr>
          <w:p>
            <w:pPr>
              <w:numPr>
                <w:ilvl w:val="0"/>
                <w:numId w:val="3"/>
              </w:numPr>
              <w:snapToGrid w:val="0"/>
              <w:spacing w:line="320" w:lineRule="exact"/>
              <w:jc w:val="left"/>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根据投标人对拟提供的“食品类（含肉类、生鲜类）”商品的品质、生产标准的阐述进行评价：产品品质叙述详实、产品食品安全标准证明齐全。优得5分；良得3-4分；一般得0-2分。</w:t>
            </w:r>
          </w:p>
          <w:p>
            <w:pPr>
              <w:numPr>
                <w:ilvl w:val="0"/>
                <w:numId w:val="3"/>
              </w:numPr>
              <w:snapToGrid w:val="0"/>
              <w:spacing w:line="320" w:lineRule="exact"/>
              <w:ind w:left="0" w:leftChars="0" w:firstLine="0" w:firstLineChars="0"/>
              <w:jc w:val="left"/>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根据投标人对拟提供的“食品类（含肉类、生鲜类）”商品的产地、种类、品种、数量的丰富程度进行评价（投标人需提供规定范围内的慰问品产品清单（包括：序号、产品名称、产品规格、产地等））：产地来源广泛，国内外均有、种类很齐全、品种非常丰富（或生鲜产品数量特别丰富的）、数量充裕。优得5分；良得3-4分；一般得0-2分。</w:t>
            </w:r>
          </w:p>
          <w:p>
            <w:pPr>
              <w:numPr>
                <w:ilvl w:val="0"/>
                <w:numId w:val="3"/>
              </w:numPr>
              <w:snapToGrid w:val="0"/>
              <w:spacing w:line="320" w:lineRule="exact"/>
              <w:ind w:left="0" w:leftChars="0" w:firstLine="0" w:firstLineChars="0"/>
              <w:jc w:val="left"/>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根据投标人对拟提供的“日用品类”商品的品质、生产标准的阐述进行评价：产品品质叙述详实、产品符合国家质量标准证明齐全。优得5分；良得3-4分；一般得0-2分。</w:t>
            </w:r>
          </w:p>
          <w:p>
            <w:pPr>
              <w:snapToGrid w:val="0"/>
              <w:spacing w:line="320" w:lineRule="exact"/>
              <w:jc w:val="left"/>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（4）根据投标人对拟提供的“日用品类”商品的产地、种类、品种、数量的丰富程度进行评价：产地来源很多，国内外均有、种类很齐全、品种非常丰富、数量充裕。优得5分；良得3-4分；一般得0-2分。</w:t>
            </w:r>
          </w:p>
        </w:tc>
        <w:tc>
          <w:tcPr>
            <w:tcW w:w="1005" w:type="dxa"/>
            <w:vAlign w:val="center"/>
          </w:tcPr>
          <w:p>
            <w:pPr>
              <w:snapToGrid w:val="0"/>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1340" w:type="dxa"/>
            <w:vMerge w:val="continue"/>
            <w:shd w:val="clear" w:color="auto" w:fill="auto"/>
            <w:vAlign w:val="center"/>
          </w:tcPr>
          <w:p>
            <w:pPr>
              <w:snapToGrid w:val="0"/>
              <w:spacing w:line="320" w:lineRule="exact"/>
              <w:rPr>
                <w:rFonts w:hint="eastAsia" w:ascii="楷体" w:hAnsi="楷体" w:eastAsia="楷体" w:cs="楷体"/>
                <w:i/>
                <w:color w:val="000000" w:themeColor="text1"/>
                <w:sz w:val="21"/>
                <w:szCs w:val="21"/>
                <w14:textFill>
                  <w14:solidFill>
                    <w14:schemeClr w14:val="tx1"/>
                  </w14:solidFill>
                </w14:textFill>
              </w:rPr>
            </w:pPr>
          </w:p>
        </w:tc>
        <w:tc>
          <w:tcPr>
            <w:tcW w:w="1523" w:type="dxa"/>
            <w:vAlign w:val="center"/>
          </w:tcPr>
          <w:p>
            <w:pPr>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配套服务</w:t>
            </w:r>
          </w:p>
        </w:tc>
        <w:tc>
          <w:tcPr>
            <w:tcW w:w="6019" w:type="dxa"/>
            <w:vAlign w:val="center"/>
          </w:tcPr>
          <w:p>
            <w:pPr>
              <w:snapToGrid w:val="0"/>
              <w:spacing w:line="320" w:lineRule="exact"/>
              <w:jc w:val="left"/>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（1）投标人具有可供招标人自选商品的手机APP软件、小程序或专门的购物网站的，得4分。</w:t>
            </w:r>
            <w:r>
              <w:rPr>
                <w:rFonts w:hint="eastAsia" w:ascii="楷体" w:hAnsi="楷体" w:eastAsia="楷体" w:cs="楷体"/>
                <w:b/>
                <w:bCs/>
                <w:i w:val="0"/>
                <w:iCs/>
                <w:color w:val="000000" w:themeColor="text1"/>
                <w:sz w:val="21"/>
                <w:szCs w:val="21"/>
                <w:lang w:val="en-US" w:eastAsia="zh-CN"/>
                <w14:textFill>
                  <w14:solidFill>
                    <w14:schemeClr w14:val="tx1"/>
                  </w14:solidFill>
                </w14:textFill>
              </w:rPr>
              <w:t>说明：投标人须提供相关APP软件、小程序或网站截图，并加盖投标人公章，否则不得分。</w:t>
            </w:r>
          </w:p>
          <w:p>
            <w:pPr>
              <w:snapToGrid w:val="0"/>
              <w:spacing w:line="320" w:lineRule="exact"/>
              <w:jc w:val="left"/>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2）根据投标人提供不同种类产品的退换货方案（包括但不限于①解决实际问题时效；②退换货服务承诺；③退换货措施和方法）进行评分：退换货方案流程便捷，有利于本项目实施。优得4-5分，良得2-3分；一般得0-1分。</w:t>
            </w:r>
          </w:p>
        </w:tc>
        <w:tc>
          <w:tcPr>
            <w:tcW w:w="1005" w:type="dxa"/>
            <w:vAlign w:val="center"/>
          </w:tcPr>
          <w:p>
            <w:pPr>
              <w:snapToGrid w:val="0"/>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1340" w:type="dxa"/>
            <w:vMerge w:val="restart"/>
            <w:shd w:val="clear" w:color="auto" w:fill="auto"/>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服务水平</w:t>
            </w:r>
          </w:p>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评分</w:t>
            </w:r>
          </w:p>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w:t>
            </w:r>
            <w:r>
              <w:rPr>
                <w:rFonts w:hint="eastAsia" w:ascii="楷体" w:hAnsi="楷体" w:eastAsia="楷体" w:cs="楷体"/>
                <w:i/>
                <w:color w:val="000000" w:themeColor="text1"/>
                <w:sz w:val="21"/>
                <w:szCs w:val="21"/>
                <w:lang w:val="en-US" w:eastAsia="zh-CN"/>
                <w14:textFill>
                  <w14:solidFill>
                    <w14:schemeClr w14:val="tx1"/>
                  </w14:solidFill>
                </w14:textFill>
              </w:rPr>
              <w:t>5</w:t>
            </w:r>
            <w:r>
              <w:rPr>
                <w:rFonts w:hint="eastAsia" w:ascii="楷体" w:hAnsi="楷体" w:eastAsia="楷体" w:cs="楷体"/>
                <w:i/>
                <w:color w:val="000000" w:themeColor="text1"/>
                <w:sz w:val="21"/>
                <w:szCs w:val="21"/>
                <w14:textFill>
                  <w14:solidFill>
                    <w14:schemeClr w14:val="tx1"/>
                  </w14:solidFill>
                </w14:textFill>
              </w:rPr>
              <w:t>）</w:t>
            </w:r>
          </w:p>
        </w:tc>
        <w:tc>
          <w:tcPr>
            <w:tcW w:w="1523" w:type="dxa"/>
            <w:vAlign w:val="center"/>
          </w:tcPr>
          <w:p>
            <w:pPr>
              <w:snapToGrid w:val="0"/>
              <w:spacing w:line="320" w:lineRule="exact"/>
              <w:jc w:val="center"/>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客户合作满意度评价和业绩证明</w:t>
            </w:r>
          </w:p>
        </w:tc>
        <w:tc>
          <w:tcPr>
            <w:tcW w:w="6019" w:type="dxa"/>
            <w:vAlign w:val="center"/>
          </w:tcPr>
          <w:p>
            <w:pPr>
              <w:snapToGrid w:val="0"/>
              <w:spacing w:line="320" w:lineRule="exact"/>
              <w:jc w:val="left"/>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color w:val="000000" w:themeColor="text1"/>
                <w:sz w:val="21"/>
                <w:szCs w:val="21"/>
                <w:lang w:val="en-US" w:eastAsia="zh-CN"/>
                <w14:textFill>
                  <w14:solidFill>
                    <w14:schemeClr w14:val="tx1"/>
                  </w14:solidFill>
                </w14:textFill>
              </w:rPr>
              <w:t>投标人近三年（2022年1月1日至开标日）应具有1个26.60万元(含)以上同类项目实施案例，并提供符合上述要求的合同/协议关键页作为有效的业绩证明材料。合同/协议关键页包含但不限于合同/协议首页、体现项目内容页、签署日期页及盖章页等。在满足资格条件得2分，在满足资格条件基础上，每再增加1个有效案例得1分，最多得5分，如无相关案例不得分。</w:t>
            </w:r>
          </w:p>
        </w:tc>
        <w:tc>
          <w:tcPr>
            <w:tcW w:w="1005" w:type="dxa"/>
            <w:vAlign w:val="center"/>
          </w:tcPr>
          <w:p>
            <w:pPr>
              <w:snapToGrid w:val="0"/>
              <w:spacing w:line="320" w:lineRule="exact"/>
              <w:jc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color w:val="000000" w:themeColor="text1"/>
                <w:sz w:val="21"/>
                <w:szCs w:val="21"/>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1340" w:type="dxa"/>
            <w:vMerge w:val="continue"/>
            <w:shd w:val="clear" w:color="auto" w:fill="auto"/>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p>
        </w:tc>
        <w:tc>
          <w:tcPr>
            <w:tcW w:w="1523" w:type="dxa"/>
            <w:vAlign w:val="center"/>
          </w:tcPr>
          <w:p>
            <w:pPr>
              <w:keepNext w:val="0"/>
              <w:keepLines w:val="0"/>
              <w:widowControl/>
              <w:suppressLineNumbers w:val="0"/>
              <w:jc w:val="center"/>
              <w:textAlignment w:val="center"/>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val="0"/>
                <w:color w:val="000000"/>
                <w:kern w:val="0"/>
                <w:sz w:val="21"/>
                <w:szCs w:val="21"/>
                <w:u w:val="none"/>
                <w:lang w:val="en-US" w:eastAsia="zh-CN" w:bidi="ar"/>
              </w:rPr>
              <w:t>企业综合实力</w:t>
            </w:r>
          </w:p>
        </w:tc>
        <w:tc>
          <w:tcPr>
            <w:tcW w:w="6019" w:type="dxa"/>
            <w:vAlign w:val="bottom"/>
          </w:tcPr>
          <w:p>
            <w:pPr>
              <w:keepNext w:val="0"/>
              <w:keepLines w:val="0"/>
              <w:widowControl/>
              <w:suppressLineNumbers w:val="0"/>
              <w:jc w:val="left"/>
              <w:textAlignment w:val="bottom"/>
              <w:rPr>
                <w:rFonts w:hint="eastAsia" w:ascii="楷体" w:hAnsi="楷体" w:eastAsia="楷体" w:cs="楷体"/>
                <w:i w:val="0"/>
                <w:iCs/>
                <w:color w:val="000000" w:themeColor="text1"/>
                <w:sz w:val="21"/>
                <w:szCs w:val="21"/>
                <w:lang w:val="en-US" w:eastAsia="zh-CN"/>
                <w14:textFill>
                  <w14:solidFill>
                    <w14:schemeClr w14:val="tx1"/>
                  </w14:solidFill>
                </w14:textFill>
              </w:rPr>
            </w:pPr>
            <w:r>
              <w:rPr>
                <w:rFonts w:hint="eastAsia" w:ascii="楷体" w:hAnsi="楷体" w:eastAsia="楷体" w:cs="楷体"/>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005" w:type="dxa"/>
            <w:vAlign w:val="center"/>
          </w:tcPr>
          <w:p>
            <w:pPr>
              <w:keepNext w:val="0"/>
              <w:keepLines w:val="0"/>
              <w:widowControl/>
              <w:suppressLineNumbers w:val="0"/>
              <w:jc w:val="center"/>
              <w:textAlignment w:val="center"/>
              <w:rPr>
                <w:rFonts w:hint="eastAsia" w:ascii="楷体" w:hAnsi="楷体" w:eastAsia="楷体" w:cs="楷体"/>
                <w:i/>
                <w:color w:val="000000" w:themeColor="text1"/>
                <w:sz w:val="21"/>
                <w:szCs w:val="21"/>
                <w:lang w:val="en-US" w:eastAsia="zh-CN"/>
                <w14:textFill>
                  <w14:solidFill>
                    <w14:schemeClr w14:val="tx1"/>
                  </w14:solidFill>
                </w14:textFill>
              </w:rPr>
            </w:pPr>
            <w:r>
              <w:rPr>
                <w:rFonts w:hint="eastAsia" w:ascii="楷体" w:hAnsi="楷体" w:eastAsia="楷体" w:cs="楷体"/>
                <w:i w:val="0"/>
                <w:iCs w:val="0"/>
                <w:color w:val="000000"/>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863" w:type="dxa"/>
            <w:gridSpan w:val="2"/>
            <w:vAlign w:val="center"/>
          </w:tcPr>
          <w:p>
            <w:pPr>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合计</w:t>
            </w:r>
          </w:p>
        </w:tc>
        <w:tc>
          <w:tcPr>
            <w:tcW w:w="6019" w:type="dxa"/>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p>
        </w:tc>
        <w:tc>
          <w:tcPr>
            <w:tcW w:w="1005" w:type="dxa"/>
            <w:vAlign w:val="center"/>
          </w:tcPr>
          <w:p>
            <w:pPr>
              <w:snapToGrid w:val="0"/>
              <w:spacing w:line="320" w:lineRule="exact"/>
              <w:jc w:val="center"/>
              <w:rPr>
                <w:rFonts w:hint="eastAsia" w:ascii="楷体" w:hAnsi="楷体" w:eastAsia="楷体" w:cs="楷体"/>
                <w:i/>
                <w:color w:val="000000" w:themeColor="text1"/>
                <w:sz w:val="21"/>
                <w:szCs w:val="21"/>
                <w14:textFill>
                  <w14:solidFill>
                    <w14:schemeClr w14:val="tx1"/>
                  </w14:solidFill>
                </w14:textFill>
              </w:rPr>
            </w:pPr>
            <w:r>
              <w:rPr>
                <w:rFonts w:hint="eastAsia" w:ascii="楷体" w:hAnsi="楷体" w:eastAsia="楷体" w:cs="楷体"/>
                <w:i/>
                <w:color w:val="000000" w:themeColor="text1"/>
                <w:sz w:val="21"/>
                <w:szCs w:val="21"/>
                <w14:textFill>
                  <w14:solidFill>
                    <w14:schemeClr w14:val="tx1"/>
                  </w14:solidFill>
                </w14:textFill>
              </w:rPr>
              <w:t>100</w:t>
            </w:r>
          </w:p>
        </w:tc>
      </w:tr>
    </w:tbl>
    <w:p>
      <w:pPr>
        <w:pStyle w:val="2"/>
        <w:snapToGrid w:val="0"/>
        <w:spacing w:after="0" w:line="360" w:lineRule="auto"/>
        <w:ind w:left="138" w:right="228" w:firstLine="48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采购评审标准由项目最终报价、技术质量和服务水平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评审标准如下：</w:t>
      </w:r>
    </w:p>
    <w:bookmarkEnd w:id="177"/>
    <w:p>
      <w:pPr>
        <w:pStyle w:val="3"/>
        <w:spacing w:before="0" w:after="0"/>
        <w:jc w:val="left"/>
        <w:rPr>
          <w:rFonts w:hint="eastAsia" w:ascii="仿宋" w:hAnsi="仿宋" w:eastAsia="仿宋" w:cs="仿宋"/>
          <w:color w:val="FF0000"/>
          <w:sz w:val="28"/>
          <w:szCs w:val="28"/>
        </w:rPr>
        <w:sectPr>
          <w:pgSz w:w="11906" w:h="16839"/>
          <w:pgMar w:top="1440" w:right="1800" w:bottom="1440" w:left="1800" w:header="851" w:footer="992" w:gutter="0"/>
          <w:cols w:space="0" w:num="1"/>
        </w:sectPr>
      </w:pPr>
      <w:bookmarkStart w:id="202" w:name="_Toc15254"/>
      <w:bookmarkStart w:id="203" w:name="_Toc30356"/>
      <w:bookmarkStart w:id="204" w:name="_Toc27630"/>
      <w:bookmarkStart w:id="205" w:name="_Toc19719"/>
      <w:bookmarkStart w:id="206" w:name="_Toc186737810"/>
    </w:p>
    <w:p>
      <w:pPr>
        <w:pStyle w:val="3"/>
        <w:spacing w:before="0" w:after="0"/>
        <w:ind w:left="0" w:leftChars="0" w:firstLine="0" w:firstLineChars="0"/>
        <w:jc w:val="center"/>
        <w:rPr>
          <w:color w:val="auto"/>
        </w:rPr>
      </w:pPr>
      <w:bookmarkStart w:id="207" w:name="_Toc20327"/>
      <w:r>
        <w:rPr>
          <w:rFonts w:hint="eastAsia" w:ascii="仿宋" w:hAnsi="仿宋" w:eastAsia="仿宋" w:cs="仿宋"/>
          <w:color w:val="auto"/>
          <w:sz w:val="28"/>
          <w:szCs w:val="28"/>
        </w:rPr>
        <w:t>第四章 合同条</w:t>
      </w:r>
      <w:bookmarkEnd w:id="202"/>
      <w:r>
        <w:rPr>
          <w:rFonts w:hint="eastAsia" w:ascii="仿宋" w:hAnsi="仿宋" w:eastAsia="仿宋" w:cs="仿宋"/>
          <w:color w:val="auto"/>
          <w:sz w:val="28"/>
          <w:szCs w:val="28"/>
        </w:rPr>
        <w:t>款</w:t>
      </w:r>
      <w:bookmarkEnd w:id="203"/>
      <w:bookmarkEnd w:id="204"/>
      <w:bookmarkEnd w:id="205"/>
      <w:bookmarkEnd w:id="206"/>
      <w:bookmarkEnd w:id="207"/>
    </w:p>
    <w:p>
      <w:pPr>
        <w:keepNext w:val="0"/>
        <w:keepLines w:val="0"/>
        <w:widowControl/>
        <w:suppressLineNumbers w:val="0"/>
        <w:spacing w:before="0" w:beforeAutospacing="1" w:after="0" w:afterAutospacing="1" w:line="600" w:lineRule="exact"/>
        <w:ind w:left="0" w:right="0"/>
        <w:jc w:val="center"/>
      </w:pPr>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第一条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项目内容及要求</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项目内容及要求</w:t>
      </w:r>
      <w:r>
        <w:rPr>
          <w:rFonts w:hint="eastAsia" w:ascii="仿宋_GB2312" w:eastAsia="仿宋_GB2312" w:cs="仿宋_GB2312"/>
          <w:sz w:val="32"/>
          <w:szCs w:val="32"/>
        </w:rPr>
        <w:br w:type="textWrapping"/>
      </w:r>
      <w:r>
        <w:rPr>
          <w:rFonts w:hint="eastAsia" w:ascii="仿宋_GB2312" w:eastAsia="仿宋_GB2312" w:cs="仿宋_GB2312"/>
          <w:sz w:val="32"/>
          <w:szCs w:val="32"/>
        </w:rPr>
        <w:t>（1）本合同项下甲乙双方约定的项目内容及要求见本合同【附件】。</w:t>
      </w:r>
      <w:r>
        <w:rPr>
          <w:rFonts w:hint="eastAsia" w:ascii="仿宋_GB2312" w:eastAsia="仿宋_GB2312" w:cs="仿宋_GB2312"/>
          <w:sz w:val="32"/>
          <w:szCs w:val="32"/>
        </w:rPr>
        <w:br w:type="textWrapping"/>
      </w:r>
      <w:r>
        <w:rPr>
          <w:rFonts w:hint="eastAsia" w:ascii="仿宋_GB2312" w:eastAsia="仿宋_GB2312" w:cs="仿宋_GB2312"/>
          <w:sz w:val="32"/>
          <w:szCs w:val="32"/>
        </w:rPr>
        <w:t>（2）乙方应向甲方交付合同【附件】中列明的全部合同货物，负责合同货物的运输、安装、调试，并向甲方提供合同【附件】列明的技术服务。</w:t>
      </w:r>
      <w:r>
        <w:rPr>
          <w:rFonts w:hint="eastAsia" w:ascii="仿宋_GB2312" w:eastAsia="仿宋_GB2312" w:cs="仿宋_GB2312"/>
          <w:sz w:val="32"/>
          <w:szCs w:val="32"/>
        </w:rPr>
        <w:br w:type="textWrapping"/>
      </w:r>
      <w:r>
        <w:rPr>
          <w:rFonts w:hint="eastAsia" w:ascii="仿宋_GB2312" w:eastAsia="仿宋_GB2312" w:cs="仿宋_GB2312"/>
          <w:sz w:val="32"/>
          <w:szCs w:val="32"/>
        </w:rPr>
        <w:t>（3）乙方须向甲方提供包括但不限于保修、维修、咨询、培训等在内的一系列服务。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质量标准</w:t>
      </w:r>
      <w:r>
        <w:rPr>
          <w:rFonts w:hint="eastAsia" w:ascii="仿宋_GB2312" w:eastAsia="仿宋_GB2312" w:cs="仿宋_GB2312"/>
          <w:sz w:val="32"/>
          <w:szCs w:val="32"/>
        </w:rPr>
        <w:br w:type="textWrapping"/>
      </w:r>
      <w:r>
        <w:rPr>
          <w:rFonts w:hint="eastAsia" w:ascii="仿宋_GB2312" w:eastAsia="仿宋_GB2312" w:cs="仿宋_GB2312"/>
          <w:sz w:val="32"/>
          <w:szCs w:val="32"/>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合同价格明细见【附件】。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价格包括合同货物价格、合同货物安装调试费、技术服务费、售后服务费等费用，还包括合同货物的税费、技术资料费、运输费、装卸费、包装费、仓储费、保险费等与本合同有关的所有费用。除合同价格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第三条</w:t>
      </w:r>
      <w:r>
        <w:rPr>
          <w:rFonts w:hint="eastAsia" w:ascii="仿宋_GB2312" w:eastAsia="仿宋_GB2312" w:cs="仿宋_GB2312"/>
          <w:sz w:val="32"/>
          <w:szCs w:val="32"/>
        </w:rPr>
        <w:t xml:space="preserve"> 甲方的权利和义务（适用于专项法律服务合同）</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双方的权利和义务</w:t>
      </w:r>
      <w:r>
        <w:rPr>
          <w:rFonts w:hint="eastAsia" w:ascii="仿宋_GB2312" w:eastAsia="仿宋_GB2312" w:cs="仿宋_GB2312"/>
          <w:sz w:val="32"/>
          <w:szCs w:val="32"/>
        </w:rPr>
        <w:br w:type="textWrapping"/>
      </w:r>
      <w:r>
        <w:rPr>
          <w:rFonts w:hint="eastAsia" w:ascii="仿宋_GB2312" w:eastAsia="仿宋_GB2312" w:cs="仿宋_GB2312"/>
          <w:sz w:val="32"/>
          <w:szCs w:val="32"/>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包装和运输</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包装</w:t>
      </w:r>
      <w:r>
        <w:rPr>
          <w:rFonts w:hint="eastAsia" w:ascii="仿宋_GB2312" w:eastAsia="仿宋_GB2312" w:cs="仿宋_GB2312"/>
          <w:sz w:val="32"/>
          <w:szCs w:val="32"/>
        </w:rPr>
        <w:br w:type="textWrapping"/>
      </w:r>
      <w:r>
        <w:rPr>
          <w:rFonts w:hint="eastAsia" w:ascii="仿宋_GB2312" w:eastAsia="仿宋_GB2312" w:cs="仿宋_GB2312"/>
          <w:sz w:val="32"/>
          <w:szCs w:val="32"/>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仿宋_GB2312" w:eastAsia="仿宋_GB2312" w:cs="仿宋_GB2312"/>
          <w:sz w:val="32"/>
          <w:szCs w:val="32"/>
        </w:rPr>
        <w:br w:type="textWrapping"/>
      </w:r>
      <w:r>
        <w:rPr>
          <w:rFonts w:hint="eastAsia" w:ascii="仿宋_GB2312" w:eastAsia="仿宋_GB2312" w:cs="仿宋_GB2312"/>
          <w:sz w:val="32"/>
          <w:szCs w:val="32"/>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仿宋_GB2312" w:eastAsia="仿宋_GB2312" w:cs="仿宋_GB2312"/>
          <w:sz w:val="32"/>
          <w:szCs w:val="32"/>
        </w:rPr>
        <w:br w:type="textWrapping"/>
      </w:r>
      <w:r>
        <w:rPr>
          <w:rFonts w:hint="eastAsia" w:ascii="仿宋_GB2312" w:eastAsia="仿宋_GB2312" w:cs="仿宋_GB2312"/>
          <w:sz w:val="32"/>
          <w:szCs w:val="32"/>
        </w:rPr>
        <w:t>（3）乙方应承担由于其包装或其防护措施不妥而引起的包括但不限于货物锈蚀、损坏或丢失的任何货物损失。</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交付和收货</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乙方应按合同约定的交付时间将合同货物运至甲方指定地点，并完成货物的安装和调试。交付和质量标准信息见【附件】。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收货</w:t>
      </w:r>
      <w:r>
        <w:rPr>
          <w:rFonts w:hint="eastAsia" w:ascii="仿宋_GB2312" w:eastAsia="仿宋_GB2312" w:cs="仿宋_GB2312"/>
          <w:sz w:val="32"/>
          <w:szCs w:val="32"/>
        </w:rPr>
        <w:br w:type="textWrapping"/>
      </w:r>
      <w:r>
        <w:rPr>
          <w:rFonts w:hint="eastAsia" w:ascii="仿宋_GB2312" w:eastAsia="仿宋_GB2312" w:cs="仿宋_GB2312"/>
          <w:sz w:val="32"/>
          <w:szCs w:val="32"/>
        </w:rPr>
        <w:t>（1）乙方将合同货物安装完毕后，应当通知甲方进行收货，甲方应及时组织收货。</w:t>
      </w:r>
      <w:r>
        <w:rPr>
          <w:rFonts w:hint="eastAsia" w:ascii="仿宋_GB2312" w:eastAsia="仿宋_GB2312" w:cs="仿宋_GB2312"/>
          <w:sz w:val="32"/>
          <w:szCs w:val="32"/>
        </w:rPr>
        <w:br w:type="textWrapping"/>
      </w:r>
      <w:r>
        <w:rPr>
          <w:rFonts w:hint="eastAsia" w:ascii="仿宋_GB2312" w:eastAsia="仿宋_GB2312" w:cs="仿宋_GB2312"/>
          <w:sz w:val="32"/>
          <w:szCs w:val="32"/>
        </w:rPr>
        <w:t>（2）甲方指定收货人在收货单上签字确认的日期视为乙方正式交付合同货物的日期。</w:t>
      </w:r>
      <w:r>
        <w:rPr>
          <w:rFonts w:hint="eastAsia" w:ascii="仿宋_GB2312" w:eastAsia="仿宋_GB2312" w:cs="仿宋_GB2312"/>
          <w:sz w:val="32"/>
          <w:szCs w:val="32"/>
        </w:rPr>
        <w:br w:type="textWrapping"/>
      </w:r>
      <w:r>
        <w:rPr>
          <w:rFonts w:hint="eastAsia" w:ascii="仿宋_GB2312" w:eastAsia="仿宋_GB2312" w:cs="仿宋_GB2312"/>
          <w:sz w:val="32"/>
          <w:szCs w:val="32"/>
        </w:rPr>
        <w:t>（3）甲方在收货单上的签字确认不使甲方丧失因质量问题而向乙方索赔和求偿的权利，同时不解除乙方对于合同货物质量缺陷或瑕疵负有的相应质量保证责任。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第六条</w:t>
      </w:r>
      <w:r>
        <w:rPr>
          <w:rFonts w:hint="eastAsia" w:ascii="仿宋_GB2312" w:eastAsia="仿宋_GB2312" w:cs="仿宋_GB2312"/>
          <w:sz w:val="32"/>
          <w:szCs w:val="32"/>
        </w:rPr>
        <w:t xml:space="preserve"> 保修和维修</w:t>
      </w:r>
      <w:r>
        <w:rPr>
          <w:rFonts w:hint="eastAsia" w:ascii="仿宋_GB2312" w:eastAsia="仿宋_GB2312" w:cs="仿宋_GB2312"/>
          <w:sz w:val="32"/>
          <w:szCs w:val="32"/>
        </w:rPr>
        <w:br w:type="textWrapping"/>
      </w:r>
      <w:r>
        <w:rPr>
          <w:rFonts w:hint="eastAsia" w:ascii="仿宋_GB2312" w:eastAsia="仿宋_GB2312" w:cs="仿宋_GB2312"/>
          <w:b/>
          <w:bCs/>
          <w:sz w:val="32"/>
          <w:szCs w:val="32"/>
        </w:rPr>
        <w:t>保修和维修</w:t>
      </w:r>
      <w:r>
        <w:rPr>
          <w:rFonts w:hint="eastAsia" w:ascii="仿宋_GB2312" w:eastAsia="仿宋_GB2312" w:cs="仿宋_GB2312"/>
          <w:sz w:val="32"/>
          <w:szCs w:val="32"/>
        </w:rPr>
        <w:br w:type="textWrapping"/>
      </w:r>
      <w:r>
        <w:rPr>
          <w:rFonts w:hint="eastAsia" w:ascii="仿宋_GB2312" w:eastAsia="仿宋_GB2312" w:cs="仿宋_GB2312"/>
          <w:sz w:val="32"/>
          <w:szCs w:val="32"/>
        </w:rPr>
        <w:t>保修期内乙方对货物提供技术支持和保修维护服务，具体内容及方式见【附件】，甲方不再就此支付任何费用。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第七条</w:t>
      </w:r>
      <w:r>
        <w:rPr>
          <w:rFonts w:hint="eastAsia" w:ascii="仿宋_GB2312" w:eastAsia="仿宋_GB2312" w:cs="仿宋_GB2312"/>
          <w:sz w:val="32"/>
          <w:szCs w:val="32"/>
        </w:rPr>
        <w:t xml:space="preserve"> 违约责任</w:t>
      </w:r>
      <w:r>
        <w:rPr>
          <w:rFonts w:hint="eastAsia" w:ascii="仿宋_GB2312" w:eastAsia="仿宋_GB2312" w:cs="仿宋_GB2312"/>
          <w:sz w:val="32"/>
          <w:szCs w:val="32"/>
        </w:rPr>
        <w:br w:type="textWrapping"/>
      </w:r>
      <w:r>
        <w:rPr>
          <w:rFonts w:hint="eastAsia" w:ascii="仿宋_GB2312" w:eastAsia="仿宋_GB2312" w:cs="仿宋_GB2312"/>
          <w:b/>
          <w:bCs/>
          <w:sz w:val="32"/>
          <w:szCs w:val="32"/>
        </w:rPr>
        <w:t>违约责任</w:t>
      </w:r>
      <w:r>
        <w:rPr>
          <w:rFonts w:hint="eastAsia" w:ascii="仿宋_GB2312" w:eastAsia="仿宋_GB2312" w:cs="仿宋_GB2312"/>
          <w:sz w:val="32"/>
          <w:szCs w:val="32"/>
        </w:rPr>
        <w:br w:type="textWrapping"/>
      </w:r>
      <w:r>
        <w:rPr>
          <w:rFonts w:hint="eastAsia" w:ascii="仿宋_GB2312" w:eastAsia="仿宋_GB2312" w:cs="仿宋_GB2312"/>
          <w:sz w:val="32"/>
          <w:szCs w:val="32"/>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eastAsia"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第八条</w:t>
      </w:r>
      <w:r>
        <w:rPr>
          <w:rFonts w:hint="eastAsia" w:ascii="仿宋_GB2312" w:eastAsia="仿宋_GB2312" w:cs="仿宋_GB2312"/>
          <w:sz w:val="32"/>
          <w:szCs w:val="32"/>
        </w:rPr>
        <w:t xml:space="preserve"> 定义（适用于货物购买合同）</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定义</w:t>
      </w:r>
      <w:r>
        <w:rPr>
          <w:rFonts w:hint="eastAsia" w:ascii="仿宋_GB2312" w:eastAsia="仿宋_GB2312" w:cs="仿宋_GB2312"/>
          <w:sz w:val="32"/>
          <w:szCs w:val="32"/>
        </w:rPr>
        <w:br w:type="textWrapping"/>
      </w:r>
      <w:r>
        <w:rPr>
          <w:rFonts w:hint="eastAsia" w:ascii="仿宋_GB2312" w:eastAsia="仿宋_GB2312" w:cs="仿宋_GB2312"/>
          <w:sz w:val="32"/>
          <w:szCs w:val="32"/>
        </w:rPr>
        <w:t>（1）“合同”是指甲乙双方所达成的本合同以及所有与之有关的附件。</w:t>
      </w:r>
      <w:r>
        <w:rPr>
          <w:rFonts w:hint="eastAsia" w:ascii="仿宋_GB2312" w:eastAsia="仿宋_GB2312" w:cs="仿宋_GB2312"/>
          <w:sz w:val="32"/>
          <w:szCs w:val="32"/>
        </w:rPr>
        <w:br w:type="textWrapping"/>
      </w:r>
      <w:r>
        <w:rPr>
          <w:rFonts w:hint="eastAsia" w:ascii="仿宋_GB2312" w:eastAsia="仿宋_GB2312" w:cs="仿宋_GB2312"/>
          <w:sz w:val="32"/>
          <w:szCs w:val="32"/>
        </w:rPr>
        <w:t>（2）“合同价格”是指在乙方完全和适当地履行其合同义务后，甲方根据合同约定应支付给乙方的价款。</w:t>
      </w:r>
      <w:r>
        <w:rPr>
          <w:rFonts w:hint="eastAsia" w:ascii="仿宋_GB2312" w:eastAsia="仿宋_GB2312" w:cs="仿宋_GB2312"/>
          <w:sz w:val="32"/>
          <w:szCs w:val="32"/>
        </w:rPr>
        <w:br w:type="textWrapping"/>
      </w:r>
      <w:r>
        <w:rPr>
          <w:rFonts w:hint="eastAsia" w:ascii="仿宋_GB2312" w:eastAsia="仿宋_GB2312" w:cs="仿宋_GB2312"/>
          <w:sz w:val="32"/>
          <w:szCs w:val="32"/>
        </w:rPr>
        <w:t>（3）“技术资料”是指关于合同货物及其相关的安装、调试、验收的所有文件和信息。</w:t>
      </w:r>
      <w:r>
        <w:rPr>
          <w:rFonts w:hint="eastAsia" w:ascii="仿宋_GB2312" w:eastAsia="仿宋_GB2312" w:cs="仿宋_GB2312"/>
          <w:sz w:val="32"/>
          <w:szCs w:val="32"/>
        </w:rPr>
        <w:br w:type="textWrapping"/>
      </w:r>
      <w:r>
        <w:rPr>
          <w:rFonts w:hint="eastAsia" w:ascii="仿宋_GB2312" w:eastAsia="仿宋_GB2312" w:cs="仿宋_GB2312"/>
          <w:sz w:val="32"/>
          <w:szCs w:val="32"/>
        </w:rPr>
        <w:t>（4）“合同货物”是指乙方根据合同应向甲方提供的全部货物。</w:t>
      </w:r>
      <w:r>
        <w:rPr>
          <w:rFonts w:hint="eastAsia" w:ascii="仿宋_GB2312" w:eastAsia="仿宋_GB2312" w:cs="仿宋_GB2312"/>
          <w:sz w:val="32"/>
          <w:szCs w:val="32"/>
        </w:rPr>
        <w:br w:type="textWrapping"/>
      </w:r>
      <w:r>
        <w:rPr>
          <w:rFonts w:hint="eastAsia" w:ascii="仿宋_GB2312" w:eastAsia="仿宋_GB2312" w:cs="仿宋_GB2312"/>
          <w:sz w:val="32"/>
          <w:szCs w:val="32"/>
        </w:rPr>
        <w:t>（5）“技术服务”指的是根据合同约定，应由乙方向甲方提供的包括但不限于货物安装与调试、保修、维修、技术咨询与培训等所有服务。</w:t>
      </w:r>
      <w:r>
        <w:rPr>
          <w:rFonts w:hint="eastAsia" w:ascii="仿宋_GB2312" w:eastAsia="仿宋_GB2312" w:cs="仿宋_GB2312"/>
          <w:sz w:val="32"/>
          <w:szCs w:val="32"/>
        </w:rPr>
        <w:br w:type="textWrapping"/>
      </w:r>
      <w:r>
        <w:rPr>
          <w:rFonts w:hint="eastAsia" w:ascii="仿宋_GB2312" w:eastAsia="仿宋_GB2312" w:cs="仿宋_GB2312"/>
          <w:sz w:val="32"/>
          <w:szCs w:val="32"/>
        </w:rPr>
        <w:t>（6）“日”、“天”：均指日历日。合同中期限的最后一日为国家法定节假日的，顺延至节假日后的第一个工作日。</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第九条</w:t>
      </w:r>
      <w:r>
        <w:rPr>
          <w:rFonts w:hint="eastAsia" w:ascii="仿宋_GB2312" w:eastAsia="仿宋_GB2312" w:cs="仿宋_GB2312"/>
          <w:sz w:val="32"/>
          <w:szCs w:val="32"/>
        </w:rPr>
        <w:t xml:space="preserve"> ......</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甲方的权利和义务</w:t>
      </w:r>
      <w:r>
        <w:rPr>
          <w:rFonts w:hint="eastAsia" w:ascii="仿宋_GB2312" w:eastAsia="仿宋_GB2312" w:cs="仿宋_GB2312"/>
          <w:sz w:val="32"/>
          <w:szCs w:val="32"/>
        </w:rPr>
        <w:br w:type="textWrapping"/>
      </w:r>
      <w:r>
        <w:rPr>
          <w:rFonts w:hint="eastAsia" w:ascii="仿宋_GB2312" w:eastAsia="仿宋_GB2312" w:cs="仿宋_GB2312"/>
          <w:sz w:val="32"/>
          <w:szCs w:val="32"/>
        </w:rPr>
        <w:t>（1）甲方有权获得本合同项下乙方应提供的全部合格的货物并享有乙方提供的全部合格的服务；</w:t>
      </w:r>
      <w:r>
        <w:rPr>
          <w:rFonts w:hint="eastAsia" w:ascii="仿宋_GB2312" w:eastAsia="仿宋_GB2312" w:cs="仿宋_GB2312"/>
          <w:sz w:val="32"/>
          <w:szCs w:val="32"/>
        </w:rPr>
        <w:br w:type="textWrapping"/>
      </w:r>
      <w:r>
        <w:rPr>
          <w:rFonts w:hint="eastAsia" w:ascii="仿宋_GB2312" w:eastAsia="仿宋_GB2312" w:cs="仿宋_GB2312"/>
          <w:sz w:val="32"/>
          <w:szCs w:val="32"/>
        </w:rPr>
        <w:t>（2）甲方有权在合同期内对乙方的供货及服务进行监督；</w:t>
      </w:r>
      <w:r>
        <w:rPr>
          <w:rFonts w:hint="eastAsia" w:ascii="仿宋_GB2312" w:eastAsia="仿宋_GB2312" w:cs="仿宋_GB2312"/>
          <w:sz w:val="32"/>
          <w:szCs w:val="32"/>
        </w:rPr>
        <w:br w:type="textWrapping"/>
      </w:r>
      <w:r>
        <w:rPr>
          <w:rFonts w:hint="eastAsia" w:ascii="仿宋_GB2312" w:eastAsia="仿宋_GB2312" w:cs="仿宋_GB2312"/>
          <w:sz w:val="32"/>
          <w:szCs w:val="32"/>
        </w:rPr>
        <w:t>（3）乙方未按照合同约定履行义务的，甲方有权采取相应的措施；</w:t>
      </w:r>
      <w:r>
        <w:rPr>
          <w:rFonts w:hint="eastAsia" w:ascii="仿宋_GB2312" w:eastAsia="仿宋_GB2312" w:cs="仿宋_GB2312"/>
          <w:sz w:val="32"/>
          <w:szCs w:val="32"/>
        </w:rPr>
        <w:br w:type="textWrapping"/>
      </w:r>
      <w:r>
        <w:rPr>
          <w:rFonts w:hint="eastAsia" w:ascii="仿宋_GB2312" w:eastAsia="仿宋_GB2312" w:cs="仿宋_GB2312"/>
          <w:sz w:val="32"/>
          <w:szCs w:val="32"/>
        </w:rPr>
        <w:t>（4）甲方应按照合同约定向乙方支付合同价款；</w:t>
      </w:r>
      <w:r>
        <w:rPr>
          <w:rFonts w:hint="eastAsia" w:ascii="仿宋_GB2312" w:eastAsia="仿宋_GB2312" w:cs="仿宋_GB2312"/>
          <w:sz w:val="32"/>
          <w:szCs w:val="32"/>
        </w:rPr>
        <w:br w:type="textWrapping"/>
      </w:r>
      <w:r>
        <w:rPr>
          <w:rFonts w:hint="eastAsia" w:ascii="仿宋_GB2312" w:eastAsia="仿宋_GB2312" w:cs="仿宋_GB2312"/>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乙方的权利和义务</w:t>
      </w:r>
      <w:r>
        <w:rPr>
          <w:rFonts w:hint="eastAsia" w:ascii="仿宋_GB2312" w:eastAsia="仿宋_GB2312" w:cs="仿宋_GB2312"/>
          <w:sz w:val="32"/>
          <w:szCs w:val="32"/>
        </w:rPr>
        <w:br w:type="textWrapping"/>
      </w:r>
      <w:r>
        <w:rPr>
          <w:rFonts w:hint="eastAsia" w:ascii="仿宋_GB2312" w:eastAsia="仿宋_GB2312" w:cs="仿宋_GB2312"/>
          <w:sz w:val="32"/>
          <w:szCs w:val="32"/>
        </w:rPr>
        <w:t>（1）乙方有权获得甲方支付的合同价款；</w:t>
      </w:r>
      <w:r>
        <w:rPr>
          <w:rFonts w:hint="eastAsia" w:ascii="仿宋_GB2312" w:eastAsia="仿宋_GB2312" w:cs="仿宋_GB2312"/>
          <w:sz w:val="32"/>
          <w:szCs w:val="32"/>
        </w:rPr>
        <w:br w:type="textWrapping"/>
      </w:r>
      <w:r>
        <w:rPr>
          <w:rFonts w:hint="eastAsia" w:ascii="仿宋_GB2312" w:eastAsia="仿宋_GB2312" w:cs="仿宋_GB2312"/>
          <w:sz w:val="32"/>
          <w:szCs w:val="32"/>
        </w:rPr>
        <w:t>（2）乙方应按照合同约定向甲方提供全部合格的货物和服务；</w:t>
      </w:r>
      <w:r>
        <w:rPr>
          <w:rFonts w:hint="eastAsia" w:ascii="仿宋_GB2312" w:eastAsia="仿宋_GB2312" w:cs="仿宋_GB2312"/>
          <w:sz w:val="32"/>
          <w:szCs w:val="32"/>
        </w:rPr>
        <w:br w:type="textWrapping"/>
      </w:r>
      <w:r>
        <w:rPr>
          <w:rFonts w:hint="eastAsia" w:ascii="仿宋_GB2312" w:eastAsia="仿宋_GB2312" w:cs="仿宋_GB2312"/>
          <w:sz w:val="32"/>
          <w:szCs w:val="32"/>
        </w:rPr>
        <w:t>（3）乙方应按照合同约定履行相应的维护和保修义务；</w:t>
      </w:r>
      <w:r>
        <w:rPr>
          <w:rFonts w:hint="eastAsia" w:ascii="仿宋_GB2312" w:eastAsia="仿宋_GB2312" w:cs="仿宋_GB2312"/>
          <w:sz w:val="32"/>
          <w:szCs w:val="32"/>
        </w:rPr>
        <w:br w:type="textWrapping"/>
      </w:r>
      <w:r>
        <w:rPr>
          <w:rFonts w:hint="eastAsia" w:ascii="仿宋_GB2312" w:eastAsia="仿宋_GB2312" w:cs="仿宋_GB2312"/>
          <w:sz w:val="32"/>
          <w:szCs w:val="32"/>
        </w:rPr>
        <w:t>（4）乙方享有其它双方约定的权利、承担其它双方约定的义务。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第十一条</w:t>
      </w:r>
      <w:r>
        <w:rPr>
          <w:rFonts w:hint="eastAsia" w:ascii="仿宋_GB2312" w:eastAsia="仿宋_GB2312" w:cs="仿宋_GB2312"/>
          <w:sz w:val="32"/>
          <w:szCs w:val="32"/>
        </w:rPr>
        <w:t xml:space="preserve"> 禁止转让</w:t>
      </w:r>
      <w:r>
        <w:rPr>
          <w:rFonts w:hint="eastAsia" w:ascii="仿宋_GB2312" w:eastAsia="仿宋_GB2312" w:cs="仿宋_GB2312"/>
          <w:sz w:val="32"/>
          <w:szCs w:val="32"/>
        </w:rPr>
        <w:br w:type="textWrapping"/>
      </w:r>
      <w:r>
        <w:rPr>
          <w:rFonts w:hint="eastAsia" w:ascii="仿宋_GB2312" w:eastAsia="仿宋_GB2312" w:cs="仿宋_GB2312"/>
          <w:b/>
          <w:bCs/>
          <w:sz w:val="32"/>
          <w:szCs w:val="32"/>
        </w:rPr>
        <w:t>禁止转让</w:t>
      </w:r>
      <w:r>
        <w:rPr>
          <w:rFonts w:hint="eastAsia" w:ascii="仿宋_GB2312" w:eastAsia="仿宋_GB2312" w:cs="仿宋_GB2312"/>
          <w:sz w:val="32"/>
          <w:szCs w:val="32"/>
        </w:rPr>
        <w:br w:type="textWrapping"/>
      </w:r>
      <w:r>
        <w:rPr>
          <w:rFonts w:hint="eastAsia" w:ascii="仿宋_GB2312" w:eastAsia="仿宋_GB2312" w:cs="仿宋_GB2312"/>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第十二条</w:t>
      </w:r>
      <w:r>
        <w:rPr>
          <w:rFonts w:hint="eastAsia" w:ascii="仿宋_GB2312" w:eastAsia="仿宋_GB2312" w:cs="仿宋_GB2312"/>
          <w:sz w:val="32"/>
          <w:szCs w:val="32"/>
        </w:rPr>
        <w:t xml:space="preserve"> 权利保证</w:t>
      </w:r>
      <w:r>
        <w:rPr>
          <w:rFonts w:hint="eastAsia" w:ascii="仿宋_GB2312" w:eastAsia="仿宋_GB2312" w:cs="仿宋_GB2312"/>
          <w:sz w:val="32"/>
          <w:szCs w:val="32"/>
        </w:rPr>
        <w:br w:type="textWrapping"/>
      </w:r>
      <w:r>
        <w:rPr>
          <w:rFonts w:hint="eastAsia" w:ascii="仿宋_GB2312" w:eastAsia="仿宋_GB2312" w:cs="仿宋_GB2312"/>
          <w:b/>
          <w:bCs/>
          <w:sz w:val="32"/>
          <w:szCs w:val="32"/>
        </w:rPr>
        <w:t>权利保证</w:t>
      </w:r>
      <w:r>
        <w:rPr>
          <w:rFonts w:hint="eastAsia" w:ascii="仿宋_GB2312" w:eastAsia="仿宋_GB2312" w:cs="仿宋_GB2312"/>
          <w:sz w:val="32"/>
          <w:szCs w:val="32"/>
        </w:rPr>
        <w:br w:type="textWrapping"/>
      </w:r>
      <w:r>
        <w:rPr>
          <w:rFonts w:hint="eastAsia"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第十三条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如果甲方无正当理由未能在合同约定的时间内向乙方支付相关合同价款，每迟延一日，甲方应向乙方支付应付价款部分的_______%作为违约金。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如果乙方未能按约定时间向甲方交付符合要求的合同货物并取得甲方收货确认，每迟延一日，乙方应向甲方支付当期货款的_______%作为违约金。乙方逾期超过约定10个工作日不能交付货物的，甲方有权单方面解除合同，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_______%作为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如果乙方违反本合同约定的保密义务，乙方应向甲方支付_______的违约金，甲方受到的损失超出违约金的部分，由乙方继续承担赔偿责任。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 除本合同的约定外，因乙方的违约行为给甲方造成损失的，乙方应向甲方支付_______的违约金，如甲方受到的损失超过违约金的，超出部分由乙方继续承担赔偿责任。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第十六条</w:t>
      </w:r>
      <w:r>
        <w:rPr>
          <w:rFonts w:hint="eastAsia" w:ascii="仿宋_GB2312" w:eastAsia="仿宋_GB2312" w:cs="仿宋_GB2312"/>
          <w:sz w:val="32"/>
          <w:szCs w:val="32"/>
        </w:rPr>
        <w:t xml:space="preserve"> 合同变更</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合同变更</w:t>
      </w:r>
      <w:r>
        <w:rPr>
          <w:rFonts w:hint="eastAsia" w:ascii="仿宋_GB2312" w:eastAsia="仿宋_GB2312" w:cs="仿宋_GB2312"/>
          <w:sz w:val="32"/>
          <w:szCs w:val="32"/>
        </w:rPr>
        <w:br w:type="textWrapping"/>
      </w:r>
      <w:r>
        <w:rPr>
          <w:rFonts w:hint="eastAsia"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第十七条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eastAsia" w:ascii="仿宋_GB2312" w:eastAsia="仿宋_GB2312" w:cs="仿宋_GB2312"/>
          <w:sz w:val="32"/>
          <w:szCs w:val="32"/>
        </w:rPr>
        <w:br w:type="textWrapping"/>
      </w:r>
      <w:r>
        <w:rPr>
          <w:rFonts w:hint="eastAsia" w:ascii="仿宋_GB2312" w:eastAsia="仿宋_GB2312" w:cs="仿宋_GB2312"/>
          <w:sz w:val="32"/>
          <w:szCs w:val="32"/>
        </w:rPr>
        <w:t>（1）乙方破产、解散（包括但不限于乙方股东会决议解散、乙方被吊销营业执照、被责令关闭、被撤销、被司法机关裁决解散等情形）；</w:t>
      </w:r>
      <w:r>
        <w:rPr>
          <w:rFonts w:hint="eastAsia" w:ascii="仿宋_GB2312" w:eastAsia="仿宋_GB2312" w:cs="仿宋_GB2312"/>
          <w:sz w:val="32"/>
          <w:szCs w:val="32"/>
        </w:rPr>
        <w:br w:type="textWrapping"/>
      </w:r>
      <w:r>
        <w:rPr>
          <w:rFonts w:hint="eastAsia"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第十八条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第十九条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第二十条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合同效力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374"/>
        <w:jc w:val="left"/>
        <w:textAlignment w:val="auto"/>
        <w:rPr>
          <w:rFonts w:hint="eastAsia" w:ascii="仿宋_GB2312" w:eastAsia="仿宋_GB2312" w:cs="仿宋_GB2312"/>
          <w:sz w:val="32"/>
          <w:szCs w:val="32"/>
        </w:rPr>
      </w:pPr>
      <w:r>
        <w:rPr>
          <w:rFonts w:hint="eastAsia" w:ascii="仿宋_GB2312" w:eastAsia="仿宋_GB2312" w:cs="仿宋_GB2312"/>
          <w:b/>
          <w:bCs w:val="0"/>
          <w:sz w:val="32"/>
          <w:szCs w:val="32"/>
        </w:rPr>
        <w:t>第二十一条</w:t>
      </w:r>
      <w:r>
        <w:rPr>
          <w:rFonts w:hint="eastAsia" w:ascii="仿宋_GB2312" w:eastAsia="仿宋_GB2312" w:cs="仿宋_GB2312"/>
          <w:sz w:val="32"/>
          <w:szCs w:val="32"/>
        </w:rPr>
        <w:t xml:space="preserve"> 附件的组成（适用于货物购买合同）</w:t>
      </w:r>
      <w:r>
        <w:rPr>
          <w:rFonts w:hint="eastAsia" w:ascii="仿宋_GB2312" w:eastAsia="仿宋_GB2312" w:cs="仿宋_GB2312"/>
          <w:sz w:val="32"/>
          <w:szCs w:val="32"/>
        </w:rPr>
        <w:br w:type="textWrapping"/>
      </w:r>
      <w:r>
        <w:rPr>
          <w:rFonts w:hint="eastAsia" w:ascii="仿宋_GB2312" w:eastAsia="仿宋_GB2312" w:cs="仿宋_GB2312"/>
          <w:b/>
          <w:bCs/>
          <w:sz w:val="32"/>
          <w:szCs w:val="32"/>
        </w:rPr>
        <w:t>附件的组成</w:t>
      </w:r>
      <w:r>
        <w:rPr>
          <w:rFonts w:hint="eastAsia" w:ascii="仿宋_GB2312" w:eastAsia="仿宋_GB2312" w:cs="仿宋_GB2312"/>
          <w:sz w:val="32"/>
          <w:szCs w:val="32"/>
        </w:rPr>
        <w:br w:type="textWrapping"/>
      </w:r>
      <w:r>
        <w:rPr>
          <w:rFonts w:hint="eastAsia" w:ascii="仿宋_GB2312" w:eastAsia="仿宋_GB2312" w:cs="仿宋_GB2312"/>
          <w:sz w:val="32"/>
          <w:szCs w:val="32"/>
        </w:rPr>
        <w:t>附件一、合同货物和价格清单</w:t>
      </w:r>
      <w:r>
        <w:rPr>
          <w:rFonts w:hint="eastAsia" w:ascii="仿宋_GB2312" w:eastAsia="仿宋_GB2312" w:cs="仿宋_GB2312"/>
          <w:sz w:val="32"/>
          <w:szCs w:val="32"/>
        </w:rPr>
        <w:br w:type="textWrapping"/>
      </w:r>
      <w:r>
        <w:rPr>
          <w:rFonts w:hint="eastAsia" w:ascii="仿宋_GB2312" w:eastAsia="仿宋_GB2312" w:cs="仿宋_GB2312"/>
          <w:sz w:val="32"/>
          <w:szCs w:val="32"/>
        </w:rPr>
        <w:t>附件二、技术服务方案</w:t>
      </w:r>
      <w:r>
        <w:rPr>
          <w:rFonts w:hint="eastAsia" w:ascii="仿宋_GB2312" w:eastAsia="仿宋_GB2312" w:cs="仿宋_GB2312"/>
          <w:sz w:val="32"/>
          <w:szCs w:val="32"/>
        </w:rPr>
        <w:br w:type="textWrapping"/>
      </w:r>
      <w:r>
        <w:rPr>
          <w:rFonts w:hint="eastAsia" w:ascii="仿宋_GB2312" w:eastAsia="仿宋_GB2312" w:cs="仿宋_GB2312"/>
          <w:sz w:val="32"/>
          <w:szCs w:val="32"/>
        </w:rPr>
        <w:t>附件三、付款</w:t>
      </w:r>
      <w:r>
        <w:rPr>
          <w:rFonts w:hint="eastAsia" w:ascii="仿宋_GB2312" w:eastAsia="仿宋_GB2312" w:cs="仿宋_GB2312"/>
          <w:sz w:val="32"/>
          <w:szCs w:val="32"/>
        </w:rPr>
        <w:br w:type="textWrapping"/>
      </w:r>
      <w:r>
        <w:rPr>
          <w:rFonts w:hint="eastAsia" w:ascii="仿宋_GB2312" w:eastAsia="仿宋_GB2312" w:cs="仿宋_GB2312"/>
          <w:sz w:val="32"/>
          <w:szCs w:val="32"/>
        </w:rPr>
        <w:t>附件四、双方的权利和义务</w:t>
      </w:r>
      <w:r>
        <w:rPr>
          <w:rFonts w:hint="eastAsia" w:ascii="仿宋_GB2312" w:eastAsia="仿宋_GB2312" w:cs="仿宋_GB2312"/>
          <w:sz w:val="32"/>
          <w:szCs w:val="32"/>
        </w:rPr>
        <w:br w:type="textWrapping"/>
      </w:r>
      <w:r>
        <w:rPr>
          <w:rFonts w:hint="eastAsia" w:ascii="仿宋_GB2312" w:eastAsia="仿宋_GB2312" w:cs="仿宋_GB2312"/>
          <w:sz w:val="32"/>
          <w:szCs w:val="32"/>
        </w:rPr>
        <w:t>附件五、交付与质量标准</w:t>
      </w:r>
      <w:r>
        <w:rPr>
          <w:rFonts w:hint="eastAsia" w:ascii="仿宋_GB2312" w:eastAsia="仿宋_GB2312" w:cs="仿宋_GB2312"/>
          <w:sz w:val="32"/>
          <w:szCs w:val="32"/>
        </w:rPr>
        <w:br w:type="textWrapping"/>
      </w:r>
      <w:r>
        <w:rPr>
          <w:rFonts w:hint="eastAsia" w:ascii="仿宋_GB2312" w:eastAsia="仿宋_GB2312" w:cs="仿宋_GB2312"/>
          <w:sz w:val="32"/>
          <w:szCs w:val="32"/>
        </w:rPr>
        <w:t>附件六、保修和维修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left"/>
        <w:textAlignment w:val="auto"/>
        <w:rPr>
          <w:rFonts w:hint="eastAsia" w:ascii="仿宋_GB2312" w:eastAsia="仿宋_GB2312" w:cs="仿宋_GB2312"/>
          <w:sz w:val="32"/>
          <w:szCs w:val="32"/>
        </w:rPr>
      </w:pPr>
      <w:r>
        <w:rPr>
          <w:rFonts w:hint="eastAsia" w:ascii="仿宋_GB2312" w:eastAsia="仿宋_GB2312" w:cs="仿宋_GB2312"/>
          <w:sz w:val="32"/>
          <w:szCs w:val="32"/>
        </w:rPr>
        <w:t>附件七、违约责任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left"/>
        <w:textAlignment w:val="auto"/>
        <w:rPr>
          <w:rFonts w:hint="eastAsia" w:ascii="仿宋_GB2312" w:eastAsia="仿宋_GB2312" w:cs="仿宋_GB2312"/>
          <w:sz w:val="32"/>
          <w:szCs w:val="32"/>
        </w:rPr>
      </w:pPr>
      <w:r>
        <w:rPr>
          <w:rFonts w:hint="eastAsia" w:ascii="仿宋_GB2312" w:eastAsia="仿宋_GB2312" w:cs="仿宋_GB2312"/>
          <w:sz w:val="32"/>
          <w:szCs w:val="32"/>
          <w:lang w:val="en-US" w:eastAsia="zh-CN"/>
        </w:rPr>
        <w:t>附件八、廉洁诚信协议</w:t>
      </w:r>
    </w:p>
    <w:p>
      <w:pPr>
        <w:pStyle w:val="2"/>
        <w:rPr>
          <w:rFonts w:hint="eastAsia" w:ascii="仿宋_GB2312" w:eastAsia="仿宋_GB2312" w:cs="仿宋_GB2312"/>
          <w:sz w:val="32"/>
          <w:szCs w:val="32"/>
        </w:rPr>
      </w:pPr>
    </w:p>
    <w:p>
      <w:pPr>
        <w:pStyle w:val="2"/>
        <w:rPr>
          <w:rFonts w:hint="eastAsia"/>
        </w:rPr>
      </w:pPr>
    </w:p>
    <w:p>
      <w:pPr>
        <w:spacing w:line="360" w:lineRule="auto"/>
        <w:rPr>
          <w:rFonts w:ascii="楷体" w:hAnsi="楷体" w:eastAsia="楷体"/>
          <w:kern w:val="0"/>
          <w:sz w:val="24"/>
        </w:rPr>
      </w:pPr>
      <w:r>
        <w:rPr>
          <w:rFonts w:hint="eastAsia" w:ascii="楷体" w:hAnsi="楷体" w:eastAsia="楷体"/>
          <w:kern w:val="0"/>
          <w:sz w:val="24"/>
        </w:rPr>
        <w:t>附件一：</w:t>
      </w:r>
    </w:p>
    <w:p>
      <w:pPr>
        <w:tabs>
          <w:tab w:val="center" w:pos="5512"/>
        </w:tabs>
        <w:spacing w:line="360" w:lineRule="auto"/>
        <w:jc w:val="center"/>
        <w:rPr>
          <w:rFonts w:ascii="楷体" w:hAnsi="楷体" w:eastAsia="楷体"/>
          <w:b/>
          <w:sz w:val="24"/>
        </w:rPr>
      </w:pPr>
      <w:r>
        <w:rPr>
          <w:rFonts w:hint="eastAsia" w:ascii="楷体" w:hAnsi="楷体" w:eastAsia="楷体"/>
          <w:b/>
          <w:sz w:val="24"/>
        </w:rPr>
        <w:t>合同货物和价格清单</w:t>
      </w:r>
    </w:p>
    <w:p>
      <w:pPr>
        <w:tabs>
          <w:tab w:val="center" w:pos="5512"/>
        </w:tabs>
        <w:spacing w:line="360" w:lineRule="auto"/>
        <w:ind w:firstLine="2520" w:firstLineChars="1050"/>
        <w:rPr>
          <w:rFonts w:ascii="楷体" w:hAnsi="楷体" w:eastAsia="楷体"/>
          <w:sz w:val="24"/>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9"/>
        <w:gridCol w:w="6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货物名称</w:t>
            </w:r>
          </w:p>
        </w:tc>
        <w:tc>
          <w:tcPr>
            <w:tcW w:w="6873" w:type="dxa"/>
            <w:shd w:val="clear" w:color="auto" w:fill="auto"/>
          </w:tcPr>
          <w:p>
            <w:pPr>
              <w:tabs>
                <w:tab w:val="center" w:pos="5512"/>
              </w:tabs>
              <w:spacing w:line="360" w:lineRule="auto"/>
              <w:rPr>
                <w:rFonts w:hint="default" w:ascii="楷体" w:hAnsi="楷体" w:eastAsia="楷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货物品牌</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生产厂商</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型号</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产地</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单重（吨）</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合格证号</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海关单号</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商检单号</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标准配置/选用配置</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设备备件</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单价（元）</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r>
              <w:rPr>
                <w:rFonts w:hint="eastAsia" w:ascii="楷体" w:hAnsi="楷体" w:eastAsia="楷体" w:cs="楷体"/>
                <w:sz w:val="24"/>
              </w:rPr>
              <w:t>备注</w:t>
            </w: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tabs>
                <w:tab w:val="center" w:pos="5512"/>
              </w:tabs>
              <w:spacing w:line="360" w:lineRule="auto"/>
              <w:rPr>
                <w:rFonts w:ascii="楷体" w:hAnsi="楷体" w:eastAsia="楷体"/>
                <w:sz w:val="24"/>
              </w:rPr>
            </w:pPr>
          </w:p>
        </w:tc>
        <w:tc>
          <w:tcPr>
            <w:tcW w:w="6873" w:type="dxa"/>
            <w:shd w:val="clear" w:color="auto" w:fill="auto"/>
          </w:tcPr>
          <w:p>
            <w:pPr>
              <w:tabs>
                <w:tab w:val="center" w:pos="5512"/>
              </w:tabs>
              <w:spacing w:line="360" w:lineRule="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shd w:val="clear" w:color="auto" w:fill="auto"/>
          </w:tcPr>
          <w:p>
            <w:pPr>
              <w:autoSpaceDE w:val="0"/>
              <w:autoSpaceDN w:val="0"/>
              <w:adjustRightInd w:val="0"/>
              <w:spacing w:line="360" w:lineRule="auto"/>
              <w:jc w:val="center"/>
              <w:textAlignment w:val="baseline"/>
              <w:rPr>
                <w:rFonts w:ascii="楷体" w:hAnsi="楷体" w:eastAsia="楷体" w:cs="楷体"/>
                <w:sz w:val="24"/>
              </w:rPr>
            </w:pPr>
          </w:p>
        </w:tc>
        <w:tc>
          <w:tcPr>
            <w:tcW w:w="6873" w:type="dxa"/>
            <w:shd w:val="clear" w:color="auto" w:fill="auto"/>
          </w:tcPr>
          <w:p>
            <w:pPr>
              <w:spacing w:line="360" w:lineRule="auto"/>
              <w:rPr>
                <w:rFonts w:ascii="楷体" w:hAnsi="楷体" w:eastAsia="楷体"/>
                <w:sz w:val="24"/>
              </w:rPr>
            </w:pPr>
          </w:p>
        </w:tc>
      </w:tr>
    </w:tbl>
    <w:p>
      <w:pPr>
        <w:spacing w:line="360" w:lineRule="auto"/>
        <w:rPr>
          <w:rFonts w:hint="eastAsia" w:ascii="楷体" w:hAnsi="楷体" w:eastAsia="楷体"/>
          <w:kern w:val="0"/>
          <w:sz w:val="24"/>
        </w:rPr>
        <w:sectPr>
          <w:pgSz w:w="11906" w:h="16838"/>
          <w:pgMar w:top="1440" w:right="1800" w:bottom="1440" w:left="1800" w:header="851" w:footer="992" w:gutter="0"/>
          <w:cols w:space="425" w:num="1"/>
          <w:docGrid w:type="lines" w:linePitch="312" w:charSpace="0"/>
        </w:sectPr>
      </w:pPr>
    </w:p>
    <w:p>
      <w:pPr>
        <w:spacing w:line="360" w:lineRule="auto"/>
        <w:rPr>
          <w:rFonts w:ascii="楷体" w:hAnsi="楷体" w:eastAsia="楷体"/>
          <w:kern w:val="0"/>
          <w:sz w:val="24"/>
        </w:rPr>
      </w:pPr>
      <w:r>
        <w:rPr>
          <w:rFonts w:hint="eastAsia" w:ascii="楷体" w:hAnsi="楷体" w:eastAsia="楷体"/>
          <w:kern w:val="0"/>
          <w:sz w:val="24"/>
        </w:rPr>
        <w:t>附件二：</w:t>
      </w:r>
    </w:p>
    <w:p>
      <w:pPr>
        <w:spacing w:line="360" w:lineRule="auto"/>
        <w:jc w:val="center"/>
        <w:rPr>
          <w:rFonts w:ascii="楷体" w:hAnsi="楷体" w:eastAsia="楷体"/>
          <w:b/>
          <w:kern w:val="0"/>
          <w:sz w:val="24"/>
        </w:rPr>
      </w:pPr>
      <w:r>
        <w:rPr>
          <w:rFonts w:hint="eastAsia" w:ascii="楷体" w:hAnsi="楷体" w:eastAsia="楷体"/>
          <w:b/>
          <w:kern w:val="0"/>
          <w:sz w:val="24"/>
        </w:rPr>
        <w:t>技术服务方案</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1．自正式交付之日起，乙方对项目提供免费技术支持和保修维护服务，保修期为自交付之日起的</w:t>
      </w:r>
      <w:r>
        <w:rPr>
          <w:rFonts w:hint="eastAsia" w:ascii="楷体" w:hAnsi="楷体" w:eastAsia="楷体"/>
          <w:sz w:val="24"/>
          <w:u w:val="single"/>
        </w:rPr>
        <w:t xml:space="preserve">      </w:t>
      </w:r>
      <w:r>
        <w:rPr>
          <w:rFonts w:hint="eastAsia" w:ascii="楷体" w:hAnsi="楷体" w:eastAsia="楷体"/>
          <w:sz w:val="24"/>
        </w:rPr>
        <w:t>个月。</w:t>
      </w:r>
    </w:p>
    <w:p>
      <w:pPr>
        <w:spacing w:line="360" w:lineRule="auto"/>
        <w:ind w:firstLine="480" w:firstLineChars="200"/>
        <w:rPr>
          <w:rFonts w:ascii="楷体" w:hAnsi="楷体" w:eastAsia="楷体"/>
          <w:sz w:val="24"/>
        </w:rPr>
      </w:pPr>
      <w:r>
        <w:rPr>
          <w:rFonts w:hint="eastAsia" w:ascii="楷体" w:hAnsi="楷体" w:eastAsia="楷体"/>
          <w:sz w:val="24"/>
        </w:rPr>
        <w:t>2．技术服务内容和方式如下：</w:t>
      </w:r>
    </w:p>
    <w:p>
      <w:pPr>
        <w:spacing w:line="360" w:lineRule="auto"/>
        <w:ind w:firstLine="480" w:firstLineChars="200"/>
        <w:rPr>
          <w:rFonts w:ascii="楷体" w:hAnsi="楷体" w:eastAsia="楷体"/>
          <w:sz w:val="24"/>
        </w:rPr>
      </w:pPr>
      <w:r>
        <w:rPr>
          <w:rFonts w:hint="eastAsia" w:ascii="楷体" w:hAnsi="楷体" w:eastAsia="楷体"/>
          <w:sz w:val="24"/>
        </w:rPr>
        <w:t>（1）技术培训：乙方到甲方现场对甲方实际操作人员进行培训，使甲方操作人员能正确理解和掌握设备的操作方法、保养、修理等技能。</w:t>
      </w:r>
    </w:p>
    <w:p>
      <w:pPr>
        <w:spacing w:line="360" w:lineRule="auto"/>
        <w:ind w:firstLine="480" w:firstLineChars="200"/>
        <w:rPr>
          <w:rFonts w:ascii="楷体" w:hAnsi="楷体" w:eastAsia="楷体"/>
          <w:sz w:val="24"/>
        </w:rPr>
      </w:pPr>
      <w:r>
        <w:rPr>
          <w:rFonts w:hint="eastAsia" w:ascii="楷体" w:hAnsi="楷体" w:eastAsia="楷体"/>
          <w:sz w:val="24"/>
        </w:rPr>
        <w:t>（2）故障处理：诊断、解决设备系统故障，对其错误及缺陷进行排错，乙方应在甲方提出书面要求后24小时内予以排除。</w:t>
      </w:r>
    </w:p>
    <w:p>
      <w:pPr>
        <w:spacing w:line="360" w:lineRule="auto"/>
        <w:ind w:firstLine="480" w:firstLineChars="200"/>
        <w:rPr>
          <w:rFonts w:ascii="楷体" w:hAnsi="楷体" w:eastAsia="楷体"/>
          <w:sz w:val="24"/>
        </w:rPr>
      </w:pPr>
      <w:r>
        <w:rPr>
          <w:rFonts w:hint="eastAsia" w:ascii="楷体" w:hAnsi="楷体" w:eastAsia="楷体"/>
          <w:sz w:val="24"/>
        </w:rPr>
        <w:t>（3）技术咨询：解答设备使用中的常见问题，乙方应在甲方提出口头或书面要求后24小时内予以解答。</w:t>
      </w:r>
    </w:p>
    <w:p>
      <w:pPr>
        <w:widowControl/>
        <w:tabs>
          <w:tab w:val="left" w:pos="993"/>
          <w:tab w:val="left" w:pos="1050"/>
        </w:tabs>
        <w:spacing w:line="360" w:lineRule="auto"/>
        <w:ind w:firstLine="480" w:firstLineChars="200"/>
        <w:rPr>
          <w:rFonts w:ascii="楷体" w:hAnsi="楷体" w:eastAsia="楷体"/>
          <w:kern w:val="0"/>
          <w:sz w:val="24"/>
        </w:rPr>
      </w:pPr>
      <w:r>
        <w:rPr>
          <w:rFonts w:hint="eastAsia" w:ascii="楷体" w:hAnsi="楷体" w:eastAsia="楷体"/>
          <w:sz w:val="24"/>
        </w:rPr>
        <w:t>（4）服务方式：电话、信函、邮件、远程技术支持、传真、上门服务。乙方将先以电话或邮件等方式了解甲方需要解决的问题，并为甲方提出解决方案，指导甲方解决问题，甲方无法解决时，乙方将</w:t>
      </w:r>
      <w:r>
        <w:rPr>
          <w:rFonts w:hint="eastAsia" w:ascii="楷体" w:hAnsi="楷体" w:eastAsia="楷体"/>
          <w:bCs/>
          <w:sz w:val="24"/>
        </w:rPr>
        <w:t>指派专业技术人员上门进行排除，对出现故障的部件、元件或零件免费进行修理或更换。</w:t>
      </w:r>
      <w:r>
        <w:rPr>
          <w:rFonts w:hint="eastAsia" w:ascii="楷体" w:hAnsi="楷体" w:eastAsia="楷体"/>
          <w:sz w:val="24"/>
        </w:rPr>
        <w:t>乙方上门服务时要对对甲方的故障问题进行服务请求分析、服务请求处理，协调相关技术资源以解决故障。完成服务后要向甲方出具服务实施报告。</w:t>
      </w:r>
    </w:p>
    <w:p>
      <w:pPr>
        <w:spacing w:line="360" w:lineRule="auto"/>
        <w:ind w:firstLine="480" w:firstLineChars="200"/>
        <w:rPr>
          <w:rFonts w:ascii="楷体" w:hAnsi="楷体" w:eastAsia="楷体"/>
          <w:sz w:val="24"/>
        </w:rPr>
      </w:pPr>
      <w:r>
        <w:rPr>
          <w:rFonts w:hint="eastAsia" w:ascii="楷体" w:hAnsi="楷体" w:eastAsia="楷体"/>
          <w:sz w:val="24"/>
        </w:rPr>
        <w:t>3．保修期结束后，如甲方需要乙方提供维护服务，乙方应予提供，具体服务内容和维护价格由双方另行商定，且服务水平不低于保修期的服务水平。</w:t>
      </w:r>
    </w:p>
    <w:p>
      <w:pPr>
        <w:spacing w:line="360" w:lineRule="auto"/>
        <w:rPr>
          <w:rFonts w:ascii="楷体" w:hAnsi="楷体" w:eastAsia="楷体"/>
          <w:kern w:val="0"/>
          <w:sz w:val="24"/>
        </w:rPr>
        <w:sectPr>
          <w:pgSz w:w="11906" w:h="16838"/>
          <w:pgMar w:top="1440" w:right="1800" w:bottom="1440" w:left="1800" w:header="851" w:footer="992" w:gutter="0"/>
          <w:cols w:space="425" w:num="1"/>
          <w:docGrid w:type="lines" w:linePitch="312" w:charSpace="0"/>
        </w:sect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三</w:t>
      </w:r>
      <w:r>
        <w:rPr>
          <w:rFonts w:hint="eastAsia" w:ascii="楷体" w:hAnsi="楷体" w:eastAsia="楷体"/>
          <w:kern w:val="0"/>
          <w:sz w:val="24"/>
        </w:rPr>
        <w:t>：</w:t>
      </w: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乙方：</w:t>
      </w:r>
      <w:r>
        <w:rPr>
          <w:rFonts w:hint="eastAsia" w:ascii="楷体" w:hAnsi="楷体" w:eastAsia="楷体"/>
          <w:sz w:val="24"/>
          <w:u w:val="single"/>
        </w:rPr>
        <w:t xml:space="preserve">                    </w:t>
      </w:r>
    </w:p>
    <w:p>
      <w:pPr>
        <w:spacing w:after="156" w:afterLines="50" w:line="360" w:lineRule="auto"/>
        <w:ind w:firstLine="840" w:firstLineChars="350"/>
        <w:rPr>
          <w:rFonts w:ascii="楷体" w:hAnsi="楷体" w:eastAsia="楷体"/>
          <w:sz w:val="24"/>
          <w:u w:val="single"/>
        </w:rPr>
      </w:pPr>
      <w:r>
        <w:rPr>
          <w:rFonts w:ascii="楷体" w:hAnsi="楷体" w:eastAsia="楷体"/>
          <w:sz w:val="24"/>
        </w:rPr>
        <w:t>开户行：</w:t>
      </w:r>
      <w:r>
        <w:rPr>
          <w:rFonts w:hint="eastAsia" w:ascii="楷体" w:hAnsi="楷体" w:eastAsia="楷体"/>
          <w:sz w:val="24"/>
          <w:u w:val="single"/>
        </w:rPr>
        <w:t xml:space="preserve">                    </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r>
        <w:rPr>
          <w:rFonts w:hint="eastAsia" w:ascii="楷体" w:hAnsi="楷体" w:eastAsia="楷体"/>
          <w:sz w:val="24"/>
          <w:u w:val="single"/>
        </w:rPr>
        <w:t xml:space="preserve">                  </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r>
        <w:rPr>
          <w:rFonts w:hint="eastAsia" w:ascii="楷体" w:hAnsi="楷体" w:eastAsia="楷体"/>
          <w:sz w:val="24"/>
          <w:u w:val="single"/>
        </w:rPr>
        <w:t xml:space="preserve">                      </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hint="eastAsia" w:ascii="楷体" w:hAnsi="楷体" w:eastAsia="楷体"/>
          <w:sz w:val="24"/>
          <w:lang w:eastAsia="zh-CN"/>
        </w:rPr>
      </w:pPr>
      <w:r>
        <w:rPr>
          <w:rFonts w:hint="eastAsia" w:ascii="楷体" w:hAnsi="楷体" w:eastAsia="楷体"/>
          <w:sz w:val="24"/>
        </w:rPr>
        <w:t>乙方按本合同约定将合同货物运到指定地点，经甲方收货且收到足额有效</w:t>
      </w:r>
      <w:r>
        <w:rPr>
          <w:rFonts w:hint="eastAsia" w:ascii="楷体" w:hAnsi="楷体" w:eastAsia="楷体"/>
          <w:sz w:val="24"/>
          <w:lang w:eastAsia="zh-CN"/>
        </w:rPr>
        <w:t>增值税普通发票</w:t>
      </w:r>
      <w:r>
        <w:rPr>
          <w:rFonts w:hint="eastAsia" w:ascii="楷体" w:hAnsi="楷体" w:eastAsia="楷体"/>
          <w:sz w:val="24"/>
          <w:lang w:val="en-US" w:eastAsia="zh-CN"/>
        </w:rPr>
        <w:t>7</w:t>
      </w:r>
      <w:r>
        <w:rPr>
          <w:rFonts w:hint="eastAsia" w:ascii="楷体" w:hAnsi="楷体" w:eastAsia="楷体"/>
          <w:sz w:val="24"/>
        </w:rPr>
        <w:t>个</w:t>
      </w:r>
      <w:r>
        <w:rPr>
          <w:rFonts w:hint="eastAsia" w:ascii="楷体" w:hAnsi="楷体" w:eastAsia="楷体"/>
          <w:sz w:val="24"/>
          <w:lang w:val="en-US" w:eastAsia="zh-CN"/>
        </w:rPr>
        <w:t>工作</w:t>
      </w:r>
      <w:r>
        <w:rPr>
          <w:rFonts w:hint="eastAsia" w:ascii="楷体" w:hAnsi="楷体" w:eastAsia="楷体"/>
          <w:sz w:val="24"/>
        </w:rPr>
        <w:t>日，甲方向乙方支付合同价格总额的</w:t>
      </w:r>
      <w:r>
        <w:rPr>
          <w:rFonts w:hint="eastAsia" w:ascii="楷体" w:hAnsi="楷体" w:eastAsia="楷体"/>
          <w:sz w:val="24"/>
          <w:lang w:val="en-US" w:eastAsia="zh-CN"/>
        </w:rPr>
        <w:t>100</w:t>
      </w:r>
      <w:r>
        <w:rPr>
          <w:rFonts w:hint="eastAsia" w:ascii="楷体" w:hAnsi="楷体" w:eastAsia="楷体"/>
          <w:sz w:val="24"/>
          <w:u w:val="none"/>
        </w:rPr>
        <w:t>%</w:t>
      </w:r>
      <w:r>
        <w:rPr>
          <w:rFonts w:hint="eastAsia" w:ascii="楷体" w:hAnsi="楷体" w:eastAsia="楷体"/>
          <w:sz w:val="24"/>
        </w:rPr>
        <w:t>，即RMB</w:t>
      </w:r>
      <w:r>
        <w:rPr>
          <w:rFonts w:hint="eastAsia" w:ascii="楷体" w:hAnsi="楷体" w:eastAsia="楷体"/>
          <w:sz w:val="24"/>
          <w:u w:val="single"/>
        </w:rPr>
        <w:t xml:space="preserve">      </w:t>
      </w:r>
      <w:r>
        <w:rPr>
          <w:rFonts w:hint="eastAsia" w:ascii="楷体" w:hAnsi="楷体" w:eastAsia="楷体"/>
          <w:sz w:val="24"/>
        </w:rPr>
        <w:t>元（大写：</w:t>
      </w:r>
      <w:r>
        <w:rPr>
          <w:rFonts w:hint="eastAsia" w:ascii="楷体" w:hAnsi="楷体" w:eastAsia="楷体"/>
          <w:sz w:val="24"/>
          <w:u w:val="single"/>
        </w:rPr>
        <w:t xml:space="preserve">        </w:t>
      </w:r>
      <w:r>
        <w:rPr>
          <w:rFonts w:hint="eastAsia" w:ascii="楷体" w:hAnsi="楷体" w:eastAsia="楷体"/>
          <w:sz w:val="24"/>
        </w:rPr>
        <w:t>整）</w:t>
      </w:r>
      <w:r>
        <w:rPr>
          <w:rFonts w:hint="eastAsia" w:ascii="楷体" w:hAnsi="楷体" w:eastAsia="楷体"/>
          <w:sz w:val="24"/>
          <w:lang w:eastAsia="zh-CN"/>
        </w:rPr>
        <w:t>。</w:t>
      </w:r>
    </w:p>
    <w:p>
      <w:pPr>
        <w:spacing w:line="360" w:lineRule="auto"/>
        <w:ind w:firstLine="480" w:firstLineChars="200"/>
        <w:rPr>
          <w:rFonts w:ascii="楷体" w:hAnsi="楷体" w:eastAsia="楷体"/>
          <w:sz w:val="24"/>
        </w:rPr>
      </w:pPr>
      <w:r>
        <w:rPr>
          <w:rFonts w:ascii="楷体" w:hAnsi="楷体" w:eastAsia="楷体"/>
          <w:sz w:val="24"/>
        </w:rPr>
        <w:t>4</w:t>
      </w:r>
      <w:r>
        <w:rPr>
          <w:rFonts w:hint="eastAsia" w:ascii="楷体" w:hAnsi="楷体" w:eastAsia="楷体"/>
          <w:sz w:val="24"/>
        </w:rPr>
        <w:t>.发票</w:t>
      </w:r>
      <w:r>
        <w:rPr>
          <w:rFonts w:ascii="楷体" w:hAnsi="楷体" w:eastAsia="楷体"/>
          <w:sz w:val="24"/>
        </w:rPr>
        <w:t>开具</w:t>
      </w:r>
      <w:r>
        <w:rPr>
          <w:rFonts w:hint="eastAsia" w:ascii="楷体" w:hAnsi="楷体" w:eastAsia="楷体"/>
          <w:sz w:val="24"/>
        </w:rPr>
        <w:t>：</w:t>
      </w:r>
    </w:p>
    <w:p>
      <w:pPr>
        <w:spacing w:after="156" w:afterLines="50" w:line="360" w:lineRule="auto"/>
        <w:ind w:firstLine="480" w:firstLineChars="200"/>
        <w:rPr>
          <w:rFonts w:hint="eastAsia" w:ascii="楷体" w:hAnsi="楷体" w:eastAsia="楷体" w:cs="Times New Roman"/>
          <w:sz w:val="24"/>
        </w:rPr>
      </w:pPr>
      <w:r>
        <w:rPr>
          <w:rFonts w:hint="eastAsia" w:ascii="楷体" w:hAnsi="楷体" w:eastAsia="楷体" w:cs="Times New Roman"/>
          <w:sz w:val="24"/>
        </w:rPr>
        <w:t>（1）乙方应向甲方开具</w:t>
      </w:r>
      <w:r>
        <w:rPr>
          <w:rFonts w:hint="eastAsia" w:ascii="楷体" w:hAnsi="楷体" w:eastAsia="楷体" w:cs="Times New Roman"/>
          <w:sz w:val="24"/>
          <w:lang w:eastAsia="zh-CN"/>
        </w:rPr>
        <w:t>增值税普通发票</w:t>
      </w:r>
      <w:r>
        <w:rPr>
          <w:rFonts w:hint="eastAsia" w:ascii="楷体" w:hAnsi="楷体" w:eastAsia="楷体" w:cs="Times New Roman"/>
          <w:sz w:val="24"/>
        </w:rPr>
        <w:t xml:space="preserve">，甲方开票信息如下： </w:t>
      </w:r>
    </w:p>
    <w:p>
      <w:pPr>
        <w:spacing w:after="156" w:afterLines="50" w:line="360" w:lineRule="auto"/>
        <w:ind w:firstLine="480" w:firstLineChars="200"/>
        <w:rPr>
          <w:rFonts w:ascii="楷体" w:hAnsi="楷体" w:eastAsia="楷体" w:cs="Times New Roman"/>
          <w:sz w:val="24"/>
        </w:rPr>
      </w:pPr>
      <w:r>
        <w:rPr>
          <w:rFonts w:ascii="楷体" w:hAnsi="楷体" w:eastAsia="楷体" w:cs="Times New Roman"/>
          <w:sz w:val="24"/>
        </w:rPr>
        <w:t>账号：2308412109100292384</w:t>
      </w:r>
    </w:p>
    <w:p>
      <w:pPr>
        <w:spacing w:after="156" w:afterLines="50" w:line="360" w:lineRule="auto"/>
        <w:ind w:firstLine="480" w:firstLineChars="200"/>
        <w:rPr>
          <w:rFonts w:ascii="楷体" w:hAnsi="楷体" w:eastAsia="楷体" w:cs="Times New Roman"/>
          <w:sz w:val="24"/>
        </w:rPr>
      </w:pPr>
      <w:r>
        <w:rPr>
          <w:rFonts w:ascii="楷体" w:hAnsi="楷体" w:eastAsia="楷体" w:cs="Times New Roman"/>
          <w:sz w:val="24"/>
        </w:rPr>
        <w:t>统一社会信用代码：81510700MC54286083</w:t>
      </w:r>
    </w:p>
    <w:p>
      <w:pPr>
        <w:spacing w:after="156" w:afterLines="50" w:line="360" w:lineRule="auto"/>
        <w:ind w:firstLine="480" w:firstLineChars="200"/>
        <w:rPr>
          <w:rFonts w:ascii="楷体" w:hAnsi="楷体" w:eastAsia="楷体" w:cs="Times New Roman"/>
          <w:sz w:val="24"/>
        </w:rPr>
      </w:pPr>
      <w:r>
        <w:rPr>
          <w:rFonts w:ascii="楷体" w:hAnsi="楷体" w:eastAsia="楷体" w:cs="Times New Roman"/>
          <w:sz w:val="24"/>
        </w:rPr>
        <w:t>户名：中国人民财产保险股份有限公司绵阳市分公司工会委员会</w:t>
      </w:r>
    </w:p>
    <w:p>
      <w:pPr>
        <w:spacing w:after="156" w:afterLines="50" w:line="360" w:lineRule="auto"/>
        <w:ind w:firstLine="480" w:firstLineChars="200"/>
        <w:rPr>
          <w:rFonts w:ascii="楷体" w:hAnsi="楷体" w:eastAsia="楷体" w:cs="Times New Roman"/>
          <w:sz w:val="24"/>
        </w:rPr>
      </w:pPr>
      <w:r>
        <w:rPr>
          <w:rFonts w:ascii="楷体" w:hAnsi="楷体" w:eastAsia="楷体" w:cs="Times New Roman"/>
          <w:sz w:val="24"/>
        </w:rPr>
        <w:t>开户行：中国工商银行股份有限公司绵阳涪城支行</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rPr>
        <w:t>（2）乙方同时向甲方公司及其分支机构提供产品及服务的，双方应在合同中约定甲方的分支机构和对应的价款。乙方应分别对清单中的费用承担方开具相应金额的</w:t>
      </w:r>
      <w:r>
        <w:rPr>
          <w:rFonts w:hint="eastAsia" w:ascii="楷体" w:hAnsi="楷体" w:eastAsia="楷体" w:cs="Times New Roman"/>
          <w:sz w:val="24"/>
          <w:lang w:eastAsia="zh-CN"/>
        </w:rPr>
        <w:t>增值税普通发票</w:t>
      </w:r>
      <w:r>
        <w:rPr>
          <w:rFonts w:hint="eastAsia" w:ascii="楷体" w:hAnsi="楷体" w:eastAsia="楷体" w:cs="Times New Roman"/>
          <w:sz w:val="24"/>
        </w:rPr>
        <w:t>；</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rPr>
        <w:t>（3）乙方应在每次</w:t>
      </w:r>
      <w:r>
        <w:rPr>
          <w:rFonts w:hint="eastAsia" w:ascii="楷体" w:hAnsi="楷体" w:eastAsia="楷体" w:cs="Times New Roman"/>
          <w:sz w:val="24"/>
          <w:lang w:eastAsia="zh-CN"/>
        </w:rPr>
        <w:t>增值税普通发票</w:t>
      </w:r>
      <w:r>
        <w:rPr>
          <w:rFonts w:hint="eastAsia" w:ascii="楷体" w:hAnsi="楷体" w:eastAsia="楷体" w:cs="Times New Roman"/>
          <w:sz w:val="24"/>
        </w:rPr>
        <w:t>开具后的30个自然日内向甲方提交相应</w:t>
      </w:r>
      <w:r>
        <w:rPr>
          <w:rFonts w:hint="eastAsia" w:ascii="楷体" w:hAnsi="楷体" w:eastAsia="楷体" w:cs="Times New Roman"/>
          <w:sz w:val="24"/>
          <w:lang w:eastAsia="zh-CN"/>
        </w:rPr>
        <w:t>增值税普通发票</w:t>
      </w:r>
      <w:r>
        <w:rPr>
          <w:rFonts w:hint="eastAsia" w:ascii="楷体" w:hAnsi="楷体" w:eastAsia="楷体" w:cs="Times New Roman"/>
          <w:sz w:val="24"/>
        </w:rPr>
        <w:t>，否则甲方有权拒收发票。经多次分批的</w:t>
      </w:r>
      <w:r>
        <w:rPr>
          <w:rFonts w:hint="eastAsia" w:ascii="楷体" w:hAnsi="楷体" w:eastAsia="楷体" w:cs="Times New Roman"/>
          <w:sz w:val="24"/>
          <w:lang w:eastAsia="zh-CN"/>
        </w:rPr>
        <w:t>增值税普通发票</w:t>
      </w:r>
      <w:r>
        <w:rPr>
          <w:rFonts w:hint="eastAsia" w:ascii="楷体" w:hAnsi="楷体" w:eastAsia="楷体" w:cs="Times New Roman"/>
          <w:sz w:val="24"/>
        </w:rPr>
        <w:t>的开具、提交以及双方收付款，乙方开具并提交甲方的</w:t>
      </w:r>
      <w:r>
        <w:rPr>
          <w:rFonts w:hint="eastAsia" w:ascii="楷体" w:hAnsi="楷体" w:eastAsia="楷体" w:cs="Times New Roman"/>
          <w:sz w:val="24"/>
          <w:lang w:eastAsia="zh-CN"/>
        </w:rPr>
        <w:t>增值税普通发票</w:t>
      </w:r>
      <w:r>
        <w:rPr>
          <w:rFonts w:hint="eastAsia" w:ascii="楷体" w:hAnsi="楷体" w:eastAsia="楷体" w:cs="Times New Roman"/>
          <w:sz w:val="24"/>
        </w:rPr>
        <w:t xml:space="preserve">的价税合计金额应与甲方已经支付的价税合计款项保持一致； </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rPr>
        <w:t>（4）乙方必须严格遵照相关税收法规和文件，开具合法的</w:t>
      </w:r>
      <w:r>
        <w:rPr>
          <w:rFonts w:hint="eastAsia" w:ascii="楷体" w:hAnsi="楷体" w:eastAsia="楷体" w:cs="Times New Roman"/>
          <w:sz w:val="24"/>
          <w:lang w:eastAsia="zh-CN"/>
        </w:rPr>
        <w:t>增值税普通发票</w:t>
      </w:r>
      <w:r>
        <w:rPr>
          <w:rFonts w:hint="eastAsia" w:ascii="楷体" w:hAnsi="楷体" w:eastAsia="楷体" w:cs="Times New Roman"/>
          <w:sz w:val="24"/>
        </w:rPr>
        <w:t>。因乙方开具的</w:t>
      </w:r>
      <w:r>
        <w:rPr>
          <w:rFonts w:hint="eastAsia" w:ascii="楷体" w:hAnsi="楷体" w:eastAsia="楷体" w:cs="Times New Roman"/>
          <w:sz w:val="24"/>
          <w:lang w:eastAsia="zh-CN"/>
        </w:rPr>
        <w:t>增值税普通发票</w:t>
      </w:r>
      <w:r>
        <w:rPr>
          <w:rFonts w:hint="eastAsia" w:ascii="楷体" w:hAnsi="楷体" w:eastAsia="楷体" w:cs="Times New Roman"/>
          <w:sz w:val="24"/>
        </w:rPr>
        <w:t>不符合税收法规与税务机关相关规定而给甲方造成经济损失的，乙方负责赔偿。即乙方如不能提供</w:t>
      </w:r>
      <w:r>
        <w:rPr>
          <w:rFonts w:hint="eastAsia" w:ascii="楷体" w:hAnsi="楷体" w:eastAsia="楷体" w:cs="Times New Roman"/>
          <w:sz w:val="24"/>
          <w:lang w:eastAsia="zh-CN"/>
        </w:rPr>
        <w:t>增值税普通发票</w:t>
      </w:r>
      <w:r>
        <w:rPr>
          <w:rFonts w:hint="eastAsia" w:ascii="楷体" w:hAnsi="楷体" w:eastAsia="楷体" w:cs="Times New Roman"/>
          <w:sz w:val="24"/>
        </w:rPr>
        <w:t>，则采购对应的进项税额由乙方承担；如提供的票面税率与承诺不一致，则差额由乙方承担；</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rPr>
        <w:t>（5）乙方开具的</w:t>
      </w:r>
      <w:r>
        <w:rPr>
          <w:rFonts w:hint="eastAsia" w:ascii="楷体" w:hAnsi="楷体" w:eastAsia="楷体" w:cs="Times New Roman"/>
          <w:sz w:val="24"/>
          <w:lang w:eastAsia="zh-CN"/>
        </w:rPr>
        <w:t>增值税普通发票</w:t>
      </w:r>
      <w:r>
        <w:rPr>
          <w:rFonts w:hint="eastAsia" w:ascii="楷体" w:hAnsi="楷体" w:eastAsia="楷体" w:cs="Times New Roman"/>
          <w:sz w:val="24"/>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rPr>
        <w:t>（6）为保证取得的发票可以及时并成功获得抵扣，乙方开具的</w:t>
      </w:r>
      <w:r>
        <w:rPr>
          <w:rFonts w:hint="eastAsia" w:ascii="楷体" w:hAnsi="楷体" w:eastAsia="楷体" w:cs="Times New Roman"/>
          <w:sz w:val="24"/>
          <w:lang w:eastAsia="zh-CN"/>
        </w:rPr>
        <w:t>增值税普通发票</w:t>
      </w:r>
      <w:r>
        <w:rPr>
          <w:rFonts w:hint="eastAsia" w:ascii="楷体" w:hAnsi="楷体" w:eastAsia="楷体" w:cs="Times New Roman"/>
          <w:sz w:val="24"/>
        </w:rPr>
        <w:t>送达并经甲方签收后，若发生丢失，乙方应积极协助甲方，按照相关税收法规和文件的规定提供相应资料，并确保甲方顺利获得抵扣；</w:t>
      </w:r>
    </w:p>
    <w:p>
      <w:pPr>
        <w:spacing w:after="156" w:afterLines="50" w:line="360" w:lineRule="auto"/>
        <w:ind w:firstLine="480" w:firstLineChars="200"/>
        <w:rPr>
          <w:rFonts w:hint="eastAsia" w:ascii="楷体" w:hAnsi="楷体" w:eastAsia="楷体" w:cs="Times New Roman"/>
          <w:sz w:val="24"/>
        </w:rPr>
        <w:sectPr>
          <w:pgSz w:w="11906" w:h="16838"/>
          <w:pgMar w:top="1440" w:right="1800" w:bottom="1440" w:left="1800" w:header="851" w:footer="992" w:gutter="0"/>
          <w:cols w:space="425" w:num="1"/>
          <w:docGrid w:type="lines" w:linePitch="312" w:charSpace="0"/>
        </w:sectPr>
      </w:pPr>
      <w:r>
        <w:rPr>
          <w:rFonts w:hint="eastAsia" w:ascii="楷体" w:hAnsi="楷体" w:eastAsia="楷体" w:cs="Times New Roman"/>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四</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66432"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66432;mso-width-relative:page;mso-height-relative:page;" fillcolor="#FFFFFF" filled="t" stroked="f" coordsize="21600,21600" o:gfxdata="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DZCsaK2QAAAAsBAAAPAAAAAAAAAAEA&#10;IAAAADgAAABkcnMvZG93bnJldi54bWxQSwECFAAUAAAACACHTuJAD7YohTECAABNBAAADgAAAAAA&#10;AAABACAAAAA+AQAAZHJzL2Uyb0RvYy54bWxQSwUGAAAAAAYABgBZAQAA4QUAAAAA&#10;">
                <v:fill on="t" focussize="0,0"/>
                <v:stroke on="f"/>
                <v:imagedata o:title=""/>
                <o:lock v:ext="edit" aspectratio="f"/>
                <v:textbox>
                  <w:txbxContent>
                    <w:p/>
                  </w:txbxContent>
                </v:textbox>
              </v:shape>
            </w:pict>
          </mc:Fallback>
        </mc:AlternateContent>
      </w:r>
      <w:r>
        <w:rPr>
          <w:rFonts w:hint="eastAsia" w:ascii="楷体" w:hAnsi="楷体" w:eastAsia="楷体"/>
          <w:bCs/>
          <w:sz w:val="24"/>
        </w:rPr>
        <w:t>1.甲方的权利和义务</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lang w:eastAsia="zh-CN"/>
        </w:rPr>
        <w:t>。</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hint="eastAsia" w:ascii="楷体" w:hAnsi="楷体" w:eastAsia="楷体"/>
          <w:b/>
          <w:sz w:val="24"/>
          <w:lang w:eastAsia="zh-CN"/>
        </w:rPr>
      </w:pPr>
      <w:r>
        <w:rPr>
          <w:rFonts w:hint="eastAsia" w:ascii="楷体" w:hAnsi="楷体" w:eastAsia="楷体"/>
          <w:sz w:val="24"/>
          <w:lang w:eastAsia="zh-CN"/>
        </w:rPr>
        <w:t>。</w:t>
      </w:r>
    </w:p>
    <w:p>
      <w:pPr>
        <w:pStyle w:val="2"/>
        <w:sectPr>
          <w:pgSz w:w="11906" w:h="16838"/>
          <w:pgMar w:top="1440" w:right="1800" w:bottom="1440" w:left="1800" w:header="851" w:footer="992" w:gutter="0"/>
          <w:cols w:space="425" w:num="1"/>
          <w:docGrid w:type="lines" w:linePitch="312" w:charSpace="0"/>
        </w:sect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五</w:t>
      </w:r>
      <w:r>
        <w:rPr>
          <w:rFonts w:hint="eastAsia" w:ascii="楷体" w:hAnsi="楷体" w:eastAsia="楷体"/>
          <w:kern w:val="0"/>
          <w:sz w:val="24"/>
        </w:rPr>
        <w:t>：</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pStyle w:val="2"/>
        <w:numPr>
          <w:ilvl w:val="0"/>
          <w:numId w:val="4"/>
        </w:numPr>
        <w:rPr>
          <w:rFonts w:hint="eastAsia" w:ascii="楷体" w:hAnsi="楷体" w:eastAsia="楷体"/>
          <w:sz w:val="24"/>
          <w:u w:val="single"/>
        </w:rPr>
      </w:pPr>
      <w:r>
        <w:rPr>
          <w:rFonts w:hint="eastAsia" w:ascii="楷体" w:hAnsi="楷体" w:eastAsia="楷体"/>
          <w:sz w:val="24"/>
        </w:rPr>
        <w:t>乙方应在合同签订后</w:t>
      </w:r>
      <w:r>
        <w:rPr>
          <w:rFonts w:hint="eastAsia" w:ascii="楷体" w:hAnsi="楷体" w:eastAsia="楷体"/>
          <w:sz w:val="24"/>
          <w:u w:val="single"/>
          <w:lang w:val="en-US" w:eastAsia="zh-CN"/>
        </w:rPr>
        <w:t xml:space="preserve"> 3 </w:t>
      </w:r>
      <w:r>
        <w:rPr>
          <w:rFonts w:hint="eastAsia" w:ascii="楷体" w:hAnsi="楷体" w:eastAsia="楷体"/>
          <w:sz w:val="24"/>
        </w:rPr>
        <w:t>日内将合同货物运至甲方指定地点：</w:t>
      </w:r>
      <w:r>
        <w:rPr>
          <w:rFonts w:hint="eastAsia" w:ascii="楷体" w:hAnsi="楷体" w:eastAsia="楷体"/>
          <w:sz w:val="24"/>
          <w:u w:val="single"/>
        </w:rPr>
        <w:t xml:space="preserve"> </w:t>
      </w:r>
      <w:r>
        <w:rPr>
          <w:rFonts w:hint="eastAsia" w:ascii="楷体" w:hAnsi="楷体" w:eastAsia="楷体"/>
          <w:sz w:val="24"/>
          <w:u w:val="single"/>
          <w:lang w:val="en-US" w:eastAsia="zh-CN"/>
        </w:rPr>
        <w:t>涪城区南河路3号</w:t>
      </w:r>
      <w:r>
        <w:rPr>
          <w:rFonts w:hint="eastAsia" w:ascii="楷体" w:hAnsi="楷体" w:eastAsia="楷体"/>
          <w:sz w:val="24"/>
          <w:u w:val="single"/>
        </w:rPr>
        <w:t xml:space="preserve"> </w:t>
      </w:r>
    </w:p>
    <w:p>
      <w:pPr>
        <w:pStyle w:val="2"/>
        <w:numPr>
          <w:ilvl w:val="0"/>
          <w:numId w:val="0"/>
        </w:numPr>
        <w:spacing w:after="120"/>
        <w:jc w:val="left"/>
        <w:rPr>
          <w:rFonts w:hint="eastAsia" w:ascii="楷体" w:hAnsi="楷体" w:eastAsia="楷体"/>
          <w:sz w:val="24"/>
          <w:u w:val="single"/>
        </w:rPr>
      </w:pPr>
    </w:p>
    <w:p>
      <w:pPr>
        <w:pStyle w:val="2"/>
        <w:numPr>
          <w:ilvl w:val="0"/>
          <w:numId w:val="0"/>
        </w:numPr>
        <w:spacing w:after="120"/>
        <w:jc w:val="left"/>
        <w:rPr>
          <w:rFonts w:hint="default" w:ascii="楷体" w:hAnsi="楷体" w:eastAsia="楷体"/>
          <w:sz w:val="24"/>
          <w:u w:val="none"/>
          <w:lang w:val="en-US" w:eastAsia="zh-CN"/>
        </w:rPr>
        <w:sectPr>
          <w:pgSz w:w="11906" w:h="16838"/>
          <w:pgMar w:top="1440" w:right="1800" w:bottom="1440" w:left="1800" w:header="851" w:footer="992" w:gutter="0"/>
          <w:cols w:space="425" w:num="1"/>
          <w:docGrid w:type="lines" w:linePitch="312" w:charSpace="0"/>
        </w:sectPr>
      </w:pPr>
      <w:r>
        <w:rPr>
          <w:rFonts w:hint="eastAsia" w:ascii="楷体" w:hAnsi="楷体" w:eastAsia="楷体"/>
          <w:sz w:val="24"/>
          <w:u w:val="none"/>
          <w:lang w:val="en-US" w:eastAsia="zh-CN"/>
        </w:rPr>
        <w:t>2.。</w:t>
      </w:r>
    </w:p>
    <w:p>
      <w:pPr>
        <w:spacing w:line="360" w:lineRule="auto"/>
        <w:rPr>
          <w:rFonts w:ascii="楷体" w:hAnsi="楷体" w:eastAsia="楷体"/>
          <w:sz w:val="24"/>
        </w:rPr>
      </w:pPr>
      <w:r>
        <w:rPr>
          <w:rFonts w:hint="eastAsia" w:ascii="楷体" w:hAnsi="楷体" w:eastAsia="楷体"/>
          <w:sz w:val="24"/>
        </w:rPr>
        <w:t>附件六：</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保修和维修</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hint="eastAsia" w:ascii="楷体" w:hAnsi="楷体" w:eastAsia="楷体"/>
          <w:bCs/>
          <w:sz w:val="24"/>
        </w:rPr>
        <w:t>1.乙方对于合同货物向甲方提供的保修期为自交付之日起的</w:t>
      </w:r>
      <w:r>
        <w:rPr>
          <w:rFonts w:hint="eastAsia" w:ascii="楷体" w:hAnsi="楷体" w:eastAsia="楷体"/>
          <w:bCs/>
          <w:sz w:val="24"/>
          <w:u w:val="single"/>
        </w:rPr>
        <w:t xml:space="preserve">      </w:t>
      </w:r>
      <w:r>
        <w:rPr>
          <w:rFonts w:hint="eastAsia" w:ascii="楷体" w:hAnsi="楷体" w:eastAsia="楷体"/>
          <w:bCs/>
          <w:sz w:val="24"/>
        </w:rPr>
        <w:t>个月。</w:t>
      </w:r>
    </w:p>
    <w:p>
      <w:pPr>
        <w:pStyle w:val="11"/>
        <w:spacing w:line="360" w:lineRule="auto"/>
        <w:ind w:firstLine="480"/>
        <w:rPr>
          <w:rFonts w:ascii="楷体" w:hAnsi="楷体" w:eastAsia="楷体"/>
          <w:sz w:val="24"/>
        </w:rPr>
      </w:pPr>
      <w:r>
        <w:rPr>
          <w:rFonts w:hint="eastAsia" w:ascii="楷体" w:hAnsi="楷体" w:eastAsia="楷体"/>
          <w:bCs/>
          <w:sz w:val="24"/>
        </w:rPr>
        <w:t>2.在双方约定的保修期内，乙方对合同货物运行过程中出现的故障指派专业技术人员进行排除，对出现故障的部件、元件或零件免费进行修理或更换。除合同另有约定外，</w:t>
      </w:r>
      <w:r>
        <w:rPr>
          <w:rFonts w:hint="eastAsia" w:ascii="楷体" w:hAnsi="楷体" w:eastAsia="楷体"/>
          <w:sz w:val="24"/>
        </w:rPr>
        <w:t>乙方应在接到故障通知后及时响应，并根据甲方要求到场维修或</w:t>
      </w:r>
      <w:r>
        <w:rPr>
          <w:rFonts w:ascii="楷体" w:hAnsi="楷体" w:eastAsia="楷体"/>
          <w:sz w:val="24"/>
        </w:rPr>
        <w:t>更换相关配件。</w:t>
      </w:r>
      <w:r>
        <w:rPr>
          <w:rFonts w:hint="eastAsia" w:ascii="楷体" w:hAnsi="楷体" w:eastAsia="楷体"/>
          <w:sz w:val="24"/>
        </w:rPr>
        <w:t>同时，如双方约定其他保修服务的，乙方应提供约定的其他保修服务。</w:t>
      </w:r>
    </w:p>
    <w:p>
      <w:pPr>
        <w:pStyle w:val="11"/>
        <w:spacing w:line="360" w:lineRule="auto"/>
        <w:ind w:firstLine="480"/>
        <w:rPr>
          <w:rFonts w:ascii="楷体" w:hAnsi="楷体" w:eastAsia="楷体"/>
          <w:bCs/>
          <w:sz w:val="24"/>
        </w:rPr>
      </w:pPr>
      <w:r>
        <w:rPr>
          <w:rFonts w:hint="eastAsia" w:ascii="楷体" w:hAnsi="楷体" w:eastAsia="楷体"/>
          <w:bCs/>
          <w:sz w:val="24"/>
        </w:rPr>
        <w:t>3.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p>
    <w:p>
      <w:pPr>
        <w:pStyle w:val="11"/>
        <w:spacing w:line="360" w:lineRule="auto"/>
        <w:ind w:firstLine="480"/>
        <w:rPr>
          <w:rFonts w:ascii="楷体" w:hAnsi="楷体" w:eastAsia="楷体"/>
          <w:bCs/>
          <w:sz w:val="24"/>
        </w:rPr>
      </w:pPr>
      <w:r>
        <w:rPr>
          <w:rFonts w:hint="eastAsia" w:ascii="楷体" w:hAnsi="楷体" w:eastAsia="楷体"/>
          <w:bCs/>
          <w:sz w:val="24"/>
        </w:rPr>
        <w:t>4.保修期满，乙方应持续对货物使用期间出现的故障提供维修服务。对维修所需费用，乙方应仅收取正常的成本费用。</w:t>
      </w:r>
    </w:p>
    <w:p>
      <w:pPr>
        <w:pStyle w:val="2"/>
        <w:rPr>
          <w:rFonts w:hint="eastAsia" w:ascii="楷体" w:hAnsi="楷体" w:eastAsia="楷体"/>
          <w:sz w:val="24"/>
          <w:u w:val="single"/>
        </w:rPr>
        <w:sectPr>
          <w:pgSz w:w="11906" w:h="16838"/>
          <w:pgMar w:top="1440" w:right="1800" w:bottom="1440" w:left="1800" w:header="851" w:footer="992" w:gutter="0"/>
          <w:cols w:space="425" w:num="1"/>
          <w:docGrid w:type="lines" w:linePitch="312" w:charSpace="0"/>
        </w:sectPr>
      </w:pPr>
    </w:p>
    <w:p>
      <w:pPr>
        <w:spacing w:line="360" w:lineRule="auto"/>
        <w:rPr>
          <w:rFonts w:ascii="楷体" w:hAnsi="楷体" w:eastAsia="楷体"/>
          <w:sz w:val="24"/>
        </w:rPr>
      </w:pPr>
      <w:r>
        <w:rPr>
          <w:rFonts w:hint="eastAsia" w:ascii="楷体" w:hAnsi="楷体" w:eastAsia="楷体"/>
          <w:sz w:val="24"/>
        </w:rPr>
        <w:t>附件七：</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违约责任</w:t>
      </w:r>
    </w:p>
    <w:p>
      <w:pPr>
        <w:spacing w:line="360" w:lineRule="auto"/>
        <w:ind w:firstLine="480" w:firstLineChars="200"/>
        <w:rPr>
          <w:rFonts w:ascii="楷体" w:hAnsi="楷体" w:eastAsia="楷体"/>
          <w:sz w:val="24"/>
        </w:rPr>
      </w:pPr>
    </w:p>
    <w:p>
      <w:pPr>
        <w:spacing w:line="360" w:lineRule="auto"/>
        <w:ind w:firstLine="480" w:firstLineChars="200"/>
        <w:rPr>
          <w:rFonts w:ascii="楷体" w:hAnsi="楷体" w:eastAsia="楷体"/>
          <w:kern w:val="0"/>
          <w:sz w:val="24"/>
        </w:rPr>
      </w:pPr>
      <w:r>
        <w:rPr>
          <w:rFonts w:hint="eastAsia" w:ascii="楷体" w:hAnsi="楷体" w:eastAsia="楷体"/>
          <w:sz w:val="24"/>
        </w:rPr>
        <w:t>除合同约定的违约责任以外，任何一方存在以下约定情形的，应承担相应的违约责任：</w:t>
      </w:r>
      <w:r>
        <w:rPr>
          <w:rFonts w:hint="eastAsia" w:ascii="楷体" w:hAnsi="楷体" w:eastAsia="楷体"/>
          <w:sz w:val="24"/>
          <w:lang w:eastAsia="zh-CN"/>
        </w:rPr>
        <w:t>。</w:t>
      </w:r>
    </w:p>
    <w:p>
      <w:pPr>
        <w:pStyle w:val="2"/>
        <w:sectPr>
          <w:footerReference r:id="rId5" w:type="first"/>
          <w:headerReference r:id="rId3" w:type="default"/>
          <w:footerReference r:id="rId4" w:type="default"/>
          <w:pgSz w:w="11906" w:h="16838"/>
          <w:pgMar w:top="1417" w:right="1134" w:bottom="1134" w:left="1134" w:header="851" w:footer="992" w:gutter="0"/>
          <w:pgNumType w:fmt="decimal"/>
          <w:cols w:space="720" w:num="1"/>
          <w:titlePg/>
          <w:docGrid w:type="lines" w:linePitch="312" w:charSpace="0"/>
        </w:sectPr>
      </w:pPr>
    </w:p>
    <w:p>
      <w:pPr>
        <w:pStyle w:val="3"/>
        <w:ind w:left="0" w:leftChars="0" w:firstLine="0" w:firstLineChars="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附件八</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Pr>
        <w:pStyle w:val="2"/>
        <w:sectPr>
          <w:pgSz w:w="11906" w:h="16838"/>
          <w:pgMar w:top="1417" w:right="1134" w:bottom="1134" w:left="1134" w:header="851" w:footer="992" w:gutter="0"/>
          <w:pgNumType w:fmt="decimal"/>
          <w:cols w:space="720" w:num="1"/>
          <w:titlePg/>
          <w:docGrid w:type="lines" w:linePitch="312" w:charSpace="0"/>
        </w:sectPr>
      </w:pPr>
    </w:p>
    <w:p>
      <w:pPr>
        <w:pStyle w:val="3"/>
        <w:pageBreakBefore/>
        <w:ind w:left="0" w:leftChars="0" w:firstLine="0" w:firstLineChars="0"/>
        <w:jc w:val="center"/>
        <w:rPr>
          <w:rFonts w:ascii="仿宋_GB2312" w:hAnsi="宋体" w:eastAsia="仿宋_GB2312"/>
          <w:color w:val="auto"/>
          <w:sz w:val="28"/>
          <w:szCs w:val="28"/>
        </w:rPr>
      </w:pPr>
      <w:bookmarkStart w:id="208" w:name="_Toc4181"/>
      <w:bookmarkStart w:id="209" w:name="_Toc7933"/>
      <w:bookmarkStart w:id="210" w:name="_Toc12711"/>
      <w:bookmarkStart w:id="211" w:name="_Toc25310"/>
      <w:bookmarkStart w:id="212" w:name="_Toc25475"/>
      <w:r>
        <w:rPr>
          <w:rFonts w:hint="eastAsia" w:ascii="仿宋_GB2312" w:hAnsi="宋体" w:eastAsia="仿宋_GB2312"/>
          <w:color w:val="auto"/>
          <w:sz w:val="28"/>
          <w:szCs w:val="28"/>
        </w:rPr>
        <w:t>第五章 采购</w:t>
      </w:r>
      <w:bookmarkEnd w:id="208"/>
      <w:r>
        <w:rPr>
          <w:rFonts w:hint="eastAsia" w:ascii="仿宋_GB2312" w:hAnsi="宋体" w:eastAsia="仿宋_GB2312"/>
          <w:color w:val="auto"/>
          <w:sz w:val="28"/>
          <w:szCs w:val="28"/>
        </w:rPr>
        <w:t>需求</w:t>
      </w:r>
      <w:bookmarkEnd w:id="209"/>
      <w:bookmarkEnd w:id="210"/>
      <w:bookmarkEnd w:id="211"/>
      <w:bookmarkEnd w:id="212"/>
    </w:p>
    <w:p>
      <w:p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一</w:t>
      </w:r>
      <w:r>
        <w:rPr>
          <w:rFonts w:hint="eastAsia" w:ascii="楷体" w:hAnsi="楷体" w:eastAsia="楷体" w:cs="仿宋_GB2312"/>
          <w:i w:val="0"/>
          <w:iCs/>
          <w:color w:val="auto"/>
          <w:szCs w:val="32"/>
        </w:rPr>
        <w:t>、</w:t>
      </w:r>
      <w:r>
        <w:rPr>
          <w:rFonts w:ascii="楷体" w:hAnsi="楷体" w:eastAsia="楷体" w:cs="仿宋_GB2312"/>
          <w:i w:val="0"/>
          <w:iCs/>
          <w:color w:val="auto"/>
          <w:szCs w:val="32"/>
        </w:rPr>
        <w:t>采购项目背景</w:t>
      </w:r>
    </w:p>
    <w:p>
      <w:pPr>
        <w:spacing w:line="360" w:lineRule="auto"/>
        <w:ind w:firstLine="480" w:firstLineChars="200"/>
        <w:rPr>
          <w:rFonts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人保财险四川省绵阳市分公司机关工会</w:t>
      </w:r>
      <w:r>
        <w:rPr>
          <w:rFonts w:hint="eastAsia" w:ascii="楷体" w:hAnsi="楷体" w:eastAsia="楷体" w:cs="仿宋_GB2312"/>
          <w:i w:val="0"/>
          <w:iCs/>
          <w:color w:val="auto"/>
          <w:szCs w:val="32"/>
        </w:rPr>
        <w:t>拟采购</w:t>
      </w:r>
      <w:r>
        <w:rPr>
          <w:rFonts w:hint="eastAsia" w:ascii="楷体" w:hAnsi="楷体" w:eastAsia="楷体" w:cs="仿宋_GB2312"/>
          <w:i w:val="0"/>
          <w:iCs/>
          <w:color w:val="auto"/>
          <w:szCs w:val="32"/>
          <w:lang w:val="en-US" w:eastAsia="zh-CN"/>
        </w:rPr>
        <w:t>2025年度节日慰问品提货券，共计约190名员工</w:t>
      </w: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为更好地开展活动、做好节日送温暖工作，拟对人保财险四川省绵阳市分公司机关工会2025年度节日慰问品提货券实施采购。</w:t>
      </w:r>
    </w:p>
    <w:p>
      <w:pPr>
        <w:spacing w:line="360" w:lineRule="auto"/>
        <w:ind w:firstLine="480" w:firstLineChars="200"/>
      </w:pPr>
      <w:r>
        <w:rPr>
          <w:rFonts w:ascii="楷体" w:hAnsi="楷体" w:eastAsia="楷体" w:cs="仿宋_GB2312"/>
          <w:i w:val="0"/>
          <w:iCs/>
          <w:color w:val="auto"/>
          <w:szCs w:val="32"/>
        </w:rPr>
        <w:t>二</w:t>
      </w:r>
      <w:r>
        <w:rPr>
          <w:rFonts w:hint="eastAsia" w:ascii="楷体" w:hAnsi="楷体" w:eastAsia="楷体" w:cs="仿宋_GB2312"/>
          <w:i w:val="0"/>
          <w:iCs/>
          <w:color w:val="auto"/>
          <w:szCs w:val="32"/>
        </w:rPr>
        <w:t>、</w:t>
      </w:r>
      <w:r>
        <w:rPr>
          <w:rFonts w:ascii="楷体" w:hAnsi="楷体" w:eastAsia="楷体" w:cs="仿宋_GB2312"/>
          <w:i w:val="0"/>
          <w:iCs/>
          <w:color w:val="auto"/>
          <w:szCs w:val="32"/>
        </w:rPr>
        <w:t>采购内容</w:t>
      </w:r>
      <w:r>
        <w:rPr>
          <w:rFonts w:hint="eastAsia" w:ascii="楷体" w:hAnsi="楷体" w:eastAsia="楷体" w:cs="仿宋_GB2312"/>
          <w:i w:val="0"/>
          <w:iCs/>
          <w:color w:val="auto"/>
          <w:szCs w:val="32"/>
          <w:lang w:val="en-US" w:eastAsia="zh-CN"/>
        </w:rPr>
        <w:t>及数量</w:t>
      </w:r>
    </w:p>
    <w:tbl>
      <w:tblPr>
        <w:tblStyle w:val="29"/>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485"/>
        <w:gridCol w:w="1110"/>
        <w:gridCol w:w="1681"/>
        <w:gridCol w:w="1467"/>
        <w:gridCol w:w="2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1555" w:type="dxa"/>
            <w:vAlign w:val="center"/>
          </w:tcPr>
          <w:p>
            <w:pPr>
              <w:widowControl/>
              <w:spacing w:line="360" w:lineRule="exact"/>
              <w:jc w:val="center"/>
              <w:rPr>
                <w:rFonts w:hint="default" w:ascii="楷体" w:hAnsi="楷体" w:eastAsia="楷体" w:cs="楷体"/>
                <w:b/>
                <w:bCs/>
                <w:szCs w:val="21"/>
                <w:lang w:val="en-US"/>
              </w:rPr>
            </w:pPr>
            <w:r>
              <w:rPr>
                <w:rFonts w:hint="eastAsia" w:ascii="楷体" w:hAnsi="楷体" w:eastAsia="楷体" w:cs="楷体"/>
                <w:b/>
                <w:bCs/>
                <w:szCs w:val="21"/>
                <w:lang w:val="en-US" w:eastAsia="zh-CN"/>
              </w:rPr>
              <w:t>项目内容</w:t>
            </w:r>
          </w:p>
        </w:tc>
        <w:tc>
          <w:tcPr>
            <w:tcW w:w="1485" w:type="dxa"/>
            <w:vAlign w:val="center"/>
          </w:tcPr>
          <w:p>
            <w:pPr>
              <w:widowControl/>
              <w:spacing w:line="360" w:lineRule="exact"/>
              <w:jc w:val="center"/>
              <w:rPr>
                <w:rFonts w:hint="eastAsia" w:ascii="楷体" w:hAnsi="楷体" w:eastAsia="楷体" w:cs="楷体"/>
                <w:b/>
                <w:bCs/>
                <w:szCs w:val="21"/>
              </w:rPr>
            </w:pPr>
            <w:r>
              <w:rPr>
                <w:rFonts w:hint="eastAsia" w:ascii="楷体" w:hAnsi="楷体" w:eastAsia="楷体" w:cs="楷体"/>
                <w:b/>
                <w:bCs/>
                <w:szCs w:val="21"/>
              </w:rPr>
              <w:t>金额（元）</w:t>
            </w:r>
          </w:p>
        </w:tc>
        <w:tc>
          <w:tcPr>
            <w:tcW w:w="1110" w:type="dxa"/>
            <w:vAlign w:val="center"/>
          </w:tcPr>
          <w:p>
            <w:pPr>
              <w:widowControl/>
              <w:spacing w:line="360" w:lineRule="exact"/>
              <w:jc w:val="center"/>
              <w:rPr>
                <w:rFonts w:hint="eastAsia" w:ascii="楷体" w:hAnsi="楷体" w:eastAsia="楷体" w:cs="楷体"/>
                <w:b/>
                <w:bCs/>
                <w:szCs w:val="21"/>
              </w:rPr>
            </w:pPr>
            <w:r>
              <w:rPr>
                <w:rFonts w:hint="eastAsia" w:ascii="楷体" w:hAnsi="楷体" w:eastAsia="楷体" w:cs="楷体"/>
                <w:b/>
                <w:bCs/>
                <w:szCs w:val="21"/>
              </w:rPr>
              <w:t>数量（份）</w:t>
            </w:r>
          </w:p>
        </w:tc>
        <w:tc>
          <w:tcPr>
            <w:tcW w:w="1681" w:type="dxa"/>
            <w:vAlign w:val="center"/>
          </w:tcPr>
          <w:p>
            <w:pPr>
              <w:widowControl/>
              <w:spacing w:line="360" w:lineRule="exact"/>
              <w:jc w:val="center"/>
              <w:rPr>
                <w:rFonts w:hint="default" w:ascii="楷体" w:hAnsi="楷体" w:eastAsia="楷体" w:cs="楷体"/>
                <w:b/>
                <w:bCs/>
                <w:szCs w:val="21"/>
                <w:lang w:val="en-US" w:eastAsia="zh-CN"/>
              </w:rPr>
            </w:pPr>
            <w:r>
              <w:rPr>
                <w:rFonts w:hint="eastAsia" w:ascii="楷体" w:hAnsi="楷体" w:eastAsia="楷体" w:cs="楷体"/>
                <w:b/>
                <w:bCs/>
                <w:szCs w:val="21"/>
              </w:rPr>
              <w:t>预算（控制）金额（元）</w:t>
            </w:r>
          </w:p>
        </w:tc>
        <w:tc>
          <w:tcPr>
            <w:tcW w:w="1467" w:type="dxa"/>
            <w:vAlign w:val="center"/>
          </w:tcPr>
          <w:p>
            <w:pPr>
              <w:widowControl/>
              <w:spacing w:line="360" w:lineRule="exact"/>
              <w:jc w:val="center"/>
              <w:rPr>
                <w:rFonts w:hint="default" w:ascii="楷体" w:hAnsi="楷体" w:eastAsia="楷体" w:cs="楷体"/>
                <w:b/>
                <w:bCs/>
                <w:szCs w:val="21"/>
                <w:lang w:val="en-US" w:eastAsia="zh-CN"/>
              </w:rPr>
            </w:pPr>
            <w:r>
              <w:rPr>
                <w:rFonts w:hint="eastAsia" w:ascii="楷体" w:hAnsi="楷体" w:eastAsia="楷体" w:cs="楷体"/>
                <w:b/>
                <w:bCs/>
                <w:szCs w:val="21"/>
                <w:lang w:val="en-US" w:eastAsia="zh-CN"/>
              </w:rPr>
              <w:t>折扣率</w:t>
            </w:r>
          </w:p>
        </w:tc>
        <w:tc>
          <w:tcPr>
            <w:tcW w:w="2424" w:type="dxa"/>
            <w:vAlign w:val="center"/>
          </w:tcPr>
          <w:p>
            <w:pPr>
              <w:widowControl/>
              <w:spacing w:line="360" w:lineRule="exact"/>
              <w:jc w:val="center"/>
              <w:rPr>
                <w:rFonts w:hint="eastAsia" w:ascii="楷体" w:hAnsi="楷体" w:eastAsia="楷体" w:cs="楷体"/>
                <w:b/>
                <w:bCs/>
                <w:sz w:val="24"/>
                <w:szCs w:val="21"/>
                <w:lang w:val="en-US" w:eastAsia="zh-CN" w:bidi="ar-SA"/>
              </w:rPr>
            </w:pPr>
            <w:r>
              <w:rPr>
                <w:rFonts w:hint="eastAsia" w:ascii="楷体" w:hAnsi="楷体" w:eastAsia="楷体" w:cs="楷体"/>
                <w:b/>
                <w:bCs/>
                <w:szCs w:val="21"/>
                <w:lang w:val="en-US" w:eastAsia="zh-CN"/>
              </w:rPr>
              <w:t>实际结算控制金额（元）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1555" w:type="dxa"/>
            <w:shd w:val="clear" w:color="auto" w:fill="auto"/>
            <w:vAlign w:val="center"/>
          </w:tcPr>
          <w:p>
            <w:pPr>
              <w:spacing w:line="360" w:lineRule="exact"/>
              <w:jc w:val="center"/>
              <w:rPr>
                <w:rFonts w:hint="eastAsia" w:ascii="楷体" w:hAnsi="楷体" w:eastAsia="楷体" w:cs="楷体"/>
              </w:rPr>
            </w:pPr>
            <w:r>
              <w:rPr>
                <w:rFonts w:hint="eastAsia" w:ascii="楷体" w:hAnsi="楷体" w:eastAsia="楷体" w:cs="楷体"/>
                <w:lang w:val="en-US" w:eastAsia="zh-CN"/>
              </w:rPr>
              <w:t>劳动节、</w:t>
            </w:r>
            <w:r>
              <w:rPr>
                <w:rFonts w:hint="eastAsia" w:ascii="楷体" w:hAnsi="楷体" w:eastAsia="楷体" w:cs="楷体"/>
              </w:rPr>
              <w:t>端午</w:t>
            </w:r>
            <w:r>
              <w:rPr>
                <w:rFonts w:hint="eastAsia" w:ascii="楷体" w:hAnsi="楷体" w:eastAsia="楷体" w:cs="楷体"/>
                <w:lang w:val="en-US" w:eastAsia="zh-CN"/>
              </w:rPr>
              <w:t>节、</w:t>
            </w:r>
            <w:r>
              <w:rPr>
                <w:rFonts w:hint="eastAsia" w:ascii="楷体" w:hAnsi="楷体" w:eastAsia="楷体" w:cs="楷体"/>
              </w:rPr>
              <w:t>中秋国庆</w:t>
            </w:r>
            <w:r>
              <w:rPr>
                <w:rFonts w:hint="eastAsia" w:ascii="楷体" w:hAnsi="楷体" w:eastAsia="楷体" w:cs="楷体"/>
                <w:lang w:val="en-US" w:eastAsia="zh-CN"/>
              </w:rPr>
              <w:t>节日慰问品</w:t>
            </w:r>
            <w:r>
              <w:rPr>
                <w:rFonts w:hint="eastAsia" w:ascii="楷体" w:hAnsi="楷体" w:eastAsia="楷体" w:cs="楷体"/>
              </w:rPr>
              <w:t>提货券</w:t>
            </w:r>
          </w:p>
        </w:tc>
        <w:tc>
          <w:tcPr>
            <w:tcW w:w="1485" w:type="dxa"/>
            <w:vAlign w:val="center"/>
          </w:tcPr>
          <w:p>
            <w:pPr>
              <w:spacing w:line="360" w:lineRule="exact"/>
              <w:jc w:val="center"/>
              <w:rPr>
                <w:rFonts w:hint="default" w:ascii="楷体" w:hAnsi="楷体" w:eastAsia="楷体" w:cs="楷体"/>
                <w:bCs/>
                <w:szCs w:val="21"/>
                <w:lang w:val="en-US"/>
              </w:rPr>
            </w:pPr>
            <w:r>
              <w:rPr>
                <w:rFonts w:hint="eastAsia" w:ascii="楷体" w:hAnsi="楷体" w:eastAsia="楷体" w:cs="楷体"/>
                <w:bCs/>
                <w:szCs w:val="21"/>
                <w:lang w:val="en-US" w:eastAsia="zh-CN"/>
              </w:rPr>
              <w:t>1400</w:t>
            </w:r>
          </w:p>
        </w:tc>
        <w:tc>
          <w:tcPr>
            <w:tcW w:w="1110" w:type="dxa"/>
            <w:vAlign w:val="center"/>
          </w:tcPr>
          <w:p>
            <w:pPr>
              <w:spacing w:line="360" w:lineRule="exact"/>
              <w:jc w:val="center"/>
              <w:rPr>
                <w:rFonts w:hint="default" w:ascii="楷体" w:hAnsi="楷体" w:eastAsia="楷体" w:cs="楷体"/>
                <w:bCs/>
                <w:szCs w:val="21"/>
                <w:lang w:val="en-US" w:eastAsia="zh-CN"/>
              </w:rPr>
            </w:pPr>
            <w:r>
              <w:rPr>
                <w:rFonts w:hint="eastAsia" w:ascii="楷体" w:hAnsi="楷体" w:eastAsia="楷体" w:cs="楷体"/>
                <w:bCs/>
                <w:szCs w:val="21"/>
                <w:lang w:val="en-US" w:eastAsia="zh-CN"/>
              </w:rPr>
              <w:t>190</w:t>
            </w:r>
          </w:p>
        </w:tc>
        <w:tc>
          <w:tcPr>
            <w:tcW w:w="1681" w:type="dxa"/>
            <w:vAlign w:val="center"/>
          </w:tcPr>
          <w:p>
            <w:pPr>
              <w:spacing w:line="360" w:lineRule="exact"/>
              <w:jc w:val="center"/>
              <w:rPr>
                <w:rFonts w:hint="eastAsia" w:ascii="楷体" w:hAnsi="楷体" w:eastAsia="楷体" w:cs="楷体"/>
                <w:bCs/>
                <w:szCs w:val="21"/>
              </w:rPr>
            </w:pPr>
            <w:r>
              <w:rPr>
                <w:rFonts w:hint="eastAsia" w:ascii="楷体" w:hAnsi="楷体" w:eastAsia="楷体" w:cs="楷体"/>
                <w:bCs/>
                <w:szCs w:val="21"/>
                <w:lang w:val="en-US" w:eastAsia="zh-CN"/>
              </w:rPr>
              <w:t>266,000</w:t>
            </w:r>
          </w:p>
        </w:tc>
        <w:tc>
          <w:tcPr>
            <w:tcW w:w="1467" w:type="dxa"/>
            <w:vAlign w:val="center"/>
          </w:tcPr>
          <w:p>
            <w:pPr>
              <w:spacing w:line="360" w:lineRule="exact"/>
              <w:jc w:val="center"/>
              <w:rPr>
                <w:rFonts w:hint="default" w:ascii="楷体" w:hAnsi="楷体" w:eastAsia="楷体" w:cs="楷体"/>
                <w:color w:val="FF0000"/>
                <w:lang w:val="en-US" w:eastAsia="zh-CN"/>
              </w:rPr>
            </w:pPr>
          </w:p>
        </w:tc>
        <w:tc>
          <w:tcPr>
            <w:tcW w:w="2424" w:type="dxa"/>
            <w:vAlign w:val="center"/>
          </w:tcPr>
          <w:p>
            <w:pPr>
              <w:spacing w:line="360" w:lineRule="exact"/>
              <w:jc w:val="center"/>
              <w:rPr>
                <w:rFonts w:hint="default" w:ascii="楷体" w:hAnsi="楷体" w:eastAsia="楷体" w:cs="楷体"/>
                <w:color w:val="FF0000"/>
                <w:sz w:val="24"/>
                <w:szCs w:val="24"/>
                <w:lang w:val="en-US" w:eastAsia="zh-CN" w:bidi="ar-SA"/>
              </w:rPr>
            </w:pPr>
          </w:p>
        </w:tc>
      </w:tr>
    </w:tbl>
    <w:p>
      <w:pPr>
        <w:spacing w:after="156" w:afterLines="50" w:line="360" w:lineRule="auto"/>
        <w:ind w:firstLine="480" w:firstLineChars="200"/>
        <w:rPr>
          <w:rFonts w:hint="eastAsia" w:ascii="楷体" w:hAnsi="楷体" w:eastAsia="楷体" w:cs="仿宋_GB2312"/>
          <w:i/>
          <w:color w:val="0000CC"/>
          <w:szCs w:val="32"/>
          <w:lang w:eastAsia="zh-CN"/>
        </w:rPr>
      </w:pPr>
      <w:r>
        <w:rPr>
          <w:rFonts w:hint="eastAsia" w:ascii="楷体" w:hAnsi="楷体" w:eastAsia="楷体" w:cs="仿宋_GB2312"/>
          <w:i/>
          <w:color w:val="0000CC"/>
          <w:szCs w:val="32"/>
          <w:lang w:val="en-US" w:eastAsia="zh-CN"/>
        </w:rPr>
        <w:t>注：</w:t>
      </w:r>
      <w:r>
        <w:rPr>
          <w:rFonts w:hint="eastAsia" w:ascii="楷体" w:hAnsi="楷体" w:eastAsia="楷体" w:cs="仿宋_GB2312"/>
          <w:i/>
          <w:color w:val="0000CC"/>
          <w:szCs w:val="32"/>
        </w:rPr>
        <w:t>该数量为预估，仅作为供应商报价依据，不作为采购方承诺，最终据实结算</w:t>
      </w:r>
      <w:r>
        <w:rPr>
          <w:rFonts w:hint="eastAsia" w:ascii="楷体" w:hAnsi="楷体" w:eastAsia="楷体" w:cs="仿宋_GB2312"/>
          <w:i/>
          <w:color w:val="0000CC"/>
          <w:szCs w:val="32"/>
          <w:lang w:eastAsia="zh-CN"/>
        </w:rPr>
        <w:t>。</w:t>
      </w:r>
    </w:p>
    <w:p>
      <w:pPr>
        <w:spacing w:after="156" w:afterLines="50" w:line="360" w:lineRule="auto"/>
        <w:ind w:firstLine="480" w:firstLineChars="200"/>
        <w:rPr>
          <w:rFonts w:ascii="楷体" w:hAnsi="楷体" w:eastAsia="楷体" w:cs="Times New Roman"/>
          <w:sz w:val="24"/>
        </w:rPr>
      </w:pPr>
      <w:r>
        <w:rPr>
          <w:rFonts w:hint="eastAsia" w:ascii="楷体" w:hAnsi="楷体" w:eastAsia="楷体" w:cs="Times New Roman"/>
          <w:sz w:val="24"/>
          <w:lang w:val="en-US" w:eastAsia="zh-CN"/>
        </w:rPr>
        <w:t>劳动节、</w:t>
      </w:r>
      <w:r>
        <w:rPr>
          <w:rFonts w:hint="eastAsia" w:ascii="楷体" w:hAnsi="楷体" w:eastAsia="楷体" w:cs="Times New Roman"/>
          <w:sz w:val="24"/>
        </w:rPr>
        <w:t>端午节</w:t>
      </w:r>
      <w:r>
        <w:rPr>
          <w:rFonts w:hint="eastAsia" w:ascii="楷体" w:hAnsi="楷体" w:eastAsia="楷体" w:cs="Times New Roman"/>
          <w:sz w:val="24"/>
          <w:lang w:val="en-US" w:eastAsia="zh-CN"/>
        </w:rPr>
        <w:t>及</w:t>
      </w:r>
      <w:r>
        <w:rPr>
          <w:rFonts w:hint="eastAsia" w:ascii="楷体" w:hAnsi="楷体" w:eastAsia="楷体" w:cs="Times New Roman"/>
          <w:sz w:val="24"/>
        </w:rPr>
        <w:t>中秋国庆节</w:t>
      </w:r>
      <w:r>
        <w:rPr>
          <w:rFonts w:hint="eastAsia" w:ascii="楷体" w:hAnsi="楷体" w:eastAsia="楷体" w:cs="Times New Roman"/>
          <w:sz w:val="24"/>
          <w:lang w:val="en-US" w:eastAsia="zh-CN"/>
        </w:rPr>
        <w:t>日慰问品</w:t>
      </w:r>
      <w:r>
        <w:rPr>
          <w:rFonts w:hint="eastAsia" w:ascii="楷体" w:hAnsi="楷体" w:eastAsia="楷体" w:cs="Times New Roman"/>
          <w:sz w:val="24"/>
        </w:rPr>
        <w:t>采购内容为符合中国传统节日习惯的用品和职工群众必需的生活用品等，如月饼、粽子、米、面、油、肉、蛋、奶、水果、干果及日常生活用品等。烟、酒水、高档茶叶、电器等违反工会文件要求规定的商品，</w:t>
      </w:r>
      <w:r>
        <w:rPr>
          <w:rFonts w:hint="eastAsia" w:ascii="楷体" w:hAnsi="楷体" w:eastAsia="楷体" w:cs="Times New Roman"/>
          <w:sz w:val="24"/>
          <w:lang w:val="en-US" w:eastAsia="zh-CN"/>
        </w:rPr>
        <w:t>投标方需</w:t>
      </w:r>
      <w:r>
        <w:rPr>
          <w:rFonts w:hint="eastAsia" w:ascii="楷体" w:hAnsi="楷体" w:eastAsia="楷体" w:cs="Times New Roman"/>
          <w:sz w:val="24"/>
        </w:rPr>
        <w:t>严格把控，违背须承担相应责任。</w:t>
      </w:r>
    </w:p>
    <w:p>
      <w:pPr>
        <w:spacing w:line="360" w:lineRule="auto"/>
        <w:ind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三</w:t>
      </w:r>
      <w:r>
        <w:rPr>
          <w:rFonts w:hint="eastAsia" w:ascii="楷体" w:hAnsi="楷体" w:eastAsia="楷体" w:cs="仿宋_GB2312"/>
          <w:i w:val="0"/>
          <w:iCs/>
          <w:color w:val="auto"/>
          <w:szCs w:val="32"/>
        </w:rPr>
        <w:t>、付款方式</w:t>
      </w:r>
    </w:p>
    <w:p>
      <w:pPr>
        <w:spacing w:line="360" w:lineRule="auto"/>
        <w:ind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一次性转账支付。</w:t>
      </w:r>
    </w:p>
    <w:p>
      <w:pPr>
        <w:spacing w:line="360" w:lineRule="auto"/>
        <w:ind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四</w:t>
      </w:r>
      <w:r>
        <w:rPr>
          <w:rFonts w:hint="eastAsia" w:ascii="楷体" w:hAnsi="楷体" w:eastAsia="楷体" w:cs="仿宋_GB2312"/>
          <w:i w:val="0"/>
          <w:iCs/>
          <w:color w:val="auto"/>
          <w:szCs w:val="32"/>
        </w:rPr>
        <w:t>、供货与服务要求</w:t>
      </w:r>
    </w:p>
    <w:p>
      <w:pPr>
        <w:spacing w:line="360" w:lineRule="auto"/>
        <w:ind w:firstLine="480" w:firstLineChars="200"/>
        <w:jc w:val="left"/>
        <w:rPr>
          <w:rFonts w:hint="eastAsia"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1.</w:t>
      </w:r>
      <w:r>
        <w:rPr>
          <w:rFonts w:ascii="楷体" w:hAnsi="楷体" w:eastAsia="楷体" w:cs="仿宋_GB2312"/>
          <w:i w:val="0"/>
          <w:iCs/>
          <w:color w:val="auto"/>
          <w:szCs w:val="32"/>
        </w:rPr>
        <w:t>投标方在收到采购</w:t>
      </w:r>
      <w:r>
        <w:rPr>
          <w:rFonts w:hint="eastAsia" w:ascii="楷体" w:hAnsi="楷体" w:eastAsia="楷体" w:cs="仿宋_GB2312"/>
          <w:i w:val="0"/>
          <w:iCs/>
          <w:color w:val="auto"/>
          <w:szCs w:val="32"/>
          <w:lang w:val="en-US" w:eastAsia="zh-CN"/>
        </w:rPr>
        <w:t>人</w:t>
      </w:r>
      <w:r>
        <w:rPr>
          <w:rFonts w:ascii="楷体" w:hAnsi="楷体" w:eastAsia="楷体" w:cs="仿宋_GB2312"/>
          <w:i w:val="0"/>
          <w:iCs/>
          <w:color w:val="auto"/>
          <w:szCs w:val="32"/>
        </w:rPr>
        <w:t xml:space="preserve">订单的 </w:t>
      </w:r>
      <w:r>
        <w:rPr>
          <w:rFonts w:hint="eastAsia" w:ascii="楷体" w:hAnsi="楷体" w:eastAsia="楷体" w:cs="仿宋_GB2312"/>
          <w:i w:val="0"/>
          <w:iCs/>
          <w:color w:val="auto"/>
          <w:szCs w:val="32"/>
          <w:lang w:val="en-US" w:eastAsia="zh-CN"/>
        </w:rPr>
        <w:t>3</w:t>
      </w:r>
      <w:r>
        <w:rPr>
          <w:rFonts w:ascii="楷体" w:hAnsi="楷体" w:eastAsia="楷体" w:cs="仿宋_GB2312"/>
          <w:i w:val="0"/>
          <w:iCs/>
          <w:color w:val="auto"/>
          <w:szCs w:val="32"/>
        </w:rPr>
        <w:t xml:space="preserve"> </w:t>
      </w:r>
      <w:r>
        <w:rPr>
          <w:rFonts w:hint="eastAsia" w:ascii="楷体" w:hAnsi="楷体" w:eastAsia="楷体" w:cs="仿宋_GB2312"/>
          <w:i w:val="0"/>
          <w:iCs/>
          <w:color w:val="auto"/>
          <w:szCs w:val="32"/>
        </w:rPr>
        <w:t>个工作日内，应及时向</w:t>
      </w:r>
      <w:r>
        <w:rPr>
          <w:rFonts w:hint="eastAsia" w:ascii="楷体" w:hAnsi="楷体" w:eastAsia="楷体" w:cs="仿宋_GB2312"/>
          <w:i w:val="0"/>
          <w:iCs/>
          <w:color w:val="auto"/>
          <w:szCs w:val="32"/>
          <w:lang w:eastAsia="zh-CN"/>
        </w:rPr>
        <w:t>采购人</w:t>
      </w:r>
      <w:r>
        <w:rPr>
          <w:rFonts w:hint="eastAsia" w:ascii="楷体" w:hAnsi="楷体" w:eastAsia="楷体" w:cs="仿宋_GB2312"/>
          <w:i w:val="0"/>
          <w:iCs/>
          <w:color w:val="auto"/>
          <w:szCs w:val="32"/>
        </w:rPr>
        <w:t>反馈收订情况，双方确认后的订单方可作为</w:t>
      </w:r>
      <w:r>
        <w:rPr>
          <w:rFonts w:hint="eastAsia" w:ascii="楷体" w:hAnsi="楷体" w:eastAsia="楷体" w:cs="仿宋_GB2312"/>
          <w:i w:val="0"/>
          <w:iCs/>
          <w:color w:val="auto"/>
          <w:szCs w:val="32"/>
          <w:lang w:eastAsia="zh-CN"/>
        </w:rPr>
        <w:t>采购人</w:t>
      </w:r>
      <w:r>
        <w:rPr>
          <w:rFonts w:hint="eastAsia" w:ascii="楷体" w:hAnsi="楷体" w:eastAsia="楷体" w:cs="仿宋_GB2312"/>
          <w:i w:val="0"/>
          <w:iCs/>
          <w:color w:val="auto"/>
          <w:szCs w:val="32"/>
        </w:rPr>
        <w:t>的采购清单。</w:t>
      </w:r>
    </w:p>
    <w:p>
      <w:pPr>
        <w:spacing w:line="360" w:lineRule="auto"/>
        <w:ind w:firstLine="480" w:firstLineChars="200"/>
        <w:jc w:val="left"/>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2.</w:t>
      </w:r>
      <w:r>
        <w:rPr>
          <w:rFonts w:ascii="楷体" w:hAnsi="楷体" w:eastAsia="楷体" w:cs="仿宋_GB2312"/>
          <w:i w:val="0"/>
          <w:iCs/>
          <w:color w:val="auto"/>
          <w:szCs w:val="32"/>
        </w:rPr>
        <w:t>提货券制作要求：提货券设计元素由采购人提供，中标人免费设计。提货券正面标识必须全部是采购人单位元素，投标人若有需要增加标识只能设计在反面。投标人应在提货券背面标注使用说明、订购电话、订购二维码和有效期等，经采购人确认后方可印制。提货券设计及制作时间不超过15天。投标人需提供书面承诺</w:t>
      </w:r>
      <w:r>
        <w:rPr>
          <w:rFonts w:hint="eastAsia" w:ascii="楷体" w:hAnsi="楷体" w:eastAsia="楷体" w:cs="仿宋_GB2312"/>
          <w:i w:val="0"/>
          <w:iCs/>
          <w:color w:val="auto"/>
          <w:szCs w:val="32"/>
        </w:rPr>
        <w:t>（格式自拟）。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3.</w:t>
      </w:r>
      <w:r>
        <w:rPr>
          <w:rFonts w:ascii="楷体" w:hAnsi="楷体" w:eastAsia="楷体" w:cs="仿宋_GB2312"/>
          <w:i w:val="0"/>
          <w:iCs/>
          <w:color w:val="auto"/>
          <w:szCs w:val="32"/>
        </w:rPr>
        <w:t>中标人超市门店（包括线上平台）发生停业、合并等变化或商品价格非正常上涨等情况，</w:t>
      </w:r>
      <w:r>
        <w:rPr>
          <w:rFonts w:hint="eastAsia" w:ascii="楷体" w:hAnsi="楷体" w:eastAsia="楷体" w:cs="仿宋_GB2312"/>
          <w:i w:val="0"/>
          <w:iCs/>
          <w:color w:val="auto"/>
          <w:szCs w:val="32"/>
          <w:lang w:eastAsia="zh-CN"/>
        </w:rPr>
        <w:t>中标人</w:t>
      </w:r>
      <w:r>
        <w:rPr>
          <w:rFonts w:ascii="楷体" w:hAnsi="楷体" w:eastAsia="楷体" w:cs="仿宋_GB2312"/>
          <w:i w:val="0"/>
          <w:iCs/>
          <w:color w:val="auto"/>
          <w:szCs w:val="32"/>
        </w:rPr>
        <w:t>应及时通知</w:t>
      </w:r>
      <w:r>
        <w:rPr>
          <w:rFonts w:hint="eastAsia" w:ascii="楷体" w:hAnsi="楷体" w:eastAsia="楷体" w:cs="仿宋_GB2312"/>
          <w:i w:val="0"/>
          <w:iCs/>
          <w:color w:val="auto"/>
          <w:szCs w:val="32"/>
          <w:lang w:eastAsia="zh-CN"/>
        </w:rPr>
        <w:t>采购人</w:t>
      </w:r>
      <w:r>
        <w:rPr>
          <w:rFonts w:ascii="楷体" w:hAnsi="楷体" w:eastAsia="楷体" w:cs="仿宋_GB2312"/>
          <w:i w:val="0"/>
          <w:iCs/>
          <w:color w:val="auto"/>
          <w:szCs w:val="32"/>
        </w:rPr>
        <w:t>，并商议应对方案。</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4.</w:t>
      </w:r>
      <w:r>
        <w:rPr>
          <w:rFonts w:ascii="楷体" w:hAnsi="楷体" w:eastAsia="楷体" w:cs="仿宋_GB2312"/>
          <w:i w:val="0"/>
          <w:iCs/>
          <w:color w:val="auto"/>
          <w:szCs w:val="32"/>
        </w:rPr>
        <w:t>中标人需定期进行提货券使用情况查询，并及时向</w:t>
      </w:r>
      <w:r>
        <w:rPr>
          <w:rFonts w:hint="eastAsia" w:ascii="楷体" w:hAnsi="楷体" w:eastAsia="楷体" w:cs="仿宋_GB2312"/>
          <w:i w:val="0"/>
          <w:iCs/>
          <w:color w:val="auto"/>
          <w:szCs w:val="32"/>
          <w:lang w:eastAsia="zh-CN"/>
        </w:rPr>
        <w:t>采购人</w:t>
      </w:r>
      <w:r>
        <w:rPr>
          <w:rFonts w:ascii="楷体" w:hAnsi="楷体" w:eastAsia="楷体" w:cs="仿宋_GB2312"/>
          <w:i w:val="0"/>
          <w:iCs/>
          <w:color w:val="auto"/>
          <w:szCs w:val="32"/>
        </w:rPr>
        <w:t>反馈，以便催促提醒。</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5.</w:t>
      </w:r>
      <w:r>
        <w:rPr>
          <w:rFonts w:ascii="楷体" w:hAnsi="楷体" w:eastAsia="楷体" w:cs="仿宋_GB2312"/>
          <w:i w:val="0"/>
          <w:iCs/>
          <w:color w:val="auto"/>
          <w:szCs w:val="32"/>
        </w:rPr>
        <w:t>投标方必须具有可供采购人</w:t>
      </w:r>
      <w:r>
        <w:rPr>
          <w:rFonts w:hint="eastAsia" w:ascii="楷体" w:hAnsi="楷体" w:eastAsia="楷体" w:cs="仿宋_GB2312"/>
          <w:i w:val="0"/>
          <w:iCs/>
          <w:color w:val="auto"/>
          <w:szCs w:val="32"/>
        </w:rPr>
        <w:t>职工</w:t>
      </w:r>
      <w:r>
        <w:rPr>
          <w:rFonts w:ascii="楷体" w:hAnsi="楷体" w:eastAsia="楷体" w:cs="仿宋_GB2312"/>
          <w:i w:val="0"/>
          <w:iCs/>
          <w:color w:val="auto"/>
          <w:szCs w:val="32"/>
        </w:rPr>
        <w:t>自选商品的手机APP软件或专门的购物网站。投标人需提供手机APP软件或专门的购物网站的截图证明资料</w:t>
      </w:r>
      <w:r>
        <w:rPr>
          <w:rFonts w:hint="eastAsia" w:ascii="楷体" w:hAnsi="楷体" w:eastAsia="楷体" w:cs="仿宋_GB2312"/>
          <w:i w:val="0"/>
          <w:iCs/>
          <w:color w:val="auto"/>
          <w:szCs w:val="32"/>
        </w:rPr>
        <w:t>。</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6.</w:t>
      </w:r>
      <w:r>
        <w:rPr>
          <w:rFonts w:ascii="楷体" w:hAnsi="楷体" w:eastAsia="楷体" w:cs="仿宋_GB2312"/>
          <w:i w:val="0"/>
          <w:iCs/>
          <w:color w:val="auto"/>
          <w:szCs w:val="32"/>
        </w:rPr>
        <w:t>采购人</w:t>
      </w:r>
      <w:r>
        <w:rPr>
          <w:rFonts w:hint="eastAsia" w:ascii="楷体" w:hAnsi="楷体" w:eastAsia="楷体" w:cs="仿宋_GB2312"/>
          <w:i w:val="0"/>
          <w:iCs/>
          <w:color w:val="auto"/>
          <w:szCs w:val="32"/>
          <w:lang w:val="en-US" w:eastAsia="zh-CN"/>
        </w:rPr>
        <w:t>员工</w:t>
      </w:r>
      <w:r>
        <w:rPr>
          <w:rFonts w:ascii="楷体" w:hAnsi="楷体" w:eastAsia="楷体" w:cs="仿宋_GB2312"/>
          <w:i w:val="0"/>
          <w:iCs/>
          <w:color w:val="auto"/>
          <w:szCs w:val="32"/>
        </w:rPr>
        <w:t>选择自提或配送（APP、小程序或是网站下单）方式领取慰问品的，中标人需严格审核不得超范围领取。投标人需提供书面响应承诺</w:t>
      </w:r>
      <w:r>
        <w:rPr>
          <w:rFonts w:hint="eastAsia" w:ascii="楷体" w:hAnsi="楷体" w:eastAsia="楷体" w:cs="仿宋_GB2312"/>
          <w:i w:val="0"/>
          <w:iCs/>
          <w:color w:val="auto"/>
          <w:szCs w:val="32"/>
        </w:rPr>
        <w:t>（格式自拟）。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7.职工</w:t>
      </w:r>
      <w:r>
        <w:rPr>
          <w:rFonts w:ascii="楷体" w:hAnsi="楷体" w:eastAsia="楷体" w:cs="仿宋_GB2312"/>
          <w:i w:val="0"/>
          <w:iCs/>
          <w:color w:val="auto"/>
          <w:szCs w:val="32"/>
        </w:rPr>
        <w:t>购买慰问品支付若超出标准范围，标准额度部分和超出额度部分的结算单据需能支持分开结算。投标人需提供书面承诺</w:t>
      </w:r>
      <w:r>
        <w:rPr>
          <w:rFonts w:hint="eastAsia" w:ascii="楷体" w:hAnsi="楷体" w:eastAsia="楷体" w:cs="仿宋_GB2312"/>
          <w:i w:val="0"/>
          <w:iCs/>
          <w:color w:val="auto"/>
          <w:szCs w:val="32"/>
        </w:rPr>
        <w:t>（格式自拟）。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8.</w:t>
      </w:r>
      <w:r>
        <w:rPr>
          <w:rFonts w:ascii="楷体" w:hAnsi="楷体" w:eastAsia="楷体" w:cs="仿宋_GB2312"/>
          <w:i w:val="0"/>
          <w:iCs/>
          <w:color w:val="auto"/>
          <w:szCs w:val="32"/>
        </w:rPr>
        <w:t>投标方应根据采购</w:t>
      </w:r>
      <w:r>
        <w:rPr>
          <w:rFonts w:hint="eastAsia" w:ascii="楷体" w:hAnsi="楷体" w:eastAsia="楷体" w:cs="仿宋_GB2312"/>
          <w:i w:val="0"/>
          <w:iCs/>
          <w:color w:val="auto"/>
          <w:szCs w:val="32"/>
        </w:rPr>
        <w:t>人</w:t>
      </w:r>
      <w:r>
        <w:rPr>
          <w:rFonts w:ascii="楷体" w:hAnsi="楷体" w:eastAsia="楷体" w:cs="仿宋_GB2312"/>
          <w:i w:val="0"/>
          <w:iCs/>
          <w:color w:val="auto"/>
          <w:szCs w:val="32"/>
        </w:rPr>
        <w:t>要求及时将提货券送至指定地点。</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9.</w:t>
      </w:r>
      <w:r>
        <w:rPr>
          <w:rFonts w:ascii="楷体" w:hAnsi="楷体" w:eastAsia="楷体" w:cs="仿宋_GB2312"/>
          <w:i w:val="0"/>
          <w:iCs/>
          <w:color w:val="auto"/>
          <w:szCs w:val="32"/>
        </w:rPr>
        <w:t>持提货券采购的货物种类由提货人决定，投标方不得自行搭配和捆绑销售。</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10.</w:t>
      </w:r>
      <w:r>
        <w:rPr>
          <w:rFonts w:hint="eastAsia" w:ascii="楷体" w:hAnsi="楷体" w:eastAsia="楷体" w:cs="仿宋_GB2312"/>
          <w:i w:val="0"/>
          <w:iCs/>
          <w:color w:val="auto"/>
          <w:szCs w:val="32"/>
        </w:rPr>
        <w:t>投标人所有经营场所内的任何日用品、食品（不得领取范围除外）均可以成为采购人提货券的内容，中标人不得以任何理由拒绝或者是变相加价，如商品存在促销价，应按促销价计算货物价值。投标人需提供书面承诺（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11.</w:t>
      </w:r>
      <w:r>
        <w:rPr>
          <w:rFonts w:hint="eastAsia" w:ascii="楷体" w:hAnsi="楷体" w:eastAsia="楷体" w:cs="仿宋_GB2312"/>
          <w:i w:val="0"/>
          <w:iCs/>
          <w:color w:val="auto"/>
          <w:szCs w:val="32"/>
        </w:rPr>
        <w:t>食品的质量、卫生必须符合我国食品行业相关规定的标准，不含任何违禁物质。日用品的质量、卫生必须符合我国行业相关规定的标准，不含任何违禁物质。所提供的货物质保期（或保质期）的不能少于一半。投标人需提供书面承诺（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12.</w:t>
      </w:r>
      <w:r>
        <w:rPr>
          <w:rFonts w:hint="eastAsia" w:ascii="楷体" w:hAnsi="楷体" w:eastAsia="楷体" w:cs="仿宋_GB2312"/>
          <w:i w:val="0"/>
          <w:iCs/>
          <w:color w:val="auto"/>
          <w:szCs w:val="32"/>
        </w:rPr>
        <w:t>投标人不得针对提货券提货方式恶意抬高价格，如未按门店正常零售价进行供货的，经发现，将取消中标资格并赔偿采购人的所有损失。投标人需提供书面承诺（格式自拟）。</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rPr>
        <w:t>★</w:t>
      </w:r>
      <w:r>
        <w:rPr>
          <w:rFonts w:hint="eastAsia" w:ascii="楷体" w:hAnsi="楷体" w:eastAsia="楷体" w:cs="仿宋_GB2312"/>
          <w:i w:val="0"/>
          <w:iCs/>
          <w:color w:val="auto"/>
          <w:szCs w:val="32"/>
          <w:lang w:val="en-US" w:eastAsia="zh-CN"/>
        </w:rPr>
        <w:t>13.</w:t>
      </w:r>
      <w:r>
        <w:rPr>
          <w:rFonts w:hint="eastAsia" w:ascii="楷体" w:hAnsi="楷体" w:eastAsia="楷体" w:cs="仿宋_GB2312"/>
          <w:i w:val="0"/>
          <w:iCs/>
          <w:color w:val="auto"/>
          <w:szCs w:val="32"/>
        </w:rPr>
        <w:t>中标人需承诺激活使用后的提货券有效期满足</w:t>
      </w:r>
      <w:r>
        <w:rPr>
          <w:rFonts w:hint="eastAsia" w:ascii="楷体" w:hAnsi="楷体" w:eastAsia="楷体" w:cs="仿宋_GB2312"/>
          <w:i w:val="0"/>
          <w:iCs/>
          <w:color w:val="auto"/>
          <w:szCs w:val="32"/>
          <w:lang w:val="en-US" w:eastAsia="zh-CN"/>
        </w:rPr>
        <w:t>一</w:t>
      </w:r>
      <w:r>
        <w:rPr>
          <w:rFonts w:hint="eastAsia" w:ascii="楷体" w:hAnsi="楷体" w:eastAsia="楷体" w:cs="仿宋_GB2312"/>
          <w:i w:val="0"/>
          <w:iCs/>
          <w:color w:val="auto"/>
          <w:szCs w:val="32"/>
        </w:rPr>
        <w:t>年</w:t>
      </w:r>
      <w:r>
        <w:rPr>
          <w:rFonts w:hint="eastAsia" w:ascii="楷体" w:hAnsi="楷体" w:eastAsia="楷体" w:cs="仿宋_GB2312"/>
          <w:i w:val="0"/>
          <w:iCs/>
          <w:color w:val="auto"/>
          <w:szCs w:val="32"/>
          <w:lang w:val="en-US" w:eastAsia="zh-CN"/>
        </w:rPr>
        <w:t>及以上</w:t>
      </w:r>
      <w:r>
        <w:rPr>
          <w:rFonts w:hint="eastAsia" w:ascii="楷体" w:hAnsi="楷体" w:eastAsia="楷体" w:cs="仿宋_GB2312"/>
          <w:i w:val="0"/>
          <w:iCs/>
          <w:color w:val="auto"/>
          <w:szCs w:val="32"/>
        </w:rPr>
        <w:t>要求。</w:t>
      </w:r>
    </w:p>
    <w:p>
      <w:pPr>
        <w:spacing w:line="360" w:lineRule="auto"/>
        <w:ind w:firstLine="480" w:firstLineChars="200"/>
        <w:jc w:val="left"/>
        <w:rPr>
          <w:rFonts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14.</w:t>
      </w:r>
      <w:r>
        <w:rPr>
          <w:rFonts w:hint="eastAsia" w:ascii="楷体" w:hAnsi="楷体" w:eastAsia="楷体" w:cs="仿宋_GB2312"/>
          <w:i w:val="0"/>
          <w:iCs/>
          <w:color w:val="auto"/>
          <w:szCs w:val="32"/>
        </w:rPr>
        <w:t>售后服务严格按照国家消费者协会三包法规定执行，送货途中若出现破损的，乙方应立即免费更换，并保证供货进度不受影响。</w:t>
      </w:r>
    </w:p>
    <w:p>
      <w:pPr>
        <w:pStyle w:val="3"/>
        <w:spacing w:before="0" w:after="0"/>
        <w:jc w:val="left"/>
        <w:rPr>
          <w:rFonts w:hint="eastAsia" w:ascii="仿宋" w:hAnsi="仿宋" w:eastAsia="仿宋" w:cs="仿宋"/>
          <w:sz w:val="28"/>
          <w:szCs w:val="28"/>
        </w:rPr>
      </w:pPr>
      <w:bookmarkStart w:id="213" w:name="_Toc7080"/>
      <w:bookmarkStart w:id="214" w:name="_Toc3675"/>
      <w:bookmarkStart w:id="215" w:name="_Toc15762"/>
      <w:bookmarkStart w:id="216" w:name="_Toc186737812"/>
      <w:bookmarkStart w:id="217" w:name="_Toc622"/>
      <w:bookmarkStart w:id="218" w:name="_Toc10258"/>
      <w:bookmarkStart w:id="219" w:name="_Toc9891"/>
    </w:p>
    <w:p>
      <w:pPr>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3"/>
        <w:spacing w:before="0" w:after="0"/>
        <w:jc w:val="left"/>
        <w:rPr>
          <w:rFonts w:hint="eastAsia" w:ascii="仿宋" w:hAnsi="仿宋" w:eastAsia="仿宋" w:cs="仿宋"/>
          <w:sz w:val="28"/>
          <w:szCs w:val="28"/>
        </w:rPr>
      </w:pPr>
    </w:p>
    <w:p>
      <w:pPr>
        <w:pStyle w:val="3"/>
        <w:spacing w:before="0" w:after="0"/>
        <w:jc w:val="left"/>
        <w:rPr>
          <w:rFonts w:ascii="仿宋" w:hAnsi="仿宋" w:eastAsia="仿宋" w:cs="仿宋"/>
          <w:sz w:val="28"/>
          <w:szCs w:val="28"/>
        </w:rPr>
      </w:pPr>
      <w:r>
        <w:rPr>
          <w:rFonts w:hint="eastAsia" w:ascii="仿宋" w:hAnsi="仿宋" w:eastAsia="仿宋" w:cs="仿宋"/>
          <w:sz w:val="28"/>
          <w:szCs w:val="28"/>
        </w:rPr>
        <w:t>第六章 响应文件格式</w:t>
      </w:r>
      <w:bookmarkEnd w:id="213"/>
      <w:bookmarkEnd w:id="214"/>
      <w:bookmarkEnd w:id="215"/>
      <w:bookmarkEnd w:id="216"/>
      <w:bookmarkEnd w:id="217"/>
      <w:bookmarkEnd w:id="218"/>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hint="eastAsia" w:ascii="仿宋" w:hAnsi="仿宋" w:eastAsia="仿宋" w:cs="仿宋"/>
          <w:b/>
          <w:color w:val="000000"/>
        </w:rPr>
      </w:pPr>
    </w:p>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rPr>
          <w:rFonts w:ascii="仿宋" w:hAnsi="仿宋" w:eastAsia="仿宋" w:cs="仿宋"/>
          <w:color w:val="000000"/>
          <w:sz w:val="28"/>
          <w:szCs w:val="28"/>
        </w:rPr>
      </w:pPr>
      <w:bookmarkStart w:id="220" w:name="_Toc3936"/>
      <w:bookmarkStart w:id="221" w:name="_Toc19783362"/>
      <w:bookmarkStart w:id="222" w:name="_Toc25957"/>
      <w:bookmarkStart w:id="223" w:name="_Toc19910"/>
      <w:bookmarkStart w:id="224" w:name="_Toc11783"/>
      <w:bookmarkStart w:id="225" w:name="_Toc517281836"/>
      <w:bookmarkStart w:id="226" w:name="_Toc444891353"/>
      <w:bookmarkStart w:id="227" w:name="_Toc21280"/>
      <w:bookmarkStart w:id="228" w:name="_Toc287600131"/>
      <w:bookmarkStart w:id="229" w:name="_Toc287600129"/>
      <w:bookmarkStart w:id="230" w:name="_Toc19783360"/>
      <w:r>
        <w:rPr>
          <w:rFonts w:ascii="仿宋" w:hAnsi="仿宋" w:eastAsia="仿宋" w:cs="仿宋"/>
          <w:color w:val="000000"/>
          <w:sz w:val="24"/>
          <w:szCs w:val="24"/>
        </w:rPr>
        <w:br w:type="page"/>
      </w:r>
      <w:bookmarkEnd w:id="220"/>
      <w:bookmarkEnd w:id="221"/>
      <w:bookmarkEnd w:id="222"/>
      <w:bookmarkEnd w:id="223"/>
      <w:bookmarkEnd w:id="224"/>
      <w:bookmarkEnd w:id="225"/>
      <w:bookmarkEnd w:id="226"/>
      <w:bookmarkEnd w:id="227"/>
      <w:bookmarkEnd w:id="228"/>
      <w:bookmarkStart w:id="231" w:name="_Toc444891354"/>
      <w:bookmarkStart w:id="232" w:name="_Toc517281837"/>
      <w:bookmarkStart w:id="233" w:name="_Toc7202"/>
      <w:bookmarkStart w:id="234" w:name="_Toc12140"/>
      <w:bookmarkStart w:id="235" w:name="_Toc25121"/>
      <w:bookmarkStart w:id="236" w:name="_Toc27799"/>
    </w:p>
    <w:p>
      <w:pPr>
        <w:pStyle w:val="4"/>
        <w:jc w:val="both"/>
        <w:rPr>
          <w:rFonts w:ascii="仿宋" w:hAnsi="仿宋" w:eastAsia="仿宋" w:cs="仿宋"/>
          <w:color w:val="000000"/>
          <w:sz w:val="24"/>
          <w:szCs w:val="24"/>
        </w:rPr>
      </w:pPr>
      <w:bookmarkStart w:id="237" w:name="_Toc2263"/>
      <w:bookmarkStart w:id="238" w:name="_Toc17191"/>
      <w:bookmarkStart w:id="239" w:name="_Toc186737813"/>
      <w:bookmarkStart w:id="240" w:name="_Toc7568"/>
      <w:bookmarkStart w:id="241" w:name="_Toc8548"/>
      <w:bookmarkStart w:id="242" w:name="_Toc27958"/>
      <w:bookmarkStart w:id="243" w:name="_Toc186737814"/>
      <w:bookmarkStart w:id="244" w:name="_Toc7932"/>
      <w:r>
        <w:rPr>
          <w:rFonts w:hint="eastAsia" w:ascii="仿宋" w:hAnsi="仿宋" w:eastAsia="仿宋" w:cs="仿宋"/>
          <w:color w:val="000000"/>
          <w:sz w:val="24"/>
          <w:szCs w:val="24"/>
        </w:rPr>
        <w:t>一、商务文件</w:t>
      </w:r>
      <w:bookmarkEnd w:id="237"/>
      <w:bookmarkEnd w:id="238"/>
      <w:bookmarkEnd w:id="239"/>
      <w:bookmarkEnd w:id="240"/>
    </w:p>
    <w:p>
      <w:pPr>
        <w:pStyle w:val="5"/>
        <w:spacing w:before="0" w:line="440" w:lineRule="exact"/>
        <w:jc w:val="both"/>
        <w:rPr>
          <w:rFonts w:hint="eastAsia" w:ascii="仿宋" w:hAnsi="仿宋" w:eastAsia="仿宋" w:cs="仿宋"/>
          <w:color w:val="000000"/>
          <w:sz w:val="24"/>
          <w:szCs w:val="24"/>
        </w:rPr>
      </w:pPr>
      <w:bookmarkStart w:id="245" w:name="_Toc7943"/>
      <w:bookmarkStart w:id="246" w:name="_Toc26472"/>
      <w:r>
        <w:rPr>
          <w:rFonts w:hint="eastAsia" w:ascii="仿宋" w:hAnsi="仿宋" w:eastAsia="仿宋" w:cs="仿宋"/>
          <w:color w:val="000000"/>
          <w:sz w:val="24"/>
          <w:szCs w:val="24"/>
        </w:rPr>
        <w:t>（一）响应函</w:t>
      </w:r>
      <w:bookmarkEnd w:id="241"/>
      <w:bookmarkEnd w:id="242"/>
      <w:bookmarkEnd w:id="243"/>
      <w:bookmarkEnd w:id="244"/>
      <w:bookmarkEnd w:id="245"/>
      <w:bookmarkEnd w:id="246"/>
    </w:p>
    <w:p>
      <w:pPr>
        <w:jc w:val="center"/>
        <w:rPr>
          <w:b/>
          <w:bCs/>
        </w:rPr>
      </w:pPr>
      <w:r>
        <w:rPr>
          <w:rFonts w:hint="eastAsia" w:ascii="仿宋" w:hAnsi="仿宋" w:eastAsia="仿宋" w:cs="仿宋"/>
          <w:b/>
          <w:bCs/>
          <w:color w:val="000000"/>
          <w:sz w:val="24"/>
          <w:szCs w:val="24"/>
        </w:rPr>
        <w:t>响应函</w:t>
      </w:r>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lang w:val="en-US" w:eastAsia="zh-CN"/>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Fonts w:hint="eastAsia" w:ascii="仿宋" w:hAnsi="仿宋" w:eastAsia="仿宋" w:cs="Cambria Math"/>
          <w:color w:val="auto"/>
          <w:u w:val="single"/>
          <w:lang w:val="en-US" w:eastAsia="zh-CN"/>
        </w:rPr>
        <w:t xml:space="preserve"> 30 </w:t>
      </w:r>
      <w:r>
        <w:rPr>
          <w:rFonts w:hint="eastAsia" w:ascii="仿宋" w:hAnsi="仿宋" w:eastAsia="仿宋" w:cs="Cambria Math"/>
          <w:color w:val="auto"/>
          <w:u w:val="none"/>
          <w:lang w:val="en-US" w:eastAsia="zh-CN"/>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229"/>
      <w:bookmarkEnd w:id="230"/>
      <w:bookmarkEnd w:id="231"/>
      <w:bookmarkEnd w:id="232"/>
      <w:bookmarkEnd w:id="233"/>
      <w:bookmarkEnd w:id="234"/>
      <w:bookmarkEnd w:id="235"/>
      <w:bookmarkEnd w:id="236"/>
      <w:bookmarkStart w:id="247" w:name="_Toc13983"/>
      <w:bookmarkStart w:id="248" w:name="_Toc10824"/>
      <w:bookmarkStart w:id="249" w:name="_Toc22769"/>
      <w:bookmarkStart w:id="250" w:name="_Toc2753"/>
      <w:bookmarkStart w:id="251" w:name="_Toc186737815"/>
      <w:bookmarkStart w:id="252" w:name="_Toc12927"/>
      <w:r>
        <w:rPr>
          <w:rFonts w:hint="eastAsia" w:ascii="仿宋" w:hAnsi="仿宋" w:eastAsia="仿宋" w:cs="仿宋"/>
          <w:color w:val="000000"/>
          <w:sz w:val="24"/>
          <w:szCs w:val="24"/>
        </w:rPr>
        <w:t>（二）法定代表人（负责人）身份证明书</w:t>
      </w:r>
      <w:bookmarkEnd w:id="247"/>
      <w:bookmarkEnd w:id="248"/>
      <w:bookmarkEnd w:id="249"/>
      <w:bookmarkEnd w:id="250"/>
      <w:bookmarkEnd w:id="251"/>
      <w:bookmarkEnd w:id="2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C8wn33ZAAAACQEAAA8AAAAAAAAAAQAgAAAAOAAAAGRycy9kb3ducmV2LnhtbFBLAQIUABQAAAAI&#10;AIdO4kDR6ZioDwIAAC8EAAAOAAAAAAAAAAEAIAAAAD4BAABkcnMvZTJvRG9jLnhtbFBLBQYAAAAA&#10;BgAGAFkBAAC/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LxC1JbZAAAACgEAAA8AAAAAAAAAAQAgAAAAOAAAAGRycy9kb3ducmV2LnhtbFBLAQIUABQAAAAI&#10;AIdO4kCJb3TkDwIAAC8EAAAOAAAAAAAAAAEAIAAAAD4BAABkcnMvZTJvRG9jLnhtbFBLBQYAAAAA&#10;BgAGAFkBAAC/BQ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53" w:name="_Toc186737816"/>
      <w:bookmarkStart w:id="254" w:name="_Toc444891355"/>
      <w:bookmarkStart w:id="255" w:name="_Toc4426"/>
      <w:bookmarkStart w:id="256" w:name="_Toc287600130"/>
      <w:bookmarkStart w:id="257" w:name="_Toc1895"/>
      <w:bookmarkStart w:id="258" w:name="_Toc32351"/>
      <w:bookmarkStart w:id="259" w:name="_Toc5582"/>
      <w:bookmarkStart w:id="260" w:name="_Toc31730"/>
      <w:bookmarkStart w:id="261" w:name="_Toc26267"/>
      <w:bookmarkStart w:id="262" w:name="_Toc19783361"/>
      <w:bookmarkStart w:id="263" w:name="_Toc517281838"/>
      <w:bookmarkStart w:id="264" w:name="_Toc20707"/>
      <w:bookmarkStart w:id="265" w:name="_Toc24788"/>
      <w:bookmarkStart w:id="266" w:name="_Toc4899"/>
      <w:r>
        <w:rPr>
          <w:rFonts w:hint="eastAsia" w:ascii="仿宋" w:hAnsi="仿宋" w:eastAsia="仿宋" w:cs="仿宋"/>
          <w:color w:val="000000"/>
          <w:sz w:val="24"/>
          <w:szCs w:val="24"/>
        </w:rPr>
        <w:t>（三）法定代表人（负责人）授权委托书</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I&#10;gs7L2AAAAAgBAAAPAAAAAAAAAAEAIAAAADgAAABkcnMvZG93bnJldi54bWxQSwECFAAUAAAACACH&#10;TuJAXpDm+Q4CAAAvBAAADgAAAAAAAAABACAAAAA9AQAAZHJzL2Uyb0RvYy54bWxQSwUGAAAAAAYA&#10;BgBZAQAAvQU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LC0x&#10;zNgAAAAJAQAADwAAAAAAAAABACAAAAA4AAAAZHJzL2Rvd25yZXYueG1sUEsBAhQAFAAAAAgAh07i&#10;QCUrB+0MAgAALwQAAA4AAAAAAAAAAQAgAAAAPQEAAGRycy9lMm9Eb2MueG1sUEsFBgAAAAAGAAYA&#10;WQEAALs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footerReference r:id="rId6" w:type="default"/>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267" w:name="_Toc19732"/>
      <w:bookmarkStart w:id="268" w:name="_Toc29109"/>
      <w:bookmarkStart w:id="269" w:name="_Toc30551"/>
      <w:bookmarkStart w:id="270" w:name="_Toc7311"/>
      <w:bookmarkStart w:id="271" w:name="_Toc32180"/>
      <w:bookmarkStart w:id="272" w:name="_Toc186737817"/>
      <w:bookmarkStart w:id="273" w:name="_Toc517281841"/>
      <w:r>
        <w:rPr>
          <w:rFonts w:hint="eastAsia" w:ascii="仿宋" w:hAnsi="仿宋" w:eastAsia="仿宋" w:cs="仿宋"/>
          <w:color w:val="000000"/>
          <w:sz w:val="24"/>
          <w:szCs w:val="24"/>
        </w:rPr>
        <w:t>（四）资格证明文件</w:t>
      </w:r>
      <w:bookmarkEnd w:id="267"/>
      <w:bookmarkEnd w:id="268"/>
      <w:bookmarkEnd w:id="269"/>
      <w:bookmarkEnd w:id="270"/>
      <w:bookmarkEnd w:id="271"/>
      <w:bookmarkEnd w:id="272"/>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提供20</w:t>
      </w:r>
      <w:r>
        <w:rPr>
          <w:rFonts w:hint="eastAsia" w:ascii="仿宋" w:hAnsi="仿宋" w:eastAsia="仿宋" w:cs="仿宋"/>
          <w:color w:val="000000"/>
          <w:lang w:val="en-US" w:eastAsia="zh-CN"/>
        </w:rPr>
        <w:t>23</w:t>
      </w:r>
      <w:r>
        <w:rPr>
          <w:rFonts w:hint="eastAsia" w:ascii="仿宋" w:hAnsi="仿宋" w:eastAsia="仿宋" w:cs="仿宋"/>
          <w:color w:val="000000"/>
        </w:rPr>
        <w:t>年度</w:t>
      </w:r>
      <w:r>
        <w:rPr>
          <w:rFonts w:hint="eastAsia" w:ascii="仿宋" w:hAnsi="仿宋" w:eastAsia="仿宋" w:cs="仿宋"/>
          <w:color w:val="000000"/>
          <w:lang w:val="en-US" w:eastAsia="zh-CN"/>
        </w:rPr>
        <w:t>或2024年度</w:t>
      </w:r>
      <w:r>
        <w:rPr>
          <w:rFonts w:hint="eastAsia" w:ascii="仿宋" w:hAnsi="仿宋" w:eastAsia="仿宋" w:cs="仿宋"/>
          <w:color w:val="000000"/>
        </w:rPr>
        <w:t>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hint="eastAsia" w:ascii="仿宋" w:hAnsi="仿宋" w:eastAsia="仿宋" w:cs="Cambria Math"/>
          <w:color w:val="000000"/>
          <w:u w:val="single"/>
          <w:lang w:val="en-US" w:eastAsia="zh-CN"/>
        </w:rPr>
        <w:t xml:space="preserve"> </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u w:val="single"/>
          <w:lang w:val="en-US" w:eastAsia="zh-CN"/>
        </w:rPr>
        <w:t xml:space="preserve">  </w:t>
      </w:r>
      <w:r>
        <w:rPr>
          <w:rFonts w:hint="eastAsia" w:ascii="仿宋" w:hAnsi="仿宋" w:eastAsia="仿宋" w:cs="Cambria Math"/>
          <w:color w:val="000000"/>
        </w:rPr>
        <w:t>资格条件中要求的具有良好的商业信誉和健全的财务会计制度磋商响应资格，并对上述承诺真实性负责。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《企业税收和社会保障资金缴纳承诺书》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资格条件中要求的具有依法缴纳税收和社会保障资金的良好记录磋商响应资格，并对上述承诺真实性负责。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pacing w:line="360" w:lineRule="auto"/>
        <w:ind w:firstLine="480" w:firstLineChars="200"/>
        <w:textAlignment w:val="baseline"/>
        <w:rPr>
          <w:rStyle w:val="33"/>
        </w:rPr>
      </w:pPr>
      <w:r>
        <w:rPr>
          <w:rFonts w:hint="eastAsia" w:ascii="仿宋" w:hAnsi="仿宋" w:eastAsia="仿宋" w:cs="Cambria Math"/>
          <w:color w:val="000000"/>
        </w:rPr>
        <w:t>信用中国查询网址：</w:t>
      </w:r>
      <w:r>
        <w:fldChar w:fldCharType="begin"/>
      </w:r>
      <w:r>
        <w:instrText xml:space="preserve"> HYPERLINK "https://www.creditchina.gov.cn/xinyongfuwu/?navPage=5" </w:instrText>
      </w:r>
      <w:r>
        <w:fldChar w:fldCharType="separate"/>
      </w:r>
      <w:r>
        <w:rPr>
          <w:rStyle w:val="33"/>
          <w:rFonts w:hint="eastAsia"/>
        </w:rPr>
        <w:t>https://www.creditchina.gov.cn/xinyongfuwu/?navPage=5</w:t>
      </w:r>
      <w:r>
        <w:rPr>
          <w:rStyle w:val="33"/>
          <w:rFonts w:hint="eastAsia"/>
        </w:rPr>
        <w:fldChar w:fldCharType="end"/>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0"/>
                    <a:srcRect b="11951"/>
                    <a:stretch>
                      <a:fillRect/>
                    </a:stretch>
                  </pic:blipFill>
                  <pic:spPr>
                    <a:xfrm>
                      <a:off x="0" y="0"/>
                      <a:ext cx="5909310" cy="3769360"/>
                    </a:xfrm>
                    <a:prstGeom prst="rect">
                      <a:avLst/>
                    </a:prstGeom>
                    <a:noFill/>
                    <a:ln>
                      <a:noFill/>
                    </a:ln>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ascii="仿宋" w:hAnsi="仿宋" w:eastAsia="仿宋"/>
          <w:color w:val="000000"/>
          <w:szCs w:val="21"/>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1"/>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2"/>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274"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注：1.控股股东/投资人是指出资比例在50%以上，或者出资比例不足50%，但享有公司股东会/董事会控制权的投资方（含单位或者个人）</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ind w:firstLine="480" w:firstLineChars="200"/>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273"/>
    <w:bookmarkEnd w:id="274"/>
    <w:p>
      <w:pPr>
        <w:pStyle w:val="2"/>
        <w:spacing w:before="240"/>
        <w:jc w:val="center"/>
        <w:rPr>
          <w:rFonts w:ascii="仿宋" w:hAnsi="仿宋" w:eastAsia="仿宋" w:cs="Cambria Math"/>
          <w:b/>
          <w:bCs/>
          <w:color w:val="000000"/>
        </w:rPr>
      </w:pPr>
      <w:bookmarkStart w:id="275"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hint="eastAsia" w:ascii="仿宋" w:hAnsi="仿宋" w:eastAsia="仿宋" w:cs="Cambria Math"/>
          <w:color w:val="000000"/>
          <w:u w:val="single"/>
          <w:lang w:val="en-US" w:eastAsia="zh-CN"/>
        </w:rPr>
        <w:t xml:space="preserve">  </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276" w:name="_Toc4530"/>
      <w:bookmarkStart w:id="277" w:name="_Toc15130"/>
      <w:bookmarkStart w:id="278" w:name="_Toc112068411"/>
      <w:bookmarkStart w:id="279" w:name="_Toc27392"/>
      <w:bookmarkStart w:id="280" w:name="_Toc186737818"/>
      <w:bookmarkStart w:id="281" w:name="_Toc31294"/>
      <w:bookmarkStart w:id="282" w:name="_Toc144139212"/>
      <w:bookmarkStart w:id="283" w:name="_Toc65683009"/>
      <w:bookmarkStart w:id="284" w:name="_Toc18208"/>
      <w:bookmarkStart w:id="285" w:name="_Toc16647"/>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76"/>
      <w:bookmarkEnd w:id="277"/>
      <w:bookmarkEnd w:id="278"/>
      <w:bookmarkEnd w:id="279"/>
      <w:bookmarkEnd w:id="280"/>
      <w:bookmarkEnd w:id="281"/>
      <w:bookmarkEnd w:id="282"/>
      <w:bookmarkEnd w:id="283"/>
      <w:bookmarkEnd w:id="284"/>
      <w:bookmarkEnd w:id="285"/>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286" w:name="_Toc23418"/>
      <w:bookmarkStart w:id="287" w:name="_Toc3190"/>
      <w:bookmarkStart w:id="288" w:name="_Toc15671"/>
      <w:bookmarkStart w:id="289" w:name="_Toc186737819"/>
      <w:bookmarkStart w:id="290" w:name="_Toc9491"/>
      <w:bookmarkStart w:id="291" w:name="_Toc17890"/>
      <w:r>
        <w:rPr>
          <w:rFonts w:hint="eastAsia" w:ascii="仿宋" w:hAnsi="仿宋" w:eastAsia="仿宋" w:cs="仿宋"/>
          <w:color w:val="000000"/>
          <w:sz w:val="24"/>
          <w:szCs w:val="24"/>
        </w:rPr>
        <w:t>（七）供应商行为准则承诺书</w:t>
      </w:r>
      <w:bookmarkEnd w:id="286"/>
      <w:bookmarkEnd w:id="287"/>
      <w:bookmarkEnd w:id="288"/>
      <w:bookmarkEnd w:id="289"/>
      <w:bookmarkEnd w:id="290"/>
      <w:bookmarkEnd w:id="291"/>
    </w:p>
    <w:p>
      <w:pPr>
        <w:jc w:val="center"/>
        <w:rPr>
          <w:rFonts w:ascii="仿宋" w:hAnsi="仿宋" w:eastAsia="仿宋" w:cs="宋体"/>
          <w:b/>
          <w:bCs/>
          <w:color w:val="000000"/>
          <w:sz w:val="28"/>
          <w:szCs w:val="28"/>
        </w:rPr>
      </w:pPr>
      <w:bookmarkStart w:id="292"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293" w:name="_Toc8068"/>
      <w:bookmarkStart w:id="294" w:name="_Toc24471"/>
      <w:bookmarkStart w:id="295" w:name="_Toc186737820"/>
      <w:bookmarkStart w:id="296" w:name="_Toc25301"/>
      <w:bookmarkStart w:id="297" w:name="_Toc21260"/>
      <w:bookmarkStart w:id="298" w:name="_Toc23658"/>
      <w:r>
        <w:rPr>
          <w:rFonts w:hint="eastAsia" w:ascii="仿宋" w:hAnsi="仿宋" w:eastAsia="仿宋" w:cs="宋体"/>
          <w:bCs w:val="0"/>
          <w:color w:val="000000"/>
          <w:sz w:val="24"/>
          <w:szCs w:val="24"/>
        </w:rPr>
        <w:t>（八）供应商廉洁诚信承诺书</w:t>
      </w:r>
      <w:bookmarkEnd w:id="292"/>
      <w:bookmarkEnd w:id="293"/>
      <w:bookmarkEnd w:id="294"/>
      <w:bookmarkEnd w:id="295"/>
      <w:bookmarkEnd w:id="296"/>
      <w:bookmarkEnd w:id="297"/>
      <w:bookmarkEnd w:id="29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bookmarkEnd w:id="275"/>
    <w:p>
      <w:pPr>
        <w:pStyle w:val="4"/>
        <w:jc w:val="both"/>
        <w:rPr>
          <w:rFonts w:ascii="仿宋" w:hAnsi="仿宋" w:eastAsia="仿宋" w:cs="仿宋"/>
          <w:color w:val="000000"/>
          <w:sz w:val="24"/>
          <w:szCs w:val="24"/>
        </w:rPr>
      </w:pPr>
      <w:bookmarkStart w:id="299" w:name="_Toc10850"/>
      <w:bookmarkStart w:id="300" w:name="_Toc10027"/>
      <w:bookmarkStart w:id="301" w:name="_Toc18556"/>
      <w:bookmarkStart w:id="302" w:name="_Toc186737823"/>
      <w:bookmarkStart w:id="303" w:name="_Toc28698"/>
      <w:bookmarkStart w:id="304" w:name="_Toc25197"/>
      <w:r>
        <w:rPr>
          <w:rFonts w:hint="eastAsia" w:ascii="仿宋" w:hAnsi="仿宋" w:eastAsia="仿宋" w:cs="仿宋"/>
          <w:color w:val="000000"/>
          <w:sz w:val="24"/>
          <w:szCs w:val="24"/>
        </w:rPr>
        <w:t>二、技术文件</w:t>
      </w:r>
      <w:bookmarkEnd w:id="299"/>
      <w:bookmarkEnd w:id="300"/>
      <w:bookmarkEnd w:id="301"/>
      <w:bookmarkEnd w:id="302"/>
      <w:bookmarkEnd w:id="303"/>
      <w:bookmarkEnd w:id="304"/>
    </w:p>
    <w:p>
      <w:pPr>
        <w:pStyle w:val="5"/>
        <w:spacing w:before="0" w:after="0" w:line="360" w:lineRule="auto"/>
        <w:rPr>
          <w:rFonts w:ascii="仿宋" w:hAnsi="仿宋" w:eastAsia="仿宋" w:cs="仿宋"/>
          <w:color w:val="000000"/>
          <w:sz w:val="24"/>
          <w:szCs w:val="24"/>
        </w:rPr>
      </w:pPr>
      <w:bookmarkStart w:id="305" w:name="_Toc32143"/>
      <w:bookmarkStart w:id="306" w:name="_Toc12314"/>
      <w:bookmarkStart w:id="307" w:name="_Toc23108"/>
      <w:bookmarkStart w:id="308" w:name="_Toc25666"/>
      <w:bookmarkStart w:id="309" w:name="_Toc17302"/>
      <w:bookmarkStart w:id="310" w:name="_Toc21240"/>
      <w:bookmarkStart w:id="311" w:name="_Toc186737824"/>
      <w:r>
        <w:rPr>
          <w:rFonts w:hint="eastAsia" w:ascii="仿宋" w:hAnsi="仿宋" w:eastAsia="仿宋" w:cs="仿宋"/>
          <w:color w:val="000000"/>
          <w:sz w:val="24"/>
          <w:szCs w:val="24"/>
        </w:rPr>
        <w:t>（一）采购需求应答偏离表</w:t>
      </w:r>
      <w:bookmarkEnd w:id="305"/>
      <w:bookmarkEnd w:id="306"/>
      <w:bookmarkEnd w:id="307"/>
      <w:bookmarkEnd w:id="308"/>
      <w:bookmarkEnd w:id="309"/>
      <w:bookmarkEnd w:id="310"/>
      <w:bookmarkEnd w:id="311"/>
    </w:p>
    <w:p>
      <w:pPr>
        <w:spacing w:line="360" w:lineRule="auto"/>
        <w:jc w:val="center"/>
        <w:rPr>
          <w:rFonts w:ascii="仿宋" w:hAnsi="仿宋" w:eastAsia="仿宋" w:cs="仿宋"/>
          <w:b/>
          <w:bCs/>
          <w:color w:val="000000"/>
        </w:rPr>
      </w:pPr>
      <w:bookmarkStart w:id="312" w:name="_Toc125771198"/>
      <w:bookmarkStart w:id="313" w:name="_Toc293297544"/>
      <w:bookmarkStart w:id="314" w:name="_Toc125561188"/>
      <w:r>
        <w:rPr>
          <w:rFonts w:hint="eastAsia" w:ascii="仿宋" w:hAnsi="仿宋" w:eastAsia="仿宋" w:cs="仿宋"/>
          <w:b/>
          <w:bCs/>
          <w:color w:val="000000"/>
        </w:rPr>
        <w:t>采购需求应答偏离表</w:t>
      </w:r>
      <w:bookmarkEnd w:id="312"/>
      <w:bookmarkEnd w:id="313"/>
      <w:bookmarkEnd w:id="314"/>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对于未列出的偏离内容视同供应商已完全接受竞争性磋商文件的要求，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315" w:name="_Toc8284"/>
      <w:bookmarkStart w:id="316" w:name="_Toc26034"/>
      <w:bookmarkStart w:id="317" w:name="_Toc28062"/>
      <w:bookmarkStart w:id="318" w:name="_Toc21411"/>
      <w:bookmarkStart w:id="319" w:name="_Toc29833"/>
      <w:bookmarkStart w:id="320" w:name="_Toc186737825"/>
      <w:r>
        <w:rPr>
          <w:rFonts w:hint="eastAsia" w:ascii="仿宋" w:hAnsi="仿宋" w:eastAsia="仿宋" w:cs="仿宋"/>
          <w:color w:val="000000"/>
          <w:sz w:val="24"/>
          <w:szCs w:val="24"/>
        </w:rPr>
        <w:t>（二）技术方案</w:t>
      </w:r>
      <w:bookmarkEnd w:id="315"/>
      <w:bookmarkEnd w:id="316"/>
      <w:bookmarkEnd w:id="317"/>
      <w:bookmarkEnd w:id="318"/>
      <w:bookmarkEnd w:id="319"/>
      <w:bookmarkEnd w:id="320"/>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321" w:name="_Toc517281860"/>
      <w:bookmarkStart w:id="322" w:name="_Toc444891358"/>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323" w:name="_Toc186737826"/>
      <w:bookmarkStart w:id="324" w:name="_Toc22802"/>
      <w:bookmarkStart w:id="325" w:name="_Toc21856"/>
      <w:bookmarkStart w:id="326" w:name="_Toc20365"/>
      <w:bookmarkStart w:id="327" w:name="_Toc21472"/>
      <w:bookmarkStart w:id="328" w:name="_Toc6976"/>
      <w:r>
        <w:rPr>
          <w:rFonts w:hint="eastAsia" w:ascii="仿宋" w:hAnsi="仿宋" w:eastAsia="仿宋" w:cs="仿宋"/>
          <w:color w:val="000000"/>
          <w:sz w:val="24"/>
          <w:szCs w:val="24"/>
        </w:rPr>
        <w:t>（三）</w:t>
      </w:r>
      <w:bookmarkEnd w:id="321"/>
      <w:bookmarkEnd w:id="322"/>
      <w:r>
        <w:rPr>
          <w:rFonts w:hint="eastAsia" w:ascii="仿宋" w:hAnsi="仿宋" w:eastAsia="仿宋" w:cs="仿宋"/>
          <w:color w:val="000000"/>
          <w:sz w:val="24"/>
          <w:szCs w:val="24"/>
        </w:rPr>
        <w:t>其他材料</w:t>
      </w:r>
      <w:bookmarkEnd w:id="323"/>
      <w:bookmarkEnd w:id="324"/>
      <w:bookmarkEnd w:id="325"/>
      <w:bookmarkEnd w:id="326"/>
      <w:bookmarkEnd w:id="327"/>
      <w:bookmarkEnd w:id="328"/>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Fonts w:ascii="仿宋" w:hAnsi="仿宋" w:eastAsia="仿宋" w:cs="仿宋"/>
          <w:color w:val="000000"/>
        </w:rPr>
        <w:sectPr>
          <w:pgSz w:w="11906" w:h="16838"/>
          <w:pgMar w:top="1417" w:right="1134" w:bottom="1134" w:left="1134" w:header="964" w:footer="964" w:gutter="0"/>
          <w:pgNumType w:fmt="decimal"/>
          <w:cols w:space="720" w:num="1"/>
          <w:docGrid w:linePitch="312" w:charSpace="0"/>
        </w:sectPr>
      </w:pPr>
    </w:p>
    <w:p>
      <w:pPr>
        <w:pStyle w:val="4"/>
        <w:jc w:val="both"/>
        <w:rPr>
          <w:rFonts w:ascii="仿宋" w:hAnsi="仿宋" w:eastAsia="仿宋" w:cs="仿宋"/>
          <w:color w:val="000000"/>
          <w:sz w:val="24"/>
          <w:szCs w:val="24"/>
        </w:rPr>
      </w:pPr>
      <w:bookmarkStart w:id="329" w:name="_Toc22588"/>
      <w:bookmarkStart w:id="330" w:name="_Toc10059"/>
      <w:bookmarkStart w:id="331" w:name="_Toc25732"/>
      <w:bookmarkStart w:id="332" w:name="_Toc20443"/>
      <w:bookmarkStart w:id="333" w:name="_Toc186737827"/>
      <w:bookmarkStart w:id="334" w:name="_Toc24864"/>
      <w:r>
        <w:rPr>
          <w:rFonts w:hint="eastAsia" w:ascii="仿宋" w:hAnsi="仿宋" w:eastAsia="仿宋" w:cs="仿宋"/>
          <w:color w:val="000000"/>
          <w:sz w:val="24"/>
          <w:szCs w:val="24"/>
        </w:rPr>
        <w:t>三、报价文件</w:t>
      </w:r>
      <w:bookmarkEnd w:id="329"/>
      <w:bookmarkEnd w:id="330"/>
      <w:bookmarkEnd w:id="331"/>
      <w:bookmarkEnd w:id="332"/>
      <w:bookmarkEnd w:id="333"/>
      <w:bookmarkEnd w:id="334"/>
    </w:p>
    <w:p>
      <w:pPr>
        <w:pStyle w:val="5"/>
        <w:spacing w:before="0" w:after="0" w:line="360" w:lineRule="auto"/>
        <w:jc w:val="center"/>
        <w:rPr>
          <w:rFonts w:ascii="仿宋" w:hAnsi="仿宋" w:eastAsia="仿宋" w:cs="仿宋"/>
          <w:color w:val="000000"/>
          <w:sz w:val="24"/>
          <w:szCs w:val="24"/>
        </w:rPr>
      </w:pPr>
      <w:bookmarkStart w:id="335" w:name="_Toc511726864"/>
      <w:bookmarkStart w:id="336" w:name="_Toc18942"/>
      <w:bookmarkStart w:id="337" w:name="_Toc186737828"/>
      <w:bookmarkStart w:id="338" w:name="_Toc15221"/>
      <w:bookmarkStart w:id="339" w:name="_Toc4457"/>
      <w:bookmarkStart w:id="340" w:name="_Toc21841"/>
      <w:bookmarkStart w:id="341" w:name="_Toc17443"/>
      <w:r>
        <w:rPr>
          <w:rFonts w:hint="eastAsia" w:ascii="仿宋" w:hAnsi="仿宋" w:eastAsia="仿宋" w:cs="仿宋"/>
          <w:color w:val="000000"/>
          <w:sz w:val="24"/>
          <w:szCs w:val="24"/>
        </w:rPr>
        <w:t>报价</w:t>
      </w:r>
      <w:bookmarkEnd w:id="335"/>
      <w:r>
        <w:rPr>
          <w:rFonts w:hint="eastAsia" w:ascii="仿宋" w:hAnsi="仿宋" w:eastAsia="仿宋" w:cs="仿宋"/>
          <w:color w:val="000000"/>
          <w:sz w:val="24"/>
          <w:szCs w:val="24"/>
        </w:rPr>
        <w:t>一览表</w:t>
      </w:r>
      <w:bookmarkEnd w:id="336"/>
      <w:bookmarkEnd w:id="337"/>
      <w:bookmarkEnd w:id="338"/>
      <w:bookmarkEnd w:id="339"/>
      <w:bookmarkEnd w:id="340"/>
      <w:bookmarkEnd w:id="341"/>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人民币元    </w:t>
      </w:r>
    </w:p>
    <w:tbl>
      <w:tblPr>
        <w:tblStyle w:val="29"/>
        <w:tblpPr w:leftFromText="180" w:rightFromText="180" w:vertAnchor="text" w:horzAnchor="page" w:tblpX="1520" w:tblpY="751"/>
        <w:tblOverlap w:val="never"/>
        <w:tblW w:w="4997" w:type="pct"/>
        <w:tblInd w:w="0" w:type="dxa"/>
        <w:tblLayout w:type="autofit"/>
        <w:tblCellMar>
          <w:top w:w="0" w:type="dxa"/>
          <w:left w:w="108" w:type="dxa"/>
          <w:bottom w:w="0" w:type="dxa"/>
          <w:right w:w="108" w:type="dxa"/>
        </w:tblCellMar>
      </w:tblPr>
      <w:tblGrid>
        <w:gridCol w:w="2266"/>
        <w:gridCol w:w="1207"/>
        <w:gridCol w:w="1366"/>
        <w:gridCol w:w="1366"/>
        <w:gridCol w:w="1399"/>
        <w:gridCol w:w="1427"/>
      </w:tblGrid>
      <w:tr>
        <w:tblPrEx>
          <w:tblCellMar>
            <w:top w:w="0" w:type="dxa"/>
            <w:left w:w="108" w:type="dxa"/>
            <w:bottom w:w="0" w:type="dxa"/>
            <w:right w:w="108" w:type="dxa"/>
          </w:tblCellMar>
        </w:tblPrEx>
        <w:trPr>
          <w:trHeight w:val="927" w:hRule="atLeast"/>
        </w:trPr>
        <w:tc>
          <w:tcPr>
            <w:tcW w:w="12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000000"/>
                <w:szCs w:val="21"/>
              </w:rPr>
            </w:pPr>
            <w:r>
              <w:rPr>
                <w:rFonts w:hint="eastAsia" w:ascii="楷体" w:hAnsi="楷体" w:eastAsia="楷体" w:cs="楷体"/>
                <w:b w:val="0"/>
                <w:bCs w:val="0"/>
                <w:color w:val="000000"/>
                <w:szCs w:val="21"/>
              </w:rPr>
              <w:t>报价内容</w:t>
            </w:r>
          </w:p>
        </w:tc>
        <w:tc>
          <w:tcPr>
            <w:tcW w:w="668" w:type="pct"/>
            <w:tcBorders>
              <w:top w:val="single" w:color="auto" w:sz="4" w:space="0"/>
              <w:left w:val="nil"/>
              <w:bottom w:val="single" w:color="auto" w:sz="4" w:space="0"/>
              <w:right w:val="single" w:color="auto" w:sz="4" w:space="0"/>
            </w:tcBorders>
            <w:vAlign w:val="center"/>
          </w:tcPr>
          <w:p>
            <w:pPr>
              <w:jc w:val="center"/>
              <w:rPr>
                <w:rFonts w:hint="eastAsia" w:ascii="楷体" w:hAnsi="楷体" w:eastAsia="楷体" w:cs="楷体"/>
                <w:b w:val="0"/>
                <w:bCs w:val="0"/>
                <w:color w:val="000000"/>
                <w:szCs w:val="21"/>
                <w:lang w:eastAsia="zh-CN"/>
              </w:rPr>
            </w:pPr>
            <w:r>
              <w:rPr>
                <w:rFonts w:hint="eastAsia" w:ascii="楷体" w:hAnsi="楷体" w:eastAsia="楷体" w:cs="楷体"/>
                <w:b w:val="0"/>
                <w:bCs w:val="0"/>
                <w:i w:val="0"/>
                <w:iCs/>
                <w:color w:val="auto"/>
                <w:szCs w:val="32"/>
              </w:rPr>
              <w:t>数量</w:t>
            </w:r>
            <w:r>
              <w:rPr>
                <w:rFonts w:hint="eastAsia" w:ascii="楷体" w:hAnsi="楷体" w:eastAsia="楷体" w:cs="楷体"/>
                <w:b w:val="0"/>
                <w:bCs w:val="0"/>
                <w:i w:val="0"/>
                <w:iCs/>
                <w:color w:val="auto"/>
                <w:szCs w:val="32"/>
                <w:lang w:eastAsia="zh-CN"/>
              </w:rPr>
              <w:t>（</w:t>
            </w:r>
            <w:r>
              <w:rPr>
                <w:rFonts w:hint="eastAsia" w:ascii="楷体" w:hAnsi="楷体" w:eastAsia="楷体" w:cs="楷体"/>
                <w:b w:val="0"/>
                <w:bCs w:val="0"/>
                <w:i w:val="0"/>
                <w:iCs/>
                <w:color w:val="auto"/>
                <w:szCs w:val="32"/>
                <w:lang w:val="en-US" w:eastAsia="zh-CN"/>
              </w:rPr>
              <w:t>张</w:t>
            </w:r>
            <w:r>
              <w:rPr>
                <w:rFonts w:hint="eastAsia" w:ascii="楷体" w:hAnsi="楷体" w:eastAsia="楷体" w:cs="楷体"/>
                <w:b w:val="0"/>
                <w:bCs w:val="0"/>
                <w:i w:val="0"/>
                <w:iCs/>
                <w:color w:val="auto"/>
                <w:szCs w:val="32"/>
                <w:lang w:eastAsia="zh-CN"/>
              </w:rPr>
              <w:t>）</w:t>
            </w:r>
          </w:p>
        </w:tc>
        <w:tc>
          <w:tcPr>
            <w:tcW w:w="75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i w:val="0"/>
                <w:iCs/>
                <w:color w:val="auto"/>
                <w:szCs w:val="32"/>
                <w:lang w:val="en-US" w:eastAsia="zh-CN"/>
              </w:rPr>
            </w:pPr>
            <w:r>
              <w:rPr>
                <w:rFonts w:hint="eastAsia" w:ascii="楷体" w:hAnsi="楷体" w:eastAsia="楷体" w:cs="楷体"/>
                <w:b w:val="0"/>
                <w:bCs w:val="0"/>
                <w:i w:val="0"/>
                <w:iCs/>
                <w:color w:val="auto"/>
                <w:szCs w:val="32"/>
                <w:lang w:val="en-US" w:eastAsia="zh-CN"/>
              </w:rPr>
              <w:t>折扣率</w:t>
            </w:r>
            <w:r>
              <w:rPr>
                <w:rFonts w:hint="eastAsia" w:ascii="楷体" w:hAnsi="楷体" w:eastAsia="楷体" w:cs="楷体"/>
                <w:b w:val="0"/>
                <w:bCs w:val="0"/>
                <w:color w:val="auto"/>
                <w:szCs w:val="21"/>
              </w:rPr>
              <w:t>（%）</w:t>
            </w:r>
          </w:p>
        </w:tc>
        <w:tc>
          <w:tcPr>
            <w:tcW w:w="75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auto"/>
                <w:sz w:val="24"/>
                <w:szCs w:val="21"/>
                <w:lang w:val="en-US" w:eastAsia="zh-CN" w:bidi="ar-SA"/>
              </w:rPr>
            </w:pPr>
            <w:r>
              <w:rPr>
                <w:rFonts w:hint="eastAsia" w:ascii="楷体" w:hAnsi="楷体" w:eastAsia="楷体" w:cs="楷体"/>
                <w:b w:val="0"/>
                <w:bCs w:val="0"/>
                <w:color w:val="auto"/>
                <w:szCs w:val="21"/>
              </w:rPr>
              <w:t>含税</w:t>
            </w:r>
            <w:r>
              <w:rPr>
                <w:rFonts w:hint="eastAsia" w:ascii="楷体" w:hAnsi="楷体" w:eastAsia="楷体" w:cs="楷体"/>
                <w:b w:val="0"/>
                <w:bCs w:val="0"/>
                <w:color w:val="auto"/>
                <w:szCs w:val="21"/>
                <w:lang w:val="en-US" w:eastAsia="zh-CN"/>
              </w:rPr>
              <w:t>单价</w:t>
            </w:r>
            <w:r>
              <w:rPr>
                <w:rFonts w:hint="eastAsia" w:ascii="楷体" w:hAnsi="楷体" w:eastAsia="楷体" w:cs="楷体"/>
                <w:b w:val="0"/>
                <w:bCs w:val="0"/>
                <w:color w:val="auto"/>
                <w:szCs w:val="21"/>
              </w:rPr>
              <w:t>（元）</w:t>
            </w:r>
          </w:p>
        </w:tc>
        <w:tc>
          <w:tcPr>
            <w:tcW w:w="77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auto"/>
                <w:sz w:val="24"/>
                <w:szCs w:val="21"/>
                <w:lang w:val="en-US" w:eastAsia="zh-CN" w:bidi="ar-SA"/>
              </w:rPr>
            </w:pPr>
            <w:r>
              <w:rPr>
                <w:rFonts w:hint="eastAsia" w:ascii="楷体" w:hAnsi="楷体" w:eastAsia="楷体" w:cs="楷体"/>
                <w:b w:val="0"/>
                <w:bCs w:val="0"/>
                <w:i w:val="0"/>
                <w:iCs/>
                <w:color w:val="auto"/>
                <w:szCs w:val="32"/>
              </w:rPr>
              <w:t>单价净价（元）</w:t>
            </w:r>
          </w:p>
        </w:tc>
        <w:tc>
          <w:tcPr>
            <w:tcW w:w="78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auto"/>
                <w:szCs w:val="21"/>
              </w:rPr>
            </w:pPr>
            <w:r>
              <w:rPr>
                <w:rFonts w:hint="eastAsia" w:ascii="楷体" w:hAnsi="楷体" w:eastAsia="楷体" w:cs="楷体"/>
                <w:b w:val="0"/>
                <w:bCs w:val="0"/>
                <w:color w:val="auto"/>
                <w:szCs w:val="21"/>
              </w:rPr>
              <w:t>税率</w:t>
            </w:r>
          </w:p>
          <w:p>
            <w:pPr>
              <w:jc w:val="center"/>
              <w:rPr>
                <w:rFonts w:hint="eastAsia" w:ascii="楷体" w:hAnsi="楷体" w:eastAsia="楷体" w:cs="楷体"/>
                <w:b w:val="0"/>
                <w:bCs w:val="0"/>
                <w:color w:val="auto"/>
                <w:sz w:val="24"/>
                <w:szCs w:val="21"/>
                <w:lang w:val="en-US" w:eastAsia="zh-CN" w:bidi="ar-SA"/>
              </w:rPr>
            </w:pPr>
            <w:r>
              <w:rPr>
                <w:rFonts w:hint="eastAsia" w:ascii="楷体" w:hAnsi="楷体" w:eastAsia="楷体" w:cs="楷体"/>
                <w:b w:val="0"/>
                <w:bCs w:val="0"/>
                <w:color w:val="auto"/>
                <w:szCs w:val="21"/>
              </w:rPr>
              <w:t>（%）</w:t>
            </w:r>
          </w:p>
        </w:tc>
      </w:tr>
      <w:tr>
        <w:tblPrEx>
          <w:tblCellMar>
            <w:top w:w="0" w:type="dxa"/>
            <w:left w:w="108" w:type="dxa"/>
            <w:bottom w:w="0" w:type="dxa"/>
            <w:right w:w="108" w:type="dxa"/>
          </w:tblCellMar>
        </w:tblPrEx>
        <w:trPr>
          <w:trHeight w:val="2276" w:hRule="atLeast"/>
        </w:trPr>
        <w:tc>
          <w:tcPr>
            <w:tcW w:w="12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000000"/>
                <w:szCs w:val="21"/>
                <w:lang w:eastAsia="zh-CN"/>
              </w:rPr>
            </w:pPr>
            <w:r>
              <w:rPr>
                <w:rFonts w:hint="eastAsia" w:ascii="楷体" w:hAnsi="楷体" w:eastAsia="楷体" w:cs="楷体"/>
                <w:b w:val="0"/>
                <w:bCs w:val="0"/>
                <w:lang w:val="en-US" w:eastAsia="zh-CN"/>
              </w:rPr>
              <w:t>劳动节、</w:t>
            </w:r>
            <w:r>
              <w:rPr>
                <w:rFonts w:hint="eastAsia" w:ascii="楷体" w:hAnsi="楷体" w:eastAsia="楷体" w:cs="楷体"/>
                <w:b w:val="0"/>
                <w:bCs w:val="0"/>
              </w:rPr>
              <w:t>端午</w:t>
            </w:r>
            <w:r>
              <w:rPr>
                <w:rFonts w:hint="eastAsia" w:ascii="楷体" w:hAnsi="楷体" w:eastAsia="楷体" w:cs="楷体"/>
                <w:b w:val="0"/>
                <w:bCs w:val="0"/>
                <w:lang w:val="en-US" w:eastAsia="zh-CN"/>
              </w:rPr>
              <w:t>节、</w:t>
            </w:r>
            <w:r>
              <w:rPr>
                <w:rFonts w:hint="eastAsia" w:ascii="楷体" w:hAnsi="楷体" w:eastAsia="楷体" w:cs="楷体"/>
                <w:b w:val="0"/>
                <w:bCs w:val="0"/>
              </w:rPr>
              <w:t>中秋国庆</w:t>
            </w:r>
            <w:r>
              <w:rPr>
                <w:rFonts w:hint="eastAsia" w:ascii="楷体" w:hAnsi="楷体" w:eastAsia="楷体" w:cs="楷体"/>
                <w:b w:val="0"/>
                <w:bCs w:val="0"/>
                <w:lang w:val="en-US" w:eastAsia="zh-CN"/>
              </w:rPr>
              <w:t>节日慰问品</w:t>
            </w:r>
            <w:r>
              <w:rPr>
                <w:rFonts w:hint="eastAsia" w:ascii="楷体" w:hAnsi="楷体" w:eastAsia="楷体" w:cs="楷体"/>
                <w:b w:val="0"/>
                <w:bCs w:val="0"/>
              </w:rPr>
              <w:t>提货券</w:t>
            </w:r>
            <w:r>
              <w:rPr>
                <w:rFonts w:hint="eastAsia" w:ascii="楷体" w:hAnsi="楷体" w:eastAsia="楷体" w:cs="楷体"/>
                <w:b w:val="0"/>
                <w:bCs w:val="0"/>
                <w:lang w:eastAsia="zh-CN"/>
              </w:rPr>
              <w:t>（</w:t>
            </w:r>
            <w:r>
              <w:rPr>
                <w:rFonts w:hint="eastAsia" w:ascii="楷体" w:hAnsi="楷体" w:eastAsia="楷体" w:cs="楷体"/>
                <w:b w:val="0"/>
                <w:bCs w:val="0"/>
                <w:color w:val="000000"/>
                <w:sz w:val="24"/>
                <w:szCs w:val="21"/>
                <w:lang w:val="en-US" w:eastAsia="zh-CN" w:bidi="ar-SA"/>
              </w:rPr>
              <w:t>预算控制单价：1400元/人</w:t>
            </w:r>
            <w:r>
              <w:rPr>
                <w:rFonts w:hint="eastAsia" w:ascii="楷体" w:hAnsi="楷体" w:eastAsia="楷体" w:cs="楷体"/>
                <w:b w:val="0"/>
                <w:bCs w:val="0"/>
                <w:lang w:eastAsia="zh-CN"/>
              </w:rPr>
              <w:t>）</w:t>
            </w:r>
          </w:p>
        </w:tc>
        <w:tc>
          <w:tcPr>
            <w:tcW w:w="668" w:type="pct"/>
            <w:tcBorders>
              <w:top w:val="single" w:color="auto" w:sz="4" w:space="0"/>
              <w:left w:val="nil"/>
              <w:bottom w:val="single" w:color="auto" w:sz="4" w:space="0"/>
              <w:right w:val="single" w:color="auto" w:sz="4" w:space="0"/>
            </w:tcBorders>
            <w:vAlign w:val="center"/>
          </w:tcPr>
          <w:p>
            <w:pPr>
              <w:jc w:val="center"/>
              <w:rPr>
                <w:rFonts w:hint="eastAsia" w:ascii="楷体" w:hAnsi="楷体" w:eastAsia="楷体" w:cs="楷体"/>
                <w:b w:val="0"/>
                <w:bCs w:val="0"/>
                <w:color w:val="000000"/>
                <w:szCs w:val="21"/>
                <w:lang w:val="en-US" w:eastAsia="zh-CN"/>
              </w:rPr>
            </w:pPr>
            <w:r>
              <w:rPr>
                <w:rFonts w:hint="eastAsia" w:ascii="楷体" w:hAnsi="楷体" w:eastAsia="楷体" w:cs="楷体"/>
                <w:b w:val="0"/>
                <w:bCs w:val="0"/>
                <w:color w:val="000000"/>
                <w:szCs w:val="21"/>
                <w:lang w:val="en-US" w:eastAsia="zh-CN"/>
              </w:rPr>
              <w:t>190</w:t>
            </w:r>
          </w:p>
        </w:tc>
        <w:tc>
          <w:tcPr>
            <w:tcW w:w="756" w:type="pct"/>
            <w:tcBorders>
              <w:top w:val="single" w:color="auto" w:sz="4" w:space="0"/>
              <w:left w:val="single" w:color="auto" w:sz="4" w:space="0"/>
              <w:bottom w:val="single" w:color="auto" w:sz="4" w:space="0"/>
              <w:right w:val="single" w:color="auto" w:sz="4" w:space="0"/>
            </w:tcBorders>
          </w:tcPr>
          <w:p>
            <w:pPr>
              <w:jc w:val="center"/>
              <w:rPr>
                <w:rFonts w:hint="eastAsia" w:ascii="楷体" w:hAnsi="楷体" w:eastAsia="楷体" w:cs="楷体"/>
                <w:b w:val="0"/>
                <w:bCs w:val="0"/>
                <w:color w:val="FF0000"/>
                <w:szCs w:val="21"/>
                <w:lang w:val="en-US" w:eastAsia="zh-CN"/>
              </w:rPr>
            </w:pPr>
          </w:p>
        </w:tc>
        <w:tc>
          <w:tcPr>
            <w:tcW w:w="756" w:type="pct"/>
            <w:tcBorders>
              <w:top w:val="single" w:color="auto" w:sz="4" w:space="0"/>
              <w:left w:val="single" w:color="auto" w:sz="4" w:space="0"/>
              <w:bottom w:val="single" w:color="auto" w:sz="4" w:space="0"/>
              <w:right w:val="single" w:color="auto" w:sz="4" w:space="0"/>
            </w:tcBorders>
          </w:tcPr>
          <w:p>
            <w:pPr>
              <w:jc w:val="center"/>
              <w:rPr>
                <w:rFonts w:hint="eastAsia" w:ascii="楷体" w:hAnsi="楷体" w:eastAsia="楷体" w:cs="楷体"/>
                <w:b w:val="0"/>
                <w:bCs w:val="0"/>
                <w:color w:val="FF0000"/>
                <w:szCs w:val="21"/>
              </w:rPr>
            </w:pPr>
          </w:p>
        </w:tc>
        <w:tc>
          <w:tcPr>
            <w:tcW w:w="77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楷体" w:hAnsi="楷体" w:eastAsia="楷体" w:cs="楷体"/>
                <w:b w:val="0"/>
                <w:bCs w:val="0"/>
                <w:color w:val="FF0000"/>
                <w:szCs w:val="21"/>
              </w:rPr>
            </w:pPr>
          </w:p>
        </w:tc>
        <w:tc>
          <w:tcPr>
            <w:tcW w:w="789" w:type="pct"/>
            <w:tcBorders>
              <w:top w:val="single" w:color="auto" w:sz="4" w:space="0"/>
              <w:left w:val="single" w:color="auto" w:sz="4" w:space="0"/>
              <w:bottom w:val="single" w:color="auto" w:sz="4" w:space="0"/>
              <w:right w:val="single" w:color="auto" w:sz="4" w:space="0"/>
            </w:tcBorders>
            <w:vAlign w:val="center"/>
          </w:tcPr>
          <w:p>
            <w:pPr>
              <w:rPr>
                <w:rFonts w:hint="eastAsia" w:ascii="楷体" w:hAnsi="楷体" w:eastAsia="楷体" w:cs="楷体"/>
                <w:b w:val="0"/>
                <w:bCs w:val="0"/>
                <w:color w:val="FF0000"/>
                <w:szCs w:val="21"/>
              </w:rPr>
            </w:pPr>
          </w:p>
        </w:tc>
      </w:tr>
    </w:tbl>
    <w:p>
      <w:pPr>
        <w:spacing w:line="360" w:lineRule="auto"/>
        <w:rPr>
          <w:rFonts w:ascii="仿宋" w:hAnsi="仿宋" w:eastAsia="仿宋" w:cs="仿宋"/>
          <w:bCs/>
          <w:color w:val="000000"/>
        </w:rPr>
      </w:pPr>
    </w:p>
    <w:p>
      <w:pPr>
        <w:spacing w:line="360" w:lineRule="auto"/>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注：上为单价报价表，全年发生费用不超过</w:t>
      </w:r>
      <w:r>
        <w:rPr>
          <w:rFonts w:hint="eastAsia" w:ascii="仿宋" w:hAnsi="仿宋" w:eastAsia="仿宋" w:cs="宋体"/>
          <w:color w:val="000000"/>
        </w:rPr>
        <w:t>项目设置</w:t>
      </w:r>
      <w:r>
        <w:rPr>
          <w:rFonts w:hint="eastAsia" w:ascii="仿宋" w:hAnsi="仿宋" w:eastAsia="仿宋" w:cs="宋体"/>
          <w:color w:val="000000"/>
          <w:lang w:val="en-US" w:eastAsia="zh-CN"/>
        </w:rPr>
        <w:t>总控制价，即266000元</w:t>
      </w:r>
      <w:r>
        <w:rPr>
          <w:rFonts w:hint="eastAsia" w:ascii="仿宋" w:hAnsi="仿宋" w:eastAsia="仿宋" w:cs="宋体"/>
          <w:color w:val="000000"/>
          <w:lang w:eastAsia="zh-CN"/>
        </w:rPr>
        <w:t>。</w:t>
      </w: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342" w:name="_Toc517281864"/>
      <w:bookmarkStart w:id="343" w:name="_Toc2267055"/>
      <w:bookmarkStart w:id="344" w:name="_Toc16591840"/>
      <w:bookmarkStart w:id="345" w:name="_Toc482180015"/>
      <w:bookmarkStart w:id="346" w:name="_Toc518302646"/>
      <w:bookmarkStart w:id="347" w:name="_Toc530319762"/>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219"/>
    <w:bookmarkEnd w:id="342"/>
    <w:bookmarkEnd w:id="343"/>
    <w:bookmarkEnd w:id="344"/>
    <w:bookmarkEnd w:id="345"/>
    <w:bookmarkEnd w:id="346"/>
    <w:bookmarkEnd w:id="347"/>
    <w:p>
      <w:pPr>
        <w:adjustRightInd w:val="0"/>
        <w:snapToGrid w:val="0"/>
        <w:spacing w:line="360" w:lineRule="auto"/>
        <w:rPr>
          <w:rFonts w:hint="eastAsia" w:ascii="楷体" w:hAnsi="楷体" w:eastAsia="楷体" w:cs="仿宋_GB2312"/>
          <w:i w:val="0"/>
          <w:iCs/>
          <w:color w:val="auto"/>
          <w:szCs w:val="32"/>
          <w:lang w:eastAsia="zh-CN"/>
        </w:rPr>
      </w:pPr>
    </w:p>
    <w:sectPr>
      <w:headerReference r:id="rId7" w:type="default"/>
      <w:footerReference r:id="rId8"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swiss"/>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altName w:val="DejaVu Sans"/>
    <w:panose1 w:val="020F0302020204030204"/>
    <w:charset w:val="00"/>
    <w:family w:val="swiss"/>
    <w:pitch w:val="default"/>
    <w:sig w:usb0="00000000" w:usb1="00000000" w:usb2="00000009" w:usb3="00000000" w:csb0="200001FF" w:csb1="00000000"/>
  </w:font>
  <w:font w:name="方正黑体_GBK">
    <w:panose1 w:val="02000000000000000000"/>
    <w:charset w:val="86"/>
    <w:family w:val="auto"/>
    <w:pitch w:val="default"/>
    <w:sig w:usb0="00000001" w:usb1="08000000" w:usb2="0000000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swiss"/>
    <w:pitch w:val="default"/>
    <w:sig w:usb0="00000000" w:usb1="00000000" w:usb2="00000016" w:usb3="00000000" w:csb0="0004001F"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方正小标宋简体">
    <w:panose1 w:val="02000000000000000000"/>
    <w:charset w:val="86"/>
    <w:family w:val="auto"/>
    <w:pitch w:val="default"/>
    <w:sig w:usb0="A00002BF" w:usb1="184F6CFA" w:usb2="00000012" w:usb3="00000000" w:csb0="00040001" w:csb1="00000000"/>
  </w:font>
  <w:font w:name="Monaco">
    <w:altName w:val="华文中宋"/>
    <w:panose1 w:val="00000000000000000000"/>
    <w:charset w:val="00"/>
    <w:family w:val="modern"/>
    <w:pitch w:val="default"/>
    <w:sig w:usb0="00000000" w:usb1="00000000" w:usb2="00000000"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新宋体">
    <w:altName w:val="方正书宋_GBK"/>
    <w:panose1 w:val="02010609030101010101"/>
    <w:charset w:val="86"/>
    <w:family w:val="modern"/>
    <w:pitch w:val="default"/>
    <w:sig w:usb0="00000000" w:usb1="00000000" w:usb2="00000006" w:usb3="00000000" w:csb0="00040001" w:csb1="0000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M6pebnPAAAABQEAAA8AAAAAAAAAAQAgAAAAOAAA&#10;AGRycy9kb3ducmV2LnhtbFBLAQIUABQAAAAIAIdO4kDVP1aNwgEAAI4DAAAOAAAAAAAAAAEAIAAA&#10;ADQBAABkcnMvZTJvRG9jLnhtbFBLBQYAAAAABgAGAFkBAABoBQ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ClSD0MgIAAGEEAAAOAAAAZHJz&#10;L2Uyb0RvYy54bWytVM2O0zAQviPxDpbvNGkRq27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AKVIPQyAgAAYQQAAA4AAAAAAAAAAQAgAAAA&#10;NQEAAGRycy9lMm9Eb2MueG1sUEsFBgAAAAAGAAYAWQEAANk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9"/>
                            <w:jc w:val="center"/>
                          </w:pPr>
                          <w:r>
                            <w:fldChar w:fldCharType="begin"/>
                          </w:r>
                          <w:r>
                            <w:instrText xml:space="preserve">PAGE   \* MERGEFORMAT</w:instrText>
                          </w:r>
                          <w:r>
                            <w:fldChar w:fldCharType="separate"/>
                          </w:r>
                          <w:r>
                            <w:rPr>
                              <w:lang w:val="zh-CN"/>
                            </w:rPr>
                            <w:t>25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WAAAAZHJzL1BLAQIUABQAAAAIAIdO4kBoaYJL0wAAAAUBAAAPAAAA&#10;AAAAAAEAIAAAADgAAABkcnMvZG93bnJldi54bWxQSwECFAAUAAAACACHTuJAUWVvlMsBAACYAwAA&#10;DgAAAAAAAAABACAAAAA4AQAAZHJzL2Uyb0RvYy54bWxQSwUGAAAAAAYABgBZAQAAdQUAAAAA&#10;">
              <v:fill on="f" focussize="0,0"/>
              <v:stroke on="f" weight="1.25pt"/>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25</w:t>
                    </w:r>
                    <w:r>
                      <w:fldChar w:fldCharType="end"/>
                    </w:r>
                  </w:p>
                </w:txbxContent>
              </v:textbox>
            </v:shape>
          </w:pict>
        </mc:Fallback>
      </mc:AlternateContent>
    </w: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pqK+VMQ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&#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qaivlTECAABjBAAADgAAAAAAAAABACAAAAA1&#10;AQAAZHJzL2Uyb0RvYy54bWxQSwUGAAAAAAYABgBZAQAA2AU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EC876"/>
    <w:multiLevelType w:val="singleLevel"/>
    <w:tmpl w:val="AD1EC876"/>
    <w:lvl w:ilvl="0" w:tentative="0">
      <w:start w:val="1"/>
      <w:numFmt w:val="decimal"/>
      <w:suff w:val="nothing"/>
      <w:lvlText w:val="（%1）"/>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6DFA5C07"/>
    <w:multiLevelType w:val="singleLevel"/>
    <w:tmpl w:val="6DFA5C07"/>
    <w:lvl w:ilvl="0" w:tentative="0">
      <w:start w:val="1"/>
      <w:numFmt w:val="decimal"/>
      <w:lvlText w:val="%1."/>
      <w:lvlJc w:val="left"/>
      <w:pPr>
        <w:tabs>
          <w:tab w:val="left" w:pos="312"/>
        </w:tabs>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325B53"/>
    <w:rsid w:val="03CA6EF6"/>
    <w:rsid w:val="0569312B"/>
    <w:rsid w:val="06CD174C"/>
    <w:rsid w:val="0A141145"/>
    <w:rsid w:val="0ACB4877"/>
    <w:rsid w:val="13B40768"/>
    <w:rsid w:val="17334565"/>
    <w:rsid w:val="17446691"/>
    <w:rsid w:val="177414BD"/>
    <w:rsid w:val="178772D7"/>
    <w:rsid w:val="18146217"/>
    <w:rsid w:val="18215304"/>
    <w:rsid w:val="19332BB1"/>
    <w:rsid w:val="1C2C4759"/>
    <w:rsid w:val="1D237383"/>
    <w:rsid w:val="1EE9C151"/>
    <w:rsid w:val="1EF0429D"/>
    <w:rsid w:val="1F5171F9"/>
    <w:rsid w:val="200E350A"/>
    <w:rsid w:val="210261A6"/>
    <w:rsid w:val="214A5651"/>
    <w:rsid w:val="232457F5"/>
    <w:rsid w:val="24CF4FC0"/>
    <w:rsid w:val="292532D4"/>
    <w:rsid w:val="29485069"/>
    <w:rsid w:val="2AC02266"/>
    <w:rsid w:val="2D686AD3"/>
    <w:rsid w:val="2DF81ACA"/>
    <w:rsid w:val="2E3461D7"/>
    <w:rsid w:val="34425E22"/>
    <w:rsid w:val="362C1207"/>
    <w:rsid w:val="37915A99"/>
    <w:rsid w:val="397D76E1"/>
    <w:rsid w:val="399F3E32"/>
    <w:rsid w:val="3B5719AD"/>
    <w:rsid w:val="4C766425"/>
    <w:rsid w:val="4FBD6622"/>
    <w:rsid w:val="54053B8B"/>
    <w:rsid w:val="55FE463F"/>
    <w:rsid w:val="56257777"/>
    <w:rsid w:val="58210E14"/>
    <w:rsid w:val="59F52804"/>
    <w:rsid w:val="5AE1183E"/>
    <w:rsid w:val="5B7D6727"/>
    <w:rsid w:val="5B9A01BB"/>
    <w:rsid w:val="5C5D0552"/>
    <w:rsid w:val="5DA46C2D"/>
    <w:rsid w:val="5DD10F21"/>
    <w:rsid w:val="6116021E"/>
    <w:rsid w:val="63936F88"/>
    <w:rsid w:val="67742B58"/>
    <w:rsid w:val="6936651F"/>
    <w:rsid w:val="6D535020"/>
    <w:rsid w:val="71753394"/>
    <w:rsid w:val="746305B1"/>
    <w:rsid w:val="74862811"/>
    <w:rsid w:val="772B54F6"/>
    <w:rsid w:val="7913570D"/>
    <w:rsid w:val="7BAB1EFD"/>
    <w:rsid w:val="7F165A19"/>
    <w:rsid w:val="7F77C743"/>
    <w:rsid w:val="7F842F5E"/>
    <w:rsid w:val="B73C1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font61"/>
    <w:basedOn w:val="31"/>
    <w:qFormat/>
    <w:uiPriority w:val="0"/>
    <w:rPr>
      <w:rFonts w:hint="eastAsia" w:ascii="仿宋" w:hAnsi="仿宋" w:eastAsia="仿宋" w:cs="仿宋"/>
      <w:color w:val="000000"/>
      <w:sz w:val="21"/>
      <w:szCs w:val="21"/>
      <w:u w:val="none"/>
    </w:rPr>
  </w:style>
  <w:style w:type="character" w:customStyle="1" w:styleId="85">
    <w:name w:val="font71"/>
    <w:basedOn w:val="31"/>
    <w:qFormat/>
    <w:uiPriority w:val="0"/>
    <w:rPr>
      <w:rFonts w:hint="eastAsia" w:ascii="仿宋" w:hAnsi="仿宋" w:eastAsia="仿宋" w:cs="仿宋"/>
      <w:color w:val="000000"/>
      <w:sz w:val="21"/>
      <w:szCs w:val="21"/>
      <w:u w:val="none"/>
    </w:rPr>
  </w:style>
  <w:style w:type="character" w:customStyle="1" w:styleId="86">
    <w:name w:val="font31"/>
    <w:basedOn w:val="31"/>
    <w:qFormat/>
    <w:uiPriority w:val="0"/>
    <w:rPr>
      <w:rFonts w:hint="eastAsia" w:ascii="仿宋" w:hAnsi="仿宋" w:eastAsia="仿宋" w:cs="仿宋"/>
      <w:color w:val="000000"/>
      <w:sz w:val="20"/>
      <w:szCs w:val="20"/>
      <w:u w:val="none"/>
    </w:rPr>
  </w:style>
  <w:style w:type="character" w:customStyle="1" w:styleId="87">
    <w:name w:val="font21"/>
    <w:basedOn w:val="31"/>
    <w:qFormat/>
    <w:uiPriority w:val="0"/>
    <w:rPr>
      <w:rFonts w:hint="eastAsia" w:ascii="仿宋" w:hAnsi="仿宋" w:eastAsia="仿宋" w:cs="仿宋"/>
      <w:color w:val="0000FF"/>
      <w:sz w:val="20"/>
      <w:szCs w:val="20"/>
      <w:u w:val="none"/>
    </w:rPr>
  </w:style>
  <w:style w:type="character" w:customStyle="1" w:styleId="88">
    <w:name w:val="font41"/>
    <w:basedOn w:val="31"/>
    <w:qFormat/>
    <w:uiPriority w:val="0"/>
    <w:rPr>
      <w:rFonts w:hint="eastAsia" w:ascii="仿宋" w:hAnsi="仿宋" w:eastAsia="仿宋" w:cs="仿宋"/>
      <w:color w:val="0000FF"/>
      <w:sz w:val="21"/>
      <w:szCs w:val="21"/>
      <w:u w:val="none"/>
    </w:rPr>
  </w:style>
  <w:style w:type="character" w:customStyle="1" w:styleId="89">
    <w:name w:val="font01"/>
    <w:basedOn w:val="31"/>
    <w:qFormat/>
    <w:uiPriority w:val="0"/>
    <w:rPr>
      <w:rFonts w:hint="eastAsia" w:ascii="仿宋" w:hAnsi="仿宋" w:eastAsia="仿宋" w:cs="仿宋"/>
      <w:color w:val="000000"/>
      <w:sz w:val="21"/>
      <w:szCs w:val="21"/>
      <w:u w:val="none"/>
    </w:rPr>
  </w:style>
  <w:style w:type="paragraph" w:customStyle="1" w:styleId="90">
    <w:name w:val="正文缩进1"/>
    <w:basedOn w:val="1"/>
    <w:qFormat/>
    <w:uiPriority w:val="99"/>
    <w:pPr>
      <w:widowControl/>
      <w:ind w:left="425"/>
      <w:jc w:val="left"/>
    </w:pPr>
    <w:rPr>
      <w:rFonts w:ascii="Calibri" w:hAnsi="Calibri" w:eastAsiaTheme="minorEastAsia" w:cstheme="minorBidi"/>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picc/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8679D-6B03-43F1-B7A5-65ED4E904136}">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87</Pages>
  <Words>3965</Words>
  <Characters>22604</Characters>
  <Lines>188</Lines>
  <Paragraphs>53</Paragraphs>
  <TotalTime>63</TotalTime>
  <ScaleCrop>false</ScaleCrop>
  <LinksUpToDate>false</LinksUpToDate>
  <CharactersWithSpaces>26516</CharactersWithSpaces>
  <Application>WPS Office_12.8.2.1113_F1E327BC-269C-435d-A152-05C5408002CA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2019-11-27T03:40:00Z</dcterms:created>
  <dc:creator>Administrator</dc:creator>
  <cp:lastModifiedBy>彭章明</cp:lastModifiedBy>
  <cp:lastPrinted>2019-12-04T09:03:00Z</cp:lastPrinted>
  <dcterms:modified xsi:type="dcterms:W3CDTF">2025-03-06T17:32:02Z</dcterms:modified>
  <cp:revision>162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2052-12.8.2.1113</vt:lpwstr>
  </property>
  <property fmtid="{D5CDD505-2E9C-101B-9397-08002B2CF9AE}" pid="3" name="ICV">
    <vt:lpwstr>66CC92C5853A443C82DC05C7DE2DD397</vt:lpwstr>
  </property>
</Properties>
</file>