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2"/>
        <w:adjustRightInd w:val="0"/>
        <w:snapToGrid w:val="0"/>
        <w:spacing w:line="360" w:lineRule="auto"/>
        <w:jc w:val="center"/>
        <w:rPr>
          <w:rFonts w:hint="eastAsia" w:ascii="黑体" w:hAnsi="黑体" w:eastAsia="黑体" w:cs="宋体"/>
          <w:sz w:val="32"/>
          <w:szCs w:val="32"/>
        </w:rPr>
      </w:pPr>
      <w:r>
        <w:rPr>
          <w:rFonts w:hint="eastAsia" w:ascii="黑体" w:hAnsi="黑体" w:eastAsia="黑体" w:cs="宋体"/>
          <w:sz w:val="32"/>
          <w:szCs w:val="32"/>
          <w:lang w:val="en-US" w:eastAsia="zh-CN"/>
        </w:rPr>
        <w:t>人保财险阿勒泰分公司招标代理公司</w:t>
      </w:r>
      <w:r>
        <w:rPr>
          <w:rFonts w:hint="eastAsia" w:ascii="黑体" w:hAnsi="黑体" w:eastAsia="黑体" w:cs="宋体"/>
          <w:sz w:val="32"/>
          <w:szCs w:val="32"/>
        </w:rPr>
        <w:t>采购项目</w:t>
      </w:r>
    </w:p>
    <w:p>
      <w:pPr>
        <w:pStyle w:val="52"/>
        <w:adjustRightInd w:val="0"/>
        <w:snapToGrid w:val="0"/>
        <w:spacing w:line="360" w:lineRule="auto"/>
        <w:jc w:val="center"/>
        <w:rPr>
          <w:rFonts w:hint="eastAsia" w:ascii="黑体" w:hAnsi="黑体" w:eastAsia="黑体"/>
          <w:sz w:val="32"/>
          <w:szCs w:val="32"/>
        </w:rPr>
      </w:pPr>
      <w:r>
        <w:rPr>
          <w:rFonts w:hint="eastAsia" w:ascii="黑体" w:hAnsi="黑体" w:eastAsia="黑体"/>
          <w:sz w:val="32"/>
          <w:szCs w:val="32"/>
        </w:rPr>
        <w:t>竞争性磋商文件</w:t>
      </w:r>
    </w:p>
    <w:p>
      <w:pPr>
        <w:pStyle w:val="52"/>
        <w:adjustRightInd w:val="0"/>
        <w:snapToGrid w:val="0"/>
        <w:spacing w:line="360" w:lineRule="auto"/>
        <w:jc w:val="center"/>
        <w:rPr>
          <w:rFonts w:hint="eastAsia" w:ascii="黑体" w:hAnsi="黑体" w:eastAsia="黑体"/>
          <w:sz w:val="32"/>
          <w:szCs w:val="32"/>
        </w:rPr>
      </w:pPr>
    </w:p>
    <w:p>
      <w:pPr>
        <w:pStyle w:val="52"/>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2"/>
        <w:adjustRightInd w:val="0"/>
        <w:snapToGrid w:val="0"/>
        <w:spacing w:line="360" w:lineRule="auto"/>
        <w:ind w:firstLine="560"/>
        <w:rPr>
          <w:rFonts w:hint="eastAsia" w:ascii="宋体" w:hAnsi="宋体" w:eastAsia="宋体" w:cs="宋体"/>
          <w:sz w:val="28"/>
          <w:szCs w:val="28"/>
        </w:rPr>
      </w:pPr>
      <w:r>
        <w:rPr>
          <w:rFonts w:hint="eastAsia"/>
          <w:sz w:val="28"/>
          <w:szCs w:val="28"/>
        </w:rPr>
        <w:t>我公司拟通过</w:t>
      </w:r>
      <w:r>
        <w:rPr>
          <w:rFonts w:hint="eastAsia" w:ascii="宋体" w:hAnsi="宋体" w:eastAsia="宋体" w:cs="宋体"/>
          <w:sz w:val="28"/>
          <w:szCs w:val="28"/>
        </w:rPr>
        <w:t>竞争性磋商方式选择</w:t>
      </w:r>
      <w:r>
        <w:rPr>
          <w:rFonts w:hint="eastAsia" w:ascii="宋体" w:hAnsi="宋体" w:eastAsia="宋体" w:cs="宋体"/>
          <w:sz w:val="28"/>
          <w:szCs w:val="28"/>
          <w:lang w:val="en-US" w:eastAsia="zh-CN"/>
        </w:rPr>
        <w:t>人保财险阿勒泰分公司</w:t>
      </w:r>
      <w:r>
        <w:rPr>
          <w:rFonts w:hint="eastAsia" w:ascii="宋体" w:hAnsi="宋体" w:eastAsia="宋体" w:cs="宋体"/>
          <w:sz w:val="28"/>
          <w:szCs w:val="28"/>
        </w:rPr>
        <w:t>招标代理公司采购项目供应商，特</w:t>
      </w:r>
      <w:r>
        <w:rPr>
          <w:rFonts w:hint="eastAsia" w:cs="宋体"/>
          <w:sz w:val="28"/>
          <w:szCs w:val="28"/>
          <w:lang w:val="en-US" w:eastAsia="zh-CN"/>
        </w:rPr>
        <w:t>公开</w:t>
      </w:r>
      <w:r>
        <w:rPr>
          <w:rFonts w:hint="eastAsia" w:ascii="宋体" w:hAnsi="宋体" w:eastAsia="宋体" w:cs="宋体"/>
          <w:sz w:val="28"/>
          <w:szCs w:val="28"/>
        </w:rPr>
        <w:t>邀请贵公司参加本次磋商。</w:t>
      </w:r>
    </w:p>
    <w:p>
      <w:pPr>
        <w:pStyle w:val="52"/>
        <w:adjustRightInd w:val="0"/>
        <w:snapToGrid w:val="0"/>
        <w:spacing w:line="360" w:lineRule="auto"/>
        <w:ind w:firstLine="560"/>
        <w:rPr>
          <w:sz w:val="28"/>
          <w:szCs w:val="28"/>
        </w:rPr>
      </w:pPr>
      <w:r>
        <w:rPr>
          <w:rFonts w:hint="eastAsia"/>
          <w:color w:val="000000"/>
          <w:sz w:val="28"/>
          <w:szCs w:val="28"/>
        </w:rPr>
        <w:t>如贵公司有意参与，</w:t>
      </w:r>
      <w:r>
        <w:rPr>
          <w:rFonts w:hint="eastAsia"/>
          <w:b w:val="0"/>
          <w:bCs w:val="0"/>
          <w:color w:val="000000"/>
          <w:sz w:val="28"/>
          <w:szCs w:val="28"/>
        </w:rPr>
        <w:t>严格按本邀请文件之规定准备响应文件</w:t>
      </w:r>
      <w:r>
        <w:rPr>
          <w:rFonts w:hint="eastAsia"/>
          <w:sz w:val="28"/>
          <w:szCs w:val="28"/>
        </w:rPr>
        <w:t>并参加磋商会议，磋商相关事宜见附件。</w:t>
      </w:r>
    </w:p>
    <w:p>
      <w:pPr>
        <w:pStyle w:val="52"/>
        <w:adjustRightInd w:val="0"/>
        <w:snapToGrid w:val="0"/>
        <w:spacing w:line="360" w:lineRule="auto"/>
        <w:ind w:firstLine="560"/>
        <w:rPr>
          <w:sz w:val="28"/>
          <w:szCs w:val="28"/>
        </w:rPr>
      </w:pPr>
      <w:r>
        <w:rPr>
          <w:rFonts w:hint="eastAsia"/>
          <w:sz w:val="28"/>
          <w:szCs w:val="28"/>
        </w:rPr>
        <w:t xml:space="preserve"> </w:t>
      </w:r>
    </w:p>
    <w:p>
      <w:pPr>
        <w:pStyle w:val="52"/>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阿勒泰地区分公司</w:t>
      </w:r>
    </w:p>
    <w:p>
      <w:pPr>
        <w:pStyle w:val="52"/>
        <w:adjustRightInd w:val="0"/>
        <w:snapToGrid w:val="0"/>
        <w:spacing w:line="360" w:lineRule="auto"/>
        <w:ind w:firstLine="420"/>
        <w:rPr>
          <w:rFonts w:hint="eastAsia"/>
          <w:sz w:val="28"/>
          <w:szCs w:val="28"/>
        </w:rPr>
      </w:pPr>
      <w:r>
        <w:rPr>
          <w:rFonts w:hint="eastAsia"/>
          <w:sz w:val="28"/>
          <w:szCs w:val="28"/>
        </w:rPr>
        <w:t xml:space="preserve">地址：阿勒泰市迎宾路克兰区45号六方城1栋A3-2四楼 </w:t>
      </w:r>
    </w:p>
    <w:p>
      <w:pPr>
        <w:spacing w:line="360" w:lineRule="auto"/>
        <w:ind w:left="0" w:leftChars="0" w:firstLine="420" w:firstLineChars="150"/>
        <w:rPr>
          <w:rFonts w:hint="default" w:ascii="宋体" w:hAnsi="宋体"/>
          <w:color w:val="auto"/>
          <w:sz w:val="28"/>
          <w:szCs w:val="28"/>
          <w:lang w:val="en-US"/>
        </w:rPr>
      </w:pPr>
      <w:r>
        <w:rPr>
          <w:rFonts w:hint="eastAsia"/>
          <w:sz w:val="28"/>
          <w:szCs w:val="28"/>
        </w:rPr>
        <w:t>电话：</w:t>
      </w:r>
      <w:r>
        <w:rPr>
          <w:rFonts w:hint="eastAsia" w:ascii="宋体" w:hAnsi="宋体" w:cs="Times New Roman"/>
          <w:color w:val="auto"/>
          <w:sz w:val="28"/>
          <w:szCs w:val="28"/>
          <w:lang w:val="en-US" w:eastAsia="zh-CN"/>
        </w:rPr>
        <w:t>18097528803</w:t>
      </w:r>
    </w:p>
    <w:p>
      <w:pPr>
        <w:pStyle w:val="52"/>
        <w:adjustRightInd w:val="0"/>
        <w:snapToGrid w:val="0"/>
        <w:spacing w:line="360" w:lineRule="auto"/>
        <w:ind w:firstLine="420"/>
        <w:rPr>
          <w:rFonts w:hint="default" w:eastAsia="宋体"/>
          <w:color w:val="auto"/>
          <w:sz w:val="28"/>
          <w:szCs w:val="28"/>
          <w:lang w:val="en-US" w:eastAsia="zh-CN"/>
        </w:rPr>
      </w:pPr>
      <w:r>
        <w:rPr>
          <w:rFonts w:hint="eastAsia"/>
          <w:color w:val="auto"/>
          <w:sz w:val="28"/>
          <w:szCs w:val="28"/>
        </w:rPr>
        <w:t>联系人：</w:t>
      </w:r>
      <w:r>
        <w:rPr>
          <w:rFonts w:hint="eastAsia"/>
          <w:color w:val="auto"/>
          <w:sz w:val="28"/>
          <w:szCs w:val="28"/>
          <w:lang w:val="en-US" w:eastAsia="zh-CN"/>
        </w:rPr>
        <w:t>昔军</w:t>
      </w:r>
    </w:p>
    <w:p>
      <w:pPr>
        <w:pStyle w:val="52"/>
        <w:adjustRightInd w:val="0"/>
        <w:snapToGrid w:val="0"/>
        <w:spacing w:line="360" w:lineRule="auto"/>
        <w:rPr>
          <w:sz w:val="28"/>
          <w:szCs w:val="28"/>
        </w:rPr>
      </w:pPr>
      <w:r>
        <w:rPr>
          <w:rFonts w:hint="eastAsia"/>
          <w:sz w:val="28"/>
          <w:szCs w:val="28"/>
        </w:rPr>
        <w:t xml:space="preserve">   附件：一、磋商事项说明</w:t>
      </w:r>
    </w:p>
    <w:p>
      <w:pPr>
        <w:pStyle w:val="52"/>
        <w:adjustRightInd w:val="0"/>
        <w:snapToGrid w:val="0"/>
        <w:spacing w:line="360" w:lineRule="auto"/>
        <w:ind w:firstLine="840"/>
        <w:rPr>
          <w:sz w:val="28"/>
          <w:szCs w:val="28"/>
        </w:rPr>
      </w:pPr>
      <w:r>
        <w:rPr>
          <w:rFonts w:hint="eastAsia"/>
          <w:sz w:val="28"/>
          <w:szCs w:val="28"/>
        </w:rPr>
        <w:t xml:space="preserve">   二、响应文件格式和表格</w:t>
      </w:r>
    </w:p>
    <w:p>
      <w:pPr>
        <w:pStyle w:val="52"/>
        <w:adjustRightInd w:val="0"/>
        <w:snapToGrid w:val="0"/>
        <w:spacing w:line="360" w:lineRule="auto"/>
        <w:ind w:firstLine="840"/>
        <w:rPr>
          <w:sz w:val="28"/>
          <w:szCs w:val="28"/>
        </w:rPr>
      </w:pPr>
      <w:r>
        <w:rPr>
          <w:rFonts w:hint="eastAsia"/>
          <w:sz w:val="28"/>
          <w:szCs w:val="28"/>
        </w:rPr>
        <w:t xml:space="preserve">   三、资格证明文件</w:t>
      </w:r>
    </w:p>
    <w:p>
      <w:pPr>
        <w:pStyle w:val="52"/>
        <w:adjustRightInd w:val="0"/>
        <w:snapToGrid w:val="0"/>
        <w:spacing w:line="360" w:lineRule="auto"/>
        <w:ind w:firstLine="840"/>
        <w:rPr>
          <w:sz w:val="28"/>
          <w:szCs w:val="28"/>
        </w:rPr>
      </w:pPr>
      <w:r>
        <w:rPr>
          <w:rFonts w:hint="eastAsia"/>
          <w:sz w:val="28"/>
          <w:szCs w:val="28"/>
        </w:rPr>
        <w:t xml:space="preserve">   四、项目采购需求及服务要求</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ind w:firstLine="570"/>
        <w:jc w:val="right"/>
        <w:rPr>
          <w:rFonts w:hint="eastAsia"/>
          <w:sz w:val="28"/>
          <w:szCs w:val="28"/>
        </w:rPr>
      </w:pPr>
      <w:r>
        <w:rPr>
          <w:rFonts w:hint="eastAsia"/>
          <w:sz w:val="28"/>
          <w:szCs w:val="28"/>
        </w:rPr>
        <w:t>中国人民财产保险股份有限公司</w:t>
      </w:r>
    </w:p>
    <w:p>
      <w:pPr>
        <w:pStyle w:val="52"/>
        <w:adjustRightInd w:val="0"/>
        <w:snapToGrid w:val="0"/>
        <w:spacing w:line="360" w:lineRule="auto"/>
        <w:ind w:firstLine="570"/>
        <w:jc w:val="center"/>
        <w:rPr>
          <w:rFonts w:hint="default"/>
          <w:sz w:val="28"/>
          <w:szCs w:val="28"/>
          <w:lang w:val="en-US" w:eastAsia="zh-CN"/>
        </w:rPr>
      </w:pPr>
      <w:r>
        <w:rPr>
          <w:rFonts w:hint="eastAsia"/>
          <w:sz w:val="28"/>
          <w:szCs w:val="28"/>
          <w:lang w:val="en-US" w:eastAsia="zh-CN"/>
        </w:rPr>
        <w:t xml:space="preserve">                               阿勒泰地区分公司</w:t>
      </w:r>
    </w:p>
    <w:p>
      <w:pPr>
        <w:pStyle w:val="52"/>
        <w:adjustRightInd w:val="0"/>
        <w:snapToGrid w:val="0"/>
        <w:spacing w:line="360" w:lineRule="auto"/>
        <w:ind w:left="3780" w:right="620" w:hanging="3780"/>
        <w:jc w:val="center"/>
        <w:rPr>
          <w:rFonts w:hint="eastAsia"/>
          <w:sz w:val="28"/>
          <w:szCs w:val="28"/>
          <w:lang w:val="en-US" w:eastAsia="zh-CN"/>
        </w:rPr>
      </w:pPr>
      <w:r>
        <w:rPr>
          <w:rFonts w:hint="eastAsia"/>
          <w:color w:val="FF0000"/>
          <w:sz w:val="28"/>
          <w:szCs w:val="28"/>
          <w:lang w:val="en-US" w:eastAsia="zh-CN"/>
        </w:rPr>
        <w:t xml:space="preserve">                                   </w:t>
      </w:r>
      <w:r>
        <w:rPr>
          <w:rFonts w:hint="eastAsia"/>
          <w:sz w:val="28"/>
          <w:szCs w:val="28"/>
          <w:lang w:val="en-US" w:eastAsia="zh-CN"/>
        </w:rPr>
        <w:t xml:space="preserve"> 2025年3月</w:t>
      </w: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p>
    <w:p>
      <w:pPr>
        <w:pStyle w:val="52"/>
        <w:adjustRightInd w:val="0"/>
        <w:snapToGrid w:val="0"/>
        <w:spacing w:line="360" w:lineRule="auto"/>
        <w:jc w:val="center"/>
        <w:rPr>
          <w:b/>
          <w:bCs/>
          <w:sz w:val="36"/>
          <w:szCs w:val="36"/>
        </w:rPr>
      </w:pPr>
      <w:r>
        <w:rPr>
          <w:rFonts w:hint="eastAsia"/>
          <w:b/>
          <w:bCs/>
          <w:sz w:val="36"/>
          <w:szCs w:val="36"/>
        </w:rPr>
        <w:t>目 录</w:t>
      </w:r>
    </w:p>
    <w:p>
      <w:pPr>
        <w:pStyle w:val="52"/>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4"/>
          <w:rFonts w:hint="eastAsia"/>
          <w:b/>
          <w:bCs/>
          <w:color w:val="000000"/>
          <w:u w:val="none"/>
        </w:rPr>
        <w:t>附件一 磋商事项说明……………………………………………………………………</w:t>
      </w:r>
      <w:r>
        <w:rPr>
          <w:rStyle w:val="34"/>
          <w:rFonts w:hint="eastAsia"/>
          <w:color w:val="000000"/>
          <w:u w:val="none"/>
        </w:rPr>
        <w:t>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4"/>
          <w:rFonts w:hint="eastAsia"/>
          <w:color w:val="000000"/>
          <w:u w:val="none"/>
        </w:rPr>
        <w:t>一、供应商</w:t>
      </w:r>
      <w:r>
        <w:rPr>
          <w:rStyle w:val="34"/>
          <w:color w:val="000000"/>
          <w:u w:val="none"/>
        </w:rPr>
        <w:t>资格</w:t>
      </w:r>
      <w:r>
        <w:rPr>
          <w:rStyle w:val="34"/>
          <w:rFonts w:hint="eastAsia"/>
          <w:color w:val="000000"/>
          <w:u w:val="none"/>
        </w:rPr>
        <w:t>要求………………………………………………………………………3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rPr>
          <w:rFonts w:hint="eastAsia"/>
        </w:rPr>
        <w:t>二、评审标准………………………………………………………………………3</w:t>
      </w:r>
    </w:p>
    <w:p>
      <w:pPr>
        <w:pStyle w:val="52"/>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4"/>
          <w:rFonts w:hint="eastAsia"/>
          <w:color w:val="000000"/>
          <w:u w:val="none"/>
        </w:rPr>
        <w:t>三、响应文件要求……………………………………………………………………</w:t>
      </w:r>
      <w:r>
        <w:rPr>
          <w:rStyle w:val="34"/>
          <w:rFonts w:hint="eastAsia"/>
          <w:color w:val="000000"/>
          <w:u w:val="none"/>
        </w:rPr>
        <w:fldChar w:fldCharType="end"/>
      </w:r>
      <w:r>
        <w:rPr>
          <w:rStyle w:val="34"/>
          <w:color w:val="000000"/>
          <w:u w:val="none"/>
        </w:rPr>
        <w:t>4</w:t>
      </w:r>
    </w:p>
    <w:p>
      <w:pPr>
        <w:pStyle w:val="52"/>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4"/>
          <w:rFonts w:hint="eastAsia"/>
          <w:color w:val="000000"/>
          <w:u w:val="none"/>
        </w:rPr>
        <w:t>四、磋商时间和地点……………………………………………………………………</w:t>
      </w:r>
      <w:r>
        <w:rPr>
          <w:rStyle w:val="34"/>
          <w:rFonts w:hint="eastAsia"/>
          <w:color w:val="000000"/>
          <w:u w:val="none"/>
        </w:rPr>
        <w:fldChar w:fldCharType="end"/>
      </w:r>
      <w:r>
        <w:rPr>
          <w:rStyle w:val="34"/>
          <w:color w:val="000000"/>
          <w:u w:val="none"/>
        </w:rPr>
        <w:t>6</w:t>
      </w:r>
    </w:p>
    <w:p>
      <w:pPr>
        <w:pStyle w:val="52"/>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4"/>
          <w:rFonts w:hint="eastAsia"/>
          <w:color w:val="000000"/>
          <w:u w:val="none"/>
        </w:rPr>
        <w:t>五、竞争性磋商流程…………………………………………………………………………</w:t>
      </w:r>
      <w:r>
        <w:rPr>
          <w:rStyle w:val="34"/>
          <w:rFonts w:hint="eastAsia"/>
          <w:color w:val="000000"/>
          <w:u w:val="none"/>
        </w:rPr>
        <w:fldChar w:fldCharType="end"/>
      </w:r>
      <w:r>
        <w:rPr>
          <w:rStyle w:val="34"/>
          <w:color w:val="000000"/>
          <w:u w:val="none"/>
        </w:rPr>
        <w:t>6</w:t>
      </w:r>
    </w:p>
    <w:p>
      <w:pPr>
        <w:pStyle w:val="52"/>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2"/>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4"/>
          <w:rFonts w:hint="eastAsia"/>
          <w:color w:val="000000"/>
          <w:u w:val="none"/>
        </w:rPr>
        <w:t>七、特别声明…………………………………………………………………………………</w:t>
      </w:r>
      <w:r>
        <w:rPr>
          <w:rStyle w:val="34"/>
          <w:rFonts w:hint="eastAsia"/>
          <w:color w:val="000000"/>
          <w:u w:val="none"/>
        </w:rPr>
        <w:fldChar w:fldCharType="end"/>
      </w:r>
      <w:r>
        <w:rPr>
          <w:rStyle w:val="34"/>
          <w:color w:val="000000"/>
          <w:u w:val="none"/>
        </w:rPr>
        <w:t>7</w:t>
      </w:r>
    </w:p>
    <w:p>
      <w:pPr>
        <w:pStyle w:val="52"/>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4"/>
          <w:rFonts w:hint="eastAsia"/>
          <w:b/>
          <w:bCs/>
          <w:color w:val="000000"/>
          <w:u w:val="none"/>
        </w:rPr>
        <w:t>附件二 响应文件格式和表格…………………………………………………………………</w:t>
      </w:r>
      <w:r>
        <w:rPr>
          <w:rStyle w:val="34"/>
          <w:rFonts w:hint="eastAsia"/>
          <w:b/>
          <w:bCs/>
          <w:color w:val="000000"/>
          <w:u w:val="none"/>
        </w:rPr>
        <w:fldChar w:fldCharType="end"/>
      </w:r>
      <w:r>
        <w:t>9</w:t>
      </w:r>
    </w:p>
    <w:p>
      <w:pPr>
        <w:pStyle w:val="52"/>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4"/>
          <w:rFonts w:hint="eastAsia"/>
          <w:b/>
          <w:bCs/>
          <w:color w:val="000000"/>
          <w:u w:val="none"/>
        </w:rPr>
        <w:t>附件三 资格证明文件</w:t>
      </w:r>
      <w:r>
        <w:rPr>
          <w:rStyle w:val="34"/>
          <w:rFonts w:hint="eastAsia"/>
          <w:color w:val="000000"/>
          <w:u w:val="none"/>
        </w:rPr>
        <w:t>…………………………………………………………………………</w:t>
      </w:r>
      <w:r>
        <w:rPr>
          <w:rStyle w:val="34"/>
          <w:rFonts w:hint="eastAsia"/>
          <w:color w:val="000000"/>
          <w:u w:val="none"/>
        </w:rPr>
        <w:fldChar w:fldCharType="end"/>
      </w:r>
      <w:r>
        <w:rPr>
          <w:rStyle w:val="34"/>
          <w:color w:val="000000"/>
          <w:u w:val="none"/>
        </w:rPr>
        <w:t>2</w:t>
      </w:r>
      <w:r>
        <w:t>0</w:t>
      </w:r>
    </w:p>
    <w:p>
      <w:pPr>
        <w:pStyle w:val="52"/>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4"/>
          <w:rFonts w:hint="eastAsia"/>
          <w:color w:val="000000"/>
          <w:u w:val="none"/>
        </w:rPr>
        <w:t>3.1供应商基本情况表………</w:t>
      </w:r>
      <w:r>
        <w:rPr>
          <w:rStyle w:val="34"/>
          <w:color w:val="000000"/>
          <w:u w:val="none"/>
        </w:rPr>
        <w:t>……………</w:t>
      </w:r>
      <w:r>
        <w:rPr>
          <w:rStyle w:val="34"/>
          <w:rFonts w:hint="eastAsia"/>
          <w:color w:val="000000"/>
          <w:u w:val="none"/>
        </w:rPr>
        <w:t>………………………………………………………21</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2"/>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2"/>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2"/>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2"/>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2"/>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2"/>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2"/>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4"/>
          <w:rFonts w:hint="eastAsia"/>
          <w:b/>
          <w:bCs/>
          <w:color w:val="000000"/>
          <w:u w:val="none"/>
        </w:rPr>
        <w:t>附件四 项目采购需求及服务要求</w:t>
      </w:r>
      <w:r>
        <w:rPr>
          <w:rStyle w:val="34"/>
          <w:rFonts w:hint="eastAsia"/>
          <w:color w:val="000000"/>
          <w:u w:val="none"/>
        </w:rPr>
        <w:t>…………………………………………………………</w:t>
      </w:r>
      <w:r>
        <w:rPr>
          <w:rStyle w:val="34"/>
          <w:rFonts w:hint="eastAsia"/>
          <w:color w:val="000000"/>
          <w:u w:val="none"/>
        </w:rPr>
        <w:fldChar w:fldCharType="end"/>
      </w:r>
      <w:r>
        <w:rPr>
          <w:rStyle w:val="34"/>
          <w:color w:val="000000"/>
          <w:u w:val="none"/>
        </w:rPr>
        <w:t>26</w:t>
      </w:r>
    </w:p>
    <w:p>
      <w:pPr>
        <w:pStyle w:val="52"/>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4"/>
          <w:rFonts w:hint="eastAsia"/>
          <w:color w:val="000000"/>
          <w:u w:val="none"/>
        </w:rPr>
        <w:t>.1合同模板………………………………………………………………………………</w:t>
      </w:r>
      <w:r>
        <w:rPr>
          <w:rStyle w:val="34"/>
          <w:rFonts w:hint="eastAsia"/>
          <w:color w:val="000000"/>
          <w:u w:val="none"/>
        </w:rPr>
        <w:fldChar w:fldCharType="end"/>
      </w:r>
      <w:r>
        <w:rPr>
          <w:rStyle w:val="34"/>
          <w:color w:val="000000"/>
          <w:u w:val="none"/>
        </w:rPr>
        <w:t>26</w:t>
      </w:r>
    </w:p>
    <w:p>
      <w:pPr>
        <w:pStyle w:val="52"/>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2"/>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附件一：磋商事项说明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hint="eastAsia" w:ascii="Arial" w:hAnsi="Arial" w:eastAsia="宋体" w:cs="Arial"/>
          <w:sz w:val="24"/>
          <w:szCs w:val="24"/>
          <w:lang w:eastAsia="zh-CN"/>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r>
        <w:rPr>
          <w:rFonts w:hint="eastAsia" w:ascii="Arial" w:hAnsi="Arial" w:cs="Arial"/>
          <w:sz w:val="24"/>
          <w:szCs w:val="24"/>
          <w:lang w:eastAsia="zh-CN"/>
        </w:rPr>
        <w:t>；</w:t>
      </w:r>
    </w:p>
    <w:p>
      <w:pPr>
        <w:widowControl/>
        <w:adjustRightInd w:val="0"/>
        <w:snapToGrid w:val="0"/>
        <w:spacing w:line="360" w:lineRule="auto"/>
        <w:ind w:firstLine="480" w:firstLineChars="200"/>
        <w:rPr>
          <w:rFonts w:hint="default" w:ascii="Arial" w:hAnsi="Arial" w:eastAsia="宋体" w:cs="Arial"/>
          <w:b w:val="0"/>
          <w:bCs w:val="0"/>
          <w:kern w:val="2"/>
          <w:sz w:val="24"/>
          <w:szCs w:val="24"/>
          <w:lang w:val="en-US" w:eastAsia="zh-CN" w:bidi="ar-SA"/>
        </w:rPr>
      </w:pPr>
      <w:r>
        <w:rPr>
          <w:rFonts w:hint="eastAsia" w:ascii="宋体" w:hAnsi="宋体" w:cs="宋体"/>
          <w:color w:val="000000" w:themeColor="text1"/>
          <w:kern w:val="0"/>
          <w:sz w:val="24"/>
          <w:szCs w:val="24"/>
          <w:lang w:val="en-US" w:eastAsia="zh-CN"/>
          <w14:textFill>
            <w14:solidFill>
              <w14:schemeClr w14:val="tx1"/>
            </w14:solidFill>
          </w14:textFill>
        </w:rPr>
        <w:t>8.投标人近三年</w:t>
      </w:r>
      <w:r>
        <w:rPr>
          <w:rFonts w:hint="eastAsia" w:ascii="Arial" w:hAnsi="Arial" w:eastAsia="宋体" w:cs="Arial"/>
          <w:b w:val="0"/>
          <w:bCs w:val="0"/>
          <w:kern w:val="2"/>
          <w:sz w:val="24"/>
          <w:szCs w:val="24"/>
          <w:lang w:val="en-US" w:eastAsia="zh-CN" w:bidi="ar-SA"/>
        </w:rPr>
        <w:t>（202</w:t>
      </w:r>
      <w:r>
        <w:rPr>
          <w:rFonts w:hint="eastAsia" w:ascii="Arial" w:hAnsi="Arial" w:cs="Arial"/>
          <w:b w:val="0"/>
          <w:bCs w:val="0"/>
          <w:kern w:val="2"/>
          <w:sz w:val="24"/>
          <w:szCs w:val="24"/>
          <w:lang w:val="en-US" w:eastAsia="zh-CN" w:bidi="ar-SA"/>
        </w:rPr>
        <w:t>2</w:t>
      </w:r>
      <w:r>
        <w:rPr>
          <w:rFonts w:hint="eastAsia" w:ascii="Arial" w:hAnsi="Arial" w:eastAsia="宋体" w:cs="Arial"/>
          <w:b w:val="0"/>
          <w:bCs w:val="0"/>
          <w:kern w:val="2"/>
          <w:sz w:val="24"/>
          <w:szCs w:val="24"/>
          <w:lang w:val="en-US" w:eastAsia="zh-CN" w:bidi="ar-SA"/>
        </w:rPr>
        <w:t>年以来）具有3个以上同类项目实施案例，并提供符合上述要求的合同/协议关键页作为有效的业绩证明材料。合同/协议关键页包含但不限于合同/协议首页、体现项目内容页、签署日期页及盖章页等。</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最终报价、技术质量和服务水平三项标准构成，评审专家将依据磋商邀请文件要求，结合项目最终报价表、技术方案、服务方案等情况进行评分。各有效供应商的综合得分为各评审专家所评分值的算术平均值，若总得分相同，以价格得分高者排序在先。将把合同授予被确定为实质上响应磋商文件要求且评标得分最高的</w:t>
      </w:r>
      <w:r>
        <w:rPr>
          <w:rFonts w:hint="eastAsia" w:ascii="宋体" w:hAnsi="宋体" w:cs="宋体"/>
          <w:color w:val="000000" w:themeColor="text1"/>
          <w:kern w:val="0"/>
          <w:sz w:val="24"/>
          <w:szCs w:val="24"/>
          <w:lang w:val="en-US" w:eastAsia="zh-CN"/>
          <w14:textFill>
            <w14:solidFill>
              <w14:schemeClr w14:val="tx1"/>
            </w14:solidFill>
          </w14:textFill>
        </w:rPr>
        <w:t>两家</w:t>
      </w:r>
      <w:r>
        <w:rPr>
          <w:rFonts w:hint="eastAsia" w:ascii="宋体" w:hAnsi="宋体" w:cs="宋体"/>
          <w:color w:val="000000" w:themeColor="text1"/>
          <w:kern w:val="0"/>
          <w:sz w:val="24"/>
          <w:szCs w:val="24"/>
          <w14:textFill>
            <w14:solidFill>
              <w14:schemeClr w14:val="tx1"/>
            </w14:solidFill>
          </w14:textFill>
        </w:rPr>
        <w:t>供应商。评审标准如下：</w:t>
      </w:r>
    </w:p>
    <w:tbl>
      <w:tblPr>
        <w:tblStyle w:val="29"/>
        <w:tblW w:w="879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916"/>
        <w:gridCol w:w="6050"/>
        <w:gridCol w:w="7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auto" w:sz="8" w:space="0"/>
              <w:left w:val="single" w:color="auto" w:sz="8" w:space="0"/>
              <w:bottom w:val="single" w:color="auto" w:sz="8" w:space="0"/>
              <w:right w:val="single" w:color="auto" w:sz="8" w:space="0"/>
            </w:tcBorders>
            <w:shd w:val="clear" w:color="auto" w:fill="auto"/>
            <w:vAlign w:val="bottom"/>
          </w:tcPr>
          <w:p>
            <w:pPr>
              <w:keepNext w:val="0"/>
              <w:keepLines w:val="0"/>
              <w:widowControl/>
              <w:suppressLineNumbers w:val="0"/>
              <w:spacing w:before="0" w:beforeAutospacing="0" w:after="0" w:afterAutospacing="0"/>
              <w:ind w:left="0" w:right="0"/>
              <w:jc w:val="center"/>
              <w:textAlignment w:val="bottom"/>
              <w:rPr>
                <w:rFonts w:hint="default"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内容</w:t>
            </w:r>
          </w:p>
        </w:tc>
        <w:tc>
          <w:tcPr>
            <w:tcW w:w="916" w:type="dxa"/>
            <w:tcBorders>
              <w:top w:val="single" w:color="auto" w:sz="8" w:space="0"/>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评审因素</w:t>
            </w:r>
          </w:p>
        </w:tc>
        <w:tc>
          <w:tcPr>
            <w:tcW w:w="6050" w:type="dxa"/>
            <w:tcBorders>
              <w:top w:val="single" w:color="auto" w:sz="8" w:space="0"/>
              <w:left w:val="nil"/>
              <w:bottom w:val="single" w:color="auto" w:sz="8" w:space="0"/>
              <w:right w:val="single" w:color="auto" w:sz="8" w:space="0"/>
            </w:tcBorders>
            <w:shd w:val="clear" w:color="auto" w:fill="auto"/>
            <w:vAlign w:val="bottom"/>
          </w:tcPr>
          <w:p>
            <w:pPr>
              <w:keepNext w:val="0"/>
              <w:keepLines w:val="0"/>
              <w:widowControl/>
              <w:suppressLineNumbers w:val="0"/>
              <w:spacing w:before="0" w:beforeAutospacing="0" w:after="0" w:afterAutospacing="0"/>
              <w:ind w:left="0" w:right="0"/>
              <w:jc w:val="left"/>
              <w:textAlignment w:val="bottom"/>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评分说明</w:t>
            </w:r>
          </w:p>
        </w:tc>
        <w:tc>
          <w:tcPr>
            <w:tcW w:w="750" w:type="dxa"/>
            <w:tcBorders>
              <w:top w:val="single" w:color="auto" w:sz="8" w:space="0"/>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b/>
                <w:bCs/>
                <w:i w:val="0"/>
                <w:iCs w:val="0"/>
                <w:color w:val="000000"/>
                <w:sz w:val="21"/>
                <w:szCs w:val="21"/>
                <w:u w:val="none"/>
              </w:rPr>
            </w:pPr>
            <w:r>
              <w:rPr>
                <w:rFonts w:hint="eastAsia" w:ascii="仿宋_GB2312" w:hAnsi="宋体" w:eastAsia="仿宋_GB2312" w:cs="仿宋_GB2312"/>
                <w:b/>
                <w:bCs/>
                <w:i w:val="0"/>
                <w:iCs w:val="0"/>
                <w:color w:val="000000"/>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restart"/>
            <w:tcBorders>
              <w:top w:val="nil"/>
              <w:left w:val="single" w:color="auto" w:sz="8" w:space="0"/>
              <w:bottom w:val="single" w:color="000000"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价格部分(40分）</w:t>
            </w:r>
          </w:p>
        </w:tc>
        <w:tc>
          <w:tcPr>
            <w:tcW w:w="916" w:type="dxa"/>
            <w:vMerge w:val="restart"/>
            <w:tcBorders>
              <w:top w:val="nil"/>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投标报价</w:t>
            </w:r>
          </w:p>
        </w:tc>
        <w:tc>
          <w:tcPr>
            <w:tcW w:w="6050" w:type="dxa"/>
            <w:vMerge w:val="restart"/>
            <w:tcBorders>
              <w:top w:val="nil"/>
              <w:left w:val="single" w:color="auto" w:sz="8" w:space="0"/>
              <w:bottom w:val="single" w:color="000000" w:sz="8" w:space="0"/>
              <w:right w:val="single" w:color="auto" w:sz="8" w:space="0"/>
            </w:tcBorders>
            <w:shd w:val="clear" w:color="auto" w:fill="auto"/>
            <w:vAlign w:val="center"/>
          </w:tcPr>
          <w:p>
            <w:pPr>
              <w:keepNext w:val="0"/>
              <w:keepLines w:val="0"/>
              <w:widowControl/>
              <w:numPr>
                <w:ilvl w:val="0"/>
                <w:numId w:val="3"/>
              </w:numPr>
              <w:suppressLineNumbers w:val="0"/>
              <w:spacing w:before="0" w:beforeAutospacing="0" w:after="0" w:afterAutospacing="0"/>
              <w:ind w:left="0" w:right="0" w:rightChars="0"/>
              <w:jc w:val="both"/>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当有效投标人少于5家，评分采用</w:t>
            </w:r>
            <w:r>
              <w:rPr>
                <w:rFonts w:hint="eastAsia" w:ascii="仿宋" w:hAnsi="仿宋" w:eastAsia="仿宋" w:cs="仿宋"/>
                <w:b/>
                <w:bCs/>
                <w:i w:val="0"/>
                <w:iCs w:val="0"/>
                <w:color w:val="000000"/>
                <w:kern w:val="0"/>
                <w:sz w:val="21"/>
                <w:szCs w:val="21"/>
                <w:u w:val="none"/>
                <w:lang w:val="en-US" w:eastAsia="zh-CN" w:bidi="ar"/>
              </w:rPr>
              <w:t>低价优先法</w:t>
            </w:r>
            <w:r>
              <w:rPr>
                <w:rFonts w:hint="eastAsia" w:ascii="仿宋" w:hAnsi="仿宋" w:eastAsia="仿宋" w:cs="仿宋"/>
                <w:i w:val="0"/>
                <w:iCs w:val="0"/>
                <w:color w:val="000000"/>
                <w:kern w:val="0"/>
                <w:sz w:val="21"/>
                <w:szCs w:val="21"/>
                <w:u w:val="none"/>
                <w:lang w:val="en-US" w:eastAsia="zh-CN" w:bidi="ar"/>
              </w:rPr>
              <w:t>，即满足招标文件要求且最低的评审价格为评标基准价，等于评标基准价得40分。其他供应商的价格分统一按照下列公式计算，精确到小数点后两位：供应商报价得分＝（评标基准价/评审价格）×40；</w:t>
            </w:r>
          </w:p>
          <w:p>
            <w:pPr>
              <w:keepNext w:val="0"/>
              <w:keepLines w:val="0"/>
              <w:widowControl/>
              <w:numPr>
                <w:ilvl w:val="0"/>
                <w:numId w:val="0"/>
              </w:numPr>
              <w:suppressLineNumbers w:val="0"/>
              <w:spacing w:before="0" w:beforeAutospacing="0" w:after="0" w:afterAutospacing="0"/>
              <w:ind w:left="0" w:right="0" w:rightChars="0"/>
              <w:jc w:val="both"/>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 </w:t>
            </w:r>
          </w:p>
          <w:p>
            <w:pPr>
              <w:keepNext w:val="0"/>
              <w:keepLines w:val="0"/>
              <w:widowControl/>
              <w:numPr>
                <w:ilvl w:val="0"/>
                <w:numId w:val="0"/>
              </w:numPr>
              <w:suppressLineNumbers w:val="0"/>
              <w:spacing w:before="0" w:beforeAutospacing="0" w:after="0" w:afterAutospacing="0"/>
              <w:ind w:left="0" w:right="0" w:rightChars="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2.当有效投标人大于5家（含本数），评分采用</w:t>
            </w:r>
            <w:r>
              <w:rPr>
                <w:rFonts w:hint="eastAsia" w:ascii="仿宋" w:hAnsi="仿宋" w:eastAsia="仿宋" w:cs="仿宋"/>
                <w:b/>
                <w:bCs/>
                <w:i w:val="0"/>
                <w:iCs w:val="0"/>
                <w:color w:val="000000"/>
                <w:kern w:val="0"/>
                <w:sz w:val="21"/>
                <w:szCs w:val="21"/>
                <w:u w:val="none"/>
                <w:lang w:val="en-US" w:eastAsia="zh-CN" w:bidi="ar"/>
              </w:rPr>
              <w:t>偏离度计算法</w:t>
            </w:r>
            <w:r>
              <w:rPr>
                <w:rFonts w:hint="eastAsia" w:ascii="仿宋" w:hAnsi="仿宋" w:eastAsia="仿宋" w:cs="仿宋"/>
                <w:i w:val="0"/>
                <w:iCs w:val="0"/>
                <w:color w:val="000000"/>
                <w:kern w:val="0"/>
                <w:sz w:val="21"/>
                <w:szCs w:val="21"/>
                <w:u w:val="none"/>
                <w:lang w:val="en-US" w:eastAsia="zh-CN" w:bidi="ar"/>
              </w:rPr>
              <w:t>，即取所有有效评标价的算术平均值为评标基准价，价格分计算：按照以下公式计算，并精确到小数点后两位：价格得分=(1-A*│1－该投标人的评标价／评标基准价│)*40（A：价格调整系数，当该投标人的评标价低于评标基准价时，A=0.3；当该投标人的评标价高于评标基准价时，A=1；当价格得分&lt;0时，取0）</w:t>
            </w:r>
            <w:r>
              <w:rPr>
                <w:rFonts w:hint="eastAsia" w:ascii="仿宋" w:hAnsi="仿宋" w:eastAsia="仿宋" w:cs="仿宋"/>
                <w:i w:val="0"/>
                <w:iCs w:val="0"/>
                <w:color w:val="000000"/>
                <w:kern w:val="0"/>
                <w:sz w:val="21"/>
                <w:szCs w:val="21"/>
                <w:u w:val="none"/>
                <w:lang w:val="en-US" w:eastAsia="zh-CN" w:bidi="ar"/>
              </w:rPr>
              <w:br w:type="textWrapping"/>
            </w:r>
          </w:p>
        </w:tc>
        <w:tc>
          <w:tcPr>
            <w:tcW w:w="750" w:type="dxa"/>
            <w:vMerge w:val="restart"/>
            <w:tcBorders>
              <w:top w:val="nil"/>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vMerge w:val="continue"/>
            <w:tcBorders>
              <w:top w:val="nil"/>
              <w:left w:val="single" w:color="auto" w:sz="8" w:space="0"/>
              <w:bottom w:val="single" w:color="auto"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605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750" w:type="dxa"/>
            <w:vMerge w:val="continue"/>
            <w:tcBorders>
              <w:top w:val="nil"/>
              <w:left w:val="single" w:color="auto" w:sz="8" w:space="0"/>
              <w:bottom w:val="single" w:color="auto"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vMerge w:val="continue"/>
            <w:tcBorders>
              <w:top w:val="nil"/>
              <w:left w:val="single" w:color="auto" w:sz="8" w:space="0"/>
              <w:bottom w:val="single" w:color="auto"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605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750" w:type="dxa"/>
            <w:vMerge w:val="continue"/>
            <w:tcBorders>
              <w:top w:val="nil"/>
              <w:left w:val="single" w:color="auto" w:sz="8" w:space="0"/>
              <w:bottom w:val="single" w:color="auto"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vMerge w:val="continue"/>
            <w:tcBorders>
              <w:top w:val="nil"/>
              <w:left w:val="single" w:color="auto" w:sz="8" w:space="0"/>
              <w:bottom w:val="single" w:color="auto"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605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750" w:type="dxa"/>
            <w:vMerge w:val="continue"/>
            <w:tcBorders>
              <w:top w:val="nil"/>
              <w:left w:val="single" w:color="auto" w:sz="8" w:space="0"/>
              <w:bottom w:val="single" w:color="auto"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vMerge w:val="continue"/>
            <w:tcBorders>
              <w:top w:val="nil"/>
              <w:left w:val="single" w:color="auto" w:sz="8" w:space="0"/>
              <w:bottom w:val="single" w:color="auto"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605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750" w:type="dxa"/>
            <w:vMerge w:val="continue"/>
            <w:tcBorders>
              <w:top w:val="nil"/>
              <w:left w:val="single" w:color="auto" w:sz="8" w:space="0"/>
              <w:bottom w:val="single" w:color="auto"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vMerge w:val="continue"/>
            <w:tcBorders>
              <w:top w:val="nil"/>
              <w:left w:val="single" w:color="auto" w:sz="8" w:space="0"/>
              <w:bottom w:val="single" w:color="auto"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605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750" w:type="dxa"/>
            <w:vMerge w:val="continue"/>
            <w:tcBorders>
              <w:top w:val="nil"/>
              <w:left w:val="single" w:color="auto" w:sz="8" w:space="0"/>
              <w:bottom w:val="single" w:color="auto"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5" w:hRule="atLeast"/>
        </w:trPr>
        <w:tc>
          <w:tcPr>
            <w:tcW w:w="1080" w:type="dxa"/>
            <w:vMerge w:val="restart"/>
            <w:tcBorders>
              <w:top w:val="nil"/>
              <w:left w:val="single" w:color="auto" w:sz="8" w:space="0"/>
              <w:bottom w:val="single" w:color="000000"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商务部分（20</w:t>
            </w:r>
            <w:r>
              <w:rPr>
                <w:rStyle w:val="133"/>
                <w:lang w:val="en-US" w:eastAsia="zh-CN" w:bidi="ar"/>
              </w:rPr>
              <w:t>分）</w:t>
            </w:r>
          </w:p>
        </w:tc>
        <w:tc>
          <w:tcPr>
            <w:tcW w:w="916" w:type="dxa"/>
            <w:tcBorders>
              <w:top w:val="nil"/>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企业综合实力</w:t>
            </w:r>
          </w:p>
        </w:tc>
        <w:tc>
          <w:tcPr>
            <w:tcW w:w="6050" w:type="dxa"/>
            <w:tcBorders>
              <w:top w:val="nil"/>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8-10分，较优得</w:t>
            </w:r>
            <w:r>
              <w:rPr>
                <w:rStyle w:val="134"/>
                <w:lang w:val="en-US" w:eastAsia="zh-CN" w:bidi="ar"/>
              </w:rPr>
              <w:t>5</w:t>
            </w:r>
            <w:r>
              <w:rPr>
                <w:rFonts w:hint="eastAsia" w:ascii="仿宋" w:hAnsi="仿宋" w:eastAsia="仿宋" w:cs="仿宋"/>
                <w:i w:val="0"/>
                <w:iCs w:val="0"/>
                <w:color w:val="000000"/>
                <w:kern w:val="0"/>
                <w:sz w:val="21"/>
                <w:szCs w:val="21"/>
                <w:u w:val="none"/>
                <w:lang w:val="en-US" w:eastAsia="zh-CN" w:bidi="ar"/>
              </w:rPr>
              <w:t>-</w:t>
            </w:r>
            <w:r>
              <w:rPr>
                <w:rStyle w:val="134"/>
                <w:lang w:val="en-US" w:eastAsia="zh-CN" w:bidi="ar"/>
              </w:rPr>
              <w:t>7</w:t>
            </w:r>
            <w:r>
              <w:rPr>
                <w:rFonts w:hint="eastAsia" w:ascii="仿宋" w:hAnsi="仿宋" w:eastAsia="仿宋" w:cs="仿宋"/>
                <w:i w:val="0"/>
                <w:iCs w:val="0"/>
                <w:color w:val="000000"/>
                <w:kern w:val="0"/>
                <w:sz w:val="21"/>
                <w:szCs w:val="21"/>
                <w:u w:val="none"/>
                <w:lang w:val="en-US" w:eastAsia="zh-CN" w:bidi="ar"/>
              </w:rPr>
              <w:t>分，一般得</w:t>
            </w:r>
            <w:r>
              <w:rPr>
                <w:rStyle w:val="134"/>
                <w:lang w:val="en-US" w:eastAsia="zh-CN" w:bidi="ar"/>
              </w:rPr>
              <w:t>0</w:t>
            </w:r>
            <w:r>
              <w:rPr>
                <w:rFonts w:hint="eastAsia" w:ascii="仿宋" w:hAnsi="仿宋" w:eastAsia="仿宋" w:cs="仿宋"/>
                <w:i w:val="0"/>
                <w:iCs w:val="0"/>
                <w:color w:val="000000"/>
                <w:kern w:val="0"/>
                <w:sz w:val="21"/>
                <w:szCs w:val="21"/>
                <w:u w:val="none"/>
                <w:lang w:val="en-US" w:eastAsia="zh-CN" w:bidi="ar"/>
              </w:rPr>
              <w:t>-</w:t>
            </w:r>
            <w:r>
              <w:rPr>
                <w:rStyle w:val="134"/>
                <w:lang w:val="en-US" w:eastAsia="zh-CN" w:bidi="ar"/>
              </w:rPr>
              <w:t>4</w:t>
            </w:r>
            <w:r>
              <w:rPr>
                <w:rFonts w:hint="eastAsia" w:ascii="仿宋" w:hAnsi="仿宋" w:eastAsia="仿宋" w:cs="仿宋"/>
                <w:i w:val="0"/>
                <w:iCs w:val="0"/>
                <w:color w:val="000000"/>
                <w:kern w:val="0"/>
                <w:sz w:val="21"/>
                <w:szCs w:val="21"/>
                <w:u w:val="none"/>
                <w:lang w:val="en-US" w:eastAsia="zh-CN" w:bidi="ar"/>
              </w:rPr>
              <w:t>分。</w:t>
            </w:r>
          </w:p>
        </w:tc>
        <w:tc>
          <w:tcPr>
            <w:tcW w:w="750" w:type="dxa"/>
            <w:tcBorders>
              <w:top w:val="nil"/>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5"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tcBorders>
              <w:top w:val="nil"/>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同类业绩</w:t>
            </w:r>
          </w:p>
        </w:tc>
        <w:tc>
          <w:tcPr>
            <w:tcW w:w="6050" w:type="dxa"/>
            <w:tcBorders>
              <w:top w:val="nil"/>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投标人近三年（2022年以来）具有</w:t>
            </w:r>
            <w:r>
              <w:rPr>
                <w:rStyle w:val="134"/>
                <w:lang w:val="en-US" w:eastAsia="zh-CN" w:bidi="ar"/>
              </w:rPr>
              <w:t>3</w:t>
            </w:r>
            <w:r>
              <w:rPr>
                <w:rFonts w:hint="eastAsia" w:ascii="仿宋" w:hAnsi="仿宋" w:eastAsia="仿宋" w:cs="仿宋"/>
                <w:i w:val="0"/>
                <w:iCs w:val="0"/>
                <w:color w:val="000000"/>
                <w:kern w:val="0"/>
                <w:sz w:val="21"/>
                <w:szCs w:val="21"/>
                <w:u w:val="none"/>
                <w:lang w:val="en-US" w:eastAsia="zh-CN" w:bidi="ar"/>
              </w:rPr>
              <w:t>个以上同类项目实施案例，并提供符合上述要求的合同/协议关键页作为有效的业绩证明材料。合同/协议关键页包含但不限于合同/协议首页、体现项目内容页、签署日期页及盖章页等。在满足资格条件</w:t>
            </w:r>
            <w:r>
              <w:rPr>
                <w:rStyle w:val="134"/>
                <w:lang w:val="en-US" w:eastAsia="zh-CN" w:bidi="ar"/>
              </w:rPr>
              <w:t>3</w:t>
            </w:r>
            <w:r>
              <w:rPr>
                <w:rFonts w:hint="eastAsia" w:ascii="仿宋" w:hAnsi="仿宋" w:eastAsia="仿宋" w:cs="仿宋"/>
                <w:i w:val="0"/>
                <w:iCs w:val="0"/>
                <w:color w:val="000000"/>
                <w:kern w:val="0"/>
                <w:sz w:val="21"/>
                <w:szCs w:val="21"/>
                <w:u w:val="none"/>
                <w:lang w:val="en-US" w:eastAsia="zh-CN" w:bidi="ar"/>
              </w:rPr>
              <w:t>个案例的基础上，每再增加</w:t>
            </w:r>
            <w:r>
              <w:rPr>
                <w:rStyle w:val="134"/>
                <w:lang w:val="en-US" w:eastAsia="zh-CN" w:bidi="ar"/>
              </w:rPr>
              <w:t>1</w:t>
            </w:r>
            <w:r>
              <w:rPr>
                <w:rFonts w:hint="eastAsia" w:ascii="仿宋" w:hAnsi="仿宋" w:eastAsia="仿宋" w:cs="仿宋"/>
                <w:i w:val="0"/>
                <w:iCs w:val="0"/>
                <w:color w:val="000000"/>
                <w:kern w:val="0"/>
                <w:sz w:val="21"/>
                <w:szCs w:val="21"/>
                <w:u w:val="none"/>
                <w:lang w:val="en-US" w:eastAsia="zh-CN" w:bidi="ar"/>
              </w:rPr>
              <w:t>个有效案例得</w:t>
            </w:r>
            <w:r>
              <w:rPr>
                <w:rStyle w:val="134"/>
                <w:lang w:val="en-US" w:eastAsia="zh-CN" w:bidi="ar"/>
              </w:rPr>
              <w:t>2</w:t>
            </w:r>
            <w:r>
              <w:rPr>
                <w:rFonts w:hint="eastAsia" w:ascii="仿宋" w:hAnsi="仿宋" w:eastAsia="仿宋" w:cs="仿宋"/>
                <w:i w:val="0"/>
                <w:iCs w:val="0"/>
                <w:color w:val="000000"/>
                <w:kern w:val="0"/>
                <w:sz w:val="21"/>
                <w:szCs w:val="21"/>
                <w:u w:val="none"/>
                <w:lang w:val="en-US" w:eastAsia="zh-CN" w:bidi="ar"/>
              </w:rPr>
              <w:t>分，最多得</w:t>
            </w:r>
            <w:r>
              <w:rPr>
                <w:rStyle w:val="134"/>
                <w:lang w:val="en-US" w:eastAsia="zh-CN" w:bidi="ar"/>
              </w:rPr>
              <w:t>10</w:t>
            </w:r>
            <w:r>
              <w:rPr>
                <w:rFonts w:hint="eastAsia" w:ascii="仿宋" w:hAnsi="仿宋" w:eastAsia="仿宋" w:cs="仿宋"/>
                <w:i w:val="0"/>
                <w:iCs w:val="0"/>
                <w:color w:val="000000"/>
                <w:kern w:val="0"/>
                <w:sz w:val="21"/>
                <w:szCs w:val="21"/>
                <w:u w:val="none"/>
                <w:lang w:val="en-US" w:eastAsia="zh-CN" w:bidi="ar"/>
              </w:rPr>
              <w:t>分。</w:t>
            </w:r>
          </w:p>
        </w:tc>
        <w:tc>
          <w:tcPr>
            <w:tcW w:w="750" w:type="dxa"/>
            <w:tcBorders>
              <w:top w:val="nil"/>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trPr>
        <w:tc>
          <w:tcPr>
            <w:tcW w:w="1080" w:type="dxa"/>
            <w:vMerge w:val="restart"/>
            <w:tcBorders>
              <w:top w:val="nil"/>
              <w:left w:val="single" w:color="auto" w:sz="8" w:space="0"/>
              <w:bottom w:val="single" w:color="000000"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技术部分（40</w:t>
            </w:r>
            <w:r>
              <w:rPr>
                <w:rStyle w:val="133"/>
                <w:lang w:val="en-US" w:eastAsia="zh-CN" w:bidi="ar"/>
              </w:rPr>
              <w:t>分）</w:t>
            </w:r>
          </w:p>
        </w:tc>
        <w:tc>
          <w:tcPr>
            <w:tcW w:w="916" w:type="dxa"/>
            <w:tcBorders>
              <w:top w:val="nil"/>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服务方案</w:t>
            </w:r>
          </w:p>
        </w:tc>
        <w:tc>
          <w:tcPr>
            <w:tcW w:w="6050" w:type="dxa"/>
            <w:tcBorders>
              <w:top w:val="nil"/>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根据投标人针对本项目制定的服务方案完整性、全面性、对需求响应的契合度等方面的理解程度及解决办法、服务计划、应急方案等方面进行综合评审。优秀11</w:t>
            </w:r>
            <w:r>
              <w:rPr>
                <w:rStyle w:val="133"/>
                <w:lang w:val="en-US" w:eastAsia="zh-CN" w:bidi="ar"/>
              </w:rPr>
              <w:t>-1</w:t>
            </w:r>
            <w:r>
              <w:rPr>
                <w:rFonts w:hint="eastAsia" w:ascii="仿宋" w:hAnsi="仿宋" w:eastAsia="仿宋" w:cs="仿宋"/>
                <w:i w:val="0"/>
                <w:iCs w:val="0"/>
                <w:color w:val="000000"/>
                <w:kern w:val="0"/>
                <w:sz w:val="21"/>
                <w:szCs w:val="21"/>
                <w:u w:val="none"/>
                <w:lang w:val="en-US" w:eastAsia="zh-CN" w:bidi="ar"/>
              </w:rPr>
              <w:t>5</w:t>
            </w:r>
            <w:r>
              <w:rPr>
                <w:rStyle w:val="133"/>
                <w:lang w:val="en-US" w:eastAsia="zh-CN" w:bidi="ar"/>
              </w:rPr>
              <w:t>分，较好</w:t>
            </w:r>
            <w:r>
              <w:rPr>
                <w:rFonts w:hint="eastAsia" w:ascii="仿宋" w:hAnsi="仿宋" w:eastAsia="仿宋" w:cs="仿宋"/>
                <w:i w:val="0"/>
                <w:iCs w:val="0"/>
                <w:color w:val="000000"/>
                <w:kern w:val="0"/>
                <w:sz w:val="21"/>
                <w:szCs w:val="21"/>
                <w:u w:val="none"/>
                <w:lang w:val="en-US" w:eastAsia="zh-CN" w:bidi="ar"/>
              </w:rPr>
              <w:t>6</w:t>
            </w:r>
            <w:r>
              <w:rPr>
                <w:rStyle w:val="133"/>
                <w:lang w:val="en-US" w:eastAsia="zh-CN" w:bidi="ar"/>
              </w:rPr>
              <w:t>-</w:t>
            </w:r>
            <w:r>
              <w:rPr>
                <w:rFonts w:hint="eastAsia" w:ascii="仿宋" w:hAnsi="仿宋" w:eastAsia="仿宋" w:cs="仿宋"/>
                <w:i w:val="0"/>
                <w:iCs w:val="0"/>
                <w:color w:val="000000"/>
                <w:kern w:val="0"/>
                <w:sz w:val="21"/>
                <w:szCs w:val="21"/>
                <w:u w:val="none"/>
                <w:lang w:val="en-US" w:eastAsia="zh-CN" w:bidi="ar"/>
              </w:rPr>
              <w:t>10</w:t>
            </w:r>
            <w:r>
              <w:rPr>
                <w:rStyle w:val="133"/>
                <w:lang w:val="en-US" w:eastAsia="zh-CN" w:bidi="ar"/>
              </w:rPr>
              <w:t>分，一般</w:t>
            </w:r>
            <w:r>
              <w:rPr>
                <w:rFonts w:hint="eastAsia" w:ascii="仿宋" w:hAnsi="仿宋" w:eastAsia="仿宋" w:cs="仿宋"/>
                <w:i w:val="0"/>
                <w:iCs w:val="0"/>
                <w:color w:val="000000"/>
                <w:kern w:val="0"/>
                <w:sz w:val="21"/>
                <w:szCs w:val="21"/>
                <w:u w:val="none"/>
                <w:lang w:val="en-US" w:eastAsia="zh-CN" w:bidi="ar"/>
              </w:rPr>
              <w:t>1</w:t>
            </w:r>
            <w:r>
              <w:rPr>
                <w:rStyle w:val="133"/>
                <w:lang w:val="en-US" w:eastAsia="zh-CN" w:bidi="ar"/>
              </w:rPr>
              <w:t>-</w:t>
            </w:r>
            <w:r>
              <w:rPr>
                <w:rFonts w:hint="eastAsia" w:ascii="仿宋" w:hAnsi="仿宋" w:eastAsia="仿宋" w:cs="仿宋"/>
                <w:i w:val="0"/>
                <w:iCs w:val="0"/>
                <w:color w:val="000000"/>
                <w:kern w:val="0"/>
                <w:sz w:val="21"/>
                <w:szCs w:val="21"/>
                <w:u w:val="none"/>
                <w:lang w:val="en-US" w:eastAsia="zh-CN" w:bidi="ar"/>
              </w:rPr>
              <w:t>5</w:t>
            </w:r>
            <w:r>
              <w:rPr>
                <w:rStyle w:val="133"/>
                <w:lang w:val="en-US" w:eastAsia="zh-CN" w:bidi="ar"/>
              </w:rPr>
              <w:t>分。</w:t>
            </w:r>
          </w:p>
        </w:tc>
        <w:tc>
          <w:tcPr>
            <w:tcW w:w="750" w:type="dxa"/>
            <w:tcBorders>
              <w:top w:val="nil"/>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vMerge w:val="restart"/>
            <w:tcBorders>
              <w:top w:val="nil"/>
              <w:left w:val="single" w:color="auto" w:sz="8" w:space="0"/>
              <w:bottom w:val="single" w:color="000000"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团队配备</w:t>
            </w:r>
          </w:p>
        </w:tc>
        <w:tc>
          <w:tcPr>
            <w:tcW w:w="6050" w:type="dxa"/>
            <w:tcBorders>
              <w:top w:val="nil"/>
              <w:left w:val="nil"/>
              <w:bottom w:val="nil"/>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投标人需对本项目配置一名项目负责人，提供项目负责人相关专业资格证书，工作履历等有关资料，对项目负责人资质条件评审赋分：</w:t>
            </w:r>
          </w:p>
        </w:tc>
        <w:tc>
          <w:tcPr>
            <w:tcW w:w="750" w:type="dxa"/>
            <w:vMerge w:val="restart"/>
            <w:tcBorders>
              <w:top w:val="nil"/>
              <w:left w:val="single" w:color="auto" w:sz="8" w:space="0"/>
              <w:bottom w:val="single" w:color="000000"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6050" w:type="dxa"/>
            <w:tcBorders>
              <w:top w:val="nil"/>
              <w:left w:val="nil"/>
              <w:bottom w:val="nil"/>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具备大学本科学历得2分，硕士研究生及以上学历得3分。</w:t>
            </w:r>
          </w:p>
        </w:tc>
        <w:tc>
          <w:tcPr>
            <w:tcW w:w="75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6050" w:type="dxa"/>
            <w:tcBorders>
              <w:top w:val="nil"/>
              <w:left w:val="nil"/>
              <w:bottom w:val="nil"/>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行业工作年限在3年以上得2</w:t>
            </w:r>
            <w:r>
              <w:rPr>
                <w:rStyle w:val="133"/>
                <w:lang w:val="en-US" w:eastAsia="zh-CN" w:bidi="ar"/>
              </w:rPr>
              <w:t>分，</w:t>
            </w:r>
            <w:r>
              <w:rPr>
                <w:rFonts w:hint="eastAsia" w:ascii="仿宋" w:hAnsi="仿宋" w:eastAsia="仿宋" w:cs="仿宋"/>
                <w:i w:val="0"/>
                <w:iCs w:val="0"/>
                <w:color w:val="000000"/>
                <w:kern w:val="0"/>
                <w:sz w:val="21"/>
                <w:szCs w:val="21"/>
                <w:u w:val="none"/>
                <w:lang w:val="en-US" w:eastAsia="zh-CN" w:bidi="ar"/>
              </w:rPr>
              <w:t>5</w:t>
            </w:r>
            <w:r>
              <w:rPr>
                <w:rStyle w:val="133"/>
                <w:lang w:val="en-US" w:eastAsia="zh-CN" w:bidi="ar"/>
              </w:rPr>
              <w:t>年以上得</w:t>
            </w:r>
            <w:r>
              <w:rPr>
                <w:rFonts w:hint="eastAsia" w:ascii="仿宋" w:hAnsi="仿宋" w:eastAsia="仿宋" w:cs="仿宋"/>
                <w:i w:val="0"/>
                <w:iCs w:val="0"/>
                <w:color w:val="000000"/>
                <w:kern w:val="0"/>
                <w:sz w:val="21"/>
                <w:szCs w:val="21"/>
                <w:u w:val="none"/>
                <w:lang w:val="en-US" w:eastAsia="zh-CN" w:bidi="ar"/>
              </w:rPr>
              <w:t>3</w:t>
            </w:r>
            <w:r>
              <w:rPr>
                <w:rStyle w:val="133"/>
                <w:lang w:val="en-US" w:eastAsia="zh-CN" w:bidi="ar"/>
              </w:rPr>
              <w:t>分。</w:t>
            </w:r>
          </w:p>
        </w:tc>
        <w:tc>
          <w:tcPr>
            <w:tcW w:w="75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6050" w:type="dxa"/>
            <w:tcBorders>
              <w:top w:val="nil"/>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具有项目管理专业人员证书得4分。</w:t>
            </w:r>
          </w:p>
        </w:tc>
        <w:tc>
          <w:tcPr>
            <w:tcW w:w="75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6050" w:type="dxa"/>
            <w:tcBorders>
              <w:top w:val="nil"/>
              <w:left w:val="nil"/>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根据投标人所提供项目团队人员配备，职责分工，教育背景、工作经验、技术能力与技术需求书中人员级别、岗位相匹配，横向对比，评价为优得4-5分，较好2-3分，一般0-1分。</w:t>
            </w:r>
          </w:p>
        </w:tc>
        <w:tc>
          <w:tcPr>
            <w:tcW w:w="75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vMerge w:val="restart"/>
            <w:tcBorders>
              <w:top w:val="nil"/>
              <w:left w:val="single" w:color="auto" w:sz="8" w:space="0"/>
              <w:bottom w:val="single" w:color="000000"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服务案例</w:t>
            </w:r>
          </w:p>
        </w:tc>
        <w:tc>
          <w:tcPr>
            <w:tcW w:w="6050" w:type="dxa"/>
            <w:vMerge w:val="restart"/>
            <w:tcBorders>
              <w:top w:val="nil"/>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提供优秀谈判案例，包括谈判文件，对项目整体情况进行讲解，包括项目特点，如何设置关键环节的评审等情况。评标为优得8-10分，较优得5-7分，一般得0-4分。</w:t>
            </w:r>
          </w:p>
        </w:tc>
        <w:tc>
          <w:tcPr>
            <w:tcW w:w="750" w:type="dxa"/>
            <w:vMerge w:val="restart"/>
            <w:tcBorders>
              <w:top w:val="nil"/>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916" w:type="dxa"/>
            <w:vMerge w:val="continue"/>
            <w:tcBorders>
              <w:top w:val="nil"/>
              <w:left w:val="single" w:color="auto" w:sz="8" w:space="0"/>
              <w:bottom w:val="single" w:color="000000"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c>
          <w:tcPr>
            <w:tcW w:w="6050" w:type="dxa"/>
            <w:vMerge w:val="continue"/>
            <w:tcBorders>
              <w:top w:val="nil"/>
              <w:left w:val="single" w:color="auto" w:sz="8" w:space="0"/>
              <w:bottom w:val="single" w:color="auto"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left"/>
              <w:rPr>
                <w:rFonts w:hint="eastAsia" w:ascii="仿宋" w:hAnsi="仿宋" w:eastAsia="仿宋" w:cs="仿宋"/>
                <w:i w:val="0"/>
                <w:iCs w:val="0"/>
                <w:color w:val="000000"/>
                <w:sz w:val="21"/>
                <w:szCs w:val="21"/>
                <w:u w:val="none"/>
              </w:rPr>
            </w:pPr>
          </w:p>
        </w:tc>
        <w:tc>
          <w:tcPr>
            <w:tcW w:w="750" w:type="dxa"/>
            <w:vMerge w:val="continue"/>
            <w:tcBorders>
              <w:top w:val="nil"/>
              <w:left w:val="single" w:color="auto" w:sz="8" w:space="0"/>
              <w:bottom w:val="single" w:color="auto" w:sz="8" w:space="0"/>
              <w:right w:val="single" w:color="auto" w:sz="8"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1"/>
                <w:szCs w:val="21"/>
                <w:u w:val="none"/>
              </w:rPr>
            </w:pPr>
          </w:p>
        </w:tc>
      </w:tr>
    </w:tbl>
    <w:p>
      <w:pPr>
        <w:pStyle w:val="4"/>
        <w:numPr>
          <w:ilvl w:val="0"/>
          <w:numId w:val="0"/>
        </w:numPr>
        <w:adjustRightInd w:val="0"/>
        <w:snapToGrid w:val="0"/>
        <w:spacing w:before="0" w:after="0" w:line="360" w:lineRule="auto"/>
        <w:ind w:firstLine="241" w:firstLineChars="100"/>
        <w:rPr>
          <w:rFonts w:hint="eastAsia"/>
          <w:sz w:val="24"/>
          <w:szCs w:val="24"/>
        </w:rPr>
      </w:pPr>
    </w:p>
    <w:p>
      <w:pPr>
        <w:pStyle w:val="4"/>
        <w:numPr>
          <w:ilvl w:val="0"/>
          <w:numId w:val="0"/>
        </w:numPr>
        <w:adjustRightInd w:val="0"/>
        <w:snapToGrid w:val="0"/>
        <w:spacing w:before="0" w:after="0" w:line="360" w:lineRule="auto"/>
        <w:ind w:firstLine="241" w:firstLineChars="1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w:t>
      </w:r>
      <w:r>
        <w:rPr>
          <w:rFonts w:hint="eastAsia" w:ascii="宋体" w:hAnsi="宋体" w:cs="宋体"/>
          <w:color w:val="auto"/>
          <w:kern w:val="0"/>
          <w:sz w:val="24"/>
          <w:szCs w:val="24"/>
        </w:rPr>
        <w:t>式</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hint="eastAsia" w:ascii="宋体" w:hAnsi="宋体" w:cs="宋体"/>
          <w:kern w:val="0"/>
          <w:sz w:val="24"/>
          <w:szCs w:val="24"/>
        </w:rPr>
      </w:pPr>
      <w:bookmarkStart w:id="0" w:name="OLE_LINK3"/>
      <w:bookmarkEnd w:id="0"/>
      <w:bookmarkStart w:id="1" w:name="OLE_LINK4"/>
      <w:bookmarkEnd w:id="1"/>
      <w:r>
        <w:rPr>
          <w:rFonts w:hint="eastAsia" w:ascii="宋体" w:hAnsi="宋体" w:cs="宋体"/>
          <w:kern w:val="0"/>
          <w:sz w:val="24"/>
          <w:szCs w:val="24"/>
          <w:highlight w:val="yellow"/>
        </w:rPr>
        <w:t>202</w:t>
      </w:r>
      <w:r>
        <w:rPr>
          <w:rFonts w:hint="eastAsia" w:ascii="宋体" w:hAnsi="宋体" w:cs="宋体"/>
          <w:kern w:val="0"/>
          <w:sz w:val="24"/>
          <w:szCs w:val="24"/>
          <w:highlight w:val="yellow"/>
          <w:lang w:val="en-US" w:eastAsia="zh-CN"/>
        </w:rPr>
        <w:t>5</w:t>
      </w:r>
      <w:r>
        <w:rPr>
          <w:rFonts w:hint="eastAsia" w:ascii="宋体" w:hAnsi="宋体" w:cs="宋体"/>
          <w:kern w:val="0"/>
          <w:sz w:val="24"/>
          <w:szCs w:val="24"/>
          <w:highlight w:val="yellow"/>
        </w:rPr>
        <w:t>年</w:t>
      </w:r>
      <w:r>
        <w:rPr>
          <w:rFonts w:hint="eastAsia" w:ascii="宋体" w:hAnsi="宋体" w:cs="宋体"/>
          <w:kern w:val="0"/>
          <w:sz w:val="24"/>
          <w:szCs w:val="24"/>
          <w:highlight w:val="yellow"/>
          <w:lang w:val="en-US" w:eastAsia="zh-CN"/>
        </w:rPr>
        <w:t>3</w:t>
      </w:r>
      <w:r>
        <w:rPr>
          <w:rFonts w:hint="eastAsia" w:ascii="宋体" w:hAnsi="宋体" w:cs="宋体"/>
          <w:kern w:val="0"/>
          <w:sz w:val="24"/>
          <w:szCs w:val="24"/>
          <w:highlight w:val="yellow"/>
        </w:rPr>
        <w:t>月</w:t>
      </w:r>
      <w:r>
        <w:rPr>
          <w:rFonts w:hint="eastAsia" w:ascii="宋体" w:hAnsi="宋体" w:cs="宋体"/>
          <w:kern w:val="0"/>
          <w:sz w:val="24"/>
          <w:szCs w:val="24"/>
          <w:highlight w:val="yellow"/>
          <w:lang w:val="en-US" w:eastAsia="zh-CN"/>
        </w:rPr>
        <w:t>8</w:t>
      </w:r>
      <w:r>
        <w:rPr>
          <w:rFonts w:hint="eastAsia" w:ascii="宋体" w:hAnsi="宋体" w:cs="宋体"/>
          <w:kern w:val="0"/>
          <w:sz w:val="24"/>
          <w:szCs w:val="24"/>
          <w:highlight w:val="yellow"/>
        </w:rPr>
        <w:t>日</w:t>
      </w:r>
      <w:r>
        <w:rPr>
          <w:rFonts w:hint="eastAsia" w:ascii="宋体" w:hAnsi="宋体" w:cs="宋体"/>
          <w:kern w:val="0"/>
          <w:sz w:val="24"/>
          <w:szCs w:val="24"/>
          <w:highlight w:val="yellow"/>
          <w:lang w:val="en-US" w:eastAsia="zh-CN"/>
        </w:rPr>
        <w:t>下午16:00</w:t>
      </w:r>
      <w:r>
        <w:rPr>
          <w:rFonts w:hint="eastAsia" w:ascii="宋体" w:hAnsi="宋体" w:cs="宋体"/>
          <w:kern w:val="0"/>
          <w:sz w:val="24"/>
          <w:szCs w:val="24"/>
          <w:highlight w:val="yellow"/>
        </w:rPr>
        <w:t>，</w:t>
      </w:r>
      <w:r>
        <w:rPr>
          <w:rFonts w:hint="eastAsia" w:ascii="宋体" w:hAnsi="宋体" w:eastAsia="宋体" w:cs="宋体"/>
          <w:kern w:val="0"/>
          <w:sz w:val="24"/>
          <w:szCs w:val="24"/>
          <w:lang w:val="en-US" w:eastAsia="zh-CN"/>
        </w:rPr>
        <w:t>阿勒泰市迎宾路克兰区45号六方城1栋A3-2四楼中国人民财产保险股份有限公司阿勒泰地区公司四层会议室（</w:t>
      </w:r>
      <w:r>
        <w:rPr>
          <w:rFonts w:hint="eastAsia" w:ascii="宋体" w:hAnsi="宋体" w:cs="宋体"/>
          <w:kern w:val="0"/>
          <w:sz w:val="24"/>
          <w:szCs w:val="24"/>
        </w:rPr>
        <w:t>时间、地点如有变化，将另行提前通知）。</w:t>
      </w:r>
      <w:bookmarkStart w:id="14" w:name="_GoBack"/>
      <w:bookmarkEnd w:id="14"/>
    </w:p>
    <w:p>
      <w:pPr>
        <w:pStyle w:val="4"/>
        <w:numPr>
          <w:ilvl w:val="0"/>
          <w:numId w:val="0"/>
        </w:numPr>
        <w:adjustRightInd w:val="0"/>
        <w:snapToGrid w:val="0"/>
        <w:spacing w:before="0" w:after="0" w:line="360" w:lineRule="auto"/>
        <w:ind w:firstLine="482" w:firstLineChars="200"/>
        <w:rPr>
          <w:rFonts w:hint="eastAsia" w:eastAsia="宋体"/>
          <w:sz w:val="24"/>
          <w:szCs w:val="24"/>
          <w:lang w:val="en-US" w:eastAsia="zh-CN"/>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hint="eastAsia"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.按照抽签顺序或签到顺序，参加磋商的供应商陈述项目方案，讲标时间10分钟左右。</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任何对磋商文件技术部分和商务部分的偏离，供应商都应分别在技术偏离表（对附件采购需求和技术服务要求的偏离情况）和商务偏离表（对合同条款的偏离情况）中分项列明，并标明正偏离、负偏离或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hint="eastAsia" w:ascii="宋体" w:hAnsi="宋体" w:cs="宋体"/>
          <w:kern w:val="0"/>
          <w:sz w:val="24"/>
          <w:szCs w:val="24"/>
          <w:lang w:val="en-US" w:eastAsia="zh-CN"/>
        </w:rPr>
        <w:t>5</w:t>
      </w:r>
      <w:r>
        <w:rPr>
          <w:rFonts w:hint="eastAsia" w:ascii="宋体" w:hAnsi="宋体" w:cs="宋体"/>
          <w:kern w:val="0"/>
          <w:sz w:val="24"/>
          <w:szCs w:val="24"/>
        </w:rPr>
        <w:t xml:space="preserve">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hint="eastAsia" w:ascii="宋体" w:hAnsi="宋体" w:cs="宋体"/>
          <w:kern w:val="0"/>
          <w:sz w:val="24"/>
          <w:szCs w:val="24"/>
          <w:lang w:val="en-US" w:eastAsia="zh-CN"/>
        </w:rPr>
        <w:t>6</w:t>
      </w:r>
      <w:r>
        <w:rPr>
          <w:rFonts w:hint="eastAsia" w:ascii="宋体" w:hAnsi="宋体" w:cs="宋体"/>
          <w:kern w:val="0"/>
          <w:sz w:val="24"/>
          <w:szCs w:val="24"/>
        </w:rPr>
        <w:t xml:space="preserve">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lang w:val="en-US" w:eastAsia="zh-CN"/>
        </w:rPr>
        <w:t>7</w:t>
      </w:r>
      <w:r>
        <w:rPr>
          <w:rFonts w:ascii="宋体" w:hAnsi="宋体" w:cs="宋体"/>
          <w:kern w:val="0"/>
          <w:sz w:val="24"/>
          <w:szCs w:val="24"/>
        </w:rPr>
        <w:t xml:space="preserve"> </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default" w:ascii="宋体" w:hAnsi="宋体" w:eastAsia="宋体" w:cs="宋体"/>
          <w:color w:val="000000"/>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阿勒泰地区分公司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阿勒泰地区分公司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4"/>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4"/>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p>
      <w:pPr>
        <w:widowControl/>
        <w:adjustRightInd w:val="0"/>
        <w:snapToGrid w:val="0"/>
        <w:spacing w:line="360" w:lineRule="auto"/>
        <w:rPr>
          <w:rFonts w:hint="eastAsia" w:ascii="宋体" w:hAnsi="宋体" w:cs="宋体"/>
          <w:color w:val="000000" w:themeColor="text1"/>
          <w:kern w:val="0"/>
          <w:sz w:val="24"/>
          <w:szCs w:val="24"/>
          <w14:textFill>
            <w14:solidFill>
              <w14:schemeClr w14:val="tx1"/>
            </w14:solidFill>
          </w14:textFill>
        </w:rPr>
      </w:pPr>
    </w:p>
    <w:tbl>
      <w:tblPr>
        <w:tblStyle w:val="2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9" w:hRule="exact"/>
        </w:trPr>
        <w:tc>
          <w:tcPr>
            <w:tcW w:w="8240" w:type="dxa"/>
            <w:noWrap w:val="0"/>
            <w:vAlign w:val="top"/>
          </w:tcPr>
          <w:p>
            <w:pPr>
              <w:keepNext w:val="0"/>
              <w:keepLines w:val="0"/>
              <w:suppressLineNumbers w:val="0"/>
              <w:spacing w:before="0" w:beforeAutospacing="0" w:after="0" w:afterAutospacing="0"/>
              <w:ind w:left="0" w:right="0"/>
              <w:jc w:val="left"/>
              <w:rPr>
                <w:rFonts w:hint="default" w:ascii="宋体" w:hAnsi="宋体"/>
                <w:sz w:val="28"/>
                <w:szCs w:val="28"/>
              </w:rPr>
            </w:pPr>
            <w:r>
              <w:rPr>
                <w:rFonts w:hint="default" w:ascii="宋体" w:hAnsi="宋体"/>
                <w:sz w:val="28"/>
                <w:szCs w:val="28"/>
              </w:rPr>
              <w:t>参照国家发展和改革委员会颁布的《招标代理服务收费管理暂行办</w:t>
            </w:r>
          </w:p>
          <w:p>
            <w:pPr>
              <w:keepNext w:val="0"/>
              <w:keepLines w:val="0"/>
              <w:suppressLineNumbers w:val="0"/>
              <w:spacing w:before="0" w:beforeAutospacing="0" w:after="0" w:afterAutospacing="0"/>
              <w:ind w:left="0" w:right="0"/>
              <w:jc w:val="left"/>
              <w:rPr>
                <w:rFonts w:hint="default" w:ascii="宋体" w:hAnsi="宋体"/>
                <w:sz w:val="28"/>
                <w:szCs w:val="28"/>
              </w:rPr>
            </w:pPr>
          </w:p>
          <w:p>
            <w:pPr>
              <w:keepNext w:val="0"/>
              <w:keepLines w:val="0"/>
              <w:suppressLineNumbers w:val="0"/>
              <w:spacing w:before="0" w:beforeAutospacing="0" w:after="0" w:afterAutospacing="0"/>
              <w:ind w:left="0" w:right="0"/>
              <w:jc w:val="left"/>
              <w:rPr>
                <w:rFonts w:hint="default" w:ascii="宋体" w:hAnsi="宋体"/>
                <w:sz w:val="28"/>
                <w:szCs w:val="28"/>
              </w:rPr>
            </w:pPr>
            <w:r>
              <w:rPr>
                <w:rFonts w:hint="default" w:ascii="宋体" w:hAnsi="宋体"/>
                <w:sz w:val="28"/>
                <w:szCs w:val="28"/>
              </w:rPr>
              <w:t>法》（计价格[2002]1980号）文件的规定，按照标准价格的</w:t>
            </w:r>
            <w:r>
              <w:rPr>
                <w:rFonts w:hint="default" w:ascii="宋体" w:hAnsi="宋体"/>
                <w:sz w:val="28"/>
                <w:szCs w:val="28"/>
                <w:u w:val="single"/>
              </w:rPr>
              <w:t xml:space="preserve">    </w:t>
            </w:r>
            <w:r>
              <w:rPr>
                <w:rFonts w:hint="default" w:ascii="宋体" w:hAnsi="宋体"/>
                <w:sz w:val="28"/>
                <w:szCs w:val="28"/>
              </w:rPr>
              <w:t>%</w:t>
            </w:r>
          </w:p>
          <w:p>
            <w:pPr>
              <w:keepNext w:val="0"/>
              <w:keepLines w:val="0"/>
              <w:suppressLineNumbers w:val="0"/>
              <w:spacing w:before="0" w:beforeAutospacing="0" w:after="0" w:afterAutospacing="0"/>
              <w:ind w:left="0" w:right="0"/>
              <w:jc w:val="left"/>
              <w:rPr>
                <w:rFonts w:hint="default" w:ascii="宋体" w:hAnsi="宋体"/>
                <w:sz w:val="28"/>
                <w:szCs w:val="28"/>
              </w:rPr>
            </w:pPr>
          </w:p>
          <w:p>
            <w:pPr>
              <w:keepNext w:val="0"/>
              <w:keepLines w:val="0"/>
              <w:suppressLineNumbers w:val="0"/>
              <w:spacing w:before="0" w:beforeAutospacing="0" w:after="0" w:afterAutospacing="0"/>
              <w:ind w:left="0" w:right="0"/>
              <w:jc w:val="left"/>
              <w:rPr>
                <w:rFonts w:hint="default" w:ascii="宋体" w:hAnsi="宋体"/>
                <w:sz w:val="28"/>
                <w:szCs w:val="28"/>
              </w:rPr>
            </w:pPr>
            <w:r>
              <w:rPr>
                <w:rFonts w:hint="default" w:ascii="宋体" w:hAnsi="宋体"/>
                <w:sz w:val="28"/>
                <w:szCs w:val="28"/>
              </w:rPr>
              <w:t>收取代理服务费。</w:t>
            </w:r>
          </w:p>
        </w:tc>
      </w:tr>
    </w:tbl>
    <w:p>
      <w:pPr>
        <w:ind w:left="210"/>
        <w:jc w:val="left"/>
        <w:rPr>
          <w:rFonts w:ascii="宋体" w:hAnsi="宋体"/>
          <w:sz w:val="24"/>
        </w:rPr>
      </w:pPr>
      <w:r>
        <w:rPr>
          <w:rFonts w:ascii="宋体" w:hAnsi="宋体"/>
          <w:sz w:val="24"/>
        </w:rPr>
        <w:t xml:space="preserve">   </w:t>
      </w:r>
    </w:p>
    <w:p>
      <w:pPr>
        <w:widowControl/>
        <w:adjustRightInd w:val="0"/>
        <w:snapToGrid w:val="0"/>
        <w:spacing w:line="360" w:lineRule="auto"/>
        <w:rPr>
          <w:rFonts w:hint="eastAsia"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为完成本项目规定工作所需的全部费用，包括但不限于项目开发、测试、培训、推广、维护过程中，为甲方提供技术服务人员支持以保障招标人的需求得到实现的所有费用、评估费用、税金等。</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kern w:val="0"/>
          <w:sz w:val="24"/>
          <w:szCs w:val="24"/>
          <w:u w:val="single"/>
        </w:rPr>
        <w:br w:type="page"/>
      </w:r>
    </w:p>
    <w:p>
      <w:pPr>
        <w:pStyle w:val="4"/>
        <w:numPr>
          <w:ilvl w:val="0"/>
          <w:numId w:val="0"/>
        </w:numPr>
        <w:rPr>
          <w:sz w:val="24"/>
          <w:szCs w:val="24"/>
        </w:rPr>
      </w:pPr>
      <w:r>
        <w:rPr>
          <w:rFonts w:hint="eastAsia"/>
          <w:sz w:val="24"/>
          <w:szCs w:val="24"/>
        </w:rPr>
        <w:t>附件2.</w:t>
      </w:r>
      <w:r>
        <w:rPr>
          <w:rFonts w:hint="eastAsia"/>
          <w:sz w:val="24"/>
          <w:szCs w:val="24"/>
          <w:lang w:val="en-US" w:eastAsia="zh-CN"/>
        </w:rPr>
        <w:t>5</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9"/>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w:t>
      </w:r>
      <w:r>
        <w:rPr>
          <w:rFonts w:hint="eastAsia"/>
          <w:sz w:val="24"/>
          <w:szCs w:val="24"/>
          <w:lang w:val="en-US" w:eastAsia="zh-CN"/>
        </w:rPr>
        <w:t>6</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9"/>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4"/>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 xml:space="preserve">7 </w:t>
      </w:r>
      <w:r>
        <w:rPr>
          <w:rFonts w:hint="eastAsia"/>
          <w:sz w:val="24"/>
          <w:szCs w:val="24"/>
        </w:rPr>
        <w:t>信息安全采购要求承诺函</w:t>
      </w:r>
    </w:p>
    <w:p>
      <w:pPr>
        <w:jc w:val="center"/>
        <w:rPr>
          <w:rFonts w:hint="eastAsia"/>
          <w:b/>
          <w:sz w:val="24"/>
          <w:szCs w:val="24"/>
        </w:rPr>
      </w:pPr>
      <w:r>
        <w:rPr>
          <w:rFonts w:hint="eastAsia"/>
          <w:b/>
          <w:sz w:val="24"/>
          <w:szCs w:val="24"/>
        </w:rPr>
        <w:t>信息安全采购要求承诺函</w:t>
      </w:r>
    </w:p>
    <w:p>
      <w:pPr>
        <w:jc w:val="center"/>
        <w:rPr>
          <w:rFonts w:hint="eastAsia"/>
          <w:b/>
          <w:sz w:val="24"/>
          <w:szCs w:val="24"/>
        </w:rPr>
      </w:pPr>
    </w:p>
    <w:p/>
    <w:p>
      <w:pPr>
        <w:widowControl/>
        <w:adjustRightInd w:val="0"/>
        <w:snapToGrid w:val="0"/>
        <w:spacing w:line="360" w:lineRule="auto"/>
        <w:rPr>
          <w:rFonts w:hint="eastAsia"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val="en-US" w:eastAsia="zh-CN"/>
          <w14:textFill>
            <w14:solidFill>
              <w14:schemeClr w14:val="tx1"/>
            </w14:solidFill>
          </w14:textFill>
        </w:rPr>
        <w:t>阿勒泰分公司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rFonts w:hint="eastAsia"/>
          <w:kern w:val="0"/>
          <w:sz w:val="28"/>
          <w:szCs w:val="28"/>
        </w:rPr>
      </w:pPr>
      <w:r>
        <w:rPr>
          <w:rFonts w:hint="eastAsia"/>
          <w:kern w:val="0"/>
          <w:sz w:val="28"/>
          <w:szCs w:val="28"/>
        </w:rPr>
        <w:br w:type="page"/>
      </w:r>
    </w:p>
    <w:p>
      <w:pPr>
        <w:pStyle w:val="5"/>
        <w:numPr>
          <w:ilvl w:val="2"/>
          <w:numId w:val="0"/>
        </w:numPr>
        <w:spacing w:before="0" w:after="0" w:line="360" w:lineRule="auto"/>
        <w:ind w:leftChars="0"/>
        <w:rPr>
          <w:rFonts w:hint="eastAsia" w:ascii="仿宋" w:hAnsi="仿宋" w:eastAsia="仿宋" w:cs="仿宋"/>
          <w:color w:val="000000"/>
          <w:sz w:val="24"/>
          <w:szCs w:val="24"/>
        </w:rPr>
      </w:pPr>
      <w:r>
        <w:rPr>
          <w:rFonts w:hint="eastAsia" w:ascii="Calibri Light" w:hAnsi="Calibri Light" w:eastAsia="宋体" w:cs="Times New Roman"/>
          <w:kern w:val="2"/>
          <w:sz w:val="24"/>
          <w:szCs w:val="24"/>
          <w:lang w:val="en-US" w:eastAsia="zh-CN" w:bidi="ar"/>
        </w:rPr>
        <w:t>附件</w:t>
      </w:r>
      <w:r>
        <w:rPr>
          <w:rFonts w:hint="default" w:ascii="Calibri Light" w:hAnsi="Calibri Light" w:eastAsia="宋体" w:cs="Times New Roman"/>
          <w:kern w:val="2"/>
          <w:sz w:val="24"/>
          <w:szCs w:val="24"/>
          <w:lang w:val="en-US" w:eastAsia="zh-CN" w:bidi="ar"/>
        </w:rPr>
        <w:t>2.</w:t>
      </w:r>
      <w:r>
        <w:rPr>
          <w:rFonts w:hint="eastAsia" w:ascii="Calibri Light" w:hAnsi="Calibri Light" w:eastAsia="宋体" w:cs="Times New Roman"/>
          <w:kern w:val="2"/>
          <w:sz w:val="24"/>
          <w:szCs w:val="24"/>
          <w:lang w:val="en-US" w:eastAsia="zh-CN" w:bidi="ar"/>
        </w:rPr>
        <w:t>8 供应商行为准则承诺函式</w:t>
      </w:r>
    </w:p>
    <w:p>
      <w:pPr>
        <w:spacing w:line="240" w:lineRule="auto"/>
        <w:jc w:val="center"/>
        <w:rPr>
          <w:rFonts w:hint="eastAsia" w:ascii="仿宋" w:hAnsi="仿宋" w:eastAsia="仿宋" w:cs="宋体"/>
          <w:b/>
          <w:bCs/>
          <w:color w:val="000000"/>
          <w:sz w:val="28"/>
          <w:szCs w:val="28"/>
          <w:highlight w:val="none"/>
        </w:rPr>
      </w:pPr>
    </w:p>
    <w:p>
      <w:pPr>
        <w:spacing w:line="240" w:lineRule="auto"/>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5"/>
        <w:spacing w:line="360" w:lineRule="auto"/>
        <w:ind w:firstLine="480"/>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pStyle w:val="3"/>
        <w:numPr>
          <w:ilvl w:val="0"/>
          <w:numId w:val="0"/>
        </w:numPr>
        <w:ind w:left="432" w:hanging="432"/>
        <w:rPr>
          <w:rFonts w:hint="eastAsia"/>
          <w:kern w:val="0"/>
          <w:sz w:val="28"/>
          <w:szCs w:val="28"/>
        </w:rPr>
      </w:pPr>
    </w:p>
    <w:p>
      <w:pPr>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5"/>
        <w:numPr>
          <w:ilvl w:val="2"/>
          <w:numId w:val="0"/>
        </w:numPr>
        <w:spacing w:before="0" w:after="0" w:line="360" w:lineRule="auto"/>
        <w:ind w:leftChars="0"/>
        <w:rPr>
          <w:rFonts w:hint="default" w:ascii="仿宋" w:hAnsi="仿宋" w:eastAsia="仿宋" w:cs="仿宋"/>
          <w:color w:val="000000"/>
          <w:sz w:val="24"/>
          <w:szCs w:val="24"/>
          <w:lang w:val="en-US"/>
        </w:rPr>
      </w:pPr>
      <w:r>
        <w:rPr>
          <w:rFonts w:hint="eastAsia" w:ascii="Calibri Light" w:hAnsi="Calibri Light" w:eastAsia="宋体" w:cs="Times New Roman"/>
          <w:kern w:val="2"/>
          <w:sz w:val="24"/>
          <w:szCs w:val="24"/>
          <w:lang w:val="en-US" w:eastAsia="zh-CN" w:bidi="ar"/>
        </w:rPr>
        <w:t>附件</w:t>
      </w:r>
      <w:r>
        <w:rPr>
          <w:rFonts w:hint="default" w:ascii="Calibri Light" w:hAnsi="Calibri Light" w:eastAsia="宋体" w:cs="Times New Roman"/>
          <w:kern w:val="2"/>
          <w:sz w:val="24"/>
          <w:szCs w:val="24"/>
          <w:lang w:val="en-US" w:eastAsia="zh-CN" w:bidi="ar"/>
        </w:rPr>
        <w:t>2.</w:t>
      </w:r>
      <w:r>
        <w:rPr>
          <w:rFonts w:hint="eastAsia" w:ascii="Calibri Light" w:hAnsi="Calibri Light" w:eastAsia="宋体" w:cs="Times New Roman"/>
          <w:kern w:val="2"/>
          <w:sz w:val="24"/>
          <w:szCs w:val="24"/>
          <w:lang w:val="en-US" w:eastAsia="zh-CN" w:bidi="ar"/>
        </w:rPr>
        <w:t>9</w:t>
      </w:r>
      <w:r>
        <w:rPr>
          <w:rFonts w:hint="eastAsia" w:ascii="Calibri Light" w:hAnsi="Calibri Light" w:cs="Times New Roman"/>
          <w:kern w:val="2"/>
          <w:sz w:val="24"/>
          <w:szCs w:val="24"/>
          <w:lang w:val="en-US" w:eastAsia="zh-CN" w:bidi="ar"/>
        </w:rPr>
        <w:t xml:space="preserve"> </w:t>
      </w:r>
      <w:r>
        <w:rPr>
          <w:rFonts w:hint="eastAsia" w:ascii="Calibri Light" w:hAnsi="Calibri Light" w:eastAsia="宋体" w:cs="Times New Roman"/>
          <w:kern w:val="2"/>
          <w:sz w:val="24"/>
          <w:szCs w:val="24"/>
          <w:lang w:val="en-US" w:eastAsia="zh-CN" w:bidi="ar"/>
        </w:rPr>
        <w:t>供应商廉洁诚信承诺书</w:t>
      </w:r>
    </w:p>
    <w:p>
      <w:pPr>
        <w:pStyle w:val="5"/>
        <w:numPr>
          <w:ilvl w:val="2"/>
          <w:numId w:val="0"/>
        </w:numPr>
        <w:spacing w:before="0" w:after="0" w:line="360" w:lineRule="auto"/>
        <w:ind w:leftChars="0"/>
        <w:rPr>
          <w:rFonts w:hint="eastAsia" w:ascii="仿宋" w:hAnsi="仿宋" w:eastAsia="仿宋" w:cs="仿宋"/>
          <w:color w:val="000000"/>
          <w:sz w:val="24"/>
          <w:szCs w:val="24"/>
        </w:rPr>
      </w:pPr>
    </w:p>
    <w:p>
      <w:pPr>
        <w:spacing w:line="600" w:lineRule="exact"/>
        <w:jc w:val="center"/>
        <w:rPr>
          <w:rFonts w:hint="eastAsia" w:ascii="仿宋" w:hAnsi="仿宋" w:eastAsia="仿宋" w:cs="宋体"/>
          <w:b/>
          <w:bCs/>
          <w:color w:val="000000"/>
          <w:sz w:val="28"/>
          <w:szCs w:val="28"/>
          <w:highlight w:val="none"/>
        </w:rPr>
      </w:pPr>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pStyle w:val="3"/>
        <w:numPr>
          <w:ilvl w:val="0"/>
          <w:numId w:val="0"/>
        </w:numPr>
        <w:ind w:firstLine="3162" w:firstLineChars="1500"/>
        <w:rPr>
          <w:rFonts w:hint="eastAsia"/>
          <w:kern w:val="0"/>
          <w:sz w:val="28"/>
          <w:szCs w:val="28"/>
        </w:rPr>
      </w:pPr>
      <w:r>
        <w:rPr>
          <w:rFonts w:hint="eastAsia" w:cs="Times New Roman"/>
          <w:kern w:val="2"/>
          <w:sz w:val="21"/>
          <w:szCs w:val="20"/>
          <w:lang w:val="en-US" w:eastAsia="zh-CN" w:bidi="ar-SA"/>
        </w:rPr>
        <w:tab/>
      </w:r>
      <w:r>
        <w:rPr>
          <w:rFonts w:hint="eastAsia" w:cs="Times New Roman"/>
          <w:kern w:val="2"/>
          <w:sz w:val="21"/>
          <w:szCs w:val="20"/>
          <w:lang w:val="en-US" w:eastAsia="zh-CN" w:bidi="ar-SA"/>
        </w:rPr>
        <w:t xml:space="preserve">  </w:t>
      </w:r>
      <w:r>
        <w:rPr>
          <w:rFonts w:hint="eastAsia" w:ascii="仿宋" w:hAnsi="仿宋" w:eastAsia="仿宋" w:cs="仿宋"/>
          <w:b w:val="0"/>
          <w:bCs w:val="0"/>
          <w:color w:val="000000"/>
          <w:kern w:val="2"/>
          <w:sz w:val="24"/>
          <w:szCs w:val="24"/>
          <w:lang w:val="en-US" w:eastAsia="zh-CN" w:bidi="ar-SA"/>
        </w:rPr>
        <w:t>日期：________________________________</w:t>
      </w:r>
    </w:p>
    <w:p>
      <w:pPr>
        <w:tabs>
          <w:tab w:val="left" w:pos="3886"/>
        </w:tabs>
        <w:bidi w:val="0"/>
        <w:jc w:val="left"/>
        <w:rPr>
          <w:rFonts w:hint="eastAsia" w:ascii="Times New Roman" w:hAnsi="Times New Roman" w:eastAsia="宋体" w:cs="Times New Roman"/>
          <w:kern w:val="2"/>
          <w:sz w:val="21"/>
          <w:szCs w:val="20"/>
          <w:lang w:val="en-US" w:eastAsia="zh-CN" w:bidi="ar-SA"/>
        </w:rPr>
      </w:pPr>
    </w:p>
    <w:p>
      <w:pPr>
        <w:pStyle w:val="3"/>
        <w:numPr>
          <w:ilvl w:val="0"/>
          <w:numId w:val="0"/>
        </w:numPr>
        <w:ind w:left="432" w:hanging="432"/>
        <w:rPr>
          <w:rFonts w:hint="eastAsia"/>
          <w:sz w:val="30"/>
          <w:szCs w:val="30"/>
        </w:rPr>
      </w:pPr>
    </w:p>
    <w:p>
      <w:pPr>
        <w:pStyle w:val="3"/>
        <w:numPr>
          <w:ilvl w:val="0"/>
          <w:numId w:val="0"/>
        </w:numPr>
        <w:ind w:left="432" w:hanging="432"/>
        <w:rPr>
          <w:rFonts w:hint="eastAsia"/>
          <w:sz w:val="30"/>
          <w:szCs w:val="30"/>
        </w:rPr>
      </w:pPr>
    </w:p>
    <w:p>
      <w:pPr>
        <w:pStyle w:val="3"/>
        <w:numPr>
          <w:ilvl w:val="0"/>
          <w:numId w:val="0"/>
        </w:numPr>
        <w:ind w:left="432" w:hanging="432"/>
        <w:rPr>
          <w:rFonts w:hint="eastAsia"/>
          <w:sz w:val="30"/>
          <w:szCs w:val="30"/>
        </w:rPr>
      </w:pPr>
    </w:p>
    <w:p>
      <w:pPr>
        <w:pStyle w:val="3"/>
        <w:numPr>
          <w:ilvl w:val="0"/>
          <w:numId w:val="0"/>
        </w:numPr>
        <w:ind w:left="432" w:hanging="432"/>
        <w:rPr>
          <w:rFonts w:hint="eastAsia"/>
          <w:sz w:val="30"/>
          <w:szCs w:val="30"/>
        </w:rPr>
      </w:pPr>
    </w:p>
    <w:p>
      <w:pPr>
        <w:pStyle w:val="3"/>
        <w:numPr>
          <w:ilvl w:val="0"/>
          <w:numId w:val="0"/>
        </w:numPr>
        <w:rPr>
          <w:rFonts w:hint="eastAsia"/>
          <w:sz w:val="30"/>
          <w:szCs w:val="30"/>
        </w:rPr>
      </w:pPr>
    </w:p>
    <w:p>
      <w:pPr>
        <w:rPr>
          <w:rFonts w:hint="eastAsia"/>
        </w:rPr>
      </w:pPr>
    </w:p>
    <w:p>
      <w:pPr>
        <w:pStyle w:val="3"/>
        <w:numPr>
          <w:ilvl w:val="0"/>
          <w:numId w:val="0"/>
        </w:numPr>
        <w:ind w:left="432" w:hanging="432"/>
        <w:rPr>
          <w:b w:val="0"/>
          <w:bCs w:val="0"/>
          <w:kern w:val="0"/>
          <w:sz w:val="24"/>
          <w:szCs w:val="24"/>
        </w:rPr>
      </w:pP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600"/>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132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600"/>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132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132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5250" w:leftChars="2500" w:right="0" w:firstLine="640"/>
              <w:jc w:val="center"/>
              <w:rPr>
                <w:rFonts w:hint="default" w:ascii="宋体" w:hAnsi="宋体"/>
                <w:kern w:val="0"/>
                <w:sz w:val="24"/>
                <w:szCs w:val="24"/>
              </w:rPr>
            </w:pPr>
          </w:p>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480"/>
              <w:rPr>
                <w:rFonts w:hint="default"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近</w:t>
            </w:r>
            <w:r>
              <w:rPr>
                <w:rFonts w:hint="default" w:ascii="宋体" w:hAnsi="宋体" w:cs="宋体"/>
                <w:kern w:val="0"/>
                <w:sz w:val="24"/>
                <w:szCs w:val="24"/>
              </w:rPr>
              <w:t>3</w:t>
            </w:r>
            <w:r>
              <w:rPr>
                <w:rFonts w:hint="eastAsia" w:ascii="宋体" w:hAnsi="宋体" w:cs="宋体"/>
                <w:kern w:val="0"/>
                <w:sz w:val="24"/>
                <w:szCs w:val="24"/>
              </w:rPr>
              <w:t>年内介入</w:t>
            </w:r>
          </w:p>
          <w:p>
            <w:pPr>
              <w:keepNext w:val="0"/>
              <w:keepLines w:val="0"/>
              <w:widowControl/>
              <w:suppressLineNumbers w:val="0"/>
              <w:adjustRightInd w:val="0"/>
              <w:snapToGrid w:val="0"/>
              <w:spacing w:before="0" w:beforeAutospacing="0" w:after="0" w:afterAutospacing="0" w:line="360" w:lineRule="auto"/>
              <w:ind w:left="0" w:right="0"/>
              <w:jc w:val="center"/>
              <w:rPr>
                <w:rFonts w:hint="default"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360" w:lineRule="auto"/>
              <w:ind w:left="0" w:right="0" w:firstLine="480"/>
              <w:rPr>
                <w:rFonts w:hint="default"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w:t>
      </w:r>
      <w:r>
        <w:rPr>
          <w:rFonts w:hint="eastAsia" w:asciiTheme="minorEastAsia" w:hAnsiTheme="minorEastAsia" w:eastAsiaTheme="minorEastAsia"/>
          <w:sz w:val="24"/>
          <w:szCs w:val="24"/>
          <w:lang w:val="en-US" w:eastAsia="zh-CN"/>
        </w:rPr>
        <w:t>22</w:t>
      </w:r>
      <w:r>
        <w:rPr>
          <w:rFonts w:hint="eastAsia" w:asciiTheme="minorEastAsia" w:hAnsiTheme="minorEastAsia" w:eastAsiaTheme="minorEastAsia"/>
          <w:sz w:val="24"/>
          <w:szCs w:val="24"/>
        </w:rPr>
        <w:t>年度或202</w:t>
      </w:r>
      <w:r>
        <w:rPr>
          <w:rFonts w:hint="eastAsia" w:asciiTheme="minorEastAsia" w:hAnsiTheme="minorEastAsia" w:eastAsiaTheme="minorEastAsia"/>
          <w:sz w:val="24"/>
          <w:szCs w:val="24"/>
          <w:lang w:val="en-US" w:eastAsia="zh-CN"/>
        </w:rPr>
        <w:t>3</w:t>
      </w:r>
      <w:r>
        <w:rPr>
          <w:rFonts w:hint="eastAsia" w:asciiTheme="minorEastAsia" w:hAnsiTheme="minorEastAsia" w:eastAsiaTheme="minorEastAsia"/>
          <w:sz w:val="24"/>
          <w:szCs w:val="24"/>
        </w:rPr>
        <w:t>年度财务审计报告复印件或磋商日前3个月内供应商银行出具的资信证明（除开具银行明确表示复印无效的，银行资信证明可以是复印件加盖本单位公章）；</w:t>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29"/>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default" w:ascii="宋体" w:hAnsi="宋体"/>
              </w:rPr>
              <w:t>序号</w:t>
            </w:r>
          </w:p>
        </w:tc>
        <w:tc>
          <w:tcPr>
            <w:tcW w:w="565"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合同</w:t>
            </w:r>
            <w:r>
              <w:rPr>
                <w:rFonts w:hint="default" w:ascii="宋体" w:hAnsi="宋体"/>
              </w:rPr>
              <w:t>名称</w:t>
            </w: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合同乙方单位名称</w:t>
            </w: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合同标的</w:t>
            </w: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合同金额</w:t>
            </w: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签署日期</w:t>
            </w:r>
          </w:p>
        </w:tc>
        <w:tc>
          <w:tcPr>
            <w:tcW w:w="105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甲方单位名称/联系人</w:t>
            </w:r>
          </w:p>
        </w:tc>
        <w:tc>
          <w:tcPr>
            <w:tcW w:w="1111"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565"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458"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053"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p>
        </w:tc>
        <w:tc>
          <w:tcPr>
            <w:tcW w:w="1111" w:type="pct"/>
            <w:vAlign w:val="center"/>
          </w:tcPr>
          <w:p>
            <w:pPr>
              <w:keepNext w:val="0"/>
              <w:keepLines w:val="0"/>
              <w:suppressLineNumbers w:val="0"/>
              <w:spacing w:before="0" w:beforeAutospacing="0" w:after="0" w:afterAutospacing="0" w:line="360" w:lineRule="auto"/>
              <w:ind w:left="0" w:right="0"/>
              <w:jc w:val="center"/>
              <w:rPr>
                <w:rFonts w:hint="default"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阿勒泰地区分公司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22</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2"/>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4"/>
        <w:numPr>
          <w:ilvl w:val="0"/>
          <w:numId w:val="0"/>
        </w:numPr>
        <w:spacing w:line="240" w:lineRule="auto"/>
        <w:rPr>
          <w:rFonts w:hint="eastAsia"/>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p>
    <w:p>
      <w:pPr>
        <w:pStyle w:val="4"/>
        <w:keepNext/>
        <w:keepLines/>
        <w:pageBreakBefore w:val="0"/>
        <w:widowControl w:val="0"/>
        <w:numPr>
          <w:ilvl w:val="0"/>
          <w:numId w:val="0"/>
        </w:numPr>
        <w:kinsoku/>
        <w:wordWrap/>
        <w:overflowPunct/>
        <w:topLinePunct w:val="0"/>
        <w:autoSpaceDE/>
        <w:autoSpaceDN/>
        <w:bidi w:val="0"/>
        <w:adjustRightInd/>
        <w:snapToGrid/>
        <w:spacing w:line="600" w:lineRule="exact"/>
        <w:textAlignment w:val="auto"/>
        <w:rPr>
          <w:kern w:val="0"/>
          <w:sz w:val="24"/>
          <w:szCs w:val="24"/>
        </w:rPr>
      </w:pPr>
      <w:r>
        <w:rPr>
          <w:rFonts w:hint="eastAsia" w:ascii="Arial" w:hAnsi="Arial" w:eastAsia="宋体" w:cs="Arial"/>
          <w:b w:val="0"/>
          <w:bCs w:val="0"/>
          <w:kern w:val="2"/>
          <w:sz w:val="24"/>
          <w:szCs w:val="20"/>
          <w:lang w:val="en-US" w:eastAsia="zh-CN" w:bidi="ar-SA"/>
        </w:rPr>
        <w:t>1.供应商具备从事招标代理业务的固定办公场所和相应资金</w:t>
      </w:r>
      <w:r>
        <w:rPr>
          <w:rFonts w:hint="eastAsia" w:ascii="Arial" w:hAnsi="Arial" w:cs="Arial"/>
          <w:b w:val="0"/>
          <w:bCs w:val="0"/>
          <w:kern w:val="2"/>
          <w:sz w:val="24"/>
          <w:szCs w:val="20"/>
          <w:lang w:val="en-US" w:eastAsia="zh-CN" w:bidi="ar-SA"/>
        </w:rPr>
        <w:t>。</w:t>
      </w:r>
      <w:r>
        <w:rPr>
          <w:rFonts w:hint="eastAsia" w:ascii="Arial" w:hAnsi="Arial" w:eastAsia="宋体" w:cs="Arial"/>
          <w:b w:val="0"/>
          <w:bCs w:val="0"/>
          <w:kern w:val="2"/>
          <w:sz w:val="24"/>
          <w:szCs w:val="20"/>
          <w:lang w:val="en-US" w:eastAsia="zh-CN" w:bidi="ar-SA"/>
        </w:rPr>
        <w:t>（自有房屋的提供房产证，租户的提供房屋租赁合同等证明材料）</w:t>
      </w:r>
      <w:r>
        <w:rPr>
          <w:rFonts w:hint="eastAsia" w:ascii="Arial" w:hAnsi="Arial" w:eastAsia="宋体" w:cs="Arial"/>
          <w:b w:val="0"/>
          <w:bCs w:val="0"/>
          <w:kern w:val="2"/>
          <w:sz w:val="24"/>
          <w:szCs w:val="20"/>
          <w:lang w:val="en-US" w:eastAsia="zh-CN" w:bidi="ar-SA"/>
        </w:rPr>
        <w:br w:type="textWrapping"/>
      </w:r>
      <w:r>
        <w:rPr>
          <w:rFonts w:hint="eastAsia" w:ascii="Arial" w:hAnsi="Arial" w:eastAsia="宋体" w:cs="Arial"/>
          <w:b w:val="0"/>
          <w:bCs w:val="0"/>
          <w:kern w:val="2"/>
          <w:sz w:val="24"/>
          <w:szCs w:val="20"/>
          <w:lang w:val="en-US" w:eastAsia="zh-CN" w:bidi="ar-SA"/>
        </w:rPr>
        <w:t>2.供应商具备招投标现场全程录音、录像的条件。（提供照片）</w:t>
      </w:r>
      <w:r>
        <w:rPr>
          <w:rFonts w:hint="eastAsia" w:ascii="Arial" w:hAnsi="Arial" w:eastAsia="宋体" w:cs="Arial"/>
          <w:b w:val="0"/>
          <w:bCs w:val="0"/>
          <w:kern w:val="2"/>
          <w:sz w:val="24"/>
          <w:szCs w:val="20"/>
          <w:lang w:val="en-US" w:eastAsia="zh-CN" w:bidi="ar-SA"/>
        </w:rPr>
        <w:br w:type="textWrapping"/>
      </w:r>
      <w:r>
        <w:rPr>
          <w:rFonts w:hint="eastAsia" w:ascii="Arial" w:hAnsi="Arial" w:eastAsia="宋体" w:cs="Arial"/>
          <w:b w:val="0"/>
          <w:bCs w:val="0"/>
          <w:kern w:val="2"/>
          <w:sz w:val="24"/>
          <w:szCs w:val="20"/>
          <w:lang w:val="en-US" w:eastAsia="zh-CN" w:bidi="ar-SA"/>
        </w:rPr>
        <w:t>3.投标单位必须是新疆维吾尔自治区政府采购网（政采云）上完成政府采购代理机构备案登记的代理机构</w:t>
      </w:r>
      <w:r>
        <w:rPr>
          <w:rFonts w:hint="eastAsia" w:ascii="Arial" w:hAnsi="Arial" w:cs="Arial"/>
          <w:b w:val="0"/>
          <w:bCs w:val="0"/>
          <w:kern w:val="2"/>
          <w:sz w:val="24"/>
          <w:szCs w:val="20"/>
          <w:lang w:val="en-US" w:eastAsia="zh-CN" w:bidi="ar-SA"/>
        </w:rPr>
        <w:t>。</w:t>
      </w:r>
      <w:r>
        <w:rPr>
          <w:rFonts w:hint="eastAsia" w:ascii="Arial" w:hAnsi="Arial" w:eastAsia="宋体" w:cs="Arial"/>
          <w:b w:val="0"/>
          <w:bCs w:val="0"/>
          <w:kern w:val="2"/>
          <w:sz w:val="24"/>
          <w:szCs w:val="20"/>
          <w:lang w:val="en-US" w:eastAsia="zh-CN" w:bidi="ar-SA"/>
        </w:rPr>
        <w:t>（提供网页截图加盖公章）</w:t>
      </w:r>
      <w:r>
        <w:rPr>
          <w:rFonts w:hint="eastAsia" w:ascii="Arial" w:hAnsi="Arial" w:eastAsia="宋体" w:cs="Arial"/>
          <w:b w:val="0"/>
          <w:bCs w:val="0"/>
          <w:kern w:val="2"/>
          <w:sz w:val="24"/>
          <w:szCs w:val="20"/>
          <w:lang w:val="en-US" w:eastAsia="zh-CN" w:bidi="ar-SA"/>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8" w:name="_Toc190852156"/>
      <w:bookmarkEnd w:id="8"/>
      <w:bookmarkStart w:id="9" w:name="_Toc137965307"/>
      <w:bookmarkEnd w:id="9"/>
      <w:bookmarkStart w:id="10" w:name="_Toc125183171"/>
      <w:bookmarkEnd w:id="10"/>
      <w:r>
        <w:rPr>
          <w:rFonts w:hint="eastAsia"/>
          <w:sz w:val="30"/>
          <w:szCs w:val="30"/>
        </w:rPr>
        <w:t>及服务要求</w:t>
      </w:r>
    </w:p>
    <w:p>
      <w:pPr>
        <w:pStyle w:val="4"/>
        <w:numPr>
          <w:ilvl w:val="0"/>
          <w:numId w:val="0"/>
        </w:numPr>
        <w:adjustRightInd w:val="0"/>
        <w:snapToGrid w:val="0"/>
        <w:spacing w:before="0" w:after="0" w:line="360" w:lineRule="auto"/>
        <w:rPr>
          <w:lang w:val="en-US"/>
        </w:rPr>
      </w:pPr>
      <w:r>
        <w:rPr>
          <w:rFonts w:hint="eastAsia"/>
          <w:sz w:val="24"/>
          <w:szCs w:val="24"/>
        </w:rPr>
        <w:t>附件4.</w:t>
      </w:r>
      <w:bookmarkStart w:id="11" w:name="_Toc169079576"/>
      <w:bookmarkStart w:id="12" w:name="_Toc104714603"/>
      <w:r>
        <w:rPr>
          <w:rFonts w:hint="eastAsia"/>
          <w:sz w:val="24"/>
          <w:szCs w:val="24"/>
        </w:rPr>
        <w:t>1</w:t>
      </w:r>
      <w:r>
        <w:rPr>
          <w:sz w:val="24"/>
          <w:szCs w:val="24"/>
        </w:rPr>
        <w:t xml:space="preserve"> </w:t>
      </w:r>
      <w:r>
        <w:rPr>
          <w:rFonts w:hint="eastAsia"/>
          <w:sz w:val="24"/>
          <w:szCs w:val="24"/>
        </w:rPr>
        <w:t>合同条款</w:t>
      </w:r>
      <w:r>
        <w:rPr>
          <w:rFonts w:hint="eastAsia" w:ascii="宋体" w:hAnsi="宋体" w:eastAsia="宋体" w:cs="宋体"/>
          <w:vanish/>
          <w:kern w:val="0"/>
          <w:sz w:val="24"/>
          <w:szCs w:val="24"/>
          <w:lang w:val="en-US" w:eastAsia="zh-CN" w:bidi="ar"/>
        </w:rPr>
        <w:object>
          <v:shape id="_x0000_i1025" o:spt="201" alt="" type="#_x0000_t201" style="height:18pt;width:72pt;" o:ole="t" filled="f" o:preferrelative="t" stroked="f" coordsize="21600,21600">
            <v:path/>
            <v:fill on="f" focussize="0,0"/>
            <v:stroke on="f"/>
            <v:imagedata r:id="rId7" o:title=""/>
            <o:lock v:ext="edit" aspectratio="t"/>
            <w10:wrap type="none"/>
            <w10:anchorlock/>
          </v:shape>
          <w:control r:id="rId6" w:name="HTMLHidden1" w:shapeid="_x0000_i1025"/>
        </w:objec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center"/>
        <w:textAlignment w:val="auto"/>
        <w:rPr>
          <w:sz w:val="18"/>
          <w:szCs w:val="18"/>
          <w:lang w:val="en-US"/>
        </w:rPr>
      </w:pPr>
      <w:r>
        <w:rPr>
          <w:rFonts w:hint="eastAsia" w:ascii="仿宋_GB2312" w:hAnsi="宋体" w:eastAsia="仿宋_GB2312" w:cs="仿宋_GB2312"/>
          <w:b/>
          <w:bCs/>
          <w:kern w:val="0"/>
          <w:sz w:val="18"/>
          <w:szCs w:val="18"/>
          <w:lang w:val="en-US" w:eastAsia="zh-CN" w:bidi="ar"/>
        </w:rPr>
        <w:t>商务部分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第一条</w:t>
      </w:r>
      <w:r>
        <w:rPr>
          <w:rFonts w:hint="eastAsia" w:ascii="仿宋_GB2312" w:hAnsi="宋体" w:eastAsia="仿宋_GB2312" w:cs="仿宋_GB2312"/>
          <w:kern w:val="0"/>
          <w:sz w:val="18"/>
          <w:szCs w:val="18"/>
          <w:lang w:val="en-US" w:eastAsia="zh-CN" w:bidi="ar"/>
        </w:rPr>
        <w:t xml:space="preserve"> 委托项目及招标方式</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b/>
          <w:bCs/>
          <w:kern w:val="0"/>
          <w:sz w:val="18"/>
          <w:szCs w:val="18"/>
          <w:lang w:val="en-US" w:eastAsia="zh-CN" w:bidi="ar"/>
        </w:rPr>
        <w:t>委托项目及招标方式</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本合同项下甲乙双方约定的项目内容及要求见本合同【附件】。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第二条</w:t>
      </w:r>
      <w:r>
        <w:rPr>
          <w:rFonts w:hint="eastAsia" w:ascii="仿宋_GB2312" w:hAnsi="宋体" w:eastAsia="仿宋_GB2312" w:cs="仿宋_GB2312"/>
          <w:kern w:val="0"/>
          <w:sz w:val="18"/>
          <w:szCs w:val="18"/>
          <w:lang w:val="en-US" w:eastAsia="zh-CN" w:bidi="ar"/>
        </w:rPr>
        <w:t xml:space="preserve"> </w:t>
      </w:r>
      <w:r>
        <w:rPr>
          <w:rFonts w:hint="eastAsia" w:ascii="仿宋_GB2312" w:hAnsi="宋体" w:eastAsia="仿宋_GB2312" w:cs="仿宋_GB2312"/>
          <w:b/>
          <w:bCs/>
          <w:kern w:val="0"/>
          <w:sz w:val="18"/>
          <w:szCs w:val="18"/>
          <w:lang w:val="en-US" w:eastAsia="zh-CN" w:bidi="ar"/>
        </w:rPr>
        <w:t>合同价格</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（一） 乙方按照《国家发展改革委关于降低部分建设项目收费标准规范收费行为等有关问题的通知》（[2011]534号）以及《招标代理服务收费管理暂行办法》（[2002]1980号文件）的有关规定，向中标方收取招标代理服务费。如果以上规定有任何变更，则按照合同签订时有效的收费标准的规定执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（二） 本合同总价款为_______元（大写：_______）。合同价格明细见【附件】。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（三） 合同服务费用包括但不限于乙方为履行本合同约定、完成符合甲方要求而产生的费用及相关税费等一切费用，除此以外甲方无需向乙方另行支付任何其它费用。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（四） 本合同付款安排见【附件】。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第三条</w:t>
      </w:r>
      <w:r>
        <w:rPr>
          <w:rFonts w:hint="eastAsia" w:ascii="仿宋_GB2312" w:hAnsi="宋体" w:eastAsia="仿宋_GB2312" w:cs="仿宋_GB2312"/>
          <w:kern w:val="0"/>
          <w:sz w:val="18"/>
          <w:szCs w:val="18"/>
          <w:lang w:val="en-US" w:eastAsia="zh-CN" w:bidi="ar"/>
        </w:rPr>
        <w:t xml:space="preserve"> 双方的权利和义务</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b/>
          <w:bCs/>
          <w:kern w:val="0"/>
          <w:sz w:val="18"/>
          <w:szCs w:val="18"/>
          <w:lang w:val="en-US" w:eastAsia="zh-CN" w:bidi="ar"/>
        </w:rPr>
        <w:t>双方的权利和义务</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除本合同约定的双方的权利义务外，甲乙双方在本合同项下的其他权利和义务见【附件】的约定。</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第四条</w:t>
      </w:r>
      <w:r>
        <w:rPr>
          <w:rFonts w:hint="eastAsia" w:ascii="仿宋_GB2312" w:hAnsi="宋体" w:eastAsia="仿宋_GB2312" w:cs="仿宋_GB2312"/>
          <w:kern w:val="0"/>
          <w:sz w:val="18"/>
          <w:szCs w:val="18"/>
          <w:lang w:val="en-US" w:eastAsia="zh-CN" w:bidi="ar"/>
        </w:rPr>
        <w:t xml:space="preserve"> 违约责任</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b/>
          <w:bCs/>
          <w:kern w:val="0"/>
          <w:sz w:val="18"/>
          <w:szCs w:val="18"/>
          <w:lang w:val="en-US" w:eastAsia="zh-CN" w:bidi="ar"/>
        </w:rPr>
        <w:t>违约责任</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甲、乙任一方或双方违约的，违约一方应当向相对方承担相应的违约责任。违约责任的具体约定见【附件】。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center"/>
        <w:textAlignment w:val="auto"/>
        <w:rPr>
          <w:sz w:val="18"/>
          <w:szCs w:val="18"/>
          <w:lang w:val="en-US"/>
        </w:rPr>
      </w:pPr>
      <w:r>
        <w:rPr>
          <w:rFonts w:hint="eastAsia" w:ascii="仿宋_GB2312" w:hAnsi="宋体" w:eastAsia="仿宋_GB2312" w:cs="仿宋_GB2312"/>
          <w:b/>
          <w:bCs/>
          <w:kern w:val="0"/>
          <w:sz w:val="18"/>
          <w:szCs w:val="18"/>
          <w:lang w:val="en-US" w:eastAsia="zh-CN" w:bidi="ar"/>
        </w:rPr>
        <w:t>通用部分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第五条</w:t>
      </w:r>
      <w:r>
        <w:rPr>
          <w:rFonts w:hint="eastAsia" w:ascii="仿宋_GB2312" w:hAnsi="宋体" w:eastAsia="仿宋_GB2312" w:cs="仿宋_GB2312"/>
          <w:kern w:val="0"/>
          <w:sz w:val="18"/>
          <w:szCs w:val="18"/>
          <w:lang w:val="en-US" w:eastAsia="zh-CN" w:bidi="ar"/>
        </w:rPr>
        <w:t xml:space="preserve"> </w:t>
      </w:r>
      <w:r>
        <w:rPr>
          <w:rFonts w:hint="eastAsia" w:ascii="仿宋_GB2312" w:hAnsi="宋体" w:eastAsia="仿宋_GB2312" w:cs="仿宋_GB2312"/>
          <w:b/>
          <w:bCs/>
          <w:kern w:val="0"/>
          <w:sz w:val="18"/>
          <w:szCs w:val="18"/>
          <w:lang w:val="en-US" w:eastAsia="zh-CN" w:bidi="ar"/>
        </w:rPr>
        <w:t>双方的权利和义务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（一） 甲方的权利和义务</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（1）有权要求乙方按本协议的约定提供招标代理服务；</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（2）提供编写招标文件技术部分所需的招标项目图纸、相应的技术参数、技术要求等技术资料及具体要求，审定招标文件；</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（3）协助乙方进行有关招标文件的澄清、答疑和修改工作，参加标前会；</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（4）参加开标仪式、协同乙方组建评标委员会，参与评标工作；</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（5）协同乙方共同编写评标报告，审定评标报告和评标结果；</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（6）甲方享有其它双方约定的权利、承担其它双方约定的义务。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（二） 乙方的权利和义务</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（1）根据本协议的约定取得招标代理服务费；</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（2）在甲方要求的时间内按照甲方的要求完成全部招标代理工作；</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（3）乙方负责组织发标、开标、评标活动。乙方在招标活动中坚持公开、公平、公正的原则，认真履行职责，充分尊重甲方意见，并保证招标活动符合法律法规的规定；</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（4）乙方将依据甲方授权的范围及提供的相关技术资料，在充分了解甲方要求及招标内容的前提下，负责编制招标文件；</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（5）澄清投标人提出的有关招标文件中的问题。如需修改招标文件，需经甲方事先书面同意后方可修改。组织标前会；</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（6）负责接收投标文件、组织和主持开标仪式，提供开标必需的场地和设备；</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（7）经甲方确认，聘请技术专家，组建由甲方、乙方、技术专家等有关人员组成的评标委员会；</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（8）组织评标会议、撰写评标报告、推荐中标候选人；</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（9）评标结果经甲方确认后，向中标人发出中标通知书，并负责联络甲方与中标单位签订合同事宜；</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（10）整理招标、评标等与本次招标有关的文件，交甲方保管；</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（11）乙方享有其它双方约定的权利、承担其它双方约定的义务。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（三）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第六条</w:t>
      </w:r>
      <w:r>
        <w:rPr>
          <w:rFonts w:hint="eastAsia" w:ascii="仿宋_GB2312" w:hAnsi="宋体" w:eastAsia="仿宋_GB2312" w:cs="仿宋_GB2312"/>
          <w:kern w:val="0"/>
          <w:sz w:val="18"/>
          <w:szCs w:val="18"/>
          <w:lang w:val="en-US" w:eastAsia="zh-CN" w:bidi="ar"/>
        </w:rPr>
        <w:t xml:space="preserve"> 禁止转让</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b/>
          <w:bCs/>
          <w:kern w:val="0"/>
          <w:sz w:val="18"/>
          <w:szCs w:val="18"/>
          <w:lang w:val="en-US" w:eastAsia="zh-CN" w:bidi="ar"/>
        </w:rPr>
        <w:t>禁止转让</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未经甲方事先书面同意，乙方不得将其本合同项下之全部义务或其中一部分义务转让给第三方执行。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第七条</w:t>
      </w:r>
      <w:r>
        <w:rPr>
          <w:rFonts w:hint="eastAsia" w:ascii="仿宋_GB2312" w:hAnsi="宋体" w:eastAsia="仿宋_GB2312" w:cs="仿宋_GB2312"/>
          <w:kern w:val="0"/>
          <w:sz w:val="18"/>
          <w:szCs w:val="18"/>
          <w:lang w:val="en-US" w:eastAsia="zh-CN" w:bidi="ar"/>
        </w:rPr>
        <w:t xml:space="preserve"> 权利保证</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b/>
          <w:bCs/>
          <w:kern w:val="0"/>
          <w:sz w:val="18"/>
          <w:szCs w:val="18"/>
          <w:lang w:val="en-US" w:eastAsia="zh-CN" w:bidi="ar"/>
        </w:rPr>
        <w:t>权利保证</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第八条</w:t>
      </w:r>
      <w:r>
        <w:rPr>
          <w:rFonts w:hint="eastAsia" w:ascii="仿宋_GB2312" w:hAnsi="宋体" w:eastAsia="仿宋_GB2312" w:cs="仿宋_GB2312"/>
          <w:kern w:val="0"/>
          <w:sz w:val="18"/>
          <w:szCs w:val="18"/>
          <w:lang w:val="en-US" w:eastAsia="zh-CN" w:bidi="ar"/>
        </w:rPr>
        <w:t xml:space="preserve"> </w:t>
      </w:r>
      <w:r>
        <w:rPr>
          <w:rFonts w:hint="eastAsia" w:ascii="仿宋_GB2312" w:hAnsi="宋体" w:eastAsia="仿宋_GB2312" w:cs="仿宋_GB2312"/>
          <w:b/>
          <w:bCs/>
          <w:kern w:val="0"/>
          <w:sz w:val="18"/>
          <w:szCs w:val="18"/>
          <w:lang w:val="en-US" w:eastAsia="zh-CN" w:bidi="ar"/>
        </w:rPr>
        <w:t>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（一） 一方违反本协议或国家法律法规，给另一方造成经济损失的，应赔偿受损方的全部损失。</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（二） 如果乙方违反本合同约定的保密义务，乙方应向甲方支付相当于本合同总价款_______%的违约金，甲方受到的损失超出违约金的部分，由乙方继续承担赔偿责任。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（三）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第九条</w:t>
      </w:r>
      <w:r>
        <w:rPr>
          <w:rFonts w:hint="eastAsia" w:ascii="仿宋_GB2312" w:hAnsi="宋体" w:eastAsia="仿宋_GB2312" w:cs="仿宋_GB2312"/>
          <w:kern w:val="0"/>
          <w:sz w:val="18"/>
          <w:szCs w:val="18"/>
          <w:lang w:val="en-US" w:eastAsia="zh-CN" w:bidi="ar"/>
        </w:rPr>
        <w:t xml:space="preserve"> </w:t>
      </w:r>
      <w:r>
        <w:rPr>
          <w:rFonts w:hint="eastAsia" w:ascii="仿宋_GB2312" w:hAnsi="宋体" w:eastAsia="仿宋_GB2312" w:cs="仿宋_GB2312"/>
          <w:b/>
          <w:bCs/>
          <w:kern w:val="0"/>
          <w:sz w:val="18"/>
          <w:szCs w:val="18"/>
          <w:lang w:val="en-US" w:eastAsia="zh-CN" w:bidi="ar"/>
        </w:rPr>
        <w:t>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（三） 无论本合同因何种原因终止，本保密条款依然有效。</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第十条</w:t>
      </w:r>
      <w:r>
        <w:rPr>
          <w:rFonts w:hint="eastAsia" w:ascii="仿宋_GB2312" w:hAnsi="宋体" w:eastAsia="仿宋_GB2312" w:cs="仿宋_GB2312"/>
          <w:kern w:val="0"/>
          <w:sz w:val="18"/>
          <w:szCs w:val="18"/>
          <w:lang w:val="en-US" w:eastAsia="zh-CN" w:bidi="ar"/>
        </w:rPr>
        <w:t xml:space="preserve"> 特别保密</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b/>
          <w:bCs/>
          <w:kern w:val="0"/>
          <w:sz w:val="18"/>
          <w:szCs w:val="18"/>
          <w:lang w:val="en-US" w:eastAsia="zh-CN" w:bidi="ar"/>
        </w:rPr>
        <w:t>特别保密</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有关领取招标文件的潜在投标人名单，投标文件的审查、澄清、评估、比较，以及有关授予合同的意向等任何与本协议项下招标有关的信息，双方均不得透露给任何他人（包括投标人），也不得向本单位与本项目无关的人员披露。如有违反，违约方应承担由此给相对方造成的一切损失。</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第十一条</w:t>
      </w:r>
      <w:r>
        <w:rPr>
          <w:rFonts w:hint="eastAsia" w:ascii="仿宋_GB2312" w:hAnsi="宋体" w:eastAsia="仿宋_GB2312" w:cs="仿宋_GB2312"/>
          <w:kern w:val="0"/>
          <w:sz w:val="18"/>
          <w:szCs w:val="18"/>
          <w:lang w:val="en-US" w:eastAsia="zh-CN" w:bidi="ar"/>
        </w:rPr>
        <w:t xml:space="preserve"> </w:t>
      </w:r>
      <w:r>
        <w:rPr>
          <w:rFonts w:hint="eastAsia" w:ascii="仿宋_GB2312" w:hAnsi="宋体" w:eastAsia="仿宋_GB2312" w:cs="仿宋_GB2312"/>
          <w:b/>
          <w:bCs/>
          <w:kern w:val="0"/>
          <w:sz w:val="18"/>
          <w:szCs w:val="18"/>
          <w:lang w:val="en-US" w:eastAsia="zh-CN" w:bidi="ar"/>
        </w:rPr>
        <w:t>不可抗力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（三） 合同一方迟延履行后发生不可抗力的，不能免除其责任。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第十二条</w:t>
      </w:r>
      <w:r>
        <w:rPr>
          <w:rFonts w:hint="eastAsia" w:ascii="仿宋_GB2312" w:hAnsi="宋体" w:eastAsia="仿宋_GB2312" w:cs="仿宋_GB2312"/>
          <w:kern w:val="0"/>
          <w:sz w:val="18"/>
          <w:szCs w:val="18"/>
          <w:lang w:val="en-US" w:eastAsia="zh-CN" w:bidi="ar"/>
        </w:rPr>
        <w:t xml:space="preserve"> 合同变更</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b/>
          <w:bCs/>
          <w:kern w:val="0"/>
          <w:sz w:val="18"/>
          <w:szCs w:val="18"/>
          <w:lang w:val="en-US" w:eastAsia="zh-CN" w:bidi="ar"/>
        </w:rPr>
        <w:t>合同变更</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对本合同的任何变更或补充，须经甲乙双方协商一致，并另行签订书面补充协议。</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第十三条</w:t>
      </w:r>
      <w:r>
        <w:rPr>
          <w:rFonts w:hint="eastAsia" w:ascii="仿宋_GB2312" w:hAnsi="宋体" w:eastAsia="仿宋_GB2312" w:cs="仿宋_GB2312"/>
          <w:kern w:val="0"/>
          <w:sz w:val="18"/>
          <w:szCs w:val="18"/>
          <w:lang w:val="en-US" w:eastAsia="zh-CN" w:bidi="ar"/>
        </w:rPr>
        <w:t xml:space="preserve"> 合同解除（适用于招标代理协议）</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b/>
          <w:bCs/>
          <w:kern w:val="0"/>
          <w:sz w:val="18"/>
          <w:szCs w:val="18"/>
          <w:lang w:val="en-US" w:eastAsia="zh-CN" w:bidi="ar"/>
        </w:rPr>
        <w:t>合同解除</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因乙方未按本协议履行义务的，甲方有权解除协议，并不承担任何责任。乙方应当于收到解除通知之日起3日内，将所获得的甲方信息及资料全部归还给甲方。</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第十四条</w:t>
      </w:r>
      <w:r>
        <w:rPr>
          <w:rFonts w:hint="eastAsia" w:ascii="仿宋_GB2312" w:hAnsi="宋体" w:eastAsia="仿宋_GB2312" w:cs="仿宋_GB2312"/>
          <w:kern w:val="0"/>
          <w:sz w:val="18"/>
          <w:szCs w:val="18"/>
          <w:lang w:val="en-US" w:eastAsia="zh-CN" w:bidi="ar"/>
        </w:rPr>
        <w:t xml:space="preserve"> </w:t>
      </w:r>
      <w:r>
        <w:rPr>
          <w:rFonts w:hint="eastAsia" w:ascii="仿宋_GB2312" w:hAnsi="宋体" w:eastAsia="仿宋_GB2312" w:cs="仿宋_GB2312"/>
          <w:b/>
          <w:bCs/>
          <w:kern w:val="0"/>
          <w:sz w:val="18"/>
          <w:szCs w:val="18"/>
          <w:lang w:val="en-US" w:eastAsia="zh-CN" w:bidi="ar"/>
        </w:rPr>
        <w:t>合同特别终止</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（一） 甲乙双方同意在乙方出现下列情形时，甲方可以书面形式通知乙方（或者乙方的破产清算组或相关管理人）提出终止合同而不向其提供任何补偿：</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（1）乙方破产、解散（包括但不限于乙方股东会决议解散、乙方被吊销营业执照、被责令关闭、被撤销、被司法机关裁决解散等情形）；</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（二） 如果因上述原因导致本合同终止，甲方已经采取或者将要采取任何补救措施的权利不受任何影响。</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第十五条</w:t>
      </w:r>
      <w:r>
        <w:rPr>
          <w:rFonts w:hint="eastAsia" w:ascii="仿宋_GB2312" w:hAnsi="宋体" w:eastAsia="仿宋_GB2312" w:cs="仿宋_GB2312"/>
          <w:kern w:val="0"/>
          <w:sz w:val="18"/>
          <w:szCs w:val="18"/>
          <w:lang w:val="en-US" w:eastAsia="zh-CN" w:bidi="ar"/>
        </w:rPr>
        <w:t xml:space="preserve"> </w:t>
      </w:r>
      <w:r>
        <w:rPr>
          <w:rFonts w:hint="eastAsia" w:ascii="仿宋_GB2312" w:hAnsi="宋体" w:eastAsia="仿宋_GB2312" w:cs="仿宋_GB2312"/>
          <w:b/>
          <w:bCs/>
          <w:kern w:val="0"/>
          <w:sz w:val="18"/>
          <w:szCs w:val="18"/>
          <w:lang w:val="en-US" w:eastAsia="zh-CN" w:bidi="ar"/>
        </w:rPr>
        <w:t>法律适用与争议解决</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（一） 本合同的订立、效力、解释、履行和争议的解决均适用中华人民共和国法律（不包括港澳台地区法律）。</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（二） 凡因本合同引起的或与本合同有关的任何争议，双方首先应友好协商解决。协商不成的，任何一方均有权向甲方所在地人民法院提起诉讼。</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第十六条</w:t>
      </w:r>
      <w:r>
        <w:rPr>
          <w:rFonts w:hint="eastAsia" w:ascii="仿宋_GB2312" w:hAnsi="宋体" w:eastAsia="仿宋_GB2312" w:cs="仿宋_GB2312"/>
          <w:kern w:val="0"/>
          <w:sz w:val="18"/>
          <w:szCs w:val="18"/>
          <w:lang w:val="en-US" w:eastAsia="zh-CN" w:bidi="ar"/>
        </w:rPr>
        <w:t xml:space="preserve"> </w:t>
      </w:r>
      <w:r>
        <w:rPr>
          <w:rFonts w:hint="eastAsia" w:ascii="仿宋_GB2312" w:hAnsi="宋体" w:eastAsia="仿宋_GB2312" w:cs="仿宋_GB2312"/>
          <w:b/>
          <w:bCs/>
          <w:kern w:val="0"/>
          <w:sz w:val="18"/>
          <w:szCs w:val="18"/>
          <w:lang w:val="en-US" w:eastAsia="zh-CN" w:bidi="ar"/>
        </w:rPr>
        <w:t>合同生效及其他</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（一） 本合同经甲乙双方法定代表人或授权代表签字并加盖公章后生效。</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（二） 本合同一式_______份，其中正本_______份，副本_______份。甲方执_______份正本，_______份副本；乙方执_______份正本，_______份副本。</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第十七条</w:t>
      </w:r>
      <w:r>
        <w:rPr>
          <w:rFonts w:hint="eastAsia" w:ascii="仿宋_GB2312" w:hAnsi="宋体" w:eastAsia="仿宋_GB2312" w:cs="仿宋_GB2312"/>
          <w:kern w:val="0"/>
          <w:sz w:val="18"/>
          <w:szCs w:val="18"/>
          <w:lang w:val="en-US" w:eastAsia="zh-CN" w:bidi="ar"/>
        </w:rPr>
        <w:t xml:space="preserve"> </w:t>
      </w:r>
      <w:r>
        <w:rPr>
          <w:rFonts w:hint="eastAsia" w:ascii="仿宋_GB2312" w:hAnsi="宋体" w:eastAsia="仿宋_GB2312" w:cs="仿宋_GB2312"/>
          <w:b/>
          <w:bCs/>
          <w:kern w:val="0"/>
          <w:sz w:val="18"/>
          <w:szCs w:val="18"/>
          <w:lang w:val="en-US" w:eastAsia="zh-CN" w:bidi="ar"/>
        </w:rPr>
        <w:t>合同效力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lang w:val="en-US"/>
        </w:rPr>
      </w:pPr>
      <w:r>
        <w:rPr>
          <w:rFonts w:hint="eastAsia" w:ascii="仿宋_GB2312" w:hAnsi="宋体" w:eastAsia="仿宋_GB2312" w:cs="仿宋_GB2312"/>
          <w:kern w:val="0"/>
          <w:sz w:val="18"/>
          <w:szCs w:val="18"/>
          <w:lang w:val="en-US" w:eastAsia="zh-CN" w:bidi="ar"/>
        </w:rPr>
        <w:t xml:space="preserve">   （三） 由于法律和法规、政策而导致本合同任何条款无效或无法执行，则该条款无效，但不影响剩余其他条款的效力。</w:t>
      </w:r>
      <w:r>
        <w:rPr>
          <w:rFonts w:hint="eastAsia" w:ascii="仿宋_GB2312" w:hAnsi="宋体" w:eastAsia="仿宋_GB2312" w:cs="仿宋_GB2312"/>
          <w:kern w:val="0"/>
          <w:sz w:val="18"/>
          <w:szCs w:val="18"/>
          <w:lang w:val="en-US" w:eastAsia="zh-CN" w:bidi="ar"/>
        </w:rPr>
        <w:br w:type="textWrapping"/>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240" w:lineRule="exact"/>
        <w:ind w:left="0" w:right="0"/>
        <w:jc w:val="left"/>
        <w:textAlignment w:val="auto"/>
        <w:rPr>
          <w:sz w:val="18"/>
          <w:szCs w:val="18"/>
        </w:rPr>
      </w:pPr>
      <w:r>
        <w:rPr>
          <w:rFonts w:hint="eastAsia" w:ascii="仿宋_GB2312" w:hAnsi="宋体" w:eastAsia="仿宋_GB2312" w:cs="宋体"/>
          <w:b/>
          <w:bCs w:val="0"/>
          <w:kern w:val="0"/>
          <w:sz w:val="18"/>
          <w:szCs w:val="18"/>
          <w:lang w:val="en-US" w:eastAsia="zh-CN" w:bidi="ar"/>
        </w:rPr>
        <w:t>   </w:t>
      </w:r>
      <w:r>
        <w:rPr>
          <w:rFonts w:hint="eastAsia" w:ascii="仿宋_GB2312" w:hAnsi="宋体" w:eastAsia="仿宋_GB2312" w:cs="仿宋_GB2312"/>
          <w:b/>
          <w:bCs w:val="0"/>
          <w:kern w:val="0"/>
          <w:sz w:val="18"/>
          <w:szCs w:val="18"/>
          <w:lang w:val="en-US" w:eastAsia="zh-CN" w:bidi="ar"/>
        </w:rPr>
        <w:t xml:space="preserve"> 第十八条</w:t>
      </w:r>
      <w:r>
        <w:rPr>
          <w:rFonts w:hint="eastAsia" w:ascii="仿宋_GB2312" w:hAnsi="宋体" w:eastAsia="仿宋_GB2312" w:cs="仿宋_GB2312"/>
          <w:kern w:val="0"/>
          <w:sz w:val="18"/>
          <w:szCs w:val="18"/>
          <w:lang w:val="en-US" w:eastAsia="zh-CN" w:bidi="ar"/>
        </w:rPr>
        <w:t xml:space="preserve"> 附件的组成（适用于招标代理协议）</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b/>
          <w:bCs/>
          <w:kern w:val="0"/>
          <w:sz w:val="18"/>
          <w:szCs w:val="18"/>
          <w:lang w:val="en-US" w:eastAsia="zh-CN" w:bidi="ar"/>
        </w:rPr>
        <w:t>附件的组成</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附件一、委托项目及招标方式</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附件二、付款</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附件三、双方的权利和义务</w:t>
      </w:r>
      <w:r>
        <w:rPr>
          <w:rFonts w:hint="eastAsia" w:ascii="仿宋_GB2312" w:hAnsi="宋体" w:eastAsia="仿宋_GB2312" w:cs="仿宋_GB2312"/>
          <w:kern w:val="0"/>
          <w:sz w:val="18"/>
          <w:szCs w:val="18"/>
          <w:lang w:val="en-US" w:eastAsia="zh-CN" w:bidi="ar"/>
        </w:rPr>
        <w:br w:type="textWrapping"/>
      </w:r>
      <w:r>
        <w:rPr>
          <w:rFonts w:hint="eastAsia" w:ascii="仿宋_GB2312" w:hAnsi="宋体" w:eastAsia="仿宋_GB2312" w:cs="仿宋_GB2312"/>
          <w:kern w:val="0"/>
          <w:sz w:val="18"/>
          <w:szCs w:val="18"/>
          <w:lang w:val="en-US" w:eastAsia="zh-CN" w:bidi="ar"/>
        </w:rPr>
        <w:t>附件四、违约责任</w:t>
      </w:r>
    </w:p>
    <w:p>
      <w:pPr>
        <w:keepNext w:val="0"/>
        <w:keepLines w:val="0"/>
        <w:pageBreakBefore w:val="0"/>
        <w:kinsoku/>
        <w:wordWrap/>
        <w:overflowPunct/>
        <w:topLinePunct w:val="0"/>
        <w:autoSpaceDE/>
        <w:autoSpaceDN/>
        <w:bidi w:val="0"/>
        <w:adjustRightInd/>
        <w:snapToGrid/>
        <w:spacing w:before="100" w:beforeAutospacing="1" w:after="100" w:afterAutospacing="1" w:line="240" w:lineRule="exact"/>
        <w:textAlignment w:val="auto"/>
        <w:rPr>
          <w:color w:val="3A3A3A"/>
          <w:sz w:val="18"/>
          <w:szCs w:val="18"/>
        </w:rPr>
      </w:pPr>
      <w:bookmarkStart w:id="13" w:name="_Toc68615221"/>
    </w:p>
    <w:bookmarkEnd w:id="11"/>
    <w:bookmarkEnd w:id="12"/>
    <w:bookmarkEnd w:id="13"/>
    <w:p>
      <w:pPr>
        <w:keepNext w:val="0"/>
        <w:keepLines w:val="0"/>
        <w:pageBreakBefore w:val="0"/>
        <w:widowControl/>
        <w:kinsoku/>
        <w:wordWrap/>
        <w:overflowPunct/>
        <w:topLinePunct w:val="0"/>
        <w:autoSpaceDE/>
        <w:autoSpaceDN/>
        <w:bidi w:val="0"/>
        <w:adjustRightInd/>
        <w:snapToGrid/>
        <w:spacing w:line="240" w:lineRule="exact"/>
        <w:jc w:val="left"/>
        <w:textAlignment w:val="auto"/>
        <w:rPr>
          <w:b/>
          <w:bCs/>
          <w:sz w:val="24"/>
          <w:szCs w:val="24"/>
        </w:rPr>
      </w:pPr>
      <w:r>
        <w:rPr>
          <w:rFonts w:hint="eastAsia"/>
          <w:b/>
          <w:bCs/>
          <w:sz w:val="24"/>
          <w:szCs w:val="24"/>
        </w:rPr>
        <w:t>附件4.2 采购需求及技术服务要求</w:t>
      </w:r>
    </w:p>
    <w:p>
      <w:pPr>
        <w:keepNext w:val="0"/>
        <w:keepLines w:val="0"/>
        <w:pageBreakBefore w:val="0"/>
        <w:kinsoku/>
        <w:wordWrap/>
        <w:overflowPunct/>
        <w:topLinePunct w:val="0"/>
        <w:autoSpaceDE/>
        <w:autoSpaceDN/>
        <w:bidi w:val="0"/>
        <w:adjustRightInd w:val="0"/>
        <w:snapToGrid w:val="0"/>
        <w:spacing w:line="6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采购1家招标代理机构，具体采购项目时，阿勒泰分公司各部门分别对该招标代理机构可同时使用。</w:t>
      </w:r>
    </w:p>
    <w:p>
      <w:pPr>
        <w:keepNext w:val="0"/>
        <w:keepLines w:val="0"/>
        <w:pageBreakBefore w:val="0"/>
        <w:kinsoku/>
        <w:wordWrap/>
        <w:overflowPunct/>
        <w:topLinePunct w:val="0"/>
        <w:autoSpaceDE/>
        <w:autoSpaceDN/>
        <w:bidi w:val="0"/>
        <w:adjustRightInd w:val="0"/>
        <w:snapToGrid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（一）服务时间及内容</w:t>
      </w:r>
    </w:p>
    <w:p>
      <w:pPr>
        <w:keepNext w:val="0"/>
        <w:keepLines w:val="0"/>
        <w:pageBreakBefore w:val="0"/>
        <w:kinsoku/>
        <w:wordWrap/>
        <w:overflowPunct/>
        <w:topLinePunct w:val="0"/>
        <w:autoSpaceDE/>
        <w:autoSpaceDN/>
        <w:bidi w:val="0"/>
        <w:adjustRightInd w:val="0"/>
        <w:snapToGrid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提供</w:t>
      </w:r>
      <w:r>
        <w:rPr>
          <w:rFonts w:hint="eastAsia" w:ascii="宋体" w:hAnsi="宋体" w:eastAsia="宋体" w:cs="宋体"/>
          <w:sz w:val="24"/>
          <w:szCs w:val="24"/>
          <w:lang w:val="en-US" w:eastAsia="zh-CN"/>
        </w:rPr>
        <w:t>自中选之中起</w:t>
      </w:r>
      <w:r>
        <w:rPr>
          <w:rFonts w:hint="eastAsia" w:ascii="宋体" w:hAnsi="宋体" w:cs="宋体"/>
          <w:sz w:val="24"/>
          <w:szCs w:val="24"/>
          <w:lang w:val="en-US" w:eastAsia="zh-CN"/>
        </w:rPr>
        <w:t>二</w:t>
      </w:r>
      <w:r>
        <w:rPr>
          <w:rFonts w:hint="eastAsia" w:ascii="宋体" w:hAnsi="宋体" w:eastAsia="宋体" w:cs="宋体"/>
          <w:sz w:val="24"/>
          <w:szCs w:val="24"/>
          <w:lang w:val="en-US" w:eastAsia="zh-CN"/>
        </w:rPr>
        <w:t>年间的</w:t>
      </w:r>
      <w:r>
        <w:rPr>
          <w:rFonts w:hint="eastAsia" w:ascii="宋体" w:hAnsi="宋体" w:eastAsia="宋体" w:cs="宋体"/>
          <w:sz w:val="24"/>
          <w:szCs w:val="24"/>
        </w:rPr>
        <w:t>工程、货物和服务类项目的招标代理服务，以及采购咨询、</w:t>
      </w:r>
      <w:r>
        <w:rPr>
          <w:rFonts w:hint="eastAsia" w:ascii="宋体" w:hAnsi="宋体" w:cs="宋体"/>
          <w:sz w:val="24"/>
          <w:szCs w:val="24"/>
          <w:lang w:val="en-US" w:eastAsia="zh-CN"/>
        </w:rPr>
        <w:t>广告代理、</w:t>
      </w:r>
      <w:r>
        <w:rPr>
          <w:rFonts w:hint="eastAsia" w:ascii="宋体" w:hAnsi="宋体" w:eastAsia="宋体" w:cs="宋体"/>
          <w:sz w:val="24"/>
          <w:szCs w:val="24"/>
        </w:rPr>
        <w:t>培训</w:t>
      </w:r>
      <w:r>
        <w:rPr>
          <w:rFonts w:hint="eastAsia" w:ascii="宋体" w:hAnsi="宋体" w:cs="宋体"/>
          <w:sz w:val="24"/>
          <w:szCs w:val="24"/>
          <w:lang w:eastAsia="zh-CN"/>
        </w:rPr>
        <w:t>、</w:t>
      </w:r>
      <w:r>
        <w:rPr>
          <w:rFonts w:hint="eastAsia" w:ascii="宋体" w:hAnsi="宋体" w:cs="宋体"/>
          <w:sz w:val="24"/>
          <w:szCs w:val="24"/>
          <w:lang w:val="en-US" w:eastAsia="zh-CN"/>
        </w:rPr>
        <w:t>农业保险“牛脸识别”技术平台、防灾防损事项</w:t>
      </w:r>
      <w:r>
        <w:rPr>
          <w:rFonts w:hint="eastAsia" w:ascii="宋体" w:hAnsi="宋体" w:eastAsia="宋体" w:cs="宋体"/>
          <w:sz w:val="24"/>
          <w:szCs w:val="24"/>
        </w:rPr>
        <w:t>等相关专业服务。</w:t>
      </w:r>
      <w:r>
        <w:rPr>
          <w:rFonts w:hint="eastAsia" w:ascii="宋体" w:hAnsi="宋体" w:cs="宋体"/>
          <w:sz w:val="24"/>
          <w:szCs w:val="24"/>
          <w:lang w:val="en-US" w:eastAsia="zh-CN"/>
        </w:rPr>
        <w:t>后期</w:t>
      </w:r>
      <w:r>
        <w:rPr>
          <w:rFonts w:hint="eastAsia" w:ascii="宋体" w:hAnsi="宋体" w:eastAsia="宋体" w:cs="宋体"/>
          <w:sz w:val="24"/>
          <w:szCs w:val="24"/>
          <w:lang w:val="en-US" w:eastAsia="zh-CN"/>
        </w:rPr>
        <w:t>若双方未提出书面异议，合同有效期顺延一年。</w:t>
      </w:r>
    </w:p>
    <w:p>
      <w:pPr>
        <w:keepNext w:val="0"/>
        <w:keepLines w:val="0"/>
        <w:pageBreakBefore w:val="0"/>
        <w:kinsoku/>
        <w:wordWrap/>
        <w:overflowPunct/>
        <w:topLinePunct w:val="0"/>
        <w:autoSpaceDE/>
        <w:autoSpaceDN/>
        <w:bidi w:val="0"/>
        <w:adjustRightInd w:val="0"/>
        <w:snapToGrid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（二）服务能力要求</w:t>
      </w:r>
    </w:p>
    <w:p>
      <w:pPr>
        <w:keepNext w:val="0"/>
        <w:keepLines w:val="0"/>
        <w:pageBreakBefore w:val="0"/>
        <w:kinsoku/>
        <w:wordWrap/>
        <w:overflowPunct/>
        <w:topLinePunct w:val="0"/>
        <w:autoSpaceDE/>
        <w:autoSpaceDN/>
        <w:bidi w:val="0"/>
        <w:adjustRightInd w:val="0"/>
        <w:snapToGrid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1.具备</w:t>
      </w:r>
      <w:r>
        <w:rPr>
          <w:rFonts w:hint="eastAsia" w:ascii="宋体" w:hAnsi="宋体" w:cs="宋体"/>
          <w:sz w:val="24"/>
          <w:szCs w:val="24"/>
          <w:lang w:val="en-US" w:eastAsia="zh-CN"/>
        </w:rPr>
        <w:t>从事</w:t>
      </w:r>
      <w:r>
        <w:rPr>
          <w:rFonts w:hint="eastAsia" w:ascii="宋体" w:hAnsi="宋体" w:eastAsia="宋体" w:cs="宋体"/>
          <w:sz w:val="24"/>
          <w:szCs w:val="24"/>
        </w:rPr>
        <w:t>工程招标代理</w:t>
      </w:r>
      <w:r>
        <w:rPr>
          <w:rFonts w:hint="eastAsia" w:ascii="宋体" w:hAnsi="宋体" w:cs="宋体"/>
          <w:sz w:val="24"/>
          <w:szCs w:val="24"/>
          <w:lang w:val="en-US" w:eastAsia="zh-CN"/>
        </w:rPr>
        <w:t>服务经验</w:t>
      </w:r>
      <w:r>
        <w:rPr>
          <w:rFonts w:hint="eastAsia" w:ascii="宋体" w:hAnsi="宋体" w:eastAsia="宋体" w:cs="宋体"/>
          <w:sz w:val="24"/>
          <w:szCs w:val="24"/>
        </w:rPr>
        <w:t>，能够从事工程勘察、设计、施工、监理以及与工程建设相关的重要设备、材料采购招标代理工作；</w:t>
      </w:r>
    </w:p>
    <w:p>
      <w:pPr>
        <w:keepNext w:val="0"/>
        <w:keepLines w:val="0"/>
        <w:pageBreakBefore w:val="0"/>
        <w:kinsoku/>
        <w:wordWrap/>
        <w:overflowPunct/>
        <w:topLinePunct w:val="0"/>
        <w:autoSpaceDE/>
        <w:autoSpaceDN/>
        <w:bidi w:val="0"/>
        <w:adjustRightInd w:val="0"/>
        <w:snapToGrid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2.具备从事政府采购工程、货物和服务的采购代理服务经验，能够从事招标等采购代理业务，以及采购咨询、培训等相关专业服务。</w:t>
      </w:r>
    </w:p>
    <w:p>
      <w:pPr>
        <w:keepNext w:val="0"/>
        <w:keepLines w:val="0"/>
        <w:pageBreakBefore w:val="0"/>
        <w:kinsoku/>
        <w:wordWrap/>
        <w:overflowPunct/>
        <w:topLinePunct w:val="0"/>
        <w:autoSpaceDE/>
        <w:autoSpaceDN/>
        <w:bidi w:val="0"/>
        <w:adjustRightInd w:val="0"/>
        <w:snapToGrid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3.具备提供金融行业企业采购工程、货物和服务的代理服务的经验。</w:t>
      </w:r>
    </w:p>
    <w:p>
      <w:pPr>
        <w:keepNext w:val="0"/>
        <w:keepLines w:val="0"/>
        <w:pageBreakBefore w:val="0"/>
        <w:kinsoku/>
        <w:wordWrap/>
        <w:overflowPunct/>
        <w:topLinePunct w:val="0"/>
        <w:autoSpaceDE/>
        <w:autoSpaceDN/>
        <w:bidi w:val="0"/>
        <w:adjustRightInd w:val="0"/>
        <w:snapToGrid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4.其他采购代理相关服务能力。</w:t>
      </w:r>
    </w:p>
    <w:p>
      <w:pPr>
        <w:widowControl/>
        <w:jc w:val="left"/>
        <w:rPr>
          <w:rFonts w:hint="eastAsia" w:ascii="宋体" w:hAnsi="宋体" w:eastAsia="宋体" w:cs="宋体"/>
          <w:sz w:val="24"/>
          <w:szCs w:val="24"/>
        </w:rPr>
      </w:pPr>
      <w:r>
        <w:rPr>
          <w:rFonts w:hint="eastAsia" w:ascii="宋体" w:hAnsi="宋体" w:eastAsia="宋体" w:cs="宋体"/>
          <w:sz w:val="24"/>
          <w:szCs w:val="24"/>
        </w:rPr>
        <w:br w:type="page"/>
      </w:r>
    </w:p>
    <w:p>
      <w:pPr>
        <w:pStyle w:val="4"/>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hint="eastAsia"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pStyle w:val="4"/>
        <w:numPr>
          <w:ilvl w:val="1"/>
          <w:numId w:val="0"/>
        </w:numPr>
        <w:ind w:leftChars="0"/>
        <w:rPr>
          <w:rFonts w:hint="eastAsia" w:ascii="宋体" w:hAnsi="宋体"/>
          <w:sz w:val="24"/>
          <w:szCs w:val="24"/>
        </w:rPr>
      </w:pPr>
    </w:p>
    <w:p>
      <w:pPr>
        <w:rPr>
          <w:rFonts w:hint="eastAsia" w:ascii="宋体" w:hAnsi="宋体"/>
          <w:sz w:val="24"/>
          <w:szCs w:val="24"/>
        </w:rPr>
      </w:pPr>
    </w:p>
    <w:p>
      <w:pPr>
        <w:pStyle w:val="4"/>
        <w:numPr>
          <w:ilvl w:val="1"/>
          <w:numId w:val="0"/>
        </w:numPr>
        <w:ind w:leftChars="0"/>
      </w:pPr>
    </w:p>
    <w:p>
      <w:pPr>
        <w:rPr>
          <w:rFonts w:hint="eastAsia" w:ascii="宋体" w:hAnsi="宋体"/>
          <w:sz w:val="24"/>
          <w:szCs w:val="24"/>
        </w:rPr>
      </w:pPr>
    </w:p>
    <w:p>
      <w:pPr>
        <w:pStyle w:val="4"/>
        <w:numPr>
          <w:ilvl w:val="1"/>
          <w:numId w:val="0"/>
        </w:numPr>
        <w:ind w:leftChars="0"/>
      </w:pPr>
    </w:p>
    <w:p>
      <w:pPr>
        <w:rPr>
          <w:rFonts w:hint="eastAsia" w:ascii="宋体" w:hAnsi="宋体"/>
          <w:sz w:val="24"/>
          <w:szCs w:val="24"/>
        </w:rPr>
      </w:pPr>
    </w:p>
    <w:p>
      <w:pPr>
        <w:pStyle w:val="4"/>
        <w:numPr>
          <w:ilvl w:val="1"/>
          <w:numId w:val="0"/>
        </w:numPr>
        <w:ind w:leftChars="0"/>
      </w:pPr>
    </w:p>
    <w:p>
      <w:pPr>
        <w:rPr>
          <w:rFonts w:hint="eastAsia" w:ascii="宋体" w:hAnsi="宋体"/>
          <w:sz w:val="24"/>
          <w:szCs w:val="24"/>
        </w:rPr>
      </w:pPr>
    </w:p>
    <w:p>
      <w:pPr>
        <w:pStyle w:val="4"/>
        <w:numPr>
          <w:ilvl w:val="1"/>
          <w:numId w:val="0"/>
        </w:numPr>
        <w:ind w:leftChars="0"/>
      </w:pPr>
    </w:p>
    <w:p>
      <w:pPr>
        <w:rPr>
          <w:rFonts w:hint="eastAsia" w:ascii="宋体" w:hAnsi="宋体"/>
          <w:sz w:val="24"/>
          <w:szCs w:val="24"/>
        </w:rPr>
      </w:pPr>
    </w:p>
    <w:p>
      <w:pPr>
        <w:pStyle w:val="4"/>
        <w:numPr>
          <w:ilvl w:val="1"/>
          <w:numId w:val="0"/>
        </w:numPr>
        <w:ind w:leftChars="0"/>
      </w:pPr>
    </w:p>
    <w:p>
      <w:pPr>
        <w:rPr>
          <w:rFonts w:hint="eastAsia" w:ascii="宋体" w:hAnsi="宋体"/>
          <w:sz w:val="24"/>
          <w:szCs w:val="24"/>
        </w:rPr>
      </w:pPr>
    </w:p>
    <w:p>
      <w:pPr>
        <w:pStyle w:val="4"/>
        <w:numPr>
          <w:ilvl w:val="1"/>
          <w:numId w:val="0"/>
        </w:numPr>
        <w:ind w:leftChars="0"/>
      </w:pPr>
    </w:p>
    <w:p>
      <w:pPr>
        <w:rPr>
          <w:rFonts w:hint="eastAsia" w:ascii="宋体" w:hAnsi="宋体"/>
          <w:sz w:val="24"/>
          <w:szCs w:val="24"/>
        </w:rPr>
      </w:pPr>
    </w:p>
    <w:p>
      <w:pPr>
        <w:pStyle w:val="4"/>
        <w:numPr>
          <w:ilvl w:val="0"/>
          <w:numId w:val="0"/>
        </w:numPr>
        <w:spacing w:line="240" w:lineRule="auto"/>
        <w:rPr>
          <w:sz w:val="24"/>
          <w:szCs w:val="24"/>
        </w:rPr>
      </w:pPr>
      <w:r>
        <w:rPr>
          <w:rFonts w:hint="eastAsia"/>
          <w:sz w:val="24"/>
          <w:szCs w:val="24"/>
        </w:rPr>
        <w:t>附件4.</w:t>
      </w:r>
      <w:r>
        <w:rPr>
          <w:rFonts w:hint="eastAsia"/>
          <w:sz w:val="24"/>
          <w:szCs w:val="24"/>
          <w:lang w:val="en-US" w:eastAsia="zh-CN"/>
        </w:rPr>
        <w:t>4</w:t>
      </w:r>
      <w:r>
        <w:rPr>
          <w:rFonts w:hint="eastAsia"/>
          <w:sz w:val="24"/>
          <w:szCs w:val="24"/>
        </w:rPr>
        <w:t xml:space="preserve"> 供应商技术响应文件</w:t>
      </w:r>
    </w:p>
    <w:p>
      <w:pPr>
        <w:pStyle w:val="4"/>
        <w:numPr>
          <w:ilvl w:val="1"/>
          <w:numId w:val="0"/>
        </w:numPr>
        <w:ind w:leftChars="0"/>
      </w:pPr>
    </w:p>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2"/>
      </w:rPr>
    </w:pPr>
    <w:r>
      <w:fldChar w:fldCharType="begin"/>
    </w:r>
    <w:r>
      <w:rPr>
        <w:rStyle w:val="32"/>
      </w:rPr>
      <w:instrText xml:space="preserve">PAGE  </w:instrText>
    </w:r>
    <w:r>
      <w:fldChar w:fldCharType="separate"/>
    </w:r>
    <w:r>
      <w:rPr>
        <w:rStyle w:val="32"/>
      </w:rPr>
      <w:t>21</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2"/>
      </w:rPr>
    </w:pPr>
    <w:r>
      <w:fldChar w:fldCharType="begin"/>
    </w:r>
    <w:r>
      <w:rPr>
        <w:rStyle w:val="32"/>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987E14"/>
    <w:multiLevelType w:val="singleLevel"/>
    <w:tmpl w:val="D7987E14"/>
    <w:lvl w:ilvl="0" w:tentative="0">
      <w:start w:val="1"/>
      <w:numFmt w:val="decimal"/>
      <w:lvlText w:val="%1."/>
      <w:lvlJc w:val="left"/>
      <w:pPr>
        <w:tabs>
          <w:tab w:val="left" w:pos="312"/>
        </w:tabs>
      </w:pPr>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5A65DAB"/>
    <w:rsid w:val="05B5126E"/>
    <w:rsid w:val="0881495A"/>
    <w:rsid w:val="09CB2CBC"/>
    <w:rsid w:val="0B493D92"/>
    <w:rsid w:val="0CBB3AE6"/>
    <w:rsid w:val="0D29234E"/>
    <w:rsid w:val="0EEA5E9D"/>
    <w:rsid w:val="152945E2"/>
    <w:rsid w:val="1561104A"/>
    <w:rsid w:val="169F1079"/>
    <w:rsid w:val="173D04A3"/>
    <w:rsid w:val="1C3560D4"/>
    <w:rsid w:val="1FAB45C5"/>
    <w:rsid w:val="204458BF"/>
    <w:rsid w:val="25C33B5E"/>
    <w:rsid w:val="26EB5F2E"/>
    <w:rsid w:val="29DA72DF"/>
    <w:rsid w:val="2B746704"/>
    <w:rsid w:val="2CF46C8C"/>
    <w:rsid w:val="2F55001E"/>
    <w:rsid w:val="301B6D42"/>
    <w:rsid w:val="31210BB1"/>
    <w:rsid w:val="382B1748"/>
    <w:rsid w:val="3B931AE2"/>
    <w:rsid w:val="3CDB2158"/>
    <w:rsid w:val="3D1315E1"/>
    <w:rsid w:val="48567BBA"/>
    <w:rsid w:val="4B2526AB"/>
    <w:rsid w:val="4C916D50"/>
    <w:rsid w:val="4DFE4C02"/>
    <w:rsid w:val="51BA49DE"/>
    <w:rsid w:val="55BA1DC6"/>
    <w:rsid w:val="55D52260"/>
    <w:rsid w:val="59551C8D"/>
    <w:rsid w:val="59AB2285"/>
    <w:rsid w:val="5BB47782"/>
    <w:rsid w:val="5E4B1205"/>
    <w:rsid w:val="5F504943"/>
    <w:rsid w:val="6516640F"/>
    <w:rsid w:val="65875B1F"/>
    <w:rsid w:val="66B54E52"/>
    <w:rsid w:val="66DF072A"/>
    <w:rsid w:val="67BA714A"/>
    <w:rsid w:val="6C3C1DA0"/>
    <w:rsid w:val="75B94E29"/>
    <w:rsid w:val="7B2E0AA4"/>
    <w:rsid w:val="7C4116D4"/>
    <w:rsid w:val="7C88585D"/>
    <w:rsid w:val="7EAD5A02"/>
    <w:rsid w:val="7F2101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8"/>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39"/>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0"/>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qFormat/>
    <w:uiPriority w:val="0"/>
    <w:pPr>
      <w:jc w:val="center"/>
    </w:pPr>
    <w:rPr>
      <w:sz w:val="52"/>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1"/>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0"/>
    <w:qFormat/>
    <w:uiPriority w:val="0"/>
    <w:pPr>
      <w:widowControl/>
      <w:spacing w:line="360" w:lineRule="atLeast"/>
      <w:ind w:left="100" w:leftChars="2500"/>
      <w:jc w:val="left"/>
    </w:pPr>
    <w:rPr>
      <w:kern w:val="0"/>
      <w:sz w:val="24"/>
      <w:szCs w:val="24"/>
    </w:rPr>
  </w:style>
  <w:style w:type="paragraph" w:styleId="18">
    <w:name w:val="Body Text Indent 2"/>
    <w:basedOn w:val="1"/>
    <w:qFormat/>
    <w:uiPriority w:val="0"/>
    <w:pPr>
      <w:spacing w:line="400" w:lineRule="exact"/>
      <w:ind w:firstLine="560" w:firstLineChars="200"/>
    </w:pPr>
    <w:rPr>
      <w:sz w:val="28"/>
    </w:rPr>
  </w:style>
  <w:style w:type="paragraph" w:styleId="19">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7"/>
    <w:unhideWhenUsed/>
    <w:qFormat/>
    <w:uiPriority w:val="99"/>
    <w:pPr>
      <w:tabs>
        <w:tab w:val="center" w:pos="4153"/>
        <w:tab w:val="right" w:pos="8306"/>
      </w:tabs>
      <w:snapToGrid w:val="0"/>
      <w:jc w:val="left"/>
    </w:pPr>
    <w:rPr>
      <w:sz w:val="18"/>
      <w:szCs w:val="18"/>
    </w:rPr>
  </w:style>
  <w:style w:type="paragraph" w:styleId="21">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2"/>
    <w:next w:val="12"/>
    <w:link w:val="59"/>
    <w:unhideWhenUsed/>
    <w:qFormat/>
    <w:uiPriority w:val="0"/>
    <w:rPr>
      <w:rFonts w:asciiTheme="minorHAnsi" w:hAnsiTheme="minorHAnsi" w:cstheme="minorBidi"/>
      <w:b/>
      <w:bCs/>
      <w:lang w:val="zh-CN" w:eastAsia="zh-CN"/>
    </w:rPr>
  </w:style>
  <w:style w:type="table" w:styleId="30">
    <w:name w:val="Table Grid"/>
    <w:basedOn w:val="29"/>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99"/>
    <w:rPr>
      <w:color w:val="800080"/>
      <w:u w:val="single"/>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页眉 Char"/>
    <w:basedOn w:val="31"/>
    <w:link w:val="21"/>
    <w:qFormat/>
    <w:uiPriority w:val="99"/>
    <w:rPr>
      <w:sz w:val="18"/>
      <w:szCs w:val="18"/>
    </w:rPr>
  </w:style>
  <w:style w:type="character" w:customStyle="1" w:styleId="37">
    <w:name w:val="页脚 Char"/>
    <w:basedOn w:val="31"/>
    <w:link w:val="20"/>
    <w:qFormat/>
    <w:uiPriority w:val="99"/>
    <w:rPr>
      <w:sz w:val="18"/>
      <w:szCs w:val="18"/>
    </w:rPr>
  </w:style>
  <w:style w:type="character" w:customStyle="1" w:styleId="38">
    <w:name w:val="标题 1 Char"/>
    <w:basedOn w:val="31"/>
    <w:link w:val="3"/>
    <w:qFormat/>
    <w:uiPriority w:val="9"/>
    <w:rPr>
      <w:rFonts w:ascii="宋体" w:hAnsi="宋体" w:eastAsia="宋体" w:cs="宋体"/>
      <w:b/>
      <w:bCs/>
      <w:kern w:val="36"/>
      <w:szCs w:val="21"/>
    </w:rPr>
  </w:style>
  <w:style w:type="character" w:customStyle="1" w:styleId="39">
    <w:name w:val="标题 2 Char"/>
    <w:basedOn w:val="31"/>
    <w:link w:val="4"/>
    <w:qFormat/>
    <w:uiPriority w:val="9"/>
    <w:rPr>
      <w:rFonts w:ascii="Calibri Light" w:hAnsi="Calibri Light" w:eastAsia="宋体" w:cs="Times New Roman"/>
      <w:b/>
      <w:bCs/>
      <w:sz w:val="32"/>
      <w:szCs w:val="32"/>
    </w:rPr>
  </w:style>
  <w:style w:type="character" w:customStyle="1" w:styleId="40">
    <w:name w:val="标题 3 Char"/>
    <w:basedOn w:val="31"/>
    <w:link w:val="5"/>
    <w:qFormat/>
    <w:uiPriority w:val="9"/>
    <w:rPr>
      <w:rFonts w:ascii="Times New Roman" w:hAnsi="Times New Roman" w:eastAsia="宋体" w:cs="Times New Roman"/>
      <w:b/>
      <w:bCs/>
      <w:kern w:val="0"/>
      <w:sz w:val="32"/>
      <w:szCs w:val="32"/>
    </w:rPr>
  </w:style>
  <w:style w:type="character" w:customStyle="1" w:styleId="41">
    <w:name w:val="标题 4 Char"/>
    <w:basedOn w:val="31"/>
    <w:link w:val="6"/>
    <w:qFormat/>
    <w:uiPriority w:val="9"/>
    <w:rPr>
      <w:rFonts w:ascii="Calibri Light" w:hAnsi="Calibri Light" w:eastAsia="宋体" w:cs="Times New Roman"/>
      <w:b/>
      <w:bCs/>
      <w:sz w:val="28"/>
      <w:szCs w:val="28"/>
    </w:rPr>
  </w:style>
  <w:style w:type="character" w:customStyle="1" w:styleId="42">
    <w:name w:val="标题 5 Char"/>
    <w:basedOn w:val="31"/>
    <w:link w:val="7"/>
    <w:qFormat/>
    <w:uiPriority w:val="9"/>
    <w:rPr>
      <w:rFonts w:ascii="Times New Roman" w:hAnsi="Times New Roman" w:eastAsia="宋体" w:cs="Times New Roman"/>
      <w:b/>
      <w:bCs/>
      <w:sz w:val="28"/>
      <w:szCs w:val="28"/>
    </w:rPr>
  </w:style>
  <w:style w:type="character" w:customStyle="1" w:styleId="43">
    <w:name w:val="标题 6 Char"/>
    <w:basedOn w:val="31"/>
    <w:link w:val="8"/>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1"/>
    <w:link w:val="17"/>
    <w:qFormat/>
    <w:uiPriority w:val="0"/>
    <w:rPr>
      <w:rFonts w:ascii="Times New Roman" w:hAnsi="Times New Roman" w:eastAsia="宋体" w:cs="Times New Roman"/>
      <w:kern w:val="0"/>
      <w:sz w:val="24"/>
      <w:szCs w:val="24"/>
    </w:rPr>
  </w:style>
  <w:style w:type="character" w:customStyle="1" w:styleId="51">
    <w:name w:val="纯文本 Char"/>
    <w:basedOn w:val="31"/>
    <w:link w:val="15"/>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1"/>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9"/>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2"/>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2"/>
    <w:next w:val="12"/>
    <w:qFormat/>
    <w:uiPriority w:val="0"/>
    <w:rPr>
      <w:b/>
      <w:bCs/>
      <w:lang w:val="zh-CN" w:eastAsia="zh-CN"/>
    </w:rPr>
  </w:style>
  <w:style w:type="character" w:customStyle="1" w:styleId="59">
    <w:name w:val="批注主题 Char"/>
    <w:link w:val="28"/>
    <w:qFormat/>
    <w:uiPriority w:val="0"/>
    <w:rPr>
      <w:rFonts w:eastAsia="楷体"/>
      <w:b/>
      <w:bCs/>
      <w:sz w:val="24"/>
      <w:lang w:val="zh-CN" w:eastAsia="zh-CN"/>
    </w:rPr>
  </w:style>
  <w:style w:type="paragraph" w:customStyle="1" w:styleId="60">
    <w:name w:val="批注框文本1"/>
    <w:basedOn w:val="1"/>
    <w:next w:val="19"/>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10"/>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7"/>
    <w:qFormat/>
    <w:uiPriority w:val="10"/>
    <w:rPr>
      <w:rFonts w:ascii="Calibri Light" w:hAnsi="Calibri Light"/>
      <w:b/>
      <w:bCs/>
      <w:sz w:val="32"/>
      <w:szCs w:val="32"/>
    </w:rPr>
  </w:style>
  <w:style w:type="character" w:customStyle="1" w:styleId="117">
    <w:name w:val="文档结构图 Char1"/>
    <w:basedOn w:val="31"/>
    <w:link w:val="11"/>
    <w:qFormat/>
    <w:uiPriority w:val="99"/>
    <w:rPr>
      <w:rFonts w:ascii="Microsoft YaHei UI" w:hAnsi="Calibri" w:eastAsia="Microsoft YaHei UI" w:cs="Times New Roman"/>
      <w:sz w:val="18"/>
      <w:szCs w:val="18"/>
    </w:rPr>
  </w:style>
  <w:style w:type="character" w:customStyle="1" w:styleId="118">
    <w:name w:val="批注文字 Char1"/>
    <w:basedOn w:val="31"/>
    <w:link w:val="12"/>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1"/>
    <w:link w:val="19"/>
    <w:qFormat/>
    <w:uiPriority w:val="99"/>
    <w:rPr>
      <w:rFonts w:ascii="Calibri" w:hAnsi="Calibri" w:eastAsia="楷体" w:cs="Times New Roman"/>
      <w:sz w:val="18"/>
      <w:szCs w:val="18"/>
    </w:rPr>
  </w:style>
  <w:style w:type="character" w:customStyle="1" w:styleId="121">
    <w:name w:val="标题 Char1"/>
    <w:basedOn w:val="31"/>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 w:type="character" w:customStyle="1" w:styleId="133">
    <w:name w:val="font51"/>
    <w:basedOn w:val="31"/>
    <w:qFormat/>
    <w:uiPriority w:val="0"/>
    <w:rPr>
      <w:rFonts w:hint="eastAsia" w:ascii="仿宋" w:hAnsi="仿宋" w:eastAsia="仿宋" w:cs="仿宋"/>
      <w:color w:val="000000"/>
      <w:sz w:val="21"/>
      <w:szCs w:val="21"/>
      <w:u w:val="none"/>
    </w:rPr>
  </w:style>
  <w:style w:type="character" w:customStyle="1" w:styleId="134">
    <w:name w:val="font91"/>
    <w:basedOn w:val="31"/>
    <w:qFormat/>
    <w:uiPriority w:val="0"/>
    <w:rPr>
      <w:rFonts w:hint="eastAsia" w:ascii="仿宋" w:hAnsi="仿宋" w:eastAsia="仿宋" w:cs="仿宋"/>
      <w:color w:val="000000"/>
      <w:sz w:val="21"/>
      <w:szCs w:val="21"/>
      <w:u w:val="none"/>
    </w:rPr>
  </w:style>
  <w:style w:type="paragraph" w:customStyle="1" w:styleId="135">
    <w:name w:val="1"/>
    <w:basedOn w:val="1"/>
    <w:next w:val="18"/>
    <w:qFormat/>
    <w:uiPriority w:val="0"/>
    <w:pPr>
      <w:tabs>
        <w:tab w:val="left" w:pos="3060"/>
      </w:tabs>
      <w:spacing w:line="140" w:lineRule="atLeast"/>
      <w:ind w:firstLine="560" w:firstLineChars="200"/>
    </w:pPr>
    <w:rPr>
      <w:sz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control" Target="activeX/activeX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3</TotalTime>
  <ScaleCrop>false</ScaleCrop>
  <LinksUpToDate>false</LinksUpToDate>
  <CharactersWithSpaces>11754</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昔军</cp:lastModifiedBy>
  <cp:lastPrinted>2024-12-04T08:43:00Z</cp:lastPrinted>
  <dcterms:modified xsi:type="dcterms:W3CDTF">2025-03-06T11:06:09Z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38BCAF0D5059426B8F976424571A20D4</vt:lpwstr>
  </property>
</Properties>
</file>