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rPr>
          <w:rFonts w:ascii="华文中宋" w:hAnsi="华文中宋" w:eastAsia="华文中宋"/>
          <w:b/>
          <w:sz w:val="44"/>
          <w:szCs w:val="44"/>
        </w:rPr>
      </w:pPr>
      <w:r>
        <w:rPr>
          <w:rFonts w:hint="eastAsia" w:ascii="华文中宋" w:hAnsi="华文中宋" w:eastAsia="华文中宋"/>
          <w:b/>
          <w:sz w:val="44"/>
          <w:szCs w:val="44"/>
        </w:rPr>
        <w:t>关于人保财险</w:t>
      </w:r>
      <w:r>
        <w:rPr>
          <w:rFonts w:hint="eastAsia" w:ascii="华文中宋" w:hAnsi="华文中宋" w:eastAsia="华文中宋"/>
          <w:b/>
          <w:sz w:val="44"/>
          <w:szCs w:val="44"/>
          <w:lang w:eastAsia="zh-CN"/>
        </w:rPr>
        <w:t>广东</w:t>
      </w:r>
      <w:r>
        <w:rPr>
          <w:rFonts w:hint="eastAsia" w:ascii="华文中宋" w:hAnsi="华文中宋" w:eastAsia="华文中宋"/>
          <w:b/>
          <w:sz w:val="44"/>
          <w:szCs w:val="44"/>
          <w:lang w:val="en-US" w:eastAsia="zh-CN"/>
        </w:rPr>
        <w:t>省</w:t>
      </w:r>
      <w:r>
        <w:rPr>
          <w:rFonts w:hint="eastAsia" w:ascii="华文中宋" w:hAnsi="华文中宋" w:eastAsia="华文中宋"/>
          <w:b/>
          <w:sz w:val="44"/>
          <w:szCs w:val="44"/>
          <w:lang w:eastAsia="zh-CN"/>
        </w:rPr>
        <w:t>分公司</w:t>
      </w:r>
      <w:r>
        <w:rPr>
          <w:rFonts w:hint="eastAsia" w:ascii="华文中宋" w:hAnsi="华文中宋" w:eastAsia="华文中宋"/>
          <w:b/>
          <w:sz w:val="44"/>
          <w:szCs w:val="44"/>
          <w:lang w:val="en-US" w:eastAsia="zh-CN"/>
        </w:rPr>
        <w:t>网约车风险识别服务</w:t>
      </w:r>
      <w:r>
        <w:rPr>
          <w:rFonts w:hint="eastAsia" w:ascii="华文中宋" w:hAnsi="华文中宋" w:eastAsia="华文中宋"/>
          <w:b/>
          <w:sz w:val="44"/>
          <w:szCs w:val="44"/>
        </w:rPr>
        <w:t>项目供应商征集公告</w:t>
      </w:r>
    </w:p>
    <w:p>
      <w:pPr>
        <w:jc w:val="center"/>
        <w:rPr>
          <w:rFonts w:asciiTheme="majorEastAsia" w:hAnsiTheme="majorEastAsia" w:eastAsiaTheme="majorEastAsia"/>
          <w:b/>
          <w:sz w:val="44"/>
          <w:szCs w:val="44"/>
        </w:rPr>
      </w:pPr>
    </w:p>
    <w:p>
      <w:pPr>
        <w:pStyle w:val="13"/>
        <w:numPr>
          <w:ilvl w:val="0"/>
          <w:numId w:val="1"/>
        </w:numPr>
        <w:spacing w:line="360" w:lineRule="auto"/>
        <w:ind w:firstLineChars="0"/>
        <w:rPr>
          <w:rFonts w:ascii="黑体" w:hAnsi="黑体" w:eastAsia="黑体"/>
          <w:b/>
          <w:sz w:val="32"/>
          <w:szCs w:val="32"/>
        </w:rPr>
      </w:pPr>
      <w:r>
        <w:rPr>
          <w:rFonts w:hint="eastAsia" w:ascii="黑体" w:hAnsi="黑体" w:eastAsia="黑体"/>
          <w:b/>
          <w:sz w:val="32"/>
          <w:szCs w:val="32"/>
        </w:rPr>
        <w:t>公告</w:t>
      </w:r>
      <w:r>
        <w:rPr>
          <w:rFonts w:ascii="黑体" w:hAnsi="黑体" w:eastAsia="黑体"/>
          <w:b/>
          <w:sz w:val="32"/>
          <w:szCs w:val="32"/>
        </w:rPr>
        <w:t>说明</w:t>
      </w:r>
    </w:p>
    <w:p>
      <w:pPr>
        <w:spacing w:line="360" w:lineRule="auto"/>
        <w:ind w:firstLine="640" w:firstLineChars="200"/>
        <w:rPr>
          <w:rFonts w:ascii="仿宋_GB2312" w:eastAsia="仿宋_GB2312" w:hAnsiTheme="majorEastAsia"/>
          <w:sz w:val="32"/>
          <w:szCs w:val="32"/>
        </w:rPr>
      </w:pPr>
      <w:r>
        <w:rPr>
          <w:rFonts w:hint="eastAsia" w:ascii="仿宋_GB2312" w:eastAsia="仿宋_GB2312" w:hAnsiTheme="majorEastAsia"/>
          <w:sz w:val="32"/>
          <w:szCs w:val="32"/>
        </w:rPr>
        <w:t>我</w:t>
      </w:r>
      <w:r>
        <w:rPr>
          <w:rFonts w:ascii="仿宋_GB2312" w:eastAsia="仿宋_GB2312" w:hAnsiTheme="majorEastAsia"/>
          <w:sz w:val="32"/>
          <w:szCs w:val="32"/>
        </w:rPr>
        <w:t>公司</w:t>
      </w:r>
      <w:r>
        <w:rPr>
          <w:rFonts w:hint="eastAsia" w:ascii="仿宋_GB2312" w:eastAsia="仿宋_GB2312" w:hAnsiTheme="majorEastAsia"/>
          <w:sz w:val="32"/>
          <w:szCs w:val="32"/>
          <w:lang w:val="en-US" w:eastAsia="zh-CN"/>
        </w:rPr>
        <w:t>人保财险广东省分公司网约车风险识别服务</w:t>
      </w:r>
      <w:r>
        <w:rPr>
          <w:rFonts w:hint="eastAsia" w:ascii="仿宋_GB2312" w:eastAsia="仿宋_GB2312" w:hAnsiTheme="majorEastAsia"/>
          <w:sz w:val="32"/>
          <w:szCs w:val="32"/>
        </w:rPr>
        <w:t>项目，征集优秀供应商，征集时间自</w:t>
      </w:r>
      <w:r>
        <w:rPr>
          <w:rFonts w:hint="eastAsia" w:ascii="仿宋_GB2312" w:eastAsia="仿宋_GB2312" w:hAnsiTheme="majorEastAsia"/>
          <w:sz w:val="32"/>
          <w:szCs w:val="32"/>
          <w:lang w:val="en-US" w:eastAsia="zh-CN"/>
        </w:rPr>
        <w:t>2025</w:t>
      </w:r>
      <w:r>
        <w:rPr>
          <w:rFonts w:hint="eastAsia" w:ascii="仿宋_GB2312" w:eastAsia="仿宋_GB2312" w:hAnsiTheme="majorEastAsia"/>
          <w:sz w:val="32"/>
          <w:szCs w:val="32"/>
        </w:rPr>
        <w:t>年</w:t>
      </w:r>
      <w:r>
        <w:rPr>
          <w:rFonts w:hint="eastAsia" w:ascii="仿宋_GB2312" w:eastAsia="仿宋_GB2312" w:hAnsiTheme="majorEastAsia"/>
          <w:sz w:val="32"/>
          <w:szCs w:val="32"/>
          <w:lang w:val="en-US" w:eastAsia="zh-CN"/>
        </w:rPr>
        <w:t>3</w:t>
      </w:r>
      <w:r>
        <w:rPr>
          <w:rFonts w:hint="eastAsia" w:ascii="仿宋_GB2312" w:eastAsia="仿宋_GB2312" w:hAnsiTheme="majorEastAsia"/>
          <w:sz w:val="32"/>
          <w:szCs w:val="32"/>
        </w:rPr>
        <w:t>月</w:t>
      </w:r>
      <w:r>
        <w:rPr>
          <w:rFonts w:hint="eastAsia" w:ascii="仿宋_GB2312" w:eastAsia="仿宋_GB2312" w:hAnsiTheme="majorEastAsia"/>
          <w:sz w:val="32"/>
          <w:szCs w:val="32"/>
          <w:lang w:val="en-US" w:eastAsia="zh-CN"/>
        </w:rPr>
        <w:t>17</w:t>
      </w:r>
      <w:r>
        <w:rPr>
          <w:rFonts w:hint="eastAsia" w:ascii="仿宋_GB2312" w:eastAsia="仿宋_GB2312" w:hAnsiTheme="majorEastAsia"/>
          <w:sz w:val="32"/>
          <w:szCs w:val="32"/>
        </w:rPr>
        <w:t>日</w:t>
      </w:r>
      <w:r>
        <w:rPr>
          <w:rFonts w:hint="eastAsia" w:ascii="仿宋_GB2312" w:eastAsia="仿宋_GB2312" w:hAnsiTheme="majorEastAsia"/>
          <w:sz w:val="32"/>
          <w:szCs w:val="32"/>
          <w:lang w:val="en-US" w:eastAsia="zh-CN"/>
        </w:rPr>
        <w:t>17</w:t>
      </w:r>
      <w:r>
        <w:rPr>
          <w:rFonts w:hint="eastAsia" w:ascii="仿宋_GB2312" w:eastAsia="仿宋_GB2312" w:hAnsiTheme="majorEastAsia"/>
          <w:sz w:val="32"/>
          <w:szCs w:val="32"/>
        </w:rPr>
        <w:t>:</w:t>
      </w:r>
      <w:r>
        <w:rPr>
          <w:rFonts w:hint="eastAsia" w:ascii="仿宋_GB2312" w:eastAsia="仿宋_GB2312" w:hAnsiTheme="majorEastAsia"/>
          <w:sz w:val="32"/>
          <w:szCs w:val="32"/>
          <w:lang w:val="en-US" w:eastAsia="zh-CN"/>
        </w:rPr>
        <w:t>00</w:t>
      </w:r>
      <w:r>
        <w:rPr>
          <w:rFonts w:hint="eastAsia" w:ascii="仿宋_GB2312" w:eastAsia="仿宋_GB2312" w:hAnsiTheme="majorEastAsia"/>
          <w:sz w:val="32"/>
          <w:szCs w:val="32"/>
        </w:rPr>
        <w:t>截至</w:t>
      </w:r>
      <w:r>
        <w:rPr>
          <w:rFonts w:hint="eastAsia" w:ascii="仿宋_GB2312" w:eastAsia="仿宋_GB2312" w:hAnsiTheme="majorEastAsia"/>
          <w:sz w:val="32"/>
          <w:szCs w:val="32"/>
          <w:lang w:val="en-US" w:eastAsia="zh-CN"/>
        </w:rPr>
        <w:t>2025</w:t>
      </w:r>
      <w:r>
        <w:rPr>
          <w:rFonts w:hint="eastAsia" w:ascii="仿宋_GB2312" w:eastAsia="仿宋_GB2312" w:hAnsiTheme="majorEastAsia"/>
          <w:sz w:val="32"/>
          <w:szCs w:val="32"/>
        </w:rPr>
        <w:t>年</w:t>
      </w:r>
      <w:r>
        <w:rPr>
          <w:rFonts w:hint="eastAsia" w:ascii="仿宋_GB2312" w:eastAsia="仿宋_GB2312" w:hAnsiTheme="majorEastAsia"/>
          <w:sz w:val="32"/>
          <w:szCs w:val="32"/>
          <w:lang w:val="en-US" w:eastAsia="zh-CN"/>
        </w:rPr>
        <w:t>3</w:t>
      </w:r>
      <w:r>
        <w:rPr>
          <w:rFonts w:hint="eastAsia" w:ascii="仿宋_GB2312" w:eastAsia="仿宋_GB2312" w:hAnsiTheme="majorEastAsia"/>
          <w:sz w:val="32"/>
          <w:szCs w:val="32"/>
        </w:rPr>
        <w:t>月</w:t>
      </w:r>
      <w:r>
        <w:rPr>
          <w:rFonts w:hint="eastAsia" w:ascii="仿宋_GB2312" w:eastAsia="仿宋_GB2312" w:hAnsiTheme="majorEastAsia"/>
          <w:sz w:val="32"/>
          <w:szCs w:val="32"/>
          <w:lang w:val="en-US" w:eastAsia="zh-CN"/>
        </w:rPr>
        <w:t>21</w:t>
      </w:r>
      <w:r>
        <w:rPr>
          <w:rFonts w:hint="eastAsia" w:ascii="仿宋_GB2312" w:eastAsia="仿宋_GB2312" w:hAnsiTheme="majorEastAsia"/>
          <w:sz w:val="32"/>
          <w:szCs w:val="32"/>
        </w:rPr>
        <w:t>日</w:t>
      </w:r>
      <w:r>
        <w:rPr>
          <w:rFonts w:hint="eastAsia" w:ascii="仿宋_GB2312" w:eastAsia="仿宋_GB2312" w:hAnsiTheme="majorEastAsia"/>
          <w:sz w:val="32"/>
          <w:szCs w:val="32"/>
          <w:lang w:val="en-US" w:eastAsia="zh-CN"/>
        </w:rPr>
        <w:t>17</w:t>
      </w:r>
      <w:r>
        <w:rPr>
          <w:rFonts w:hint="eastAsia" w:ascii="仿宋_GB2312" w:eastAsia="仿宋_GB2312" w:hAnsiTheme="majorEastAsia"/>
          <w:sz w:val="32"/>
          <w:szCs w:val="32"/>
        </w:rPr>
        <w:t>:</w:t>
      </w:r>
      <w:r>
        <w:rPr>
          <w:rFonts w:hint="eastAsia" w:ascii="仿宋_GB2312" w:eastAsia="仿宋_GB2312" w:hAnsiTheme="majorEastAsia"/>
          <w:sz w:val="32"/>
          <w:szCs w:val="32"/>
          <w:lang w:val="en-US" w:eastAsia="zh-CN"/>
        </w:rPr>
        <w:t>00</w:t>
      </w:r>
      <w:r>
        <w:rPr>
          <w:rFonts w:hint="eastAsia" w:ascii="仿宋_GB2312" w:eastAsia="仿宋_GB2312" w:hAnsiTheme="majorEastAsia"/>
          <w:sz w:val="32"/>
          <w:szCs w:val="32"/>
        </w:rPr>
        <w:t>，欢迎参与。</w:t>
      </w:r>
    </w:p>
    <w:p>
      <w:pPr>
        <w:pStyle w:val="13"/>
        <w:numPr>
          <w:ilvl w:val="0"/>
          <w:numId w:val="1"/>
        </w:numPr>
        <w:spacing w:line="360" w:lineRule="auto"/>
        <w:ind w:firstLineChars="0"/>
        <w:rPr>
          <w:rFonts w:ascii="黑体" w:hAnsi="黑体" w:eastAsia="黑体"/>
          <w:b/>
          <w:sz w:val="32"/>
          <w:szCs w:val="32"/>
        </w:rPr>
      </w:pPr>
      <w:r>
        <w:rPr>
          <w:rFonts w:hint="eastAsia" w:ascii="黑体" w:hAnsi="黑体" w:eastAsia="黑体"/>
          <w:b/>
          <w:sz w:val="32"/>
          <w:szCs w:val="32"/>
        </w:rPr>
        <w:t>项目需求</w:t>
      </w:r>
    </w:p>
    <w:p>
      <w:pPr>
        <w:pStyle w:val="13"/>
        <w:widowControl/>
        <w:spacing w:line="600" w:lineRule="exact"/>
        <w:ind w:firstLine="640"/>
        <w:jc w:val="left"/>
        <w:rPr>
          <w:rFonts w:hint="eastAsia" w:ascii="仿宋_GB2312" w:eastAsia="仿宋_GB2312" w:cs="宋体" w:hAnsiTheme="majorEastAsia"/>
          <w:kern w:val="0"/>
          <w:sz w:val="32"/>
          <w:szCs w:val="32"/>
          <w:lang w:val="en-US" w:eastAsia="zh-CN" w:bidi="ar-SA"/>
        </w:rPr>
      </w:pPr>
      <w:r>
        <w:rPr>
          <w:rFonts w:hint="eastAsia" w:ascii="仿宋_GB2312" w:eastAsia="仿宋_GB2312" w:cs="宋体" w:hAnsiTheme="majorEastAsia"/>
          <w:kern w:val="0"/>
          <w:sz w:val="32"/>
          <w:szCs w:val="32"/>
          <w:lang w:val="en-US" w:eastAsia="zh-CN" w:bidi="ar-SA"/>
        </w:rPr>
        <w:t>（一）设施设备要求</w:t>
      </w:r>
    </w:p>
    <w:p>
      <w:pPr>
        <w:pStyle w:val="13"/>
        <w:widowControl/>
        <w:spacing w:line="600" w:lineRule="exact"/>
        <w:ind w:firstLine="640"/>
        <w:jc w:val="left"/>
        <w:rPr>
          <w:rFonts w:hint="eastAsia" w:ascii="仿宋_GB2312" w:eastAsia="仿宋_GB2312" w:cs="宋体" w:hAnsiTheme="majorEastAsia"/>
          <w:kern w:val="0"/>
          <w:sz w:val="32"/>
          <w:szCs w:val="32"/>
          <w:lang w:val="en-US" w:eastAsia="zh-CN" w:bidi="ar-SA"/>
        </w:rPr>
      </w:pPr>
      <w:r>
        <w:rPr>
          <w:rFonts w:hint="eastAsia" w:ascii="仿宋_GB2312" w:eastAsia="仿宋_GB2312" w:cs="宋体" w:hAnsiTheme="majorEastAsia"/>
          <w:kern w:val="0"/>
          <w:sz w:val="32"/>
          <w:szCs w:val="32"/>
          <w:lang w:val="en-US" w:eastAsia="zh-CN" w:bidi="ar-SA"/>
        </w:rPr>
        <w:t>供应商通过提供的数据接口，接收车牌号、车架号信息，并自动反馈疑似网约车综合评分。供应商需要提供高质量技术服务，确保系统稳定运行，并能及时解决技术问题。</w:t>
      </w:r>
    </w:p>
    <w:p>
      <w:pPr>
        <w:pStyle w:val="13"/>
        <w:widowControl/>
        <w:spacing w:line="600" w:lineRule="exact"/>
        <w:ind w:firstLine="640"/>
        <w:jc w:val="left"/>
        <w:rPr>
          <w:rFonts w:hint="eastAsia" w:ascii="仿宋_GB2312" w:eastAsia="仿宋_GB2312" w:cs="宋体" w:hAnsiTheme="majorEastAsia"/>
          <w:kern w:val="0"/>
          <w:sz w:val="32"/>
          <w:szCs w:val="32"/>
          <w:lang w:val="en-US" w:eastAsia="zh-CN" w:bidi="ar-SA"/>
        </w:rPr>
      </w:pPr>
      <w:r>
        <w:rPr>
          <w:rFonts w:hint="eastAsia" w:ascii="仿宋_GB2312" w:eastAsia="仿宋_GB2312" w:cs="宋体" w:hAnsiTheme="majorEastAsia"/>
          <w:kern w:val="0"/>
          <w:sz w:val="32"/>
          <w:szCs w:val="32"/>
          <w:lang w:val="en-US" w:eastAsia="zh-CN" w:bidi="ar-SA"/>
        </w:rPr>
        <w:t>（二）服务流程及要求</w:t>
      </w:r>
    </w:p>
    <w:p>
      <w:pPr>
        <w:pStyle w:val="13"/>
        <w:widowControl/>
        <w:spacing w:line="600" w:lineRule="exact"/>
        <w:ind w:firstLine="640"/>
        <w:jc w:val="left"/>
        <w:rPr>
          <w:rFonts w:hint="eastAsia" w:ascii="仿宋_GB2312" w:eastAsia="仿宋_GB2312" w:cs="宋体" w:hAnsiTheme="majorEastAsia"/>
          <w:kern w:val="0"/>
          <w:sz w:val="32"/>
          <w:szCs w:val="32"/>
          <w:lang w:val="en-US" w:eastAsia="zh-CN" w:bidi="ar-SA"/>
        </w:rPr>
      </w:pPr>
      <w:r>
        <w:rPr>
          <w:rFonts w:hint="eastAsia" w:ascii="仿宋_GB2312" w:eastAsia="仿宋_GB2312" w:cs="宋体" w:hAnsiTheme="majorEastAsia"/>
          <w:kern w:val="0"/>
          <w:sz w:val="32"/>
          <w:szCs w:val="32"/>
          <w:lang w:val="en-US" w:eastAsia="zh-CN" w:bidi="ar-SA"/>
        </w:rPr>
        <w:t>1、服务内容</w:t>
      </w:r>
    </w:p>
    <w:p>
      <w:pPr>
        <w:pStyle w:val="13"/>
        <w:widowControl/>
        <w:spacing w:line="600" w:lineRule="exact"/>
        <w:ind w:firstLine="640"/>
        <w:jc w:val="left"/>
        <w:rPr>
          <w:rFonts w:hint="eastAsia" w:ascii="仿宋_GB2312" w:eastAsia="仿宋_GB2312" w:cs="宋体" w:hAnsiTheme="majorEastAsia"/>
          <w:kern w:val="0"/>
          <w:sz w:val="32"/>
          <w:szCs w:val="32"/>
          <w:lang w:val="en-US" w:eastAsia="zh-CN" w:bidi="ar-SA"/>
        </w:rPr>
      </w:pPr>
      <w:r>
        <w:rPr>
          <w:rFonts w:hint="eastAsia" w:ascii="仿宋_GB2312" w:eastAsia="仿宋_GB2312" w:cs="宋体" w:hAnsiTheme="majorEastAsia"/>
          <w:kern w:val="0"/>
          <w:sz w:val="32"/>
          <w:szCs w:val="32"/>
          <w:lang w:val="en-US" w:eastAsia="zh-CN" w:bidi="ar-SA"/>
        </w:rPr>
        <w:t>网约车风险识别服务查询平台和驾驶云平台对接。录单系统将投保信息传到车险承保系统；车险承保系统将新能源车辆车牌号等上传到驾驶云平台，并查询网约车风险评分。</w:t>
      </w:r>
    </w:p>
    <w:p>
      <w:pPr>
        <w:pStyle w:val="13"/>
        <w:widowControl/>
        <w:spacing w:line="600" w:lineRule="exact"/>
        <w:ind w:firstLine="640"/>
        <w:jc w:val="left"/>
        <w:rPr>
          <w:rFonts w:hint="eastAsia" w:ascii="仿宋_GB2312" w:eastAsia="仿宋_GB2312" w:cs="宋体" w:hAnsiTheme="majorEastAsia"/>
          <w:kern w:val="0"/>
          <w:sz w:val="32"/>
          <w:szCs w:val="32"/>
          <w:lang w:val="en-US" w:eastAsia="zh-CN" w:bidi="ar-SA"/>
        </w:rPr>
      </w:pPr>
      <w:r>
        <w:rPr>
          <w:rFonts w:hint="eastAsia" w:ascii="仿宋_GB2312" w:eastAsia="仿宋_GB2312" w:cs="宋体" w:hAnsiTheme="majorEastAsia"/>
          <w:kern w:val="0"/>
          <w:sz w:val="32"/>
          <w:szCs w:val="32"/>
          <w:lang w:val="en-US" w:eastAsia="zh-CN" w:bidi="ar-SA"/>
        </w:rPr>
        <w:t>2、服务标准</w:t>
      </w:r>
    </w:p>
    <w:p>
      <w:pPr>
        <w:pStyle w:val="13"/>
        <w:widowControl/>
        <w:spacing w:line="600" w:lineRule="exact"/>
        <w:ind w:firstLine="640"/>
        <w:jc w:val="left"/>
        <w:rPr>
          <w:rFonts w:hint="eastAsia" w:ascii="仿宋_GB2312" w:eastAsia="仿宋_GB2312" w:cs="宋体" w:hAnsiTheme="majorEastAsia"/>
          <w:kern w:val="0"/>
          <w:sz w:val="32"/>
          <w:szCs w:val="32"/>
          <w:lang w:val="en-US" w:eastAsia="zh-CN" w:bidi="ar-SA"/>
        </w:rPr>
      </w:pPr>
      <w:r>
        <w:rPr>
          <w:rFonts w:hint="eastAsia" w:ascii="仿宋_GB2312" w:eastAsia="仿宋_GB2312" w:cs="宋体" w:hAnsiTheme="majorEastAsia"/>
          <w:kern w:val="0"/>
          <w:sz w:val="32"/>
          <w:szCs w:val="32"/>
          <w:lang w:val="en-US" w:eastAsia="zh-CN" w:bidi="ar-SA"/>
        </w:rPr>
        <w:t>（1）查询驾驶云数据缓存池该车辆网约车评分是否存在，存在则返回；</w:t>
      </w:r>
    </w:p>
    <w:p>
      <w:pPr>
        <w:pStyle w:val="13"/>
        <w:widowControl/>
        <w:spacing w:line="600" w:lineRule="exact"/>
        <w:ind w:firstLine="640"/>
        <w:jc w:val="left"/>
        <w:rPr>
          <w:rFonts w:hint="eastAsia" w:ascii="仿宋_GB2312" w:eastAsia="仿宋_GB2312" w:cs="宋体" w:hAnsiTheme="majorEastAsia"/>
          <w:kern w:val="0"/>
          <w:sz w:val="32"/>
          <w:szCs w:val="32"/>
          <w:lang w:val="en-US" w:eastAsia="zh-CN" w:bidi="ar-SA"/>
        </w:rPr>
      </w:pPr>
      <w:r>
        <w:rPr>
          <w:rFonts w:hint="eastAsia" w:ascii="仿宋_GB2312" w:eastAsia="仿宋_GB2312" w:cs="宋体" w:hAnsiTheme="majorEastAsia"/>
          <w:kern w:val="0"/>
          <w:sz w:val="32"/>
          <w:szCs w:val="32"/>
          <w:lang w:val="en-US" w:eastAsia="zh-CN" w:bidi="ar-SA"/>
        </w:rPr>
        <w:t>（2）驾驶云数据缓存池如不存在网约车风险评分，则调用供应商服务；</w:t>
      </w:r>
    </w:p>
    <w:p>
      <w:pPr>
        <w:pStyle w:val="13"/>
        <w:widowControl/>
        <w:spacing w:line="600" w:lineRule="exact"/>
        <w:ind w:firstLine="640"/>
        <w:jc w:val="left"/>
        <w:rPr>
          <w:rFonts w:hint="eastAsia" w:ascii="仿宋_GB2312" w:eastAsia="仿宋_GB2312" w:cs="宋体" w:hAnsiTheme="majorEastAsia"/>
          <w:kern w:val="0"/>
          <w:sz w:val="32"/>
          <w:szCs w:val="32"/>
          <w:lang w:val="en-US" w:eastAsia="zh-CN" w:bidi="ar-SA"/>
        </w:rPr>
      </w:pPr>
      <w:r>
        <w:rPr>
          <w:rFonts w:hint="eastAsia" w:ascii="仿宋_GB2312" w:eastAsia="仿宋_GB2312" w:cs="宋体" w:hAnsiTheme="majorEastAsia"/>
          <w:kern w:val="0"/>
          <w:sz w:val="32"/>
          <w:szCs w:val="32"/>
          <w:lang w:val="en-US" w:eastAsia="zh-CN" w:bidi="ar-SA"/>
        </w:rPr>
        <w:t>（3）驾驶云平台从供应商处获取网约车风险评分并保存到缓存池；</w:t>
      </w:r>
    </w:p>
    <w:p>
      <w:pPr>
        <w:pStyle w:val="13"/>
        <w:widowControl/>
        <w:spacing w:line="600" w:lineRule="exact"/>
        <w:ind w:firstLine="640"/>
        <w:jc w:val="left"/>
        <w:rPr>
          <w:rFonts w:hint="eastAsia" w:ascii="仿宋_GB2312" w:eastAsia="仿宋_GB2312" w:cs="宋体" w:hAnsiTheme="majorEastAsia"/>
          <w:kern w:val="0"/>
          <w:sz w:val="32"/>
          <w:szCs w:val="32"/>
          <w:lang w:val="en-US" w:eastAsia="zh-CN" w:bidi="ar-SA"/>
        </w:rPr>
      </w:pPr>
      <w:r>
        <w:rPr>
          <w:rFonts w:hint="eastAsia" w:ascii="仿宋_GB2312" w:eastAsia="仿宋_GB2312" w:cs="宋体" w:hAnsiTheme="majorEastAsia"/>
          <w:kern w:val="0"/>
          <w:sz w:val="32"/>
          <w:szCs w:val="32"/>
          <w:lang w:val="en-US" w:eastAsia="zh-CN" w:bidi="ar-SA"/>
        </w:rPr>
        <w:t>（4）驾驶云平台将网约车风险评分传到承保系统；</w:t>
      </w:r>
    </w:p>
    <w:p>
      <w:pPr>
        <w:pStyle w:val="13"/>
        <w:widowControl/>
        <w:spacing w:line="600" w:lineRule="exact"/>
        <w:ind w:firstLine="640"/>
        <w:jc w:val="left"/>
        <w:rPr>
          <w:rFonts w:hint="eastAsia" w:ascii="仿宋_GB2312" w:eastAsia="仿宋_GB2312" w:cs="宋体" w:hAnsiTheme="majorEastAsia"/>
          <w:kern w:val="0"/>
          <w:sz w:val="32"/>
          <w:szCs w:val="32"/>
          <w:lang w:val="en-US" w:eastAsia="zh-CN" w:bidi="ar-SA"/>
        </w:rPr>
      </w:pPr>
      <w:r>
        <w:rPr>
          <w:rFonts w:hint="eastAsia" w:ascii="仿宋_GB2312" w:eastAsia="仿宋_GB2312" w:cs="宋体" w:hAnsiTheme="majorEastAsia"/>
          <w:kern w:val="0"/>
          <w:sz w:val="32"/>
          <w:szCs w:val="32"/>
          <w:lang w:val="en-US" w:eastAsia="zh-CN" w:bidi="ar-SA"/>
        </w:rPr>
        <w:t>（5）车险核保系统获取网约车评分。</w:t>
      </w:r>
    </w:p>
    <w:p>
      <w:pPr>
        <w:pStyle w:val="13"/>
        <w:widowControl/>
        <w:spacing w:line="600" w:lineRule="exact"/>
        <w:ind w:firstLine="640"/>
        <w:jc w:val="left"/>
        <w:rPr>
          <w:rFonts w:hint="eastAsia" w:ascii="仿宋_GB2312" w:eastAsia="仿宋_GB2312" w:cs="宋体" w:hAnsiTheme="majorEastAsia"/>
          <w:kern w:val="0"/>
          <w:sz w:val="32"/>
          <w:szCs w:val="32"/>
          <w:lang w:val="en-US" w:eastAsia="zh-CN" w:bidi="ar-SA"/>
        </w:rPr>
      </w:pPr>
      <w:r>
        <w:rPr>
          <w:rFonts w:hint="eastAsia" w:ascii="仿宋_GB2312" w:eastAsia="仿宋_GB2312" w:cs="宋体" w:hAnsiTheme="majorEastAsia"/>
          <w:kern w:val="0"/>
          <w:sz w:val="32"/>
          <w:szCs w:val="32"/>
          <w:lang w:val="en-US" w:eastAsia="zh-CN" w:bidi="ar-SA"/>
        </w:rPr>
        <w:t>3、人员要求和安排</w:t>
      </w:r>
    </w:p>
    <w:p>
      <w:pPr>
        <w:pStyle w:val="13"/>
        <w:widowControl/>
        <w:spacing w:line="600" w:lineRule="exact"/>
        <w:ind w:firstLine="640"/>
        <w:jc w:val="left"/>
        <w:rPr>
          <w:rFonts w:hint="eastAsia" w:ascii="仿宋_GB2312" w:eastAsia="仿宋_GB2312" w:cs="宋体" w:hAnsiTheme="majorEastAsia"/>
          <w:kern w:val="0"/>
          <w:sz w:val="32"/>
          <w:szCs w:val="32"/>
          <w:lang w:val="en-US" w:eastAsia="zh-CN" w:bidi="ar-SA"/>
        </w:rPr>
      </w:pPr>
      <w:r>
        <w:rPr>
          <w:rFonts w:hint="eastAsia" w:ascii="仿宋_GB2312" w:eastAsia="仿宋_GB2312" w:cs="宋体" w:hAnsiTheme="majorEastAsia"/>
          <w:kern w:val="0"/>
          <w:sz w:val="32"/>
          <w:szCs w:val="32"/>
          <w:lang w:val="en-US" w:eastAsia="zh-CN" w:bidi="ar-SA"/>
        </w:rPr>
        <w:t>供应商应提供7x24小时服务，确保系统在任何时间都能得到及时响应。</w:t>
      </w:r>
    </w:p>
    <w:p>
      <w:pPr>
        <w:pStyle w:val="13"/>
        <w:widowControl/>
        <w:spacing w:line="600" w:lineRule="exact"/>
        <w:ind w:firstLine="640"/>
        <w:jc w:val="left"/>
        <w:rPr>
          <w:rFonts w:hint="eastAsia" w:ascii="仿宋_GB2312" w:eastAsia="仿宋_GB2312" w:cs="宋体" w:hAnsiTheme="majorEastAsia"/>
          <w:kern w:val="0"/>
          <w:sz w:val="32"/>
          <w:szCs w:val="32"/>
          <w:lang w:val="en-US" w:eastAsia="zh-CN" w:bidi="ar-SA"/>
        </w:rPr>
      </w:pPr>
      <w:r>
        <w:rPr>
          <w:rFonts w:hint="eastAsia" w:ascii="仿宋_GB2312" w:eastAsia="仿宋_GB2312" w:cs="宋体" w:hAnsiTheme="majorEastAsia"/>
          <w:kern w:val="0"/>
          <w:sz w:val="32"/>
          <w:szCs w:val="32"/>
          <w:lang w:val="en-US" w:eastAsia="zh-CN" w:bidi="ar-SA"/>
        </w:rPr>
        <w:t>4、服务区域范围</w:t>
      </w:r>
    </w:p>
    <w:p>
      <w:pPr>
        <w:pStyle w:val="13"/>
        <w:widowControl/>
        <w:spacing w:line="600" w:lineRule="exact"/>
        <w:ind w:firstLine="640"/>
        <w:jc w:val="left"/>
        <w:rPr>
          <w:rFonts w:hint="eastAsia" w:ascii="仿宋_GB2312" w:eastAsia="仿宋_GB2312" w:cs="宋体" w:hAnsiTheme="majorEastAsia"/>
          <w:kern w:val="0"/>
          <w:sz w:val="32"/>
          <w:szCs w:val="32"/>
          <w:lang w:val="en-US" w:eastAsia="zh-CN" w:bidi="ar-SA"/>
        </w:rPr>
      </w:pPr>
      <w:r>
        <w:rPr>
          <w:rFonts w:hint="eastAsia" w:ascii="仿宋_GB2312" w:eastAsia="仿宋_GB2312" w:cs="宋体" w:hAnsiTheme="majorEastAsia"/>
          <w:kern w:val="0"/>
          <w:sz w:val="32"/>
          <w:szCs w:val="32"/>
          <w:lang w:val="en-US" w:eastAsia="zh-CN" w:bidi="ar-SA"/>
        </w:rPr>
        <w:t>供应商应能够至少在广东区域范围内提供家用车疑似网约车识别服务。</w:t>
      </w:r>
    </w:p>
    <w:p>
      <w:pPr>
        <w:pStyle w:val="13"/>
        <w:widowControl/>
        <w:spacing w:line="600" w:lineRule="exact"/>
        <w:ind w:firstLine="640"/>
        <w:jc w:val="left"/>
        <w:rPr>
          <w:rFonts w:hint="eastAsia" w:ascii="仿宋_GB2312" w:eastAsia="仿宋_GB2312" w:cs="宋体" w:hAnsiTheme="majorEastAsia"/>
          <w:kern w:val="0"/>
          <w:sz w:val="32"/>
          <w:szCs w:val="32"/>
          <w:lang w:val="en-US" w:eastAsia="zh-CN" w:bidi="ar-SA"/>
        </w:rPr>
      </w:pPr>
      <w:r>
        <w:rPr>
          <w:rFonts w:hint="eastAsia" w:ascii="仿宋_GB2312" w:eastAsia="仿宋_GB2312" w:cs="宋体" w:hAnsiTheme="majorEastAsia"/>
          <w:kern w:val="0"/>
          <w:sz w:val="32"/>
          <w:szCs w:val="32"/>
          <w:lang w:val="en-US" w:eastAsia="zh-CN" w:bidi="ar-SA"/>
        </w:rPr>
        <w:t>5、验收及考核标准</w:t>
      </w:r>
    </w:p>
    <w:p>
      <w:pPr>
        <w:widowControl/>
        <w:spacing w:line="600" w:lineRule="exact"/>
        <w:ind w:firstLine="645"/>
        <w:jc w:val="left"/>
        <w:rPr>
          <w:rFonts w:hint="eastAsia" w:ascii="仿宋_GB2312" w:eastAsia="仿宋_GB2312" w:cs="宋体" w:hAnsiTheme="majorEastAsia"/>
          <w:kern w:val="0"/>
          <w:sz w:val="32"/>
          <w:szCs w:val="32"/>
          <w:lang w:val="en-US" w:eastAsia="zh-CN" w:bidi="ar-SA"/>
        </w:rPr>
      </w:pPr>
      <w:r>
        <w:rPr>
          <w:rFonts w:hint="eastAsia" w:ascii="仿宋_GB2312" w:eastAsia="仿宋_GB2312" w:cs="宋体" w:hAnsiTheme="majorEastAsia"/>
          <w:kern w:val="0"/>
          <w:sz w:val="32"/>
          <w:szCs w:val="32"/>
          <w:lang w:val="en-US" w:eastAsia="zh-CN" w:bidi="ar-SA"/>
        </w:rPr>
        <w:t>1、自合同签订日起一个月内完成承保端系统对接，可以在车险承保、车险核保系统中使用网约车风险识别查询服务。</w:t>
      </w:r>
    </w:p>
    <w:p>
      <w:pPr>
        <w:widowControl/>
        <w:spacing w:line="600" w:lineRule="exact"/>
        <w:ind w:firstLine="645"/>
        <w:jc w:val="left"/>
        <w:rPr>
          <w:rFonts w:hint="eastAsia" w:ascii="仿宋_GB2312" w:eastAsia="仿宋_GB2312" w:cs="宋体" w:hAnsiTheme="majorEastAsia"/>
          <w:kern w:val="0"/>
          <w:sz w:val="32"/>
          <w:szCs w:val="32"/>
          <w:lang w:val="en-US" w:eastAsia="zh-CN" w:bidi="ar-SA"/>
        </w:rPr>
      </w:pPr>
      <w:r>
        <w:rPr>
          <w:rFonts w:hint="eastAsia" w:ascii="仿宋_GB2312" w:eastAsia="仿宋_GB2312" w:cs="宋体" w:hAnsiTheme="majorEastAsia"/>
          <w:kern w:val="0"/>
          <w:sz w:val="32"/>
          <w:szCs w:val="32"/>
          <w:lang w:val="en-US" w:eastAsia="zh-CN" w:bidi="ar-SA"/>
        </w:rPr>
        <w:t>2、在运行期间，根据查询使用网约车风险识别情况，做好数据接口相应优化，提供技术支持。以接口性能即数据返回时效性为标准进行验收核验，接口性能须在500毫秒返回能力以上。</w:t>
      </w:r>
    </w:p>
    <w:p>
      <w:pPr>
        <w:pStyle w:val="13"/>
        <w:widowControl/>
        <w:spacing w:line="600" w:lineRule="exact"/>
        <w:ind w:firstLine="640"/>
        <w:jc w:val="left"/>
        <w:rPr>
          <w:rFonts w:hint="eastAsia" w:ascii="仿宋_GB2312" w:eastAsia="仿宋_GB2312" w:cs="宋体" w:hAnsiTheme="majorEastAsia"/>
          <w:kern w:val="0"/>
          <w:sz w:val="32"/>
          <w:szCs w:val="32"/>
          <w:lang w:val="en-US" w:eastAsia="zh-CN" w:bidi="ar-SA"/>
        </w:rPr>
      </w:pPr>
      <w:r>
        <w:rPr>
          <w:rFonts w:hint="eastAsia" w:ascii="仿宋_GB2312" w:eastAsia="仿宋_GB2312" w:cs="宋体" w:hAnsiTheme="majorEastAsia"/>
          <w:kern w:val="0"/>
          <w:sz w:val="32"/>
          <w:szCs w:val="32"/>
          <w:lang w:val="en-US" w:eastAsia="zh-CN" w:bidi="ar-SA"/>
        </w:rPr>
        <w:t>3、能及时更新网约车风险识别技术相关信息。承保端网约车识别查询服务准确率不低于95%。</w:t>
      </w:r>
    </w:p>
    <w:p>
      <w:pPr>
        <w:pStyle w:val="13"/>
        <w:widowControl/>
        <w:spacing w:line="600" w:lineRule="exact"/>
        <w:ind w:firstLine="640"/>
        <w:jc w:val="left"/>
        <w:rPr>
          <w:rFonts w:hint="default" w:ascii="仿宋_GB2312" w:eastAsia="仿宋_GB2312" w:cs="宋体" w:hAnsiTheme="majorEastAsia"/>
          <w:kern w:val="0"/>
          <w:sz w:val="32"/>
          <w:szCs w:val="32"/>
          <w:lang w:val="en-US" w:eastAsia="zh-CN" w:bidi="ar-SA"/>
        </w:rPr>
      </w:pPr>
      <w:r>
        <w:rPr>
          <w:rFonts w:hint="eastAsia" w:ascii="仿宋_GB2312" w:eastAsia="仿宋_GB2312" w:cs="宋体" w:hAnsiTheme="majorEastAsia"/>
          <w:kern w:val="0"/>
          <w:sz w:val="32"/>
          <w:szCs w:val="32"/>
          <w:lang w:val="en-US" w:eastAsia="zh-CN" w:bidi="ar-SA"/>
        </w:rPr>
        <w:t>6、付款方式及续约计划</w:t>
      </w:r>
    </w:p>
    <w:p>
      <w:pPr>
        <w:pStyle w:val="13"/>
        <w:widowControl/>
        <w:spacing w:line="600" w:lineRule="exact"/>
        <w:ind w:firstLine="640"/>
        <w:jc w:val="left"/>
        <w:rPr>
          <w:rFonts w:hint="eastAsia" w:ascii="仿宋_GB2312" w:eastAsia="仿宋_GB2312" w:cs="宋体" w:hAnsiTheme="majorEastAsia"/>
          <w:kern w:val="0"/>
          <w:sz w:val="32"/>
          <w:szCs w:val="32"/>
          <w:lang w:val="en-US" w:eastAsia="zh-CN" w:bidi="ar-SA"/>
        </w:rPr>
      </w:pPr>
      <w:r>
        <w:rPr>
          <w:rFonts w:hint="eastAsia" w:ascii="仿宋_GB2312" w:eastAsia="仿宋_GB2312" w:cs="宋体" w:hAnsiTheme="majorEastAsia"/>
          <w:kern w:val="0"/>
          <w:sz w:val="32"/>
          <w:szCs w:val="32"/>
          <w:lang w:val="en-US" w:eastAsia="zh-CN" w:bidi="ar-SA"/>
        </w:rPr>
        <w:t>本项目分两次支付。第一笔：本合同生效后，我司收到供应商开具的增值税专用发票之日起15个工作日内，我司支付供应商合同服务费用总额的50%。第二笔：项目实施完毕后，甲方对项目的整体服务水平和服务质量进行验收，形成验收报告，验收报告形成后15个工作日内，支付技术服务费总金额剩余的50%。</w:t>
      </w:r>
    </w:p>
    <w:p>
      <w:pPr>
        <w:pStyle w:val="13"/>
        <w:numPr>
          <w:ilvl w:val="0"/>
          <w:numId w:val="0"/>
        </w:numPr>
        <w:spacing w:line="360" w:lineRule="auto"/>
        <w:ind w:firstLine="640" w:firstLineChars="200"/>
        <w:rPr>
          <w:rFonts w:hint="eastAsia" w:ascii="仿宋_GB2312" w:hAnsi="Calibri" w:eastAsia="仿宋_GB2312" w:cs="Times New Roman"/>
          <w:sz w:val="32"/>
          <w:szCs w:val="32"/>
        </w:rPr>
      </w:pPr>
      <w:r>
        <w:rPr>
          <w:rFonts w:hint="eastAsia" w:ascii="仿宋_GB2312" w:eastAsia="仿宋_GB2312" w:cs="宋体" w:hAnsiTheme="majorEastAsia"/>
          <w:kern w:val="0"/>
          <w:sz w:val="32"/>
          <w:szCs w:val="32"/>
          <w:lang w:val="en-US" w:eastAsia="zh-CN" w:bidi="ar-SA"/>
        </w:rPr>
        <w:t>本项目有续约计划，在合同内容、金额、市场价格未发生不利变化的情况下，本项目可续约，续约期限与原合同期限合计不超过3年。</w:t>
      </w:r>
    </w:p>
    <w:p>
      <w:pPr>
        <w:pStyle w:val="13"/>
        <w:numPr>
          <w:ilvl w:val="0"/>
          <w:numId w:val="0"/>
        </w:numPr>
        <w:spacing w:line="360" w:lineRule="auto"/>
        <w:ind w:firstLine="643" w:firstLineChars="200"/>
        <w:rPr>
          <w:rFonts w:hint="eastAsia" w:ascii="黑体" w:hAnsi="黑体" w:eastAsia="黑体"/>
          <w:b/>
          <w:sz w:val="32"/>
          <w:szCs w:val="32"/>
        </w:rPr>
      </w:pPr>
      <w:r>
        <w:rPr>
          <w:rFonts w:hint="eastAsia" w:ascii="黑体" w:hAnsi="黑体" w:eastAsia="黑体"/>
          <w:b/>
          <w:sz w:val="32"/>
          <w:szCs w:val="32"/>
          <w:lang w:val="en-US" w:eastAsia="zh-CN"/>
        </w:rPr>
        <w:t>三、</w:t>
      </w:r>
      <w:r>
        <w:rPr>
          <w:rFonts w:hint="eastAsia" w:ascii="黑体" w:hAnsi="黑体" w:eastAsia="黑体"/>
          <w:b/>
          <w:sz w:val="32"/>
          <w:szCs w:val="32"/>
        </w:rPr>
        <w:t>供应商资质要求</w:t>
      </w:r>
    </w:p>
    <w:p>
      <w:pPr>
        <w:spacing w:line="360" w:lineRule="auto"/>
        <w:ind w:firstLine="640" w:firstLineChars="200"/>
        <w:rPr>
          <w:rFonts w:hint="eastAsia" w:ascii="仿宋_GB2312" w:eastAsia="仿宋_GB2312" w:cs="宋体" w:hAnsiTheme="majorEastAsia"/>
          <w:sz w:val="32"/>
          <w:szCs w:val="32"/>
        </w:rPr>
      </w:pPr>
      <w:r>
        <w:rPr>
          <w:rFonts w:hint="eastAsia" w:ascii="仿宋_GB2312" w:eastAsia="仿宋_GB2312" w:cs="宋体" w:hAnsiTheme="majorEastAsia"/>
          <w:sz w:val="32"/>
          <w:szCs w:val="32"/>
        </w:rPr>
        <w:t>（一）在中华人民共和国境内依法登记的法人或其他组织，具有独立承担民事责任的能力，供应商如为企业法人，须提供企业法人营业执照（复印件）；供应商如为事业单位或其他组织，须提供事业单位法人证书或登记证或组织机构代码证或其他有效证明文件（复印件）；</w:t>
      </w:r>
    </w:p>
    <w:p>
      <w:pPr>
        <w:spacing w:line="360" w:lineRule="auto"/>
        <w:ind w:firstLine="640" w:firstLineChars="200"/>
        <w:rPr>
          <w:rFonts w:hint="eastAsia" w:ascii="仿宋_GB2312" w:eastAsia="仿宋_GB2312" w:cs="宋体" w:hAnsiTheme="majorEastAsia"/>
          <w:sz w:val="32"/>
          <w:szCs w:val="32"/>
        </w:rPr>
      </w:pPr>
      <w:r>
        <w:rPr>
          <w:rFonts w:hint="eastAsia" w:ascii="仿宋_GB2312" w:eastAsia="仿宋_GB2312" w:cs="宋体" w:hAnsiTheme="majorEastAsia"/>
          <w:sz w:val="32"/>
          <w:szCs w:val="32"/>
        </w:rPr>
        <w:t>（二）具有良好的商业信誉和健全的财务会计制度，需提供</w:t>
      </w:r>
      <w:r>
        <w:rPr>
          <w:rFonts w:hint="eastAsia" w:ascii="仿宋_GB2312" w:eastAsia="仿宋_GB2312" w:cs="宋体" w:hAnsiTheme="majorEastAsia"/>
          <w:sz w:val="32"/>
          <w:szCs w:val="32"/>
          <w:lang w:val="en-US" w:eastAsia="zh-CN"/>
        </w:rPr>
        <w:t>2023</w:t>
      </w:r>
      <w:r>
        <w:rPr>
          <w:rFonts w:hint="eastAsia" w:ascii="仿宋_GB2312" w:eastAsia="仿宋_GB2312" w:cs="宋体" w:hAnsiTheme="majorEastAsia"/>
          <w:sz w:val="32"/>
          <w:szCs w:val="32"/>
        </w:rPr>
        <w:t>年度经会计师事务所或审计机构审计的财务审计报告及财务报表（至少包含会计师事务所或审计机构签章页、资产负债表、现金流量表、损益表/利润表）或提供响应文件递交截止日前6个月内开具的银行资信证明；</w:t>
      </w:r>
    </w:p>
    <w:p>
      <w:pPr>
        <w:spacing w:line="360" w:lineRule="auto"/>
        <w:ind w:firstLine="640" w:firstLineChars="200"/>
        <w:rPr>
          <w:rFonts w:hint="eastAsia" w:ascii="仿宋_GB2312" w:eastAsia="仿宋_GB2312" w:cs="宋体" w:hAnsiTheme="majorEastAsia"/>
          <w:sz w:val="32"/>
          <w:szCs w:val="32"/>
        </w:rPr>
      </w:pPr>
      <w:r>
        <w:rPr>
          <w:rFonts w:hint="eastAsia" w:ascii="仿宋_GB2312" w:eastAsia="仿宋_GB2312" w:cs="宋体" w:hAnsiTheme="majorEastAsia"/>
          <w:sz w:val="32"/>
          <w:szCs w:val="32"/>
        </w:rPr>
        <w:t>（三）供应商应具有履行合同所必需的设备和专业技术能力，近三年（20</w:t>
      </w:r>
      <w:r>
        <w:rPr>
          <w:rFonts w:hint="eastAsia" w:ascii="仿宋_GB2312" w:eastAsia="仿宋_GB2312" w:cs="宋体" w:hAnsiTheme="majorEastAsia"/>
          <w:sz w:val="32"/>
          <w:szCs w:val="32"/>
          <w:lang w:val="en-US" w:eastAsia="zh-CN"/>
        </w:rPr>
        <w:t>22</w:t>
      </w:r>
      <w:r>
        <w:rPr>
          <w:rFonts w:hint="eastAsia" w:ascii="仿宋_GB2312" w:eastAsia="仿宋_GB2312" w:cs="宋体" w:hAnsiTheme="majorEastAsia"/>
          <w:sz w:val="32"/>
          <w:szCs w:val="32"/>
        </w:rPr>
        <w:t>年1月1日至今）应具有</w:t>
      </w:r>
      <w:r>
        <w:rPr>
          <w:rFonts w:hint="eastAsia" w:ascii="仿宋_GB2312" w:eastAsia="仿宋_GB2312" w:cs="宋体" w:hAnsiTheme="majorEastAsia"/>
          <w:sz w:val="32"/>
          <w:szCs w:val="32"/>
          <w:lang w:val="en-US" w:eastAsia="zh-CN"/>
        </w:rPr>
        <w:t>1个</w:t>
      </w:r>
      <w:r>
        <w:rPr>
          <w:rFonts w:hint="eastAsia" w:ascii="仿宋_GB2312" w:eastAsia="仿宋_GB2312" w:cs="宋体" w:hAnsiTheme="majorEastAsia"/>
          <w:sz w:val="32"/>
          <w:szCs w:val="32"/>
        </w:rPr>
        <w:t>同类项目实施案例，并提供符合上述要求的合同关键页作为有效的业绩证明材料。合同关键页包含但不限于合同首页、合同标的页、签署日期页及盖章页等；</w:t>
      </w:r>
    </w:p>
    <w:p>
      <w:pPr>
        <w:spacing w:line="360" w:lineRule="auto"/>
        <w:ind w:firstLine="640" w:firstLineChars="200"/>
        <w:rPr>
          <w:rFonts w:hint="eastAsia" w:ascii="仿宋_GB2312" w:eastAsia="仿宋_GB2312" w:cs="宋体" w:hAnsiTheme="majorEastAsia"/>
          <w:sz w:val="32"/>
          <w:szCs w:val="32"/>
        </w:rPr>
      </w:pPr>
      <w:r>
        <w:rPr>
          <w:rFonts w:hint="eastAsia" w:ascii="仿宋_GB2312" w:eastAsia="仿宋_GB2312" w:cs="宋体" w:hAnsiTheme="majorEastAsia"/>
          <w:sz w:val="32"/>
          <w:szCs w:val="32"/>
        </w:rPr>
        <w:t>（四）具有依法缴纳税收和社会保障资金的良好记录，提供近6个月任意一个月的税收和社会保障资金缴纳凭证；</w:t>
      </w:r>
    </w:p>
    <w:p>
      <w:pPr>
        <w:spacing w:line="360" w:lineRule="auto"/>
        <w:ind w:firstLine="640" w:firstLineChars="200"/>
        <w:rPr>
          <w:rFonts w:hint="eastAsia" w:ascii="仿宋_GB2312" w:eastAsia="仿宋_GB2312" w:cs="宋体" w:hAnsiTheme="majorEastAsia"/>
          <w:sz w:val="32"/>
          <w:szCs w:val="32"/>
        </w:rPr>
      </w:pPr>
      <w:r>
        <w:rPr>
          <w:rFonts w:hint="eastAsia" w:ascii="仿宋_GB2312" w:eastAsia="仿宋_GB2312" w:cs="宋体" w:hAnsiTheme="majorEastAsia"/>
          <w:sz w:val="32"/>
          <w:szCs w:val="32"/>
        </w:rPr>
        <w:t>（五）供应商应经营状况良好，且近三年内（20</w:t>
      </w:r>
      <w:r>
        <w:rPr>
          <w:rFonts w:hint="eastAsia" w:ascii="仿宋_GB2312" w:eastAsia="仿宋_GB2312" w:cs="宋体" w:hAnsiTheme="majorEastAsia"/>
          <w:sz w:val="32"/>
          <w:szCs w:val="32"/>
          <w:lang w:val="en-US" w:eastAsia="zh-CN"/>
        </w:rPr>
        <w:t>22</w:t>
      </w:r>
      <w:r>
        <w:rPr>
          <w:rFonts w:hint="eastAsia" w:ascii="仿宋_GB2312" w:eastAsia="仿宋_GB2312" w:cs="宋体" w:hAnsiTheme="majorEastAsia"/>
          <w:sz w:val="32"/>
          <w:szCs w:val="32"/>
        </w:rPr>
        <w:t>年1月1日至今）无违法违规记录。违法违规记录是指被“信用中国”列入失信被执行人、重大税收违法失信主体、政府采购严重违法失信行为记录名单。供应商需提供自磋商公告发布之日至响应文件递交截止之日期间对以上三项内容的查询截图；</w:t>
      </w:r>
    </w:p>
    <w:p>
      <w:pPr>
        <w:spacing w:line="360" w:lineRule="auto"/>
        <w:ind w:firstLine="640" w:firstLineChars="200"/>
        <w:rPr>
          <w:rFonts w:hint="eastAsia" w:ascii="仿宋_GB2312" w:eastAsia="仿宋_GB2312" w:cs="宋体" w:hAnsiTheme="majorEastAsia"/>
          <w:sz w:val="32"/>
          <w:szCs w:val="32"/>
        </w:rPr>
      </w:pPr>
      <w:r>
        <w:rPr>
          <w:rFonts w:hint="eastAsia" w:ascii="仿宋_GB2312" w:eastAsia="仿宋_GB2312" w:cs="宋体" w:hAnsiTheme="majorEastAsia"/>
          <w:sz w:val="32"/>
          <w:szCs w:val="32"/>
        </w:rPr>
        <w:t>（六）严禁列入</w:t>
      </w:r>
      <w:r>
        <w:rPr>
          <w:rFonts w:hint="eastAsia" w:ascii="仿宋_GB2312" w:eastAsia="仿宋_GB2312" w:cs="宋体" w:hAnsiTheme="majorEastAsia"/>
          <w:sz w:val="32"/>
          <w:szCs w:val="32"/>
          <w:lang w:val="en-US" w:eastAsia="zh-CN"/>
        </w:rPr>
        <w:t>采购</w:t>
      </w:r>
      <w:r>
        <w:rPr>
          <w:rFonts w:hint="eastAsia" w:ascii="仿宋_GB2312" w:eastAsia="仿宋_GB2312" w:cs="宋体" w:hAnsiTheme="majorEastAsia"/>
          <w:sz w:val="32"/>
          <w:szCs w:val="32"/>
        </w:rPr>
        <w:t>人及其所隶属的中国人民保险各级机构的供应商黑名单且在禁入期内的供应商参与采购活动。</w:t>
      </w:r>
    </w:p>
    <w:p>
      <w:pPr>
        <w:spacing w:line="360" w:lineRule="auto"/>
        <w:ind w:firstLine="640" w:firstLineChars="200"/>
        <w:rPr>
          <w:rFonts w:hint="eastAsia" w:ascii="仿宋_GB2312" w:eastAsia="仿宋_GB2312" w:cs="宋体" w:hAnsiTheme="majorEastAsia"/>
          <w:sz w:val="32"/>
          <w:szCs w:val="32"/>
          <w:lang w:eastAsia="zh-CN"/>
        </w:rPr>
      </w:pPr>
      <w:r>
        <w:rPr>
          <w:rFonts w:hint="eastAsia" w:ascii="仿宋_GB2312" w:eastAsia="仿宋_GB2312" w:cs="宋体" w:hAnsiTheme="majorEastAsia"/>
          <w:sz w:val="32"/>
          <w:szCs w:val="32"/>
          <w:lang w:eastAsia="zh-CN"/>
        </w:rPr>
        <w:t>（七）</w:t>
      </w:r>
      <w:r>
        <w:rPr>
          <w:rFonts w:hint="eastAsia" w:ascii="仿宋_GB2312" w:eastAsia="仿宋_GB2312" w:cs="宋体" w:hAnsiTheme="majorEastAsia"/>
          <w:sz w:val="32"/>
          <w:szCs w:val="32"/>
        </w:rPr>
        <w:t>单位负责人为同一人或存在控股、管理关系的不同单位，不得参加同一标段/标包磋商响应或未划分标段/标包的同一采购项目的磋商响应，需填写《供应商控股及管理关系情况申报表》</w:t>
      </w:r>
      <w:r>
        <w:rPr>
          <w:rFonts w:hint="eastAsia" w:ascii="仿宋_GB2312" w:eastAsia="仿宋_GB2312" w:cs="宋体" w:hAnsiTheme="majorEastAsia"/>
          <w:sz w:val="32"/>
          <w:szCs w:val="32"/>
          <w:lang w:eastAsia="zh-CN"/>
        </w:rPr>
        <w:t>。</w:t>
      </w:r>
    </w:p>
    <w:p>
      <w:pPr>
        <w:spacing w:line="360" w:lineRule="auto"/>
        <w:ind w:firstLine="640" w:firstLineChars="200"/>
        <w:rPr>
          <w:rFonts w:hint="eastAsia" w:ascii="仿宋_GB2312" w:eastAsia="仿宋_GB2312" w:cs="宋体" w:hAnsiTheme="majorEastAsia"/>
          <w:sz w:val="32"/>
          <w:szCs w:val="32"/>
          <w:lang w:val="en-US" w:eastAsia="zh-CN"/>
        </w:rPr>
      </w:pPr>
      <w:r>
        <w:rPr>
          <w:rFonts w:hint="eastAsia" w:ascii="仿宋_GB2312" w:eastAsia="仿宋_GB2312" w:cs="宋体" w:hAnsiTheme="majorEastAsia"/>
          <w:sz w:val="32"/>
          <w:szCs w:val="32"/>
          <w:lang w:eastAsia="zh-CN"/>
        </w:rPr>
        <w:t>（八）</w:t>
      </w:r>
      <w:r>
        <w:rPr>
          <w:rFonts w:hint="eastAsia" w:ascii="仿宋_GB2312" w:eastAsia="仿宋_GB2312" w:cs="宋体" w:hAnsiTheme="majorEastAsia"/>
          <w:sz w:val="32"/>
          <w:szCs w:val="32"/>
        </w:rPr>
        <w:t>本项目不接受联合体磋商响应</w:t>
      </w:r>
      <w:r>
        <w:rPr>
          <w:rFonts w:hint="eastAsia" w:ascii="仿宋_GB2312" w:eastAsia="仿宋_GB2312" w:cs="宋体" w:hAnsiTheme="majorEastAsia"/>
          <w:sz w:val="32"/>
          <w:szCs w:val="32"/>
          <w:lang w:eastAsia="zh-CN"/>
        </w:rPr>
        <w:t>。</w:t>
      </w:r>
    </w:p>
    <w:p>
      <w:pPr>
        <w:pStyle w:val="13"/>
        <w:numPr>
          <w:ilvl w:val="0"/>
          <w:numId w:val="0"/>
        </w:numPr>
        <w:spacing w:line="360" w:lineRule="auto"/>
        <w:ind w:left="640" w:leftChars="0"/>
        <w:rPr>
          <w:rFonts w:ascii="仿宋_GB2312" w:eastAsia="仿宋_GB2312" w:hAnsiTheme="majorEastAsia"/>
          <w:sz w:val="32"/>
          <w:szCs w:val="32"/>
        </w:rPr>
      </w:pPr>
      <w:r>
        <w:rPr>
          <w:rFonts w:hint="eastAsia" w:ascii="黑体" w:hAnsi="黑体" w:eastAsia="黑体"/>
          <w:b/>
          <w:sz w:val="32"/>
          <w:szCs w:val="32"/>
          <w:lang w:val="en-US" w:eastAsia="zh-CN"/>
        </w:rPr>
        <w:t>四、</w:t>
      </w:r>
      <w:r>
        <w:rPr>
          <w:rFonts w:hint="eastAsia" w:ascii="黑体" w:hAnsi="黑体" w:eastAsia="黑体"/>
          <w:b/>
          <w:sz w:val="32"/>
          <w:szCs w:val="32"/>
        </w:rPr>
        <w:t>供应商</w:t>
      </w:r>
      <w:r>
        <w:rPr>
          <w:rFonts w:hint="eastAsia" w:ascii="黑体" w:hAnsi="黑体" w:eastAsia="黑体"/>
          <w:b/>
          <w:sz w:val="32"/>
          <w:szCs w:val="32"/>
          <w:lang w:eastAsia="zh-CN"/>
        </w:rPr>
        <w:t>报名材料</w:t>
      </w:r>
      <w:bookmarkStart w:id="0" w:name="_GoBack"/>
      <w:bookmarkEnd w:id="0"/>
    </w:p>
    <w:p>
      <w:pPr>
        <w:spacing w:line="360" w:lineRule="auto"/>
        <w:ind w:firstLine="640" w:firstLineChars="200"/>
        <w:rPr>
          <w:rFonts w:hint="default" w:ascii="仿宋_GB2312" w:eastAsia="仿宋_GB2312" w:hAnsiTheme="majorEastAsia"/>
          <w:sz w:val="32"/>
          <w:szCs w:val="32"/>
          <w:lang w:val="en-US" w:eastAsia="zh-CN"/>
        </w:rPr>
      </w:pPr>
      <w:r>
        <w:rPr>
          <w:rFonts w:hint="eastAsia" w:ascii="仿宋_GB2312" w:eastAsia="仿宋_GB2312" w:hAnsiTheme="majorEastAsia"/>
          <w:sz w:val="32"/>
          <w:szCs w:val="32"/>
          <w:lang w:val="en-US" w:eastAsia="zh-CN"/>
        </w:rPr>
        <w:t>1.营业执照复印件盖章；</w:t>
      </w:r>
    </w:p>
    <w:p>
      <w:pPr>
        <w:spacing w:line="360" w:lineRule="auto"/>
        <w:ind w:firstLine="640" w:firstLineChars="200"/>
        <w:rPr>
          <w:rFonts w:hint="eastAsia" w:ascii="仿宋_GB2312" w:eastAsia="仿宋_GB2312" w:hAnsiTheme="majorEastAsia"/>
          <w:sz w:val="32"/>
          <w:szCs w:val="32"/>
          <w:lang w:val="en-US" w:eastAsia="zh-CN"/>
        </w:rPr>
      </w:pPr>
      <w:r>
        <w:rPr>
          <w:rFonts w:hint="eastAsia" w:ascii="仿宋_GB2312" w:eastAsia="仿宋_GB2312" w:hAnsiTheme="majorEastAsia"/>
          <w:sz w:val="32"/>
          <w:szCs w:val="32"/>
          <w:lang w:val="en-US" w:eastAsia="zh-CN"/>
        </w:rPr>
        <w:t>2.法人/负责人授权委托书；</w:t>
      </w:r>
    </w:p>
    <w:p>
      <w:pPr>
        <w:spacing w:line="360" w:lineRule="auto"/>
        <w:ind w:firstLine="640" w:firstLineChars="200"/>
        <w:rPr>
          <w:rFonts w:hint="eastAsia" w:ascii="仿宋_GB2312" w:eastAsia="仿宋_GB2312" w:hAnsiTheme="majorEastAsia"/>
          <w:sz w:val="32"/>
          <w:szCs w:val="32"/>
          <w:lang w:val="en-US" w:eastAsia="zh-CN"/>
        </w:rPr>
      </w:pPr>
      <w:r>
        <w:rPr>
          <w:rFonts w:hint="eastAsia" w:ascii="仿宋_GB2312" w:eastAsia="仿宋_GB2312" w:hAnsiTheme="majorEastAsia"/>
          <w:sz w:val="32"/>
          <w:szCs w:val="32"/>
          <w:lang w:val="en-US" w:eastAsia="zh-CN"/>
        </w:rPr>
        <w:t>3.投标联系人姓名、邮箱、联系电话。</w:t>
      </w:r>
    </w:p>
    <w:p>
      <w:pPr>
        <w:pStyle w:val="13"/>
        <w:numPr>
          <w:ilvl w:val="0"/>
          <w:numId w:val="0"/>
        </w:numPr>
        <w:spacing w:line="360" w:lineRule="auto"/>
        <w:ind w:left="640" w:leftChars="0"/>
        <w:rPr>
          <w:rFonts w:ascii="黑体" w:hAnsi="黑体" w:eastAsia="黑体"/>
          <w:b/>
          <w:sz w:val="32"/>
          <w:szCs w:val="32"/>
        </w:rPr>
      </w:pPr>
      <w:r>
        <w:rPr>
          <w:rFonts w:hint="eastAsia" w:ascii="黑体" w:hAnsi="黑体" w:eastAsia="黑体"/>
          <w:b/>
          <w:sz w:val="32"/>
          <w:szCs w:val="32"/>
          <w:lang w:val="en-US" w:eastAsia="zh-CN"/>
        </w:rPr>
        <w:t>五、</w:t>
      </w:r>
      <w:r>
        <w:rPr>
          <w:rFonts w:hint="eastAsia" w:ascii="黑体" w:hAnsi="黑体" w:eastAsia="黑体"/>
          <w:b/>
          <w:sz w:val="32"/>
          <w:szCs w:val="32"/>
        </w:rPr>
        <w:t>采购人信息</w:t>
      </w:r>
    </w:p>
    <w:p>
      <w:pPr>
        <w:spacing w:line="360" w:lineRule="auto"/>
        <w:ind w:left="640"/>
        <w:rPr>
          <w:rFonts w:hint="default" w:ascii="仿宋_GB2312" w:eastAsia="仿宋_GB2312" w:hAnsiTheme="majorEastAsia"/>
          <w:sz w:val="32"/>
          <w:szCs w:val="32"/>
          <w:lang w:val="en-US" w:eastAsia="zh-CN"/>
        </w:rPr>
      </w:pPr>
      <w:r>
        <w:rPr>
          <w:rFonts w:ascii="仿宋_GB2312" w:eastAsia="仿宋_GB2312" w:hAnsiTheme="majorEastAsia"/>
          <w:sz w:val="32"/>
          <w:szCs w:val="32"/>
        </w:rPr>
        <w:t>采购人：中国人民财产保险股份有限公司</w:t>
      </w:r>
      <w:r>
        <w:rPr>
          <w:rFonts w:hint="eastAsia" w:ascii="仿宋_GB2312" w:eastAsia="仿宋_GB2312" w:hAnsiTheme="majorEastAsia"/>
          <w:sz w:val="32"/>
          <w:szCs w:val="32"/>
          <w:lang w:val="en-US" w:eastAsia="zh-CN"/>
        </w:rPr>
        <w:t>广东省分公司</w:t>
      </w:r>
    </w:p>
    <w:p>
      <w:pPr>
        <w:spacing w:line="360" w:lineRule="auto"/>
        <w:ind w:left="640"/>
        <w:rPr>
          <w:rFonts w:ascii="仿宋_GB2312" w:eastAsia="仿宋_GB2312" w:cs="宋体" w:hAnsiTheme="majorEastAsia"/>
          <w:sz w:val="32"/>
          <w:szCs w:val="32"/>
        </w:rPr>
      </w:pPr>
      <w:r>
        <w:rPr>
          <w:rFonts w:ascii="仿宋_GB2312" w:eastAsia="仿宋_GB2312" w:hAnsiTheme="majorEastAsia"/>
          <w:sz w:val="32"/>
          <w:szCs w:val="32"/>
        </w:rPr>
        <w:t>地 址：</w:t>
      </w:r>
      <w:r>
        <w:rPr>
          <w:rFonts w:hint="eastAsia" w:ascii="仿宋_GB2312" w:eastAsia="仿宋_GB2312" w:cs="宋体" w:hAnsiTheme="majorEastAsia"/>
          <w:sz w:val="32"/>
          <w:szCs w:val="32"/>
          <w:lang w:val="en-US" w:eastAsia="zh-CN"/>
        </w:rPr>
        <w:t>广州市越秀区广州大道中303号人保大厦</w:t>
      </w:r>
      <w:r>
        <w:rPr>
          <w:rFonts w:ascii="仿宋_GB2312" w:eastAsia="仿宋_GB2312" w:cs="宋体" w:hAnsiTheme="majorEastAsia"/>
          <w:sz w:val="32"/>
          <w:szCs w:val="32"/>
        </w:rPr>
        <w:t xml:space="preserve"> </w:t>
      </w:r>
    </w:p>
    <w:p>
      <w:pPr>
        <w:spacing w:line="360" w:lineRule="auto"/>
        <w:ind w:left="640"/>
        <w:rPr>
          <w:rFonts w:hint="default" w:ascii="仿宋_GB2312" w:eastAsia="仿宋_GB2312" w:cs="宋体" w:hAnsiTheme="majorEastAsia"/>
          <w:sz w:val="32"/>
          <w:szCs w:val="32"/>
          <w:lang w:val="en-US" w:eastAsia="zh-CN"/>
        </w:rPr>
      </w:pPr>
      <w:r>
        <w:rPr>
          <w:rFonts w:ascii="仿宋_GB2312" w:eastAsia="仿宋_GB2312" w:cs="宋体" w:hAnsiTheme="majorEastAsia"/>
          <w:sz w:val="32"/>
          <w:szCs w:val="32"/>
        </w:rPr>
        <w:t>项目报名联系人：</w:t>
      </w:r>
      <w:r>
        <w:rPr>
          <w:rFonts w:hint="eastAsia" w:ascii="仿宋_GB2312" w:eastAsia="仿宋_GB2312" w:cs="宋体" w:hAnsiTheme="majorEastAsia"/>
          <w:sz w:val="32"/>
          <w:szCs w:val="32"/>
          <w:lang w:val="en-US" w:eastAsia="zh-CN"/>
        </w:rPr>
        <w:t>王宇</w:t>
      </w:r>
    </w:p>
    <w:p>
      <w:pPr>
        <w:spacing w:line="360" w:lineRule="auto"/>
        <w:ind w:left="640"/>
        <w:rPr>
          <w:rFonts w:hint="default" w:ascii="仿宋_GB2312" w:eastAsia="仿宋_GB2312" w:cs="宋体" w:hAnsiTheme="majorEastAsia"/>
          <w:sz w:val="32"/>
          <w:szCs w:val="32"/>
          <w:lang w:val="en-US" w:eastAsia="zh-CN"/>
        </w:rPr>
      </w:pPr>
      <w:r>
        <w:rPr>
          <w:rFonts w:hint="eastAsia" w:ascii="仿宋_GB2312" w:eastAsia="仿宋_GB2312" w:cs="宋体" w:hAnsiTheme="majorEastAsia"/>
          <w:sz w:val="32"/>
          <w:szCs w:val="32"/>
          <w:lang w:val="en-US" w:eastAsia="zh-CN"/>
        </w:rPr>
        <w:t>邮 箱：wangyu0101@guangd.picc.com.cn</w:t>
      </w:r>
    </w:p>
    <w:p>
      <w:pPr>
        <w:pStyle w:val="7"/>
        <w:spacing w:line="360" w:lineRule="auto"/>
        <w:ind w:firstLine="640" w:firstLineChars="200"/>
        <w:jc w:val="both"/>
        <w:rPr>
          <w:rFonts w:ascii="仿宋_GB2312" w:eastAsia="仿宋_GB2312" w:cs="Arial"/>
          <w:sz w:val="32"/>
          <w:szCs w:val="32"/>
        </w:rPr>
      </w:pPr>
      <w:r>
        <w:rPr>
          <w:rFonts w:hint="eastAsia" w:ascii="仿宋_GB2312" w:eastAsia="仿宋_GB2312" w:cs="Arial"/>
          <w:sz w:val="32"/>
          <w:szCs w:val="32"/>
        </w:rPr>
        <w:t>特此公告。</w:t>
      </w:r>
    </w:p>
    <w:p>
      <w:pPr>
        <w:pStyle w:val="7"/>
        <w:spacing w:line="360" w:lineRule="auto"/>
        <w:ind w:firstLine="640" w:firstLineChars="200"/>
        <w:jc w:val="both"/>
        <w:rPr>
          <w:rFonts w:ascii="仿宋_GB2312" w:eastAsia="仿宋_GB2312" w:cs="Arial"/>
          <w:sz w:val="32"/>
          <w:szCs w:val="32"/>
        </w:rPr>
      </w:pPr>
      <w:r>
        <w:rPr>
          <w:rFonts w:hint="eastAsia" w:ascii="仿宋_GB2312" w:eastAsia="仿宋_GB2312" w:cs="Calibri"/>
          <w:sz w:val="32"/>
          <w:szCs w:val="32"/>
        </w:rPr>
        <w:t> </w:t>
      </w:r>
    </w:p>
    <w:p>
      <w:pPr>
        <w:pStyle w:val="7"/>
        <w:spacing w:line="360" w:lineRule="auto"/>
        <w:jc w:val="both"/>
        <w:rPr>
          <w:rFonts w:ascii="仿宋_GB2312" w:eastAsia="仿宋_GB2312" w:cs="Arial"/>
          <w:sz w:val="32"/>
          <w:szCs w:val="32"/>
        </w:rPr>
      </w:pPr>
      <w:r>
        <w:rPr>
          <w:rFonts w:hint="eastAsia" w:ascii="仿宋_GB2312" w:eastAsia="仿宋_GB2312" w:cs="Calibri"/>
          <w:sz w:val="32"/>
          <w:szCs w:val="32"/>
        </w:rPr>
        <w:t xml:space="preserve">                </w:t>
      </w:r>
      <w:r>
        <w:rPr>
          <w:rFonts w:ascii="仿宋_GB2312" w:eastAsia="仿宋_GB2312" w:cs="Calibri"/>
          <w:sz w:val="32"/>
          <w:szCs w:val="32"/>
        </w:rPr>
        <w:t xml:space="preserve">            </w:t>
      </w:r>
      <w:r>
        <w:rPr>
          <w:rFonts w:hint="eastAsia" w:ascii="仿宋_GB2312" w:eastAsia="仿宋_GB2312" w:cs="Arial"/>
          <w:sz w:val="32"/>
          <w:szCs w:val="32"/>
          <w:lang w:val="en-US" w:eastAsia="zh-CN"/>
        </w:rPr>
        <w:t>广东省</w:t>
      </w:r>
      <w:r>
        <w:rPr>
          <w:rFonts w:hint="eastAsia" w:ascii="仿宋_GB2312" w:eastAsia="仿宋_GB2312" w:cs="Arial"/>
          <w:sz w:val="32"/>
          <w:szCs w:val="32"/>
        </w:rPr>
        <w:t>公司</w:t>
      </w:r>
    </w:p>
    <w:p>
      <w:pPr>
        <w:pStyle w:val="7"/>
        <w:spacing w:line="360" w:lineRule="auto"/>
        <w:ind w:firstLine="200"/>
        <w:jc w:val="both"/>
        <w:rPr>
          <w:rFonts w:ascii="仿宋_GB2312" w:eastAsia="仿宋_GB2312" w:cs="Arial"/>
          <w:sz w:val="32"/>
          <w:szCs w:val="32"/>
        </w:rPr>
      </w:pPr>
      <w:r>
        <w:rPr>
          <w:rFonts w:hint="eastAsia" w:ascii="仿宋_GB2312" w:eastAsia="仿宋_GB2312" w:cs="Calibri"/>
          <w:sz w:val="32"/>
          <w:szCs w:val="32"/>
        </w:rPr>
        <w:t>             </w:t>
      </w:r>
      <w:r>
        <w:rPr>
          <w:rFonts w:ascii="仿宋_GB2312" w:eastAsia="仿宋_GB2312" w:cs="Calibri"/>
          <w:sz w:val="32"/>
          <w:szCs w:val="32"/>
        </w:rPr>
        <w:t xml:space="preserve">    </w:t>
      </w:r>
      <w:r>
        <w:rPr>
          <w:rFonts w:hint="eastAsia" w:ascii="仿宋_GB2312" w:eastAsia="仿宋_GB2312" w:cs="Calibri"/>
          <w:sz w:val="32"/>
          <w:szCs w:val="32"/>
        </w:rPr>
        <w:t> </w:t>
      </w:r>
      <w:r>
        <w:rPr>
          <w:rFonts w:hint="eastAsia" w:ascii="仿宋_GB2312" w:eastAsia="仿宋_GB2312" w:cs="Arial"/>
          <w:sz w:val="32"/>
          <w:szCs w:val="32"/>
          <w:lang w:val="en-US" w:eastAsia="zh-CN"/>
        </w:rPr>
        <w:t>2025</w:t>
      </w:r>
      <w:r>
        <w:rPr>
          <w:rFonts w:hint="eastAsia" w:ascii="仿宋_GB2312" w:eastAsia="仿宋_GB2312" w:cs="Arial"/>
          <w:sz w:val="32"/>
          <w:szCs w:val="32"/>
        </w:rPr>
        <w:t>年</w:t>
      </w:r>
      <w:r>
        <w:rPr>
          <w:rFonts w:hint="eastAsia" w:ascii="仿宋_GB2312" w:eastAsia="仿宋_GB2312" w:cs="Arial"/>
          <w:sz w:val="32"/>
          <w:szCs w:val="32"/>
          <w:lang w:val="en-US" w:eastAsia="zh-CN"/>
        </w:rPr>
        <w:t>3</w:t>
      </w:r>
      <w:r>
        <w:rPr>
          <w:rFonts w:hint="eastAsia" w:ascii="仿宋_GB2312" w:eastAsia="仿宋_GB2312" w:cs="Arial"/>
          <w:sz w:val="32"/>
          <w:szCs w:val="32"/>
        </w:rPr>
        <w:t>月</w:t>
      </w:r>
      <w:r>
        <w:rPr>
          <w:rFonts w:hint="eastAsia" w:ascii="仿宋_GB2312" w:eastAsia="仿宋_GB2312" w:cs="Arial"/>
          <w:sz w:val="32"/>
          <w:szCs w:val="32"/>
          <w:lang w:val="en-US" w:eastAsia="zh-CN"/>
        </w:rPr>
        <w:t>17</w:t>
      </w:r>
      <w:r>
        <w:rPr>
          <w:rFonts w:hint="eastAsia" w:ascii="仿宋_GB2312" w:eastAsia="仿宋_GB2312" w:cs="Arial"/>
          <w:sz w:val="32"/>
          <w:szCs w:val="32"/>
        </w:rPr>
        <w:t>日</w:t>
      </w:r>
    </w:p>
    <w:p>
      <w:pPr>
        <w:spacing w:line="360" w:lineRule="auto"/>
        <w:ind w:left="640"/>
        <w:rPr>
          <w:rFonts w:ascii="仿宋_GB2312" w:eastAsia="仿宋_GB2312" w:hAnsiTheme="majorEastAsia"/>
          <w:sz w:val="32"/>
          <w:szCs w:val="32"/>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FA2BD5"/>
    <w:multiLevelType w:val="multilevel"/>
    <w:tmpl w:val="00FA2BD5"/>
    <w:lvl w:ilvl="0" w:tentative="0">
      <w:start w:val="1"/>
      <w:numFmt w:val="japaneseCounting"/>
      <w:lvlText w:val="%1、"/>
      <w:lvlJc w:val="left"/>
      <w:pPr>
        <w:ind w:left="1360" w:hanging="720"/>
      </w:pPr>
      <w:rPr>
        <w:rFonts w:hint="default"/>
      </w:rPr>
    </w:lvl>
    <w:lvl w:ilvl="1" w:tentative="0">
      <w:start w:val="1"/>
      <w:numFmt w:val="lowerLetter"/>
      <w:lvlText w:val="%2)"/>
      <w:lvlJc w:val="left"/>
      <w:pPr>
        <w:ind w:left="1480" w:hanging="420"/>
      </w:pPr>
    </w:lvl>
    <w:lvl w:ilvl="2" w:tentative="0">
      <w:start w:val="1"/>
      <w:numFmt w:val="lowerRoman"/>
      <w:lvlText w:val="%3."/>
      <w:lvlJc w:val="right"/>
      <w:pPr>
        <w:ind w:left="1900" w:hanging="420"/>
      </w:pPr>
    </w:lvl>
    <w:lvl w:ilvl="3" w:tentative="0">
      <w:start w:val="1"/>
      <w:numFmt w:val="decimal"/>
      <w:lvlText w:val="%4."/>
      <w:lvlJc w:val="left"/>
      <w:pPr>
        <w:ind w:left="2320" w:hanging="420"/>
      </w:pPr>
    </w:lvl>
    <w:lvl w:ilvl="4" w:tentative="0">
      <w:start w:val="1"/>
      <w:numFmt w:val="lowerLetter"/>
      <w:lvlText w:val="%5)"/>
      <w:lvlJc w:val="left"/>
      <w:pPr>
        <w:ind w:left="2740" w:hanging="420"/>
      </w:pPr>
    </w:lvl>
    <w:lvl w:ilvl="5" w:tentative="0">
      <w:start w:val="1"/>
      <w:numFmt w:val="lowerRoman"/>
      <w:lvlText w:val="%6."/>
      <w:lvlJc w:val="right"/>
      <w:pPr>
        <w:ind w:left="3160" w:hanging="420"/>
      </w:pPr>
    </w:lvl>
    <w:lvl w:ilvl="6" w:tentative="0">
      <w:start w:val="1"/>
      <w:numFmt w:val="decimal"/>
      <w:lvlText w:val="%7."/>
      <w:lvlJc w:val="left"/>
      <w:pPr>
        <w:ind w:left="3580" w:hanging="420"/>
      </w:pPr>
    </w:lvl>
    <w:lvl w:ilvl="7" w:tentative="0">
      <w:start w:val="1"/>
      <w:numFmt w:val="lowerLetter"/>
      <w:lvlText w:val="%8)"/>
      <w:lvlJc w:val="left"/>
      <w:pPr>
        <w:ind w:left="4000" w:hanging="420"/>
      </w:pPr>
    </w:lvl>
    <w:lvl w:ilvl="8" w:tentative="0">
      <w:start w:val="1"/>
      <w:numFmt w:val="lowerRoman"/>
      <w:lvlText w:val="%9."/>
      <w:lvlJc w:val="right"/>
      <w:pPr>
        <w:ind w:left="442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4CEB"/>
    <w:rsid w:val="00057A97"/>
    <w:rsid w:val="000B6F34"/>
    <w:rsid w:val="000D05D1"/>
    <w:rsid w:val="00124E4C"/>
    <w:rsid w:val="001A16F7"/>
    <w:rsid w:val="001E729C"/>
    <w:rsid w:val="00246D3E"/>
    <w:rsid w:val="00260183"/>
    <w:rsid w:val="002720B5"/>
    <w:rsid w:val="00354459"/>
    <w:rsid w:val="00364936"/>
    <w:rsid w:val="00383B33"/>
    <w:rsid w:val="003B2E24"/>
    <w:rsid w:val="003F0824"/>
    <w:rsid w:val="00426F4F"/>
    <w:rsid w:val="00453DA2"/>
    <w:rsid w:val="00470CC4"/>
    <w:rsid w:val="004B061B"/>
    <w:rsid w:val="0053173F"/>
    <w:rsid w:val="005D0161"/>
    <w:rsid w:val="005F13A8"/>
    <w:rsid w:val="006063AC"/>
    <w:rsid w:val="00636474"/>
    <w:rsid w:val="00655902"/>
    <w:rsid w:val="00657BE5"/>
    <w:rsid w:val="006E205A"/>
    <w:rsid w:val="00707793"/>
    <w:rsid w:val="007238A5"/>
    <w:rsid w:val="00733533"/>
    <w:rsid w:val="00740F7C"/>
    <w:rsid w:val="007F28D8"/>
    <w:rsid w:val="00914CEB"/>
    <w:rsid w:val="009310FE"/>
    <w:rsid w:val="00972BA4"/>
    <w:rsid w:val="00993239"/>
    <w:rsid w:val="00A510E1"/>
    <w:rsid w:val="00C4154F"/>
    <w:rsid w:val="00C83AAA"/>
    <w:rsid w:val="00CF5C3B"/>
    <w:rsid w:val="00D52BA6"/>
    <w:rsid w:val="00D53092"/>
    <w:rsid w:val="00E875E3"/>
    <w:rsid w:val="00F02912"/>
    <w:rsid w:val="00F30077"/>
    <w:rsid w:val="00F8771A"/>
    <w:rsid w:val="02125282"/>
    <w:rsid w:val="02B0336E"/>
    <w:rsid w:val="042D4C6A"/>
    <w:rsid w:val="04D66E45"/>
    <w:rsid w:val="086C7E2B"/>
    <w:rsid w:val="095D32ED"/>
    <w:rsid w:val="0CE630DC"/>
    <w:rsid w:val="0F052762"/>
    <w:rsid w:val="10150780"/>
    <w:rsid w:val="19D63558"/>
    <w:rsid w:val="1AE003E1"/>
    <w:rsid w:val="1BEC0542"/>
    <w:rsid w:val="1DF04C6C"/>
    <w:rsid w:val="22E15BCE"/>
    <w:rsid w:val="2AA73585"/>
    <w:rsid w:val="2E846266"/>
    <w:rsid w:val="301C26FD"/>
    <w:rsid w:val="312132A7"/>
    <w:rsid w:val="341A770A"/>
    <w:rsid w:val="36E17DE7"/>
    <w:rsid w:val="37E9244A"/>
    <w:rsid w:val="395D3F19"/>
    <w:rsid w:val="408A2005"/>
    <w:rsid w:val="42150157"/>
    <w:rsid w:val="43677A21"/>
    <w:rsid w:val="4A6022F2"/>
    <w:rsid w:val="4CE72E8A"/>
    <w:rsid w:val="55BF6BE9"/>
    <w:rsid w:val="55F11B90"/>
    <w:rsid w:val="561374FA"/>
    <w:rsid w:val="63467B6E"/>
    <w:rsid w:val="69627926"/>
    <w:rsid w:val="6FA1272A"/>
    <w:rsid w:val="729707EC"/>
    <w:rsid w:val="72B41A3F"/>
    <w:rsid w:val="74B46F86"/>
    <w:rsid w:val="768A2BC7"/>
    <w:rsid w:val="77436BAC"/>
    <w:rsid w:val="77C67628"/>
    <w:rsid w:val="7A71251C"/>
    <w:rsid w:val="7C651F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宋体" w:hAnsi="宋体" w:eastAsia="宋体" w:cs="宋体"/>
      <w:kern w:val="0"/>
      <w:sz w:val="24"/>
      <w:szCs w:val="24"/>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pPr>
      <w:jc w:val="center"/>
    </w:pPr>
    <w:rPr>
      <w:sz w:val="52"/>
    </w:rPr>
  </w:style>
  <w:style w:type="paragraph" w:styleId="3">
    <w:name w:val="annotation text"/>
    <w:basedOn w:val="1"/>
    <w:semiHidden/>
    <w:unhideWhenUsed/>
    <w:qFormat/>
    <w:uiPriority w:val="99"/>
    <w:pPr>
      <w:jc w:val="left"/>
    </w:pPr>
  </w:style>
  <w:style w:type="paragraph" w:styleId="4">
    <w:name w:val="Balloon Text"/>
    <w:basedOn w:val="1"/>
    <w:link w:val="14"/>
    <w:semiHidden/>
    <w:unhideWhenUsed/>
    <w:qFormat/>
    <w:uiPriority w:val="99"/>
    <w:rPr>
      <w:sz w:val="18"/>
      <w:szCs w:val="18"/>
    </w:rPr>
  </w:style>
  <w:style w:type="paragraph" w:styleId="5">
    <w:name w:val="footer"/>
    <w:basedOn w:val="1"/>
    <w:link w:val="12"/>
    <w:unhideWhenUsed/>
    <w:qFormat/>
    <w:uiPriority w:val="99"/>
    <w:pPr>
      <w:widowControl w:val="0"/>
      <w:tabs>
        <w:tab w:val="center" w:pos="4153"/>
        <w:tab w:val="right" w:pos="8306"/>
      </w:tabs>
      <w:snapToGrid w:val="0"/>
    </w:pPr>
    <w:rPr>
      <w:rFonts w:asciiTheme="minorHAnsi" w:hAnsiTheme="minorHAnsi" w:eastAsiaTheme="minorEastAsia" w:cstheme="minorBidi"/>
      <w:kern w:val="2"/>
      <w:sz w:val="18"/>
      <w:szCs w:val="18"/>
    </w:rPr>
  </w:style>
  <w:style w:type="paragraph" w:styleId="6">
    <w:name w:val="header"/>
    <w:basedOn w:val="1"/>
    <w:link w:val="11"/>
    <w:unhideWhenUsed/>
    <w:qFormat/>
    <w:uiPriority w:val="99"/>
    <w:pPr>
      <w:widowControl w:val="0"/>
      <w:pBdr>
        <w:bottom w:val="single" w:color="auto" w:sz="6" w:space="1"/>
      </w:pBdr>
      <w:tabs>
        <w:tab w:val="center" w:pos="4153"/>
        <w:tab w:val="right" w:pos="8306"/>
      </w:tabs>
      <w:snapToGrid w:val="0"/>
      <w:jc w:val="center"/>
    </w:pPr>
    <w:rPr>
      <w:rFonts w:asciiTheme="minorHAnsi" w:hAnsiTheme="minorHAnsi" w:eastAsiaTheme="minorEastAsia" w:cstheme="minorBidi"/>
      <w:kern w:val="2"/>
      <w:sz w:val="18"/>
      <w:szCs w:val="18"/>
    </w:rPr>
  </w:style>
  <w:style w:type="paragraph" w:styleId="7">
    <w:name w:val="Normal (Web)"/>
    <w:basedOn w:val="1"/>
    <w:semiHidden/>
    <w:unhideWhenUsed/>
    <w:qFormat/>
    <w:uiPriority w:val="99"/>
    <w:pPr>
      <w:spacing w:before="75" w:after="75"/>
    </w:pPr>
  </w:style>
  <w:style w:type="character" w:styleId="10">
    <w:name w:val="Hyperlink"/>
    <w:basedOn w:val="9"/>
    <w:unhideWhenUsed/>
    <w:qFormat/>
    <w:uiPriority w:val="99"/>
    <w:rPr>
      <w:color w:val="0563C1" w:themeColor="hyperlink"/>
      <w:u w:val="single"/>
      <w14:textFill>
        <w14:solidFill>
          <w14:schemeClr w14:val="hlink"/>
        </w14:solidFill>
      </w14:textFill>
    </w:rPr>
  </w:style>
  <w:style w:type="character" w:customStyle="1" w:styleId="11">
    <w:name w:val="页眉 Char"/>
    <w:basedOn w:val="9"/>
    <w:link w:val="6"/>
    <w:qFormat/>
    <w:uiPriority w:val="99"/>
    <w:rPr>
      <w:sz w:val="18"/>
      <w:szCs w:val="18"/>
    </w:rPr>
  </w:style>
  <w:style w:type="character" w:customStyle="1" w:styleId="12">
    <w:name w:val="页脚 Char"/>
    <w:basedOn w:val="9"/>
    <w:link w:val="5"/>
    <w:qFormat/>
    <w:uiPriority w:val="99"/>
    <w:rPr>
      <w:sz w:val="18"/>
      <w:szCs w:val="18"/>
    </w:rPr>
  </w:style>
  <w:style w:type="paragraph" w:styleId="13">
    <w:name w:val="List Paragraph"/>
    <w:basedOn w:val="1"/>
    <w:qFormat/>
    <w:uiPriority w:val="34"/>
    <w:pPr>
      <w:widowControl w:val="0"/>
      <w:ind w:firstLine="420" w:firstLineChars="200"/>
      <w:jc w:val="both"/>
    </w:pPr>
    <w:rPr>
      <w:rFonts w:asciiTheme="minorHAnsi" w:hAnsiTheme="minorHAnsi" w:eastAsiaTheme="minorEastAsia" w:cstheme="minorBidi"/>
      <w:kern w:val="2"/>
      <w:sz w:val="21"/>
      <w:szCs w:val="22"/>
    </w:rPr>
  </w:style>
  <w:style w:type="character" w:customStyle="1" w:styleId="14">
    <w:name w:val="批注框文本 Char"/>
    <w:basedOn w:val="9"/>
    <w:link w:val="4"/>
    <w:semiHidden/>
    <w:qFormat/>
    <w:uiPriority w:val="99"/>
    <w:rPr>
      <w:rFonts w:ascii="宋体" w:hAnsi="宋体" w:eastAsia="宋体" w:cs="宋体"/>
      <w:kern w:val="0"/>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71</Words>
  <Characters>410</Characters>
  <Lines>3</Lines>
  <Paragraphs>1</Paragraphs>
  <TotalTime>114</TotalTime>
  <ScaleCrop>false</ScaleCrop>
  <LinksUpToDate>false</LinksUpToDate>
  <CharactersWithSpaces>480</CharactersWithSpaces>
  <Application>WPS Office_11.8.2.12118_F1E327BC-269C-435d-A152-05C5408002CA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2021-03-08T01:42:00Z</dcterms:created>
  <dc:creator>薛景莉</dc:creator>
  <cp:lastModifiedBy>王宇</cp:lastModifiedBy>
  <cp:lastPrinted>2021-06-16T23:51:00Z</cp:lastPrinted>
  <dcterms:modified xsi:type="dcterms:W3CDTF">2025-03-17T08:14:13Z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2052-11.8.2.12118</vt:lpwstr>
  </property>
  <property fmtid="{D5CDD505-2E9C-101B-9397-08002B2CF9AE}" pid="3" name="ICV">
    <vt:lpwstr>233074B8830F4741BE5A97CC303120E5</vt:lpwstr>
  </property>
</Properties>
</file>