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hint="eastAsia" w:ascii="仿宋_GB2312" w:hAnsi="宋体" w:eastAsia="仿宋_GB2312"/>
          <w:b/>
          <w:sz w:val="36"/>
          <w:szCs w:val="36"/>
        </w:rPr>
      </w:pPr>
      <w:r>
        <w:rPr>
          <w:rFonts w:hint="eastAsia" w:ascii="仿宋_GB2312" w:hAnsi="宋体" w:eastAsia="仿宋_GB2312"/>
          <w:b/>
          <w:sz w:val="36"/>
          <w:szCs w:val="36"/>
        </w:rPr>
        <w:t>人保财险四川省德阳市分公司2025年度团建拓展服务</w:t>
      </w:r>
    </w:p>
    <w:p>
      <w:pPr>
        <w:jc w:val="center"/>
        <w:rPr>
          <w:rFonts w:ascii="仿宋_GB2312" w:eastAsia="仿宋_GB2312"/>
          <w:sz w:val="72"/>
          <w:szCs w:val="72"/>
        </w:rPr>
      </w:pPr>
      <w:r>
        <w:rPr>
          <w:rFonts w:hint="eastAsia" w:ascii="仿宋_GB2312" w:hAnsi="宋体" w:eastAsia="仿宋_GB2312"/>
          <w:b/>
          <w:sz w:val="36"/>
          <w:szCs w:val="36"/>
        </w:rPr>
        <w:t>采购项目</w:t>
      </w:r>
    </w:p>
    <w:p>
      <w:pPr>
        <w:jc w:val="center"/>
        <w:rPr>
          <w:rFonts w:hint="eastAsia"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竞</w:t>
      </w:r>
    </w:p>
    <w:p>
      <w:pPr>
        <w:jc w:val="center"/>
        <w:rPr>
          <w:rFonts w:ascii="仿宋_GB2312" w:eastAsia="仿宋_GB2312"/>
          <w:sz w:val="72"/>
          <w:szCs w:val="72"/>
        </w:rPr>
      </w:pPr>
      <w:r>
        <w:rPr>
          <w:rFonts w:hint="eastAsia" w:ascii="仿宋_GB2312" w:eastAsia="仿宋_GB2312"/>
          <w:sz w:val="72"/>
          <w:szCs w:val="72"/>
        </w:rPr>
        <w:t>争</w:t>
      </w:r>
    </w:p>
    <w:p>
      <w:pPr>
        <w:jc w:val="center"/>
        <w:rPr>
          <w:rFonts w:ascii="仿宋_GB2312" w:eastAsia="仿宋_GB2312"/>
          <w:sz w:val="72"/>
          <w:szCs w:val="72"/>
        </w:rPr>
      </w:pPr>
      <w:r>
        <w:rPr>
          <w:rFonts w:hint="eastAsia" w:ascii="仿宋_GB2312" w:eastAsia="仿宋_GB2312"/>
          <w:sz w:val="72"/>
          <w:szCs w:val="72"/>
        </w:rPr>
        <w:t>性</w:t>
      </w:r>
    </w:p>
    <w:p>
      <w:pPr>
        <w:jc w:val="center"/>
        <w:rPr>
          <w:rFonts w:ascii="仿宋_GB2312" w:eastAsia="仿宋_GB2312"/>
          <w:sz w:val="72"/>
          <w:szCs w:val="72"/>
        </w:rPr>
      </w:pPr>
      <w:r>
        <w:rPr>
          <w:rFonts w:hint="eastAsia" w:ascii="仿宋_GB2312" w:eastAsia="仿宋_GB2312"/>
          <w:sz w:val="72"/>
          <w:szCs w:val="72"/>
        </w:rPr>
        <w:t>磋</w:t>
      </w:r>
    </w:p>
    <w:p>
      <w:pPr>
        <w:jc w:val="center"/>
        <w:rPr>
          <w:rFonts w:ascii="仿宋_GB2312" w:eastAsia="仿宋_GB2312"/>
          <w:sz w:val="72"/>
          <w:szCs w:val="72"/>
        </w:rPr>
      </w:pPr>
      <w:r>
        <w:rPr>
          <w:rFonts w:hint="eastAsia" w:ascii="仿宋_GB2312" w:eastAsia="仿宋_GB2312"/>
          <w:sz w:val="72"/>
          <w:szCs w:val="72"/>
        </w:rPr>
        <w:t>商</w:t>
      </w: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8"/>
        <w:ind w:left="113"/>
        <w:jc w:val="center"/>
        <w:rPr>
          <w:rFonts w:ascii="仿宋_GB2312" w:hAnsi="宋体" w:eastAsia="仿宋_GB2312"/>
          <w:b/>
          <w:sz w:val="28"/>
          <w:szCs w:val="28"/>
        </w:rPr>
      </w:pPr>
    </w:p>
    <w:p>
      <w:pPr>
        <w:pStyle w:val="18"/>
        <w:ind w:left="113"/>
        <w:jc w:val="center"/>
        <w:rPr>
          <w:rFonts w:ascii="仿宋_GB2312" w:hAnsi="宋体" w:eastAsia="仿宋_GB2312"/>
          <w:b/>
          <w:sz w:val="28"/>
          <w:szCs w:val="28"/>
        </w:rPr>
      </w:pPr>
    </w:p>
    <w:p>
      <w:pPr>
        <w:pStyle w:val="18"/>
        <w:ind w:left="113"/>
        <w:jc w:val="center"/>
        <w:rPr>
          <w:rFonts w:ascii="仿宋_GB2312" w:hAnsi="宋体" w:eastAsia="仿宋_GB2312"/>
          <w:b/>
          <w:sz w:val="28"/>
          <w:szCs w:val="28"/>
        </w:rPr>
      </w:pPr>
    </w:p>
    <w:p>
      <w:pPr>
        <w:pStyle w:val="18"/>
        <w:ind w:left="113"/>
        <w:jc w:val="center"/>
        <w:rPr>
          <w:rFonts w:ascii="仿宋_GB2312" w:hAnsi="宋体" w:eastAsia="仿宋_GB2312"/>
          <w:b/>
          <w:sz w:val="28"/>
          <w:szCs w:val="28"/>
        </w:rPr>
      </w:pPr>
      <w:r>
        <w:rPr>
          <w:rFonts w:hint="eastAsia" w:ascii="仿宋_GB2312" w:hAnsi="宋体" w:eastAsia="仿宋_GB2312"/>
          <w:b/>
          <w:sz w:val="28"/>
          <w:szCs w:val="28"/>
          <w:lang w:val="en-US" w:eastAsia="zh-CN"/>
        </w:rPr>
        <w:t>2025</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05</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4"/>
        <w:tabs>
          <w:tab w:val="right" w:leader="dot" w:pos="9628"/>
        </w:tabs>
        <w:rPr>
          <w:b w:val="0"/>
          <w:bCs w:val="0"/>
          <w:caps w:val="0"/>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42"/>
          <w:rFonts w:hint="eastAsia" w:ascii="仿宋_GB2312" w:hAnsi="宋体" w:eastAsia="仿宋_GB2312"/>
        </w:rPr>
        <w:t>第一章</w:t>
      </w:r>
      <w:r>
        <w:rPr>
          <w:rStyle w:val="42"/>
          <w:rFonts w:ascii="仿宋_GB2312" w:hAnsi="宋体" w:eastAsia="仿宋_GB2312"/>
        </w:rPr>
        <w:t xml:space="preserve"> </w:t>
      </w:r>
      <w:r>
        <w:rPr>
          <w:rStyle w:val="42"/>
          <w:rFonts w:hint="eastAsia" w:ascii="仿宋_GB2312" w:hAnsi="宋体" w:eastAsia="仿宋_GB2312"/>
        </w:rPr>
        <w:t>竞争性磋商邀请</w:t>
      </w:r>
      <w:r>
        <w:tab/>
      </w:r>
      <w:r>
        <w:fldChar w:fldCharType="begin"/>
      </w:r>
      <w:r>
        <w:instrText xml:space="preserve"> PAGEREF _Toc186737790 \h </w:instrText>
      </w:r>
      <w:r>
        <w:fldChar w:fldCharType="separate"/>
      </w:r>
      <w:r>
        <w:t>3</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"_Toc186737791" </w:instrText>
      </w:r>
      <w:r>
        <w:fldChar w:fldCharType="separate"/>
      </w:r>
      <w:r>
        <w:rPr>
          <w:rStyle w:val="42"/>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"_Toc186737792" </w:instrText>
      </w:r>
      <w:r>
        <w:fldChar w:fldCharType="separate"/>
      </w:r>
      <w:r>
        <w:rPr>
          <w:rStyle w:val="42"/>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"_Toc186737793" </w:instrText>
      </w:r>
      <w:r>
        <w:fldChar w:fldCharType="separate"/>
      </w:r>
      <w:r>
        <w:rPr>
          <w:rStyle w:val="42"/>
          <w:rFonts w:hint="eastAsia" w:ascii="仿宋" w:hAnsi="仿宋" w:eastAsia="仿宋" w:cs="仿宋"/>
        </w:rPr>
        <w:t>三、磋商文件的获取</w:t>
      </w:r>
      <w:r>
        <w:tab/>
      </w:r>
      <w:r>
        <w:fldChar w:fldCharType="begin"/>
      </w:r>
      <w:r>
        <w:instrText xml:space="preserve"> PAGEREF _Toc186737793 \h </w:instrText>
      </w:r>
      <w:r>
        <w:fldChar w:fldCharType="separate"/>
      </w:r>
      <w:r>
        <w:t>4</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"_Toc186737794" </w:instrText>
      </w:r>
      <w:r>
        <w:fldChar w:fldCharType="separate"/>
      </w:r>
      <w:r>
        <w:rPr>
          <w:rStyle w:val="42"/>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"_Toc186737795" </w:instrText>
      </w:r>
      <w:r>
        <w:fldChar w:fldCharType="separate"/>
      </w:r>
      <w:r>
        <w:rPr>
          <w:rStyle w:val="42"/>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"_Toc186737796" </w:instrText>
      </w:r>
      <w:r>
        <w:fldChar w:fldCharType="separate"/>
      </w:r>
      <w:r>
        <w:rPr>
          <w:rStyle w:val="42"/>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pPr>
        <w:pStyle w:val="24"/>
        <w:tabs>
          <w:tab w:val="right" w:leader="dot" w:pos="9628"/>
        </w:tabs>
        <w:rPr>
          <w:b w:val="0"/>
          <w:bCs w:val="0"/>
          <w:caps w:val="0"/>
          <w:sz w:val="21"/>
          <w:szCs w:val="22"/>
        </w:rPr>
      </w:pPr>
      <w:r>
        <w:fldChar w:fldCharType="begin"/>
      </w:r>
      <w:r>
        <w:instrText xml:space="preserve"> HYPERLINK \l "_Toc186737797" </w:instrText>
      </w:r>
      <w:r>
        <w:fldChar w:fldCharType="separate"/>
      </w:r>
      <w:r>
        <w:rPr>
          <w:rStyle w:val="42"/>
          <w:rFonts w:hint="eastAsia" w:ascii="仿宋_GB2312" w:hAnsi="宋体" w:eastAsia="仿宋_GB2312"/>
        </w:rPr>
        <w:t>第二章</w:t>
      </w:r>
      <w:r>
        <w:rPr>
          <w:rStyle w:val="42"/>
          <w:rFonts w:ascii="仿宋_GB2312" w:hAnsi="宋体" w:eastAsia="仿宋_GB2312"/>
        </w:rPr>
        <w:t xml:space="preserve"> </w:t>
      </w:r>
      <w:r>
        <w:rPr>
          <w:rStyle w:val="42"/>
          <w:rFonts w:hint="eastAsia" w:ascii="仿宋_GB2312" w:hAnsi="宋体" w:eastAsia="仿宋_GB2312"/>
        </w:rPr>
        <w:t>供应商须知</w:t>
      </w:r>
      <w:r>
        <w:tab/>
      </w:r>
      <w:r>
        <w:fldChar w:fldCharType="begin"/>
      </w:r>
      <w:r>
        <w:instrText xml:space="preserve"> PAGEREF _Toc186737797 \h </w:instrText>
      </w:r>
      <w:r>
        <w:fldChar w:fldCharType="separate"/>
      </w:r>
      <w:r>
        <w:t>7</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"_Toc186737798" </w:instrText>
      </w:r>
      <w:r>
        <w:fldChar w:fldCharType="separate"/>
      </w:r>
      <w:r>
        <w:rPr>
          <w:rStyle w:val="42"/>
          <w:rFonts w:hint="eastAsia" w:ascii="仿宋" w:hAnsi="仿宋" w:eastAsia="仿宋" w:cs="仿宋"/>
        </w:rPr>
        <w:t>一、供应商须知前附表</w:t>
      </w:r>
      <w:r>
        <w:tab/>
      </w:r>
      <w:r>
        <w:fldChar w:fldCharType="begin"/>
      </w:r>
      <w:r>
        <w:instrText xml:space="preserve"> PAGEREF _Toc186737798 \h </w:instrText>
      </w:r>
      <w:r>
        <w:fldChar w:fldCharType="separate"/>
      </w:r>
      <w:r>
        <w:t>7</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"_Toc186737799" </w:instrText>
      </w:r>
      <w:r>
        <w:fldChar w:fldCharType="separate"/>
      </w:r>
      <w:r>
        <w:rPr>
          <w:rStyle w:val="42"/>
          <w:rFonts w:hint="eastAsia" w:ascii="仿宋" w:hAnsi="仿宋" w:eastAsia="仿宋" w:cs="仿宋"/>
        </w:rPr>
        <w:t>二、供应商须知正文</w:t>
      </w:r>
      <w:r>
        <w:tab/>
      </w:r>
      <w:r>
        <w:fldChar w:fldCharType="begin"/>
      </w:r>
      <w:r>
        <w:instrText xml:space="preserve"> PAGEREF _Toc186737799 \h </w:instrText>
      </w:r>
      <w:r>
        <w:fldChar w:fldCharType="separate"/>
      </w:r>
      <w:r>
        <w:t>10</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"_Toc186737800" </w:instrText>
      </w:r>
      <w:r>
        <w:fldChar w:fldCharType="separate"/>
      </w:r>
      <w:r>
        <w:rPr>
          <w:rStyle w:val="42"/>
          <w:rFonts w:hint="eastAsia" w:ascii="仿宋" w:hAnsi="仿宋" w:eastAsia="仿宋" w:cs="仿宋"/>
        </w:rPr>
        <w:t>（一）总</w:t>
      </w:r>
      <w:r>
        <w:rPr>
          <w:rStyle w:val="42"/>
          <w:rFonts w:ascii="仿宋" w:hAnsi="仿宋" w:eastAsia="仿宋" w:cs="仿宋"/>
        </w:rPr>
        <w:t xml:space="preserve"> </w:t>
      </w:r>
      <w:r>
        <w:rPr>
          <w:rStyle w:val="42"/>
          <w:rFonts w:hint="eastAsia" w:ascii="仿宋" w:hAnsi="仿宋" w:eastAsia="仿宋" w:cs="仿宋"/>
        </w:rPr>
        <w:t>则</w:t>
      </w:r>
      <w:r>
        <w:tab/>
      </w:r>
      <w:r>
        <w:fldChar w:fldCharType="begin"/>
      </w:r>
      <w:r>
        <w:instrText xml:space="preserve"> PAGEREF _Toc186737800 \h </w:instrText>
      </w:r>
      <w:r>
        <w:fldChar w:fldCharType="separate"/>
      </w:r>
      <w:r>
        <w:t>10</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"_Toc186737801" </w:instrText>
      </w:r>
      <w:r>
        <w:fldChar w:fldCharType="separate"/>
      </w:r>
      <w:r>
        <w:rPr>
          <w:rStyle w:val="42"/>
          <w:rFonts w:hint="eastAsia" w:ascii="仿宋" w:hAnsi="仿宋" w:eastAsia="仿宋" w:cs="仿宋"/>
        </w:rPr>
        <w:t>（二）磋商文件</w:t>
      </w:r>
      <w:r>
        <w:tab/>
      </w:r>
      <w:r>
        <w:fldChar w:fldCharType="begin"/>
      </w:r>
      <w:r>
        <w:instrText xml:space="preserve"> PAGEREF _Toc186737801 \h </w:instrText>
      </w:r>
      <w:r>
        <w:fldChar w:fldCharType="separate"/>
      </w:r>
      <w:r>
        <w:t>10</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"_Toc186737802" </w:instrText>
      </w:r>
      <w:r>
        <w:fldChar w:fldCharType="separate"/>
      </w:r>
      <w:r>
        <w:rPr>
          <w:rStyle w:val="42"/>
          <w:rFonts w:hint="eastAsia" w:ascii="仿宋" w:hAnsi="仿宋" w:eastAsia="仿宋" w:cs="仿宋"/>
        </w:rPr>
        <w:t>（三）响应文件</w:t>
      </w:r>
      <w:r>
        <w:tab/>
      </w:r>
      <w:r>
        <w:fldChar w:fldCharType="begin"/>
      </w:r>
      <w:r>
        <w:instrText xml:space="preserve"> PAGEREF _Toc186737802 \h </w:instrText>
      </w:r>
      <w:r>
        <w:fldChar w:fldCharType="separate"/>
      </w:r>
      <w:r>
        <w:t>11</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"_Toc186737803" </w:instrText>
      </w:r>
      <w:r>
        <w:fldChar w:fldCharType="separate"/>
      </w:r>
      <w:r>
        <w:rPr>
          <w:rStyle w:val="42"/>
          <w:rFonts w:hint="eastAsia" w:ascii="仿宋" w:hAnsi="仿宋" w:eastAsia="仿宋" w:cs="仿宋"/>
        </w:rPr>
        <w:t>（四）响应文件的递交</w:t>
      </w:r>
      <w:r>
        <w:tab/>
      </w:r>
      <w:r>
        <w:fldChar w:fldCharType="begin"/>
      </w:r>
      <w:r>
        <w:instrText xml:space="preserve"> PAGEREF _Toc186737803 \h </w:instrText>
      </w:r>
      <w:r>
        <w:fldChar w:fldCharType="separate"/>
      </w:r>
      <w:r>
        <w:t>13</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"_Toc186737804" </w:instrText>
      </w:r>
      <w:r>
        <w:fldChar w:fldCharType="separate"/>
      </w:r>
      <w:r>
        <w:rPr>
          <w:rStyle w:val="42"/>
          <w:rFonts w:hint="eastAsia" w:ascii="仿宋" w:hAnsi="仿宋" w:eastAsia="仿宋" w:cs="仿宋"/>
        </w:rPr>
        <w:t>（五）竞争性磋商和评审</w:t>
      </w:r>
      <w:r>
        <w:tab/>
      </w:r>
      <w:r>
        <w:fldChar w:fldCharType="begin"/>
      </w:r>
      <w:r>
        <w:instrText xml:space="preserve"> PAGEREF _Toc186737804 \h </w:instrText>
      </w:r>
      <w:r>
        <w:fldChar w:fldCharType="separate"/>
      </w:r>
      <w:r>
        <w:t>14</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"_Toc186737805" </w:instrText>
      </w:r>
      <w:r>
        <w:fldChar w:fldCharType="separate"/>
      </w:r>
      <w:r>
        <w:rPr>
          <w:rStyle w:val="42"/>
          <w:rFonts w:hint="eastAsia" w:ascii="仿宋" w:hAnsi="仿宋" w:eastAsia="仿宋" w:cs="仿宋"/>
        </w:rPr>
        <w:t>（六）授予合同</w:t>
      </w:r>
      <w:r>
        <w:tab/>
      </w:r>
      <w:r>
        <w:fldChar w:fldCharType="begin"/>
      </w:r>
      <w:r>
        <w:instrText xml:space="preserve"> PAGEREF _Toc186737805 \h </w:instrText>
      </w:r>
      <w:r>
        <w:fldChar w:fldCharType="separate"/>
      </w:r>
      <w:r>
        <w:t>16</w:t>
      </w:r>
      <w:r>
        <w:fldChar w:fldCharType="end"/>
      </w:r>
      <w:r>
        <w:fldChar w:fldCharType="end"/>
      </w:r>
    </w:p>
    <w:p>
      <w:pPr>
        <w:pStyle w:val="24"/>
        <w:tabs>
          <w:tab w:val="right" w:leader="dot" w:pos="9628"/>
        </w:tabs>
        <w:rPr>
          <w:b w:val="0"/>
          <w:bCs w:val="0"/>
          <w:caps w:val="0"/>
          <w:sz w:val="21"/>
          <w:szCs w:val="22"/>
        </w:rPr>
      </w:pPr>
      <w:r>
        <w:fldChar w:fldCharType="begin"/>
      </w:r>
      <w:r>
        <w:instrText xml:space="preserve"> HYPERLINK \l "_Toc186737806" </w:instrText>
      </w:r>
      <w:r>
        <w:fldChar w:fldCharType="separate"/>
      </w:r>
      <w:r>
        <w:rPr>
          <w:rStyle w:val="42"/>
          <w:rFonts w:hint="eastAsia" w:ascii="仿宋" w:hAnsi="仿宋" w:eastAsia="仿宋" w:cs="仿宋"/>
        </w:rPr>
        <w:t>第三章</w:t>
      </w:r>
      <w:r>
        <w:rPr>
          <w:rStyle w:val="42"/>
          <w:rFonts w:ascii="仿宋" w:hAnsi="仿宋" w:eastAsia="仿宋" w:cs="仿宋"/>
        </w:rPr>
        <w:t xml:space="preserve"> </w:t>
      </w:r>
      <w:r>
        <w:rPr>
          <w:rStyle w:val="42"/>
          <w:rFonts w:hint="eastAsia" w:ascii="仿宋" w:hAnsi="仿宋" w:eastAsia="仿宋" w:cs="仿宋"/>
        </w:rPr>
        <w:t>评审办法</w:t>
      </w:r>
      <w:r>
        <w:tab/>
      </w:r>
      <w:r>
        <w:fldChar w:fldCharType="begin"/>
      </w:r>
      <w:r>
        <w:instrText xml:space="preserve"> PAGEREF _Toc186737806 \h </w:instrText>
      </w:r>
      <w:r>
        <w:fldChar w:fldCharType="separate"/>
      </w:r>
      <w:r>
        <w:t>17</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"_Toc186737807" </w:instrText>
      </w:r>
      <w:r>
        <w:fldChar w:fldCharType="separate"/>
      </w:r>
      <w:r>
        <w:rPr>
          <w:rStyle w:val="42"/>
          <w:rFonts w:hint="eastAsia" w:ascii="仿宋" w:hAnsi="仿宋" w:eastAsia="仿宋" w:cs="仿宋"/>
        </w:rPr>
        <w:t>一、评审程序</w:t>
      </w:r>
      <w:r>
        <w:tab/>
      </w:r>
      <w:r>
        <w:fldChar w:fldCharType="begin"/>
      </w:r>
      <w:r>
        <w:instrText xml:space="preserve"> PAGEREF _Toc186737807 \h </w:instrText>
      </w:r>
      <w:r>
        <w:fldChar w:fldCharType="separate"/>
      </w:r>
      <w:r>
        <w:t>17</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"_Toc186737808" </w:instrText>
      </w:r>
      <w:r>
        <w:fldChar w:fldCharType="separate"/>
      </w:r>
      <w:r>
        <w:rPr>
          <w:rStyle w:val="42"/>
          <w:rFonts w:hint="eastAsia" w:ascii="仿宋" w:hAnsi="仿宋" w:eastAsia="仿宋" w:cs="仿宋"/>
        </w:rPr>
        <w:t>二、初步评审</w:t>
      </w:r>
      <w:r>
        <w:tab/>
      </w:r>
      <w:r>
        <w:fldChar w:fldCharType="begin"/>
      </w:r>
      <w:r>
        <w:instrText xml:space="preserve"> PAGEREF _Toc186737808 \h </w:instrText>
      </w:r>
      <w:r>
        <w:fldChar w:fldCharType="separate"/>
      </w:r>
      <w:r>
        <w:t>19</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"_Toc186737809" </w:instrText>
      </w:r>
      <w:r>
        <w:fldChar w:fldCharType="separate"/>
      </w:r>
      <w:r>
        <w:rPr>
          <w:rStyle w:val="42"/>
          <w:rFonts w:hint="eastAsia" w:ascii="仿宋" w:hAnsi="仿宋" w:eastAsia="仿宋" w:cs="仿宋"/>
        </w:rPr>
        <w:t>三、详细评审</w:t>
      </w:r>
      <w:r>
        <w:tab/>
      </w:r>
      <w:r>
        <w:fldChar w:fldCharType="begin"/>
      </w:r>
      <w:r>
        <w:instrText xml:space="preserve"> PAGEREF _Toc186737809 \h </w:instrText>
      </w:r>
      <w:r>
        <w:fldChar w:fldCharType="separate"/>
      </w:r>
      <w:r>
        <w:t>20</w:t>
      </w:r>
      <w:r>
        <w:fldChar w:fldCharType="end"/>
      </w:r>
      <w:r>
        <w:fldChar w:fldCharType="end"/>
      </w:r>
    </w:p>
    <w:p>
      <w:pPr>
        <w:pStyle w:val="24"/>
        <w:tabs>
          <w:tab w:val="right" w:leader="dot" w:pos="9628"/>
        </w:tabs>
        <w:rPr>
          <w:b w:val="0"/>
          <w:bCs w:val="0"/>
          <w:caps w:val="0"/>
          <w:sz w:val="21"/>
          <w:szCs w:val="22"/>
        </w:rPr>
      </w:pPr>
      <w:r>
        <w:fldChar w:fldCharType="begin"/>
      </w:r>
      <w:r>
        <w:instrText xml:space="preserve"> HYPERLINK \l "_Toc186737810" </w:instrText>
      </w:r>
      <w:r>
        <w:fldChar w:fldCharType="separate"/>
      </w:r>
      <w:r>
        <w:rPr>
          <w:rStyle w:val="42"/>
          <w:rFonts w:hint="eastAsia" w:ascii="仿宋" w:hAnsi="仿宋" w:eastAsia="仿宋" w:cs="仿宋"/>
        </w:rPr>
        <w:t>第四章</w:t>
      </w:r>
      <w:r>
        <w:rPr>
          <w:rStyle w:val="42"/>
          <w:rFonts w:ascii="仿宋" w:hAnsi="仿宋" w:eastAsia="仿宋" w:cs="仿宋"/>
        </w:rPr>
        <w:t xml:space="preserve"> </w:t>
      </w:r>
      <w:r>
        <w:rPr>
          <w:rStyle w:val="42"/>
          <w:rFonts w:hint="eastAsia" w:ascii="仿宋" w:hAnsi="仿宋" w:eastAsia="仿宋" w:cs="仿宋"/>
        </w:rPr>
        <w:t>合同条款</w:t>
      </w:r>
      <w:r>
        <w:tab/>
      </w:r>
      <w:r>
        <w:fldChar w:fldCharType="begin"/>
      </w:r>
      <w:r>
        <w:instrText xml:space="preserve"> PAGEREF _Toc186737810 \h </w:instrText>
      </w:r>
      <w:r>
        <w:fldChar w:fldCharType="separate"/>
      </w:r>
      <w:r>
        <w:t>22</w:t>
      </w:r>
      <w:r>
        <w:fldChar w:fldCharType="end"/>
      </w:r>
      <w:r>
        <w:fldChar w:fldCharType="end"/>
      </w:r>
    </w:p>
    <w:p>
      <w:pPr>
        <w:pStyle w:val="24"/>
        <w:tabs>
          <w:tab w:val="right" w:leader="dot" w:pos="9628"/>
        </w:tabs>
        <w:rPr>
          <w:b w:val="0"/>
          <w:bCs w:val="0"/>
          <w:caps w:val="0"/>
          <w:sz w:val="21"/>
          <w:szCs w:val="22"/>
        </w:rPr>
      </w:pPr>
      <w:r>
        <w:fldChar w:fldCharType="begin"/>
      </w:r>
      <w:r>
        <w:instrText xml:space="preserve"> HYPERLINK \l "_Toc186737811" </w:instrText>
      </w:r>
      <w:r>
        <w:fldChar w:fldCharType="separate"/>
      </w:r>
      <w:r>
        <w:rPr>
          <w:rStyle w:val="42"/>
          <w:rFonts w:hint="eastAsia" w:ascii="仿宋_GB2312" w:hAnsi="宋体" w:eastAsia="仿宋_GB2312"/>
        </w:rPr>
        <w:t>第五章</w:t>
      </w:r>
      <w:r>
        <w:rPr>
          <w:rStyle w:val="42"/>
          <w:rFonts w:ascii="仿宋_GB2312" w:hAnsi="宋体" w:eastAsia="仿宋_GB2312"/>
        </w:rPr>
        <w:t xml:space="preserve"> </w:t>
      </w:r>
      <w:r>
        <w:rPr>
          <w:rStyle w:val="42"/>
          <w:rFonts w:hint="eastAsia" w:ascii="仿宋_GB2312" w:hAnsi="宋体" w:eastAsia="仿宋_GB2312"/>
        </w:rPr>
        <w:t>采购需求</w:t>
      </w:r>
      <w:r>
        <w:tab/>
      </w:r>
      <w:r>
        <w:fldChar w:fldCharType="begin"/>
      </w:r>
      <w:r>
        <w:instrText xml:space="preserve"> PAGEREF _Toc186737811 \h </w:instrText>
      </w:r>
      <w:r>
        <w:fldChar w:fldCharType="separate"/>
      </w:r>
      <w:r>
        <w:t>23</w:t>
      </w:r>
      <w:r>
        <w:fldChar w:fldCharType="end"/>
      </w:r>
      <w:r>
        <w:fldChar w:fldCharType="end"/>
      </w:r>
    </w:p>
    <w:p>
      <w:pPr>
        <w:pStyle w:val="24"/>
        <w:tabs>
          <w:tab w:val="right" w:leader="dot" w:pos="9628"/>
        </w:tabs>
        <w:rPr>
          <w:b w:val="0"/>
          <w:bCs w:val="0"/>
          <w:caps w:val="0"/>
          <w:sz w:val="21"/>
          <w:szCs w:val="22"/>
        </w:rPr>
      </w:pPr>
      <w:r>
        <w:fldChar w:fldCharType="begin"/>
      </w:r>
      <w:r>
        <w:instrText xml:space="preserve"> HYPERLINK \l "_Toc186737812" </w:instrText>
      </w:r>
      <w:r>
        <w:fldChar w:fldCharType="separate"/>
      </w:r>
      <w:r>
        <w:rPr>
          <w:rStyle w:val="42"/>
          <w:rFonts w:hint="eastAsia" w:ascii="仿宋" w:hAnsi="仿宋" w:eastAsia="仿宋" w:cs="仿宋"/>
        </w:rPr>
        <w:t>第六章</w:t>
      </w:r>
      <w:r>
        <w:rPr>
          <w:rStyle w:val="42"/>
          <w:rFonts w:ascii="仿宋" w:hAnsi="仿宋" w:eastAsia="仿宋" w:cs="仿宋"/>
        </w:rPr>
        <w:t xml:space="preserve"> </w:t>
      </w:r>
      <w:r>
        <w:rPr>
          <w:rStyle w:val="42"/>
          <w:rFonts w:hint="eastAsia" w:ascii="仿宋" w:hAnsi="仿宋" w:eastAsia="仿宋" w:cs="仿宋"/>
        </w:rPr>
        <w:t>响应文件格式</w:t>
      </w:r>
      <w:r>
        <w:tab/>
      </w:r>
      <w:r>
        <w:fldChar w:fldCharType="begin"/>
      </w:r>
      <w:r>
        <w:instrText xml:space="preserve"> PAGEREF _Toc186737812 \h </w:instrText>
      </w:r>
      <w:r>
        <w:fldChar w:fldCharType="separate"/>
      </w:r>
      <w:r>
        <w:t>24</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"_Toc186737813" </w:instrText>
      </w:r>
      <w:r>
        <w:fldChar w:fldCharType="separate"/>
      </w:r>
      <w:r>
        <w:rPr>
          <w:rStyle w:val="42"/>
          <w:rFonts w:hint="eastAsia" w:ascii="仿宋" w:hAnsi="仿宋" w:eastAsia="仿宋" w:cs="仿宋"/>
        </w:rPr>
        <w:t>一、商务文件</w:t>
      </w:r>
      <w:r>
        <w:tab/>
      </w:r>
      <w:r>
        <w:fldChar w:fldCharType="begin"/>
      </w:r>
      <w:r>
        <w:instrText xml:space="preserve"> PAGEREF _Toc186737813 \h </w:instrText>
      </w:r>
      <w:r>
        <w:fldChar w:fldCharType="separate"/>
      </w:r>
      <w:r>
        <w:t>25</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"_Toc186737814" </w:instrText>
      </w:r>
      <w:r>
        <w:fldChar w:fldCharType="separate"/>
      </w:r>
      <w:r>
        <w:rPr>
          <w:rStyle w:val="42"/>
          <w:rFonts w:hint="eastAsia" w:ascii="仿宋" w:hAnsi="仿宋" w:eastAsia="仿宋" w:cs="仿宋"/>
        </w:rPr>
        <w:t>（一）响应函</w:t>
      </w:r>
      <w:r>
        <w:tab/>
      </w:r>
      <w:r>
        <w:fldChar w:fldCharType="begin"/>
      </w:r>
      <w:r>
        <w:instrText xml:space="preserve"> PAGEREF _Toc186737814 \h </w:instrText>
      </w:r>
      <w:r>
        <w:fldChar w:fldCharType="separate"/>
      </w:r>
      <w:r>
        <w:t>27</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"_Toc186737815" </w:instrText>
      </w:r>
      <w:r>
        <w:fldChar w:fldCharType="separate"/>
      </w:r>
      <w:r>
        <w:rPr>
          <w:rStyle w:val="42"/>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28</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"_Toc186737816" </w:instrText>
      </w:r>
      <w:r>
        <w:fldChar w:fldCharType="separate"/>
      </w:r>
      <w:r>
        <w:rPr>
          <w:rStyle w:val="42"/>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29</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"_Toc186737817" </w:instrText>
      </w:r>
      <w:r>
        <w:fldChar w:fldCharType="separate"/>
      </w:r>
      <w:r>
        <w:rPr>
          <w:rStyle w:val="42"/>
          <w:rFonts w:hint="eastAsia" w:ascii="仿宋" w:hAnsi="仿宋" w:eastAsia="仿宋" w:cs="仿宋"/>
        </w:rPr>
        <w:t>（四）资格证明文件</w:t>
      </w:r>
      <w:r>
        <w:tab/>
      </w:r>
      <w:r>
        <w:fldChar w:fldCharType="begin"/>
      </w:r>
      <w:r>
        <w:instrText xml:space="preserve"> PAGEREF _Toc186737817 \h </w:instrText>
      </w:r>
      <w:r>
        <w:fldChar w:fldCharType="separate"/>
      </w:r>
      <w:r>
        <w:t>30</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"_Toc186737818" </w:instrText>
      </w:r>
      <w:r>
        <w:fldChar w:fldCharType="separate"/>
      </w:r>
      <w:r>
        <w:rPr>
          <w:rStyle w:val="42"/>
          <w:rFonts w:hint="eastAsia" w:ascii="仿宋" w:hAnsi="仿宋" w:eastAsia="仿宋" w:cs="仿宋"/>
        </w:rPr>
        <w:t>（五）供应商须知应答偏离表</w:t>
      </w:r>
      <w:r>
        <w:tab/>
      </w:r>
      <w:r>
        <w:fldChar w:fldCharType="begin"/>
      </w:r>
      <w:r>
        <w:instrText xml:space="preserve"> PAGEREF _Toc186737818 \h </w:instrText>
      </w:r>
      <w:r>
        <w:fldChar w:fldCharType="separate"/>
      </w:r>
      <w:r>
        <w:t>40</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"_Toc186737819" </w:instrText>
      </w:r>
      <w:r>
        <w:fldChar w:fldCharType="separate"/>
      </w:r>
      <w:r>
        <w:rPr>
          <w:rStyle w:val="42"/>
          <w:rFonts w:hint="eastAsia" w:ascii="仿宋" w:hAnsi="仿宋" w:eastAsia="仿宋" w:cs="仿宋"/>
        </w:rPr>
        <w:t>（七）供应商行为准则承诺书</w:t>
      </w:r>
      <w:r>
        <w:tab/>
      </w:r>
      <w:r>
        <w:fldChar w:fldCharType="begin"/>
      </w:r>
      <w:r>
        <w:instrText xml:space="preserve"> PAGEREF _Toc186737819 \h </w:instrText>
      </w:r>
      <w:r>
        <w:fldChar w:fldCharType="separate"/>
      </w:r>
      <w:r>
        <w:t>42</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"_Toc186737820" </w:instrText>
      </w:r>
      <w:r>
        <w:fldChar w:fldCharType="separate"/>
      </w:r>
      <w:r>
        <w:rPr>
          <w:rStyle w:val="42"/>
          <w:rFonts w:hint="eastAsia" w:ascii="仿宋" w:hAnsi="仿宋" w:eastAsia="仿宋" w:cs="宋体"/>
        </w:rPr>
        <w:t>（八）供应商廉洁诚信承诺书</w:t>
      </w:r>
      <w:r>
        <w:tab/>
      </w:r>
      <w:r>
        <w:fldChar w:fldCharType="begin"/>
      </w:r>
      <w:r>
        <w:instrText xml:space="preserve"> PAGEREF _Toc186737820 \h </w:instrText>
      </w:r>
      <w:r>
        <w:fldChar w:fldCharType="separate"/>
      </w:r>
      <w:r>
        <w:t>44</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"_Toc186737821" </w:instrText>
      </w:r>
      <w:r>
        <w:fldChar w:fldCharType="separate"/>
      </w:r>
      <w:r>
        <w:rPr>
          <w:rStyle w:val="42"/>
          <w:rFonts w:hint="eastAsia" w:ascii="仿宋" w:hAnsi="仿宋" w:eastAsia="仿宋" w:cs="宋体"/>
        </w:rPr>
        <w:t>（九）信息安全采购要求承诺函</w:t>
      </w:r>
      <w:r>
        <w:tab/>
      </w:r>
      <w:r>
        <w:fldChar w:fldCharType="begin"/>
      </w:r>
      <w:r>
        <w:instrText xml:space="preserve"> PAGEREF _Toc186737821 \h </w:instrText>
      </w:r>
      <w:r>
        <w:fldChar w:fldCharType="separate"/>
      </w:r>
      <w:r>
        <w:t>47</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"_Toc186737822" </w:instrText>
      </w:r>
      <w:r>
        <w:fldChar w:fldCharType="separate"/>
      </w:r>
      <w:r>
        <w:rPr>
          <w:rStyle w:val="42"/>
          <w:rFonts w:hint="eastAsia" w:ascii="仿宋" w:hAnsi="仿宋" w:eastAsia="仿宋" w:cs="宋体"/>
        </w:rPr>
        <w:t>（九）其他材料</w:t>
      </w:r>
      <w:r>
        <w:tab/>
      </w:r>
      <w:r>
        <w:fldChar w:fldCharType="begin"/>
      </w:r>
      <w:r>
        <w:instrText xml:space="preserve"> PAGEREF _Toc186737822 \h </w:instrText>
      </w:r>
      <w:r>
        <w:fldChar w:fldCharType="separate"/>
      </w:r>
      <w:r>
        <w:t>49</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"_Toc186737823" </w:instrText>
      </w:r>
      <w:r>
        <w:fldChar w:fldCharType="separate"/>
      </w:r>
      <w:r>
        <w:rPr>
          <w:rStyle w:val="42"/>
          <w:rFonts w:hint="eastAsia" w:ascii="仿宋" w:hAnsi="仿宋" w:eastAsia="仿宋" w:cs="仿宋"/>
        </w:rPr>
        <w:t>二、技术文件</w:t>
      </w:r>
      <w:r>
        <w:tab/>
      </w:r>
      <w:r>
        <w:fldChar w:fldCharType="begin"/>
      </w:r>
      <w:r>
        <w:instrText xml:space="preserve"> PAGEREF _Toc186737823 \h </w:instrText>
      </w:r>
      <w:r>
        <w:fldChar w:fldCharType="separate"/>
      </w:r>
      <w:r>
        <w:t>50</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"_Toc186737824" </w:instrText>
      </w:r>
      <w:r>
        <w:fldChar w:fldCharType="separate"/>
      </w:r>
      <w:r>
        <w:rPr>
          <w:rStyle w:val="42"/>
          <w:rFonts w:hint="eastAsia" w:ascii="仿宋" w:hAnsi="仿宋" w:eastAsia="仿宋" w:cs="仿宋"/>
        </w:rPr>
        <w:t>（一）采购需求应答偏离表</w:t>
      </w:r>
      <w:r>
        <w:tab/>
      </w:r>
      <w:r>
        <w:fldChar w:fldCharType="begin"/>
      </w:r>
      <w:r>
        <w:instrText xml:space="preserve"> PAGEREF _Toc186737824 \h </w:instrText>
      </w:r>
      <w:r>
        <w:fldChar w:fldCharType="separate"/>
      </w:r>
      <w:r>
        <w:t>51</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"_Toc186737825" </w:instrText>
      </w:r>
      <w:r>
        <w:fldChar w:fldCharType="separate"/>
      </w:r>
      <w:r>
        <w:rPr>
          <w:rStyle w:val="42"/>
          <w:rFonts w:hint="eastAsia" w:ascii="仿宋" w:hAnsi="仿宋" w:eastAsia="仿宋" w:cs="仿宋"/>
        </w:rPr>
        <w:t>（二）技术方案</w:t>
      </w:r>
      <w:r>
        <w:tab/>
      </w:r>
      <w:r>
        <w:fldChar w:fldCharType="begin"/>
      </w:r>
      <w:r>
        <w:instrText xml:space="preserve"> PAGEREF _Toc186737825 \h </w:instrText>
      </w:r>
      <w:r>
        <w:fldChar w:fldCharType="separate"/>
      </w:r>
      <w:r>
        <w:t>52</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"_Toc186737826" </w:instrText>
      </w:r>
      <w:r>
        <w:fldChar w:fldCharType="separate"/>
      </w:r>
      <w:r>
        <w:rPr>
          <w:rStyle w:val="42"/>
          <w:rFonts w:hint="eastAsia" w:ascii="仿宋" w:hAnsi="仿宋" w:eastAsia="仿宋" w:cs="仿宋"/>
        </w:rPr>
        <w:t>（三）其他材料</w:t>
      </w:r>
      <w:r>
        <w:tab/>
      </w:r>
      <w:r>
        <w:fldChar w:fldCharType="begin"/>
      </w:r>
      <w:r>
        <w:instrText xml:space="preserve"> PAGEREF _Toc186737826 \h </w:instrText>
      </w:r>
      <w:r>
        <w:fldChar w:fldCharType="separate"/>
      </w:r>
      <w:r>
        <w:t>55</w:t>
      </w:r>
      <w:r>
        <w:fldChar w:fldCharType="end"/>
      </w:r>
      <w:r>
        <w:fldChar w:fldCharType="end"/>
      </w:r>
    </w:p>
    <w:p>
      <w:pPr>
        <w:pStyle w:val="29"/>
        <w:tabs>
          <w:tab w:val="right" w:leader="dot" w:pos="9628"/>
        </w:tabs>
        <w:ind w:left="480"/>
        <w:rPr>
          <w:sz w:val="21"/>
          <w:szCs w:val="22"/>
        </w:rPr>
      </w:pPr>
      <w:r>
        <w:fldChar w:fldCharType="begin"/>
      </w:r>
      <w:r>
        <w:instrText xml:space="preserve"> HYPERLINK \l "_Toc186737827" </w:instrText>
      </w:r>
      <w:r>
        <w:fldChar w:fldCharType="separate"/>
      </w:r>
      <w:r>
        <w:rPr>
          <w:rStyle w:val="42"/>
          <w:rFonts w:hint="eastAsia" w:ascii="仿宋" w:hAnsi="仿宋" w:eastAsia="仿宋" w:cs="仿宋"/>
        </w:rPr>
        <w:t>三、报价文件</w:t>
      </w:r>
      <w:r>
        <w:tab/>
      </w:r>
      <w:r>
        <w:fldChar w:fldCharType="begin"/>
      </w:r>
      <w:r>
        <w:instrText xml:space="preserve"> PAGEREF _Toc186737827 \h </w:instrText>
      </w:r>
      <w:r>
        <w:fldChar w:fldCharType="separate"/>
      </w:r>
      <w:r>
        <w:t>2</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"_Toc186737828" </w:instrText>
      </w:r>
      <w:r>
        <w:fldChar w:fldCharType="separate"/>
      </w:r>
      <w:r>
        <w:rPr>
          <w:rStyle w:val="42"/>
          <w:rFonts w:hint="eastAsia" w:ascii="仿宋" w:hAnsi="仿宋" w:eastAsia="仿宋" w:cs="仿宋"/>
        </w:rPr>
        <w:t>（一）报价一览表</w:t>
      </w:r>
      <w:r>
        <w:tab/>
      </w:r>
      <w:r>
        <w:fldChar w:fldCharType="begin"/>
      </w:r>
      <w:r>
        <w:instrText xml:space="preserve"> PAGEREF _Toc186737828 \h </w:instrText>
      </w:r>
      <w:r>
        <w:fldChar w:fldCharType="separate"/>
      </w:r>
      <w:r>
        <w:t>2</w:t>
      </w:r>
      <w:r>
        <w:fldChar w:fldCharType="end"/>
      </w:r>
      <w:r>
        <w:fldChar w:fldCharType="end"/>
      </w:r>
    </w:p>
    <w:p>
      <w:pPr>
        <w:pStyle w:val="16"/>
        <w:tabs>
          <w:tab w:val="right" w:leader="dot" w:pos="9628"/>
        </w:tabs>
        <w:ind w:left="960"/>
        <w:rPr>
          <w:sz w:val="21"/>
          <w:szCs w:val="22"/>
        </w:rPr>
      </w:pPr>
      <w:r>
        <w:fldChar w:fldCharType="begin"/>
      </w:r>
      <w:r>
        <w:instrText xml:space="preserve"> HYPERLINK \l "_Toc186737829" </w:instrText>
      </w:r>
      <w:r>
        <w:fldChar w:fldCharType="separate"/>
      </w:r>
      <w:r>
        <w:rPr>
          <w:rStyle w:val="42"/>
          <w:rFonts w:hint="eastAsia" w:ascii="仿宋" w:hAnsi="仿宋" w:eastAsia="仿宋" w:cs="仿宋"/>
        </w:rPr>
        <w:t>（二）分项报价表</w:t>
      </w:r>
      <w:r>
        <w:tab/>
      </w:r>
      <w:r>
        <w:fldChar w:fldCharType="begin"/>
      </w:r>
      <w:r>
        <w:instrText xml:space="preserve"> PAGEREF _Toc186737829 \h </w:instrText>
      </w:r>
      <w:r>
        <w:fldChar w:fldCharType="separate"/>
      </w:r>
      <w:r>
        <w:t>3</w:t>
      </w:r>
      <w:r>
        <w:fldChar w:fldCharType="end"/>
      </w:r>
      <w: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sectPr>
      </w:pPr>
      <w:r>
        <w:rPr>
          <w:rFonts w:hint="eastAsia" w:ascii="仿宋_GB2312" w:hAnsi="宋体" w:eastAsia="仿宋_GB2312"/>
          <w:b w:val="0"/>
          <w:bCs w:val="0"/>
          <w:color w:val="auto"/>
        </w:rPr>
        <w:fldChar w:fldCharType="end"/>
      </w:r>
    </w:p>
    <w:p>
      <w:pPr>
        <w:pStyle w:val="3"/>
        <w:ind w:left="0" w:firstLine="0"/>
        <w:rPr>
          <w:rFonts w:ascii="仿宋" w:hAnsi="仿宋" w:eastAsia="仿宋" w:cs="Cambria Math"/>
          <w:b w:val="0"/>
          <w:bCs w:val="0"/>
          <w:color w:val="auto"/>
          <w:sz w:val="24"/>
          <w:szCs w:val="24"/>
        </w:rPr>
        <w:sectPr>
          <w:headerReference r:id="rId5" w:type="default"/>
          <w:footerReference r:id="rId6" w:type="default"/>
          <w:type w:val="continuous"/>
          <w:pgSz w:w="11906" w:h="16838"/>
          <w:pgMar w:top="1440" w:right="1134" w:bottom="1440" w:left="1134" w:header="851" w:footer="992" w:gutter="0"/>
          <w:cols w:space="720" w:num="1"/>
        </w:sectPr>
      </w:pPr>
    </w:p>
    <w:p>
      <w:pPr>
        <w:pStyle w:val="3"/>
        <w:ind w:left="0" w:firstLine="0"/>
        <w:rPr>
          <w:rFonts w:ascii="仿宋_GB2312" w:hAnsi="宋体" w:eastAsia="仿宋_GB2312"/>
          <w:color w:val="auto"/>
          <w:sz w:val="28"/>
          <w:szCs w:val="28"/>
        </w:rPr>
      </w:pPr>
      <w:bookmarkStart w:id="0" w:name="_Toc186737790"/>
      <w:bookmarkStart w:id="1" w:name="_Toc21360"/>
      <w:r>
        <w:rPr>
          <w:rFonts w:hint="eastAsia" w:ascii="仿宋_GB2312" w:hAnsi="宋体" w:eastAsia="仿宋_GB2312"/>
          <w:color w:val="auto"/>
          <w:sz w:val="28"/>
          <w:szCs w:val="28"/>
        </w:rPr>
        <w:t>第一章 竞争性磋商邀请</w:t>
      </w:r>
      <w:bookmarkEnd w:id="0"/>
      <w:bookmarkEnd w:id="1"/>
    </w:p>
    <w:p>
      <w:pPr>
        <w:spacing w:line="360" w:lineRule="auto"/>
        <w:ind w:firstLine="480"/>
        <w:rPr>
          <w:rFonts w:ascii="仿宋" w:hAnsi="仿宋" w:eastAsia="仿宋" w:cs="Cambria Math"/>
          <w:color w:val="auto"/>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auto"/>
          <w:u w:val="single"/>
        </w:rPr>
        <w:t>人保财险四川省德阳市分公司2025年度团建拓展服务采购项目</w:t>
      </w:r>
      <w:r>
        <w:rPr>
          <w:rFonts w:hint="eastAsia" w:ascii="仿宋" w:hAnsi="仿宋" w:eastAsia="仿宋" w:cs="仿宋"/>
          <w:color w:val="auto"/>
        </w:rPr>
        <w:t>（采购项目编号：</w:t>
      </w:r>
      <w:r>
        <w:rPr>
          <w:rFonts w:hint="eastAsia" w:ascii="仿宋" w:hAnsi="仿宋" w:eastAsia="仿宋" w:cs="仿宋"/>
          <w:color w:val="auto"/>
          <w:lang w:val="en-US" w:eastAsia="zh-CN"/>
        </w:rPr>
        <w:t>XM25FSPC004061</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eastAsia="zh-CN"/>
        </w:rPr>
        <w:t>德阳市分公司</w:t>
      </w:r>
      <w:r>
        <w:rPr>
          <w:rFonts w:hint="eastAsia" w:ascii="仿宋" w:hAnsi="仿宋" w:eastAsia="仿宋" w:cs="仿宋"/>
          <w:color w:val="auto"/>
        </w:rPr>
        <w:t>（以下</w:t>
      </w:r>
      <w:r>
        <w:rPr>
          <w:rFonts w:hint="eastAsia" w:ascii="仿宋" w:hAnsi="仿宋" w:eastAsia="仿宋" w:cs="仿宋"/>
          <w:color w:val="000000"/>
        </w:rPr>
        <w:t>简称“采购人”）</w:t>
      </w:r>
      <w:r>
        <w:rPr>
          <w:rFonts w:hint="eastAsia" w:ascii="仿宋" w:hAnsi="仿宋" w:eastAsia="仿宋" w:cs="Cambria Math"/>
        </w:rPr>
        <w:t>批准并落实资金，组织本项目的磋商工作</w:t>
      </w:r>
      <w:r>
        <w:rPr>
          <w:rFonts w:hint="eastAsia" w:ascii="仿宋" w:hAnsi="仿宋" w:eastAsia="仿宋" w:cs="仿宋"/>
          <w:color w:val="000000"/>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eastAsia="zh-CN"/>
        </w:rPr>
        <w:t>德阳市分公司</w:t>
      </w:r>
      <w:r>
        <w:rPr>
          <w:rFonts w:hint="eastAsia" w:ascii="仿宋" w:hAnsi="仿宋" w:eastAsia="仿宋" w:cs="宋体"/>
          <w:color w:val="auto"/>
        </w:rPr>
        <w:t>（以下简称“人保财险</w:t>
      </w:r>
      <w:r>
        <w:rPr>
          <w:rFonts w:hint="eastAsia" w:ascii="仿宋" w:hAnsi="仿宋" w:eastAsia="仿宋" w:cs="宋体"/>
          <w:color w:val="auto"/>
          <w:lang w:eastAsia="zh-CN"/>
        </w:rPr>
        <w:t>德阳市分公司</w:t>
      </w:r>
      <w:r>
        <w:rPr>
          <w:rFonts w:hint="eastAsia" w:ascii="仿宋" w:hAnsi="仿宋" w:eastAsia="仿宋" w:cs="宋体"/>
          <w:color w:val="auto"/>
        </w:rPr>
        <w:t>”）</w:t>
      </w:r>
      <w:r>
        <w:rPr>
          <w:rFonts w:hint="eastAsia" w:ascii="仿宋" w:hAnsi="仿宋" w:eastAsia="仿宋" w:cs="仿宋"/>
          <w:color w:val="auto"/>
        </w:rPr>
        <w:t>根据成交结果与成交人签署。现通过竞争性磋商方式实施，</w:t>
      </w:r>
      <w:r>
        <w:rPr>
          <w:rFonts w:hint="eastAsia" w:ascii="仿宋" w:hAnsi="仿宋" w:eastAsia="仿宋" w:cs="Cambria Math"/>
          <w:color w:val="auto"/>
        </w:rPr>
        <w:t xml:space="preserve">有意向且具有提供标的物能力的潜在供应商（以下简称“供应商”）可前来参与磋商响应。 </w:t>
      </w:r>
    </w:p>
    <w:p>
      <w:pPr>
        <w:pStyle w:val="4"/>
        <w:jc w:val="left"/>
        <w:rPr>
          <w:rFonts w:ascii="仿宋" w:hAnsi="仿宋" w:eastAsia="仿宋" w:cs="仿宋"/>
          <w:color w:val="000000"/>
          <w:sz w:val="24"/>
          <w:szCs w:val="24"/>
        </w:rPr>
      </w:pPr>
      <w:bookmarkStart w:id="2" w:name="_Toc21237"/>
      <w:bookmarkStart w:id="3" w:name="_Toc186737791"/>
      <w:r>
        <w:rPr>
          <w:rFonts w:hint="eastAsia" w:ascii="仿宋" w:hAnsi="仿宋" w:eastAsia="仿宋" w:cs="仿宋"/>
          <w:color w:val="000000"/>
          <w:sz w:val="24"/>
          <w:szCs w:val="24"/>
        </w:rPr>
        <w:t>一、项目概况与采购范围</w:t>
      </w:r>
      <w:bookmarkEnd w:id="2"/>
      <w:bookmarkEnd w:id="3"/>
    </w:p>
    <w:p>
      <w:pPr>
        <w:spacing w:line="360" w:lineRule="auto"/>
        <w:ind w:firstLine="480"/>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color w:val="auto"/>
          <w:u w:val="single"/>
        </w:rPr>
        <w:t>人保财险四川省德阳市分公司2025年度团建拓展服务采购项目</w:t>
      </w:r>
      <w:r>
        <w:rPr>
          <w:rFonts w:hint="eastAsia" w:ascii="仿宋" w:hAnsi="仿宋" w:eastAsia="仿宋" w:cs="仿宋"/>
          <w:color w:val="auto"/>
        </w:rPr>
        <w:t>。</w:t>
      </w:r>
    </w:p>
    <w:p>
      <w:pPr>
        <w:spacing w:line="360" w:lineRule="auto"/>
        <w:ind w:firstLine="480"/>
        <w:rPr>
          <w:rFonts w:ascii="仿宋" w:hAnsi="仿宋" w:eastAsia="仿宋" w:cs="仿宋"/>
          <w:color w:val="000000"/>
        </w:rPr>
      </w:pPr>
      <w:r>
        <w:rPr>
          <w:rFonts w:hint="eastAsia" w:ascii="仿宋" w:hAnsi="仿宋" w:eastAsia="仿宋" w:cs="仿宋"/>
          <w:color w:val="000000"/>
        </w:rPr>
        <w:t>1.2 采购范围：</w:t>
      </w:r>
      <w:r>
        <w:rPr>
          <w:rFonts w:hint="eastAsia" w:ascii="仿宋" w:hAnsi="仿宋" w:eastAsia="仿宋" w:cs="仿宋"/>
          <w:color w:val="auto"/>
        </w:rPr>
        <w:t>本次团建拓展服务拟采购2025年度全市系统</w:t>
      </w:r>
      <w:r>
        <w:rPr>
          <w:rFonts w:hint="eastAsia" w:ascii="仿宋" w:hAnsi="仿宋" w:eastAsia="仿宋" w:cs="仿宋"/>
          <w:color w:val="auto"/>
          <w:lang w:val="en-US" w:eastAsia="zh-CN"/>
        </w:rPr>
        <w:t>475</w:t>
      </w:r>
      <w:r>
        <w:rPr>
          <w:rFonts w:hint="eastAsia" w:ascii="仿宋" w:hAnsi="仿宋" w:eastAsia="仿宋" w:cs="仿宋"/>
          <w:color w:val="auto"/>
        </w:rPr>
        <w:t>名员工的团建拓展服务，</w:t>
      </w:r>
      <w:r>
        <w:rPr>
          <w:rFonts w:hint="eastAsia" w:ascii="仿宋" w:hAnsi="仿宋" w:eastAsia="仿宋" w:cs="仿宋"/>
          <w:color w:val="000000"/>
        </w:rPr>
        <w:t>具体要求详见第五章采购需求。</w:t>
      </w:r>
    </w:p>
    <w:p>
      <w:pPr>
        <w:spacing w:line="360" w:lineRule="auto"/>
        <w:ind w:firstLine="480"/>
        <w:rPr>
          <w:rFonts w:hint="eastAsia" w:ascii="仿宋" w:hAnsi="仿宋" w:eastAsia="仿宋" w:cs="宋体"/>
          <w:color w:val="FF0000"/>
        </w:rPr>
      </w:pPr>
      <w:r>
        <w:rPr>
          <w:rFonts w:hint="eastAsia" w:ascii="仿宋" w:hAnsi="仿宋" w:eastAsia="仿宋" w:cs="仿宋"/>
          <w:color w:val="000000"/>
        </w:rPr>
        <w:t xml:space="preserve">1.3 </w:t>
      </w:r>
      <w:r>
        <w:rPr>
          <w:rFonts w:hint="eastAsia" w:ascii="仿宋" w:hAnsi="仿宋" w:eastAsia="仿宋" w:cs="仿宋"/>
          <w:color w:val="auto"/>
        </w:rPr>
        <w:t>标包划分：</w:t>
      </w:r>
      <w:r>
        <w:rPr>
          <w:rFonts w:hint="eastAsia" w:ascii="仿宋" w:hAnsi="仿宋" w:eastAsia="仿宋" w:cs="宋体"/>
          <w:color w:val="auto"/>
        </w:rPr>
        <w:t>本项目不划分标包</w:t>
      </w:r>
    </w:p>
    <w:p>
      <w:pPr>
        <w:spacing w:line="360" w:lineRule="auto"/>
        <w:ind w:firstLine="480"/>
        <w:rPr>
          <w:rFonts w:ascii="仿宋" w:hAnsi="仿宋" w:eastAsia="仿宋" w:cs="仿宋"/>
          <w:color w:val="auto"/>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w:t>
      </w:r>
      <w:r>
        <w:rPr>
          <w:rFonts w:hint="eastAsia" w:ascii="仿宋" w:hAnsi="仿宋" w:eastAsia="仿宋" w:cs="宋体"/>
          <w:color w:val="auto"/>
        </w:rPr>
        <w:t>服务</w:t>
      </w:r>
      <w:r>
        <w:rPr>
          <w:rFonts w:hint="eastAsia" w:ascii="仿宋" w:hAnsi="仿宋" w:eastAsia="仿宋" w:cs="仿宋"/>
          <w:color w:val="auto"/>
        </w:rPr>
        <w:t>。</w:t>
      </w:r>
    </w:p>
    <w:p>
      <w:pPr>
        <w:spacing w:line="360" w:lineRule="auto"/>
        <w:ind w:firstLine="48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8个月</w:t>
      </w:r>
      <w:r>
        <w:rPr>
          <w:rFonts w:hint="eastAsia" w:ascii="仿宋" w:hAnsi="仿宋" w:eastAsia="仿宋" w:cs="宋体"/>
          <w:color w:val="auto"/>
        </w:rPr>
        <w:t>。</w:t>
      </w:r>
    </w:p>
    <w:p>
      <w:pPr>
        <w:spacing w:line="360" w:lineRule="auto"/>
        <w:ind w:firstLine="480"/>
        <w:rPr>
          <w:rFonts w:ascii="仿宋" w:hAnsi="仿宋" w:eastAsia="仿宋" w:cs="宋体"/>
          <w:color w:val="auto"/>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w:t>
      </w:r>
      <w:r>
        <w:rPr>
          <w:rFonts w:hint="eastAsia" w:ascii="仿宋" w:hAnsi="仿宋" w:eastAsia="仿宋" w:cs="宋体"/>
          <w:color w:val="auto"/>
          <w:lang w:val="en-US" w:eastAsia="zh-CN"/>
        </w:rPr>
        <w:t>供应商提供服务地点</w:t>
      </w:r>
      <w:r>
        <w:rPr>
          <w:rFonts w:hint="eastAsia" w:ascii="仿宋" w:hAnsi="仿宋" w:eastAsia="仿宋" w:cs="宋体"/>
          <w:color w:val="auto"/>
        </w:rPr>
        <w:t>。</w:t>
      </w:r>
    </w:p>
    <w:p>
      <w:pPr>
        <w:pStyle w:val="2"/>
        <w:rPr>
          <w:color w:val="auto"/>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w:t>
      </w:r>
      <w:r>
        <w:rPr>
          <w:rFonts w:hint="eastAsia" w:ascii="仿宋" w:hAnsi="仿宋" w:eastAsia="仿宋" w:cs="仿宋"/>
          <w:color w:val="auto"/>
          <w:lang w:val="en-US" w:eastAsia="zh-CN"/>
        </w:rPr>
        <w:t>项目设置最高限价，即供应商报价不得高于1000元/人。</w:t>
      </w:r>
    </w:p>
    <w:p>
      <w:pPr>
        <w:pStyle w:val="4"/>
        <w:jc w:val="left"/>
        <w:rPr>
          <w:rFonts w:ascii="仿宋" w:hAnsi="仿宋" w:eastAsia="仿宋" w:cs="仿宋"/>
          <w:color w:val="000000"/>
          <w:sz w:val="24"/>
          <w:szCs w:val="24"/>
        </w:rPr>
      </w:pPr>
      <w:bookmarkStart w:id="4" w:name="_Toc186737792"/>
      <w:bookmarkStart w:id="5" w:name="_Toc17569"/>
      <w:r>
        <w:rPr>
          <w:rFonts w:hint="eastAsia" w:ascii="仿宋" w:hAnsi="仿宋" w:eastAsia="仿宋" w:cs="仿宋"/>
          <w:color w:val="000000"/>
          <w:sz w:val="24"/>
          <w:szCs w:val="24"/>
        </w:rPr>
        <w:t>二、供应商资格要求</w:t>
      </w:r>
      <w:bookmarkEnd w:id="4"/>
      <w:bookmarkEnd w:id="5"/>
    </w:p>
    <w:p>
      <w:pPr>
        <w:spacing w:line="360" w:lineRule="auto"/>
        <w:ind w:firstLine="480"/>
        <w:rPr>
          <w:rFonts w:hint="default" w:ascii="仿宋" w:hAnsi="仿宋" w:eastAsia="仿宋" w:cs="宋体"/>
          <w:color w:val="000000"/>
          <w:lang w:val="en-US" w:eastAsia="zh-CN"/>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b/>
          <w:bCs/>
          <w:color w:val="000000"/>
          <w:lang w:val="en-US" w:eastAsia="zh-CN"/>
        </w:rPr>
        <w:t>且有开展本次采购服务项目资质。</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r>
        <w:rPr>
          <w:rFonts w:hint="eastAsia" w:ascii="仿宋" w:hAnsi="仿宋" w:eastAsia="仿宋" w:cs="宋体"/>
          <w:color w:val="000000"/>
          <w:lang w:val="en-US" w:eastAsia="zh-CN"/>
        </w:rPr>
        <w:t>须提供开展采购服务项目资质证明文件（复印件）。</w:t>
      </w:r>
    </w:p>
    <w:p>
      <w:pPr>
        <w:spacing w:line="360" w:lineRule="auto"/>
        <w:ind w:firstLine="480"/>
        <w:rPr>
          <w:rFonts w:hint="eastAsia" w:ascii="仿宋" w:hAnsi="仿宋" w:eastAsia="仿宋" w:cs="宋体"/>
          <w:color w:val="FF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w:t>
      </w:r>
      <w:r>
        <w:rPr>
          <w:rFonts w:hint="eastAsia" w:ascii="仿宋" w:hAnsi="仿宋" w:eastAsia="仿宋" w:cs="宋体"/>
          <w:color w:val="auto"/>
        </w:rPr>
        <w:t>20</w:t>
      </w:r>
      <w:r>
        <w:rPr>
          <w:rFonts w:hint="eastAsia" w:ascii="仿宋" w:hAnsi="仿宋" w:eastAsia="仿宋" w:cs="宋体"/>
          <w:color w:val="auto"/>
          <w:lang w:val="en-US" w:eastAsia="zh-CN"/>
        </w:rPr>
        <w:t>23</w:t>
      </w:r>
      <w:r>
        <w:rPr>
          <w:rFonts w:hint="eastAsia" w:ascii="仿宋" w:hAnsi="仿宋" w:eastAsia="仿宋" w:cs="宋体"/>
          <w:color w:val="auto"/>
        </w:rPr>
        <w:t>年度</w:t>
      </w:r>
      <w:r>
        <w:rPr>
          <w:rFonts w:hint="eastAsia" w:ascii="仿宋" w:hAnsi="仿宋" w:eastAsia="仿宋" w:cs="宋体"/>
          <w:color w:val="000000"/>
        </w:rPr>
        <w:t>经会计师事务所或审计机构审计的财务审计报告及财务报表（至少包含会计师事务所或审计机构签章页、资产负债表、现金流量表、损益表/利润表）或提供响应文件递交截止日前6个月内开具的银行资信证明</w:t>
      </w:r>
      <w:r>
        <w:rPr>
          <w:rFonts w:hint="eastAsia" w:ascii="仿宋" w:hAnsi="仿宋" w:eastAsia="仿宋" w:cs="宋体"/>
          <w:color w:val="auto"/>
        </w:rPr>
        <w:t>或提供承诺函，格式详见第六章响应文件格式。</w:t>
      </w:r>
    </w:p>
    <w:p>
      <w:pPr>
        <w:spacing w:line="360" w:lineRule="auto"/>
        <w:ind w:firstLine="480"/>
        <w:rPr>
          <w:rFonts w:hint="eastAsia" w:ascii="仿宋" w:hAnsi="仿宋" w:eastAsia="仿宋" w:cs="宋体"/>
          <w:color w:val="auto"/>
        </w:rPr>
      </w:pPr>
      <w:r>
        <w:rPr>
          <w:rFonts w:hint="eastAsia" w:ascii="仿宋" w:hAnsi="仿宋" w:eastAsia="仿宋" w:cs="宋体"/>
          <w:color w:val="auto"/>
        </w:rPr>
        <w:t xml:space="preserve">2.3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w:t>
      </w:r>
      <w:r>
        <w:rPr>
          <w:rFonts w:hint="eastAsia" w:ascii="仿宋" w:hAnsi="仿宋" w:eastAsia="仿宋" w:cs="宋体"/>
          <w:color w:val="auto"/>
          <w:lang w:val="en-US" w:eastAsia="zh-CN"/>
        </w:rPr>
        <w:t>三</w:t>
      </w:r>
      <w:r>
        <w:rPr>
          <w:rFonts w:hint="eastAsia" w:ascii="仿宋" w:hAnsi="仿宋" w:eastAsia="仿宋" w:cs="宋体"/>
          <w:color w:val="auto"/>
        </w:rPr>
        <w:t>年（20</w:t>
      </w:r>
      <w:r>
        <w:rPr>
          <w:rFonts w:hint="eastAsia" w:ascii="仿宋" w:hAnsi="仿宋" w:eastAsia="仿宋" w:cs="宋体"/>
          <w:color w:val="auto"/>
          <w:lang w:val="en-US" w:eastAsia="zh-CN"/>
        </w:rPr>
        <w:t>22</w:t>
      </w:r>
      <w:r>
        <w:rPr>
          <w:rFonts w:hint="eastAsia" w:ascii="仿宋" w:hAnsi="仿宋" w:eastAsia="仿宋" w:cs="宋体"/>
          <w:color w:val="auto"/>
        </w:rPr>
        <w:t>年1月1日至今）应具</w:t>
      </w:r>
      <w:r>
        <w:rPr>
          <w:rFonts w:hint="eastAsia" w:ascii="仿宋" w:hAnsi="仿宋" w:eastAsia="仿宋" w:cs="宋体"/>
          <w:color w:val="auto"/>
          <w:highlight w:val="none"/>
        </w:rPr>
        <w:t>有</w:t>
      </w:r>
      <w:r>
        <w:rPr>
          <w:rFonts w:hint="eastAsia" w:ascii="仿宋" w:hAnsi="仿宋" w:eastAsia="仿宋" w:cs="宋体"/>
          <w:color w:val="auto"/>
          <w:highlight w:val="none"/>
          <w:lang w:val="en-US" w:eastAsia="zh-CN"/>
        </w:rPr>
        <w:t>1</w:t>
      </w:r>
      <w:r>
        <w:rPr>
          <w:rFonts w:hint="eastAsia" w:ascii="仿宋" w:hAnsi="仿宋" w:eastAsia="仿宋" w:cs="宋体"/>
          <w:color w:val="auto"/>
          <w:highlight w:val="none"/>
        </w:rPr>
        <w:t>个（含）以上同类</w:t>
      </w:r>
      <w:r>
        <w:rPr>
          <w:rFonts w:hint="eastAsia" w:ascii="仿宋" w:hAnsi="仿宋" w:eastAsia="仿宋" w:cs="宋体"/>
          <w:color w:val="auto"/>
        </w:rPr>
        <w:t>项目实施案例，并提供符合上述要求的合同关键页作为有效的业绩证明材料。合同关键页包含但不限于合同首页、合同标的页、签署日期页及盖章页等或提供承诺函，格式详见第六章响应文件格式。</w:t>
      </w:r>
    </w:p>
    <w:p>
      <w:pPr>
        <w:spacing w:line="360" w:lineRule="auto"/>
        <w:ind w:firstLine="480"/>
        <w:rPr>
          <w:rFonts w:hint="eastAsia" w:ascii="仿宋" w:hAnsi="仿宋" w:eastAsia="仿宋" w:cs="宋体"/>
          <w:color w:val="FF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r>
        <w:rPr>
          <w:rFonts w:hint="eastAsia" w:ascii="仿宋" w:hAnsi="仿宋" w:eastAsia="仿宋" w:cs="宋体"/>
          <w:color w:val="auto"/>
        </w:rPr>
        <w:t>或提供承诺函，格式详见第六章响应文件格式。</w:t>
      </w:r>
    </w:p>
    <w:p>
      <w:pPr>
        <w:spacing w:line="360" w:lineRule="auto"/>
        <w:ind w:firstLine="480"/>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auto"/>
        </w:rPr>
        <w:t>20</w:t>
      </w:r>
      <w:r>
        <w:rPr>
          <w:rFonts w:hint="eastAsia" w:ascii="仿宋" w:hAnsi="仿宋" w:eastAsia="仿宋" w:cs="宋体"/>
          <w:b/>
          <w:bCs/>
          <w:color w:val="auto"/>
          <w:lang w:val="en-US" w:eastAsia="zh-CN"/>
        </w:rPr>
        <w:t>22</w:t>
      </w:r>
      <w:r>
        <w:rPr>
          <w:rFonts w:hint="eastAsia" w:ascii="仿宋" w:hAnsi="仿宋" w:eastAsia="仿宋" w:cs="宋体"/>
          <w:b/>
          <w:bCs/>
          <w:color w:val="auto"/>
        </w:rPr>
        <w:t>年</w:t>
      </w:r>
      <w:r>
        <w:rPr>
          <w:rFonts w:hint="eastAsia" w:ascii="仿宋" w:hAnsi="仿宋" w:eastAsia="仿宋" w:cs="宋体"/>
          <w:b/>
          <w:bCs/>
          <w:color w:val="000000"/>
        </w:rPr>
        <w:t>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pacing w:line="360" w:lineRule="auto"/>
        <w:ind w:firstLine="480"/>
        <w:rPr>
          <w:rFonts w:ascii="仿宋" w:hAnsi="仿宋" w:eastAsia="仿宋" w:cs="宋体"/>
          <w:color w:val="000000"/>
        </w:rPr>
      </w:pPr>
      <w:r>
        <w:rPr>
          <w:rFonts w:hint="eastAsia" w:ascii="仿宋" w:hAnsi="仿宋" w:eastAsia="仿宋" w:cs="宋体"/>
          <w:color w:val="000000"/>
        </w:rPr>
        <w:t>信用中国查询网址：https://www.creditchina.gov.cn/xinyongfuwu/?navPage=5</w:t>
      </w:r>
    </w:p>
    <w:p>
      <w:pPr>
        <w:spacing w:line="360" w:lineRule="auto"/>
        <w:ind w:firstLine="480"/>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80"/>
        <w:rPr>
          <w:rFonts w:hint="eastAsia" w:ascii="仿宋" w:hAnsi="仿宋" w:eastAsia="仿宋" w:cs="宋体"/>
          <w:color w:val="000000"/>
        </w:rPr>
      </w:pPr>
      <w:r>
        <w:rPr>
          <w:rFonts w:hint="eastAsia" w:ascii="仿宋" w:hAnsi="仿宋" w:eastAsia="仿宋" w:cs="宋体"/>
          <w:color w:val="000000"/>
        </w:rPr>
        <w:t>2.8本项目不接受联合体磋商响应。提供承诺函，格式详见第六章响应文件格式。</w:t>
      </w:r>
      <w:bookmarkStart w:id="6" w:name="_Toc186737793"/>
      <w:bookmarkStart w:id="7" w:name="_Toc2019"/>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三、磋商文件的获取</w:t>
      </w:r>
      <w:bookmarkEnd w:id="6"/>
      <w:bookmarkEnd w:id="7"/>
    </w:p>
    <w:p>
      <w:pPr>
        <w:pStyle w:val="226"/>
        <w:jc w:val="left"/>
        <w:rPr>
          <w:rFonts w:ascii="仿宋" w:hAnsi="仿宋" w:eastAsia="仿宋" w:cs="仿宋"/>
          <w:color w:val="auto"/>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.1磋商文件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5</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05</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21</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5</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05</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23</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08</w:t>
      </w:r>
      <w:r>
        <w:rPr>
          <w:rFonts w:hint="eastAsia" w:ascii="仿宋" w:hAnsi="仿宋" w:eastAsia="仿宋" w:cs="宋体"/>
          <w:color w:val="auto"/>
          <w:sz w:val="24"/>
          <w:szCs w:val="24"/>
        </w:rPr>
        <w:t>时</w:t>
      </w:r>
      <w:r>
        <w:rPr>
          <w:rFonts w:hint="eastAsia" w:ascii="仿宋" w:hAnsi="仿宋" w:eastAsia="仿宋" w:cs="宋体"/>
          <w:color w:val="auto"/>
          <w:sz w:val="24"/>
          <w:szCs w:val="24"/>
          <w:lang w:val="en-US" w:eastAsia="zh-CN"/>
        </w:rPr>
        <w:t>30分</w:t>
      </w:r>
      <w:r>
        <w:rPr>
          <w:rFonts w:hint="eastAsia" w:ascii="仿宋" w:hAnsi="仿宋" w:eastAsia="仿宋" w:cs="宋体"/>
          <w:color w:val="auto"/>
          <w:sz w:val="24"/>
          <w:szCs w:val="24"/>
        </w:rPr>
        <w:t>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14</w:t>
      </w:r>
      <w:r>
        <w:rPr>
          <w:rFonts w:hint="eastAsia" w:ascii="仿宋" w:hAnsi="仿宋" w:eastAsia="仿宋" w:cs="宋体"/>
          <w:color w:val="auto"/>
          <w:sz w:val="24"/>
          <w:szCs w:val="24"/>
        </w:rPr>
        <w:t>时</w:t>
      </w:r>
      <w:r>
        <w:rPr>
          <w:rFonts w:hint="eastAsia" w:ascii="仿宋" w:hAnsi="仿宋" w:eastAsia="仿宋" w:cs="宋体"/>
          <w:color w:val="auto"/>
          <w:sz w:val="24"/>
          <w:szCs w:val="24"/>
          <w:lang w:val="en-US" w:eastAsia="zh-CN"/>
        </w:rPr>
        <w:t>30分</w:t>
      </w:r>
      <w:r>
        <w:rPr>
          <w:rFonts w:hint="eastAsia" w:ascii="仿宋" w:hAnsi="仿宋" w:eastAsia="仿宋" w:cs="宋体"/>
          <w:color w:val="auto"/>
          <w:sz w:val="24"/>
          <w:szCs w:val="24"/>
        </w:rPr>
        <w:t>至</w:t>
      </w:r>
      <w:r>
        <w:rPr>
          <w:rFonts w:hint="eastAsia" w:ascii="仿宋" w:hAnsi="仿宋" w:eastAsia="仿宋" w:cs="宋体"/>
          <w:color w:val="auto"/>
          <w:sz w:val="24"/>
          <w:szCs w:val="24"/>
          <w:lang w:val="en-US" w:eastAsia="zh-CN"/>
        </w:rPr>
        <w:t>18</w:t>
      </w:r>
      <w:r>
        <w:rPr>
          <w:rFonts w:hint="eastAsia" w:ascii="仿宋" w:hAnsi="仿宋" w:eastAsia="仿宋" w:cs="宋体"/>
          <w:color w:val="auto"/>
          <w:sz w:val="24"/>
          <w:szCs w:val="24"/>
        </w:rPr>
        <w:t>时（北京时间，下同）。</w:t>
      </w:r>
    </w:p>
    <w:p>
      <w:pPr>
        <w:pStyle w:val="12"/>
        <w:spacing w:line="360" w:lineRule="auto"/>
        <w:ind w:firstLine="48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.2拟报名参加本项目的供应商，请通过“人保e采”外网门户获取磋商文件</w:t>
      </w:r>
      <w:r>
        <w:rPr>
          <w:rFonts w:hint="eastAsia" w:ascii="仿宋" w:hAnsi="仿宋" w:eastAsia="仿宋" w:cs="仿宋_GB2312"/>
          <w:color w:val="auto"/>
          <w:sz w:val="24"/>
          <w:szCs w:val="24"/>
        </w:rPr>
        <w:t>。</w:t>
      </w:r>
      <w:r>
        <w:rPr>
          <w:rFonts w:hint="eastAsia" w:ascii="仿宋" w:hAnsi="仿宋" w:eastAsia="仿宋" w:cs="宋体"/>
          <w:color w:val="auto"/>
          <w:sz w:val="24"/>
        </w:rPr>
        <w:t>（</w:t>
      </w:r>
      <w:r>
        <w:rPr>
          <w:rFonts w:hint="eastAsia" w:ascii="仿宋" w:hAnsi="仿宋" w:eastAsia="仿宋" w:cs="仿宋_GB2312"/>
          <w:color w:val="auto"/>
          <w:sz w:val="24"/>
          <w:szCs w:val="24"/>
        </w:rPr>
        <w:t>按照各采购人获取文件要求如实填写</w:t>
      </w:r>
      <w:r>
        <w:rPr>
          <w:rFonts w:hint="eastAsia" w:ascii="仿宋" w:hAnsi="仿宋" w:eastAsia="仿宋" w:cs="宋体"/>
          <w:color w:val="auto"/>
          <w:sz w:val="24"/>
        </w:rPr>
        <w:t>）</w:t>
      </w:r>
    </w:p>
    <w:p>
      <w:pPr>
        <w:pStyle w:val="4"/>
        <w:jc w:val="left"/>
        <w:rPr>
          <w:rFonts w:ascii="仿宋" w:hAnsi="仿宋" w:eastAsia="仿宋" w:cs="仿宋"/>
          <w:color w:val="000000"/>
          <w:sz w:val="24"/>
          <w:szCs w:val="24"/>
        </w:rPr>
      </w:pPr>
      <w:bookmarkStart w:id="8" w:name="_Toc186737794"/>
      <w:bookmarkStart w:id="9" w:name="_Toc32115"/>
      <w:r>
        <w:rPr>
          <w:rFonts w:hint="eastAsia" w:ascii="仿宋" w:hAnsi="仿宋" w:eastAsia="仿宋" w:cs="仿宋"/>
          <w:color w:val="000000"/>
          <w:sz w:val="24"/>
          <w:szCs w:val="24"/>
        </w:rPr>
        <w:t>四、响应文件的递交</w:t>
      </w:r>
      <w:bookmarkEnd w:id="8"/>
      <w:bookmarkEnd w:id="9"/>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b/>
          <w:bCs/>
          <w:color w:val="auto"/>
          <w:u w:val="single"/>
        </w:rPr>
        <w:t>20</w:t>
      </w:r>
      <w:r>
        <w:rPr>
          <w:rFonts w:hint="eastAsia" w:ascii="仿宋" w:hAnsi="仿宋" w:eastAsia="仿宋" w:cs="宋体"/>
          <w:b/>
          <w:bCs/>
          <w:color w:val="auto"/>
          <w:u w:val="single"/>
          <w:lang w:val="en-US" w:eastAsia="zh-CN"/>
        </w:rPr>
        <w:t>25</w:t>
      </w:r>
      <w:r>
        <w:rPr>
          <w:rFonts w:hint="eastAsia" w:ascii="仿宋" w:hAnsi="仿宋" w:eastAsia="仿宋" w:cs="宋体"/>
          <w:b/>
          <w:bCs/>
          <w:color w:val="auto"/>
          <w:u w:val="single"/>
        </w:rPr>
        <w:t>年</w:t>
      </w:r>
      <w:r>
        <w:rPr>
          <w:rFonts w:hint="eastAsia" w:ascii="仿宋" w:hAnsi="仿宋" w:eastAsia="仿宋" w:cs="宋体"/>
          <w:b/>
          <w:bCs/>
          <w:color w:val="auto"/>
          <w:u w:val="single"/>
          <w:lang w:val="en-US" w:eastAsia="zh-CN"/>
        </w:rPr>
        <w:t>05</w:t>
      </w:r>
      <w:r>
        <w:rPr>
          <w:rFonts w:hint="eastAsia" w:ascii="仿宋" w:hAnsi="仿宋" w:eastAsia="仿宋" w:cs="宋体"/>
          <w:b/>
          <w:bCs/>
          <w:color w:val="auto"/>
          <w:u w:val="single"/>
        </w:rPr>
        <w:t>月</w:t>
      </w:r>
      <w:r>
        <w:rPr>
          <w:rFonts w:hint="eastAsia" w:ascii="仿宋" w:hAnsi="仿宋" w:eastAsia="仿宋" w:cs="宋体"/>
          <w:b/>
          <w:bCs/>
          <w:color w:val="auto"/>
          <w:u w:val="single"/>
          <w:lang w:val="en-US" w:eastAsia="zh-CN"/>
        </w:rPr>
        <w:t>29</w:t>
      </w:r>
      <w:r>
        <w:rPr>
          <w:rFonts w:hint="eastAsia" w:ascii="仿宋" w:hAnsi="仿宋" w:eastAsia="仿宋" w:cs="宋体"/>
          <w:b/>
          <w:bCs/>
          <w:color w:val="auto"/>
          <w:u w:val="single"/>
        </w:rPr>
        <w:t>日</w:t>
      </w:r>
      <w:r>
        <w:rPr>
          <w:rFonts w:hint="eastAsia" w:ascii="仿宋" w:hAnsi="仿宋" w:eastAsia="仿宋" w:cs="宋体"/>
          <w:b/>
          <w:bCs/>
          <w:color w:val="auto"/>
          <w:u w:val="single"/>
          <w:lang w:val="en-US" w:eastAsia="zh-CN"/>
        </w:rPr>
        <w:t>9</w:t>
      </w:r>
      <w:r>
        <w:rPr>
          <w:rFonts w:hint="eastAsia" w:ascii="仿宋" w:hAnsi="仿宋" w:eastAsia="仿宋" w:cs="宋体"/>
          <w:b/>
          <w:bCs/>
          <w:color w:val="auto"/>
          <w:u w:val="single"/>
        </w:rPr>
        <w:t>时</w:t>
      </w:r>
      <w:r>
        <w:rPr>
          <w:rFonts w:hint="eastAsia" w:ascii="仿宋" w:hAnsi="仿宋" w:eastAsia="仿宋" w:cs="宋体"/>
          <w:b/>
          <w:bCs/>
          <w:color w:val="auto"/>
          <w:u w:val="single"/>
          <w:lang w:val="en-US" w:eastAsia="zh-CN"/>
        </w:rPr>
        <w:t>30</w:t>
      </w:r>
      <w:r>
        <w:rPr>
          <w:rFonts w:hint="eastAsia" w:ascii="仿宋" w:hAnsi="仿宋" w:eastAsia="仿宋" w:cs="宋体"/>
          <w:b/>
          <w:bCs/>
          <w:color w:val="auto"/>
          <w:u w:val="single"/>
        </w:rPr>
        <w:t>分00秒</w:t>
      </w:r>
      <w:r>
        <w:rPr>
          <w:rFonts w:hint="eastAsia" w:ascii="仿宋" w:hAnsi="仿宋" w:eastAsia="仿宋" w:cs="宋体"/>
          <w:b/>
          <w:bCs/>
          <w:color w:val="auto"/>
        </w:rPr>
        <w:t>。</w:t>
      </w:r>
    </w:p>
    <w:p>
      <w:pPr>
        <w:spacing w:line="360" w:lineRule="auto"/>
        <w:ind w:firstLine="480"/>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b/>
          <w:bCs/>
          <w:color w:val="auto"/>
          <w:highlight w:val="none"/>
        </w:rPr>
        <w:t>须现场递交</w:t>
      </w:r>
      <w:r>
        <w:rPr>
          <w:rFonts w:hint="eastAsia" w:ascii="仿宋" w:hAnsi="仿宋" w:eastAsia="仿宋" w:cs="宋体"/>
          <w:b/>
          <w:bCs/>
          <w:color w:val="auto"/>
          <w:highlight w:val="none"/>
          <w:lang w:val="en-US" w:eastAsia="zh-CN"/>
        </w:rPr>
        <w:t xml:space="preserve">至德阳市旌阳区凉山路150号人保财险502室 </w:t>
      </w:r>
      <w:r>
        <w:rPr>
          <w:rFonts w:hint="eastAsia" w:ascii="仿宋" w:hAnsi="仿宋" w:eastAsia="仿宋" w:cs="宋体"/>
          <w:b/>
          <w:bCs/>
          <w:color w:val="auto"/>
          <w:highlight w:val="none"/>
        </w:rPr>
        <w:t>，</w:t>
      </w:r>
      <w:r>
        <w:rPr>
          <w:rFonts w:hint="eastAsia" w:ascii="仿宋" w:hAnsi="仿宋" w:eastAsia="仿宋" w:cs="宋体"/>
          <w:b/>
          <w:bCs/>
          <w:color w:val="auto"/>
        </w:rPr>
        <w:t>逾</w:t>
      </w:r>
      <w:r>
        <w:rPr>
          <w:rFonts w:hint="eastAsia" w:ascii="仿宋" w:hAnsi="仿宋" w:eastAsia="仿宋" w:cs="宋体"/>
          <w:b/>
          <w:bCs/>
          <w:color w:val="000000"/>
        </w:rPr>
        <w:t>期送达或者未送达指定地点或者未按照磋商文件要求封装的纸质响应文件不予接收。</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.3本项目将于上述同一时间、地点进行磋商，</w:t>
      </w:r>
      <w:r>
        <w:rPr>
          <w:rFonts w:hint="eastAsia" w:ascii="仿宋" w:hAnsi="仿宋" w:eastAsia="仿宋" w:cs="宋体"/>
        </w:rPr>
        <w:t>采购人邀</w:t>
      </w:r>
      <w:r>
        <w:rPr>
          <w:rFonts w:hint="eastAsia" w:ascii="仿宋" w:hAnsi="仿宋" w:eastAsia="仿宋" w:cs="宋体"/>
          <w:color w:val="000000"/>
        </w:rPr>
        <w:t>请供应商代表准时参加。</w:t>
      </w:r>
    </w:p>
    <w:p>
      <w:pPr>
        <w:spacing w:line="360" w:lineRule="auto"/>
        <w:ind w:firstLine="480"/>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rPr>
        <w:t>.4</w:t>
      </w:r>
      <w:r>
        <w:rPr>
          <w:rFonts w:hint="eastAsia" w:ascii="仿宋" w:hAnsi="仿宋" w:eastAsia="仿宋" w:cs="宋体"/>
          <w:b/>
          <w:bCs/>
          <w:color w:val="000000"/>
        </w:rPr>
        <w:t>出现以下情形之一时，采购人不予接收投标文件：</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.4.1  逾期送达或者未送达指定地点的；</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.4.2  未按照响应文件要求密封的；</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.4.3  未按照磋商邀请要求获取磋商文件的。</w:t>
      </w:r>
    </w:p>
    <w:p>
      <w:pPr>
        <w:pStyle w:val="4"/>
        <w:jc w:val="left"/>
        <w:rPr>
          <w:rFonts w:ascii="仿宋" w:hAnsi="仿宋" w:eastAsia="仿宋" w:cs="仿宋"/>
          <w:color w:val="000000"/>
          <w:sz w:val="24"/>
          <w:szCs w:val="24"/>
        </w:rPr>
      </w:pPr>
      <w:bookmarkStart w:id="10" w:name="_Toc874"/>
      <w:bookmarkStart w:id="11" w:name="_Toc186737795"/>
      <w:r>
        <w:rPr>
          <w:rFonts w:hint="eastAsia" w:ascii="仿宋" w:hAnsi="仿宋" w:eastAsia="仿宋" w:cs="仿宋"/>
          <w:color w:val="000000"/>
          <w:sz w:val="24"/>
          <w:szCs w:val="24"/>
        </w:rPr>
        <w:t>五、发布公告的媒介</w:t>
      </w:r>
      <w:bookmarkEnd w:id="10"/>
      <w:bookmarkEnd w:id="11"/>
    </w:p>
    <w:p>
      <w:pPr>
        <w:spacing w:line="360" w:lineRule="auto"/>
        <w:ind w:firstLine="480"/>
        <w:rPr>
          <w:rFonts w:ascii="仿宋" w:hAnsi="仿宋" w:eastAsia="仿宋" w:cs="仿宋"/>
          <w:color w:val="000000"/>
        </w:rPr>
      </w:pPr>
      <w:r>
        <w:rPr>
          <w:rFonts w:hint="eastAsia" w:ascii="仿宋" w:hAnsi="仿宋" w:eastAsia="仿宋" w:cs="仿宋"/>
          <w:color w:val="000000"/>
        </w:rPr>
        <w:t>本项目磋商公告同时在</w:t>
      </w:r>
      <w:r>
        <w:rPr>
          <w:rFonts w:hint="eastAsia" w:ascii="仿宋" w:hAnsi="仿宋" w:eastAsia="仿宋" w:cs="宋体"/>
          <w:color w:val="auto"/>
          <w:u w:val="single"/>
        </w:rPr>
        <w:t>“人保e采”外网门户（https://ec.picc.com/）</w:t>
      </w:r>
      <w:r>
        <w:rPr>
          <w:rFonts w:hint="eastAsia" w:ascii="仿宋" w:hAnsi="仿宋" w:eastAsia="仿宋" w:cs="仿宋"/>
          <w:color w:val="auto"/>
        </w:rPr>
        <w:t>上发</w:t>
      </w:r>
      <w:r>
        <w:rPr>
          <w:rFonts w:hint="eastAsia" w:ascii="仿宋" w:hAnsi="仿宋" w:eastAsia="仿宋" w:cs="仿宋"/>
          <w:color w:val="000000"/>
        </w:rPr>
        <w:t>布，</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2" w:name="_Toc186737796"/>
      <w:bookmarkStart w:id="13" w:name="_Toc30596"/>
      <w:r>
        <w:rPr>
          <w:rFonts w:hint="eastAsia" w:ascii="仿宋" w:hAnsi="仿宋" w:eastAsia="仿宋" w:cs="仿宋"/>
          <w:color w:val="000000"/>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0"/>
        <w:rPr>
          <w:rFonts w:hint="eastAsia" w:ascii="仿宋" w:hAnsi="仿宋" w:eastAsia="仿宋" w:cs="仿宋"/>
          <w:b w:val="0"/>
          <w:bCs w:val="0"/>
          <w:color w:val="auto"/>
          <w:lang w:eastAsia="zh-CN"/>
        </w:rPr>
      </w:pPr>
      <w:r>
        <w:rPr>
          <w:rFonts w:hint="eastAsia" w:ascii="仿宋" w:hAnsi="仿宋" w:eastAsia="仿宋" w:cs="仿宋"/>
          <w:b w:val="0"/>
          <w:bCs w:val="0"/>
          <w:color w:val="auto"/>
        </w:rPr>
        <w:t>采购人：中国人民财产保险股份有限公司</w:t>
      </w:r>
      <w:r>
        <w:rPr>
          <w:rFonts w:hint="eastAsia" w:ascii="仿宋" w:hAnsi="仿宋" w:eastAsia="仿宋" w:cs="仿宋"/>
          <w:b w:val="0"/>
          <w:bCs w:val="0"/>
          <w:color w:val="auto"/>
          <w:lang w:eastAsia="zh-CN"/>
        </w:rPr>
        <w:t>德阳市分公司</w:t>
      </w:r>
    </w:p>
    <w:p>
      <w:pPr>
        <w:spacing w:line="360" w:lineRule="auto"/>
        <w:ind w:firstLine="420"/>
        <w:rPr>
          <w:rFonts w:ascii="仿宋" w:hAnsi="仿宋" w:eastAsia="仿宋" w:cs="仿宋"/>
          <w:b w:val="0"/>
          <w:bCs w:val="0"/>
          <w:color w:val="auto"/>
        </w:rPr>
      </w:pPr>
      <w:r>
        <w:rPr>
          <w:rFonts w:hint="eastAsia" w:ascii="仿宋" w:hAnsi="仿宋" w:eastAsia="仿宋" w:cs="宋体"/>
          <w:b w:val="0"/>
          <w:bCs w:val="0"/>
          <w:color w:val="auto"/>
        </w:rPr>
        <w:t>地址：</w:t>
      </w:r>
      <w:r>
        <w:rPr>
          <w:rFonts w:hint="eastAsia" w:ascii="仿宋" w:hAnsi="仿宋" w:eastAsia="仿宋" w:cs="宋体"/>
          <w:b w:val="0"/>
          <w:bCs w:val="0"/>
          <w:color w:val="auto"/>
          <w:lang w:val="en-US" w:eastAsia="zh-CN"/>
        </w:rPr>
        <w:t>德阳市旌阳区凉山路150号人保财险502</w:t>
      </w:r>
      <w:r>
        <w:rPr>
          <w:rFonts w:hint="eastAsia" w:ascii="仿宋" w:hAnsi="仿宋" w:eastAsia="仿宋" w:cs="宋体"/>
          <w:b w:val="0"/>
          <w:bCs w:val="0"/>
          <w:color w:val="auto"/>
        </w:rPr>
        <w:t>室</w:t>
      </w:r>
      <w:r>
        <w:rPr>
          <w:rFonts w:ascii="仿宋" w:hAnsi="仿宋" w:eastAsia="仿宋" w:cs="宋体"/>
          <w:b w:val="0"/>
          <w:bCs w:val="0"/>
          <w:color w:val="auto"/>
        </w:rPr>
        <w:t xml:space="preserve"> </w:t>
      </w:r>
    </w:p>
    <w:p>
      <w:pPr>
        <w:spacing w:line="360" w:lineRule="auto"/>
        <w:ind w:firstLine="420"/>
        <w:rPr>
          <w:rFonts w:hint="eastAsia" w:ascii="仿宋" w:hAnsi="仿宋" w:eastAsia="仿宋" w:cs="仿宋"/>
          <w:b w:val="0"/>
          <w:bCs w:val="0"/>
          <w:color w:val="auto"/>
          <w:lang w:eastAsia="zh-CN"/>
        </w:rPr>
      </w:pPr>
      <w:r>
        <w:rPr>
          <w:rFonts w:hint="eastAsia" w:ascii="仿宋" w:hAnsi="仿宋" w:eastAsia="仿宋" w:cs="宋体"/>
          <w:b w:val="0"/>
          <w:bCs w:val="0"/>
          <w:color w:val="auto"/>
        </w:rPr>
        <w:t>联系人：</w:t>
      </w:r>
      <w:r>
        <w:rPr>
          <w:rFonts w:hint="eastAsia" w:ascii="仿宋" w:hAnsi="仿宋" w:eastAsia="仿宋" w:cs="宋体"/>
          <w:b w:val="0"/>
          <w:bCs w:val="0"/>
          <w:color w:val="auto"/>
          <w:lang w:val="en-US" w:eastAsia="zh-CN"/>
        </w:rPr>
        <w:t>孙羽</w:t>
      </w:r>
    </w:p>
    <w:p>
      <w:pPr>
        <w:spacing w:line="360" w:lineRule="auto"/>
        <w:ind w:firstLine="420"/>
        <w:rPr>
          <w:rFonts w:hint="eastAsia" w:ascii="仿宋" w:hAnsi="仿宋" w:eastAsia="仿宋" w:cs="宋体"/>
          <w:b w:val="0"/>
          <w:bCs w:val="0"/>
          <w:color w:val="auto"/>
          <w:lang w:val="en-US" w:eastAsia="zh-CN"/>
        </w:rPr>
      </w:pPr>
      <w:r>
        <w:rPr>
          <w:rFonts w:hint="eastAsia" w:ascii="仿宋" w:hAnsi="仿宋" w:eastAsia="仿宋" w:cs="宋体"/>
          <w:b w:val="0"/>
          <w:bCs w:val="0"/>
          <w:color w:val="auto"/>
        </w:rPr>
        <w:t>电话：</w:t>
      </w:r>
      <w:r>
        <w:rPr>
          <w:rFonts w:hint="eastAsia" w:ascii="仿宋" w:hAnsi="仿宋" w:eastAsia="仿宋" w:cs="宋体"/>
          <w:b w:val="0"/>
          <w:bCs w:val="0"/>
          <w:color w:val="auto"/>
          <w:lang w:val="en-US" w:eastAsia="zh-CN"/>
        </w:rPr>
        <w:t>13700901120</w:t>
      </w:r>
    </w:p>
    <w:p>
      <w:pPr>
        <w:spacing w:line="360" w:lineRule="auto"/>
        <w:ind w:firstLine="420"/>
        <w:rPr>
          <w:rFonts w:hint="default" w:ascii="仿宋" w:hAnsi="仿宋" w:eastAsia="仿宋" w:cs="仿宋"/>
          <w:b w:val="0"/>
          <w:bCs w:val="0"/>
          <w:color w:val="auto"/>
          <w:lang w:val="en-US" w:eastAsia="zh-CN"/>
        </w:rPr>
      </w:pPr>
      <w:r>
        <w:rPr>
          <w:rFonts w:hint="eastAsia" w:ascii="仿宋" w:hAnsi="仿宋" w:eastAsia="仿宋" w:cs="宋体"/>
          <w:b w:val="0"/>
          <w:bCs w:val="0"/>
          <w:color w:val="auto"/>
        </w:rPr>
        <w:t>电子邮件：</w:t>
      </w:r>
      <w:r>
        <w:rPr>
          <w:rFonts w:hint="eastAsia" w:ascii="仿宋" w:hAnsi="仿宋" w:eastAsia="仿宋" w:cs="宋体"/>
          <w:b w:val="0"/>
          <w:bCs w:val="0"/>
          <w:color w:val="auto"/>
          <w:lang w:val="en-US" w:eastAsia="zh-CN"/>
        </w:rPr>
        <w:t>sunyu19</w:t>
      </w:r>
      <w:r>
        <w:rPr>
          <w:rFonts w:hint="eastAsia" w:ascii="仿宋" w:hAnsi="仿宋" w:eastAsia="仿宋" w:cs="宋体"/>
          <w:b w:val="0"/>
          <w:bCs w:val="0"/>
          <w:color w:val="auto"/>
        </w:rPr>
        <w:t>@</w:t>
      </w:r>
      <w:r>
        <w:rPr>
          <w:rFonts w:hint="eastAsia" w:ascii="仿宋" w:hAnsi="仿宋" w:eastAsia="仿宋" w:cs="宋体"/>
          <w:b w:val="0"/>
          <w:bCs w:val="0"/>
          <w:color w:val="auto"/>
          <w:lang w:val="en-US" w:eastAsia="zh-CN"/>
        </w:rPr>
        <w:t>sic.picc</w:t>
      </w:r>
      <w:r>
        <w:rPr>
          <w:rFonts w:hint="eastAsia" w:ascii="仿宋" w:hAnsi="仿宋" w:eastAsia="仿宋" w:cs="宋体"/>
          <w:b w:val="0"/>
          <w:bCs w:val="0"/>
          <w:color w:val="auto"/>
        </w:rPr>
        <w:t>.com</w:t>
      </w:r>
      <w:r>
        <w:rPr>
          <w:rFonts w:hint="eastAsia" w:ascii="仿宋" w:hAnsi="仿宋" w:eastAsia="仿宋" w:cs="宋体"/>
          <w:b w:val="0"/>
          <w:bCs w:val="0"/>
          <w:color w:val="auto"/>
          <w:lang w:val="en-US" w:eastAsia="zh-CN"/>
        </w:rPr>
        <w:t>.cn</w:t>
      </w:r>
    </w:p>
    <w:p>
      <w:pPr>
        <w:spacing w:line="360" w:lineRule="auto"/>
        <w:ind w:firstLine="480"/>
        <w:jc w:val="right"/>
        <w:rPr>
          <w:rFonts w:ascii="仿宋" w:hAnsi="仿宋" w:eastAsia="仿宋" w:cs="宋体"/>
          <w:color w:val="FF0000"/>
        </w:rPr>
      </w:pPr>
    </w:p>
    <w:p>
      <w:pPr>
        <w:spacing w:line="360" w:lineRule="auto"/>
        <w:ind w:firstLine="480"/>
        <w:jc w:val="right"/>
        <w:rPr>
          <w:rFonts w:hint="eastAsia" w:ascii="仿宋" w:hAnsi="仿宋" w:eastAsia="仿宋" w:cs="宋体"/>
          <w:color w:val="auto"/>
          <w:lang w:eastAsia="zh-CN"/>
        </w:rPr>
      </w:pPr>
      <w:r>
        <w:rPr>
          <w:rFonts w:hint="eastAsia" w:ascii="仿宋" w:hAnsi="仿宋" w:eastAsia="仿宋" w:cs="宋体"/>
          <w:color w:val="auto"/>
        </w:rPr>
        <w:t>采购人：中国人民财产保险股份有限公司</w:t>
      </w:r>
      <w:r>
        <w:rPr>
          <w:rFonts w:hint="eastAsia" w:ascii="仿宋" w:hAnsi="仿宋" w:eastAsia="仿宋" w:cs="宋体"/>
          <w:color w:val="auto"/>
          <w:lang w:eastAsia="zh-CN"/>
        </w:rPr>
        <w:t>德阳市分公司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5</w:t>
      </w:r>
      <w:r>
        <w:rPr>
          <w:rFonts w:hint="eastAsia" w:ascii="仿宋" w:hAnsi="仿宋" w:eastAsia="仿宋" w:cs="宋体"/>
          <w:color w:val="auto"/>
        </w:rPr>
        <w:t>年</w:t>
      </w:r>
      <w:r>
        <w:rPr>
          <w:rFonts w:hint="eastAsia" w:ascii="仿宋" w:hAnsi="仿宋" w:eastAsia="仿宋" w:cs="宋体"/>
          <w:color w:val="auto"/>
          <w:lang w:val="en-US" w:eastAsia="zh-CN"/>
        </w:rPr>
        <w:t>05</w:t>
      </w:r>
      <w:r>
        <w:rPr>
          <w:rFonts w:hint="eastAsia" w:ascii="仿宋" w:hAnsi="仿宋" w:eastAsia="仿宋" w:cs="宋体"/>
          <w:color w:val="auto"/>
        </w:rPr>
        <w:t>月</w:t>
      </w:r>
      <w:r>
        <w:rPr>
          <w:rFonts w:hint="eastAsia" w:ascii="仿宋" w:hAnsi="仿宋" w:eastAsia="仿宋" w:cs="宋体"/>
          <w:color w:val="auto"/>
          <w:lang w:val="en-US" w:eastAsia="zh-CN"/>
        </w:rPr>
        <w:t>20</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clear="all"/>
      </w:r>
      <w:bookmarkStart w:id="14" w:name="_Toc186737797"/>
      <w:bookmarkStart w:id="15" w:name="_Toc16027"/>
      <w:r>
        <w:rPr>
          <w:rFonts w:hint="eastAsia" w:ascii="仿宋_GB2312" w:hAnsi="宋体" w:eastAsia="仿宋_GB2312"/>
          <w:color w:val="auto"/>
          <w:sz w:val="28"/>
          <w:szCs w:val="28"/>
        </w:rPr>
        <w:t>第二章 供应商须知</w:t>
      </w:r>
      <w:bookmarkEnd w:id="14"/>
      <w:bookmarkEnd w:id="15"/>
    </w:p>
    <w:p>
      <w:pPr>
        <w:pStyle w:val="4"/>
        <w:spacing w:before="0" w:after="0"/>
        <w:rPr>
          <w:sz w:val="24"/>
          <w:szCs w:val="24"/>
        </w:rPr>
      </w:pPr>
      <w:bookmarkStart w:id="16" w:name="_Toc186737798"/>
      <w:r>
        <w:rPr>
          <w:rFonts w:hint="eastAsia" w:ascii="仿宋" w:hAnsi="仿宋" w:eastAsia="仿宋" w:cs="仿宋"/>
          <w:color w:val="000000"/>
          <w:sz w:val="24"/>
          <w:szCs w:val="24"/>
        </w:rPr>
        <w:t>一、供应商须知前附表</w:t>
      </w:r>
      <w:bookmarkEnd w:id="16"/>
    </w:p>
    <w:tbl>
      <w:tblPr>
        <w:tblStyle w:val="34"/>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noWrap w:val="0"/>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noWrap w:val="0"/>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noWrap w:val="0"/>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noWrap w:val="0"/>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noWrap w:val="0"/>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★磋商文件实质性要求的标识</w:t>
            </w:r>
          </w:p>
        </w:tc>
        <w:tc>
          <w:tcPr>
            <w:tcW w:w="7199" w:type="dxa"/>
            <w:noWrap w:val="0"/>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磋商文件中标识“★”条款、注明“磋商响应将被否决”、“对其响应做否决处理”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noWrap w:val="0"/>
            <w:vAlign w:val="center"/>
          </w:tcPr>
          <w:p>
            <w:pPr>
              <w:pStyle w:val="227"/>
              <w:spacing w:before="62" w:after="62"/>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222"/>
              <w:spacing w:before="62" w:after="62"/>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rPr>
                <w:rFonts w:ascii="仿宋" w:hAnsi="仿宋" w:eastAsia="仿宋" w:cs="仿宋"/>
                <w:b/>
                <w:color w:val="000000"/>
                <w:szCs w:val="21"/>
              </w:rPr>
            </w:pPr>
            <w:r>
              <w:rPr>
                <w:rFonts w:hint="eastAsia" w:ascii="仿宋" w:hAnsi="仿宋" w:eastAsia="仿宋" w:cs="仿宋"/>
                <w:b/>
                <w:color w:val="000000"/>
                <w:szCs w:val="21"/>
              </w:rPr>
              <w:t>初步评审索引表</w:t>
            </w:r>
          </w:p>
          <w:p>
            <w:r>
              <w:rPr>
                <w:rFonts w:hint="eastAsia" w:ascii="仿宋" w:hAnsi="仿宋" w:eastAsia="仿宋" w:cs="仿宋"/>
                <w:b/>
                <w:color w:val="000000"/>
                <w:szCs w:val="21"/>
              </w:rPr>
              <w:t>详细评审索引表</w:t>
            </w:r>
          </w:p>
          <w:p>
            <w:pPr>
              <w:pStyle w:val="222"/>
              <w:spacing w:before="62" w:after="62"/>
              <w:rPr>
                <w:rFonts w:ascii="仿宋" w:hAnsi="仿宋" w:eastAsia="仿宋" w:cs="仿宋"/>
                <w:color w:val="000000"/>
              </w:rPr>
            </w:pPr>
            <w:r>
              <w:rPr>
                <w:rFonts w:hint="eastAsia" w:ascii="仿宋" w:hAnsi="仿宋" w:eastAsia="仿宋" w:cs="仿宋"/>
                <w:color w:val="000000"/>
              </w:rPr>
              <w:t>（一）响应函</w:t>
            </w:r>
          </w:p>
          <w:p>
            <w:pPr>
              <w:pStyle w:val="227"/>
              <w:spacing w:before="62" w:after="62"/>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227"/>
              <w:spacing w:before="62" w:after="62"/>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222"/>
              <w:spacing w:before="62" w:after="62"/>
              <w:rPr>
                <w:rFonts w:ascii="仿宋" w:hAnsi="仿宋" w:eastAsia="仿宋" w:cs="仿宋"/>
                <w:color w:val="000000"/>
              </w:rPr>
            </w:pPr>
            <w:r>
              <w:rPr>
                <w:rFonts w:hint="eastAsia" w:ascii="仿宋" w:hAnsi="仿宋" w:eastAsia="仿宋" w:cs="仿宋"/>
                <w:color w:val="000000"/>
              </w:rPr>
              <w:t>（四）资格证明文件</w:t>
            </w:r>
          </w:p>
          <w:p>
            <w:pPr>
              <w:pStyle w:val="227"/>
              <w:spacing w:before="62" w:after="62"/>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222"/>
              <w:spacing w:before="62" w:after="62"/>
              <w:rPr>
                <w:rFonts w:ascii="仿宋" w:hAnsi="仿宋" w:eastAsia="仿宋" w:cs="仿宋"/>
                <w:color w:val="000000"/>
              </w:rPr>
            </w:pPr>
            <w:r>
              <w:rPr>
                <w:rFonts w:hint="eastAsia" w:ascii="仿宋" w:hAnsi="仿宋" w:eastAsia="仿宋" w:cs="仿宋"/>
                <w:color w:val="000000"/>
              </w:rPr>
              <w:t>（六）合同条款应答偏离表</w:t>
            </w:r>
          </w:p>
          <w:p>
            <w:pPr>
              <w:pStyle w:val="222"/>
              <w:spacing w:before="62" w:after="62"/>
              <w:rPr>
                <w:rFonts w:ascii="仿宋" w:hAnsi="仿宋" w:eastAsia="仿宋" w:cs="仿宋"/>
                <w:color w:val="000000"/>
              </w:rPr>
            </w:pPr>
            <w:r>
              <w:rPr>
                <w:rFonts w:hint="eastAsia" w:ascii="仿宋" w:hAnsi="仿宋" w:eastAsia="仿宋" w:cs="仿宋"/>
                <w:color w:val="000000"/>
              </w:rPr>
              <w:t>（七）供应商行为准则承诺书</w:t>
            </w:r>
          </w:p>
          <w:p>
            <w:pPr>
              <w:pStyle w:val="222"/>
              <w:spacing w:before="62" w:after="62"/>
              <w:rPr>
                <w:rFonts w:ascii="仿宋" w:hAnsi="仿宋" w:eastAsia="仿宋" w:cs="仿宋"/>
                <w:color w:val="000000"/>
              </w:rPr>
            </w:pPr>
            <w:r>
              <w:rPr>
                <w:rFonts w:hint="eastAsia" w:ascii="仿宋" w:hAnsi="仿宋" w:eastAsia="仿宋"/>
                <w:color w:val="000000"/>
              </w:rPr>
              <w:t>（八）供应商廉洁诚信承诺书</w:t>
            </w:r>
          </w:p>
          <w:p>
            <w:pPr>
              <w:pStyle w:val="222"/>
              <w:spacing w:before="62" w:after="62"/>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rPr>
                <w:rFonts w:ascii="仿宋" w:hAnsi="仿宋" w:eastAsia="仿宋" w:cs="仿宋"/>
                <w:b/>
                <w:color w:val="000000"/>
                <w:szCs w:val="21"/>
              </w:rPr>
            </w:pPr>
            <w:r>
              <w:rPr>
                <w:rFonts w:hint="eastAsia" w:ascii="仿宋" w:hAnsi="仿宋" w:eastAsia="仿宋" w:cs="仿宋"/>
                <w:b/>
                <w:color w:val="000000"/>
                <w:szCs w:val="21"/>
              </w:rPr>
              <w:t>二、技术文件</w:t>
            </w:r>
          </w:p>
          <w:p>
            <w:pPr>
              <w:rPr>
                <w:rFonts w:ascii="仿宋" w:hAnsi="仿宋" w:eastAsia="仿宋" w:cs="仿宋"/>
                <w:b/>
                <w:color w:val="000000"/>
                <w:szCs w:val="21"/>
              </w:rPr>
            </w:pPr>
            <w:r>
              <w:rPr>
                <w:rFonts w:hint="eastAsia" w:ascii="仿宋" w:hAnsi="仿宋" w:eastAsia="仿宋" w:cs="仿宋"/>
                <w:b/>
                <w:color w:val="000000"/>
                <w:szCs w:val="21"/>
              </w:rPr>
              <w:t>详细评审索引表</w:t>
            </w:r>
          </w:p>
          <w:p>
            <w:pPr>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222"/>
              <w:spacing w:before="62" w:after="62"/>
              <w:rPr>
                <w:rFonts w:ascii="仿宋" w:hAnsi="仿宋" w:eastAsia="仿宋" w:cs="仿宋"/>
                <w:color w:val="000000"/>
              </w:rPr>
            </w:pPr>
            <w:r>
              <w:rPr>
                <w:rFonts w:hint="eastAsia" w:ascii="仿宋" w:hAnsi="仿宋" w:eastAsia="仿宋" w:cs="仿宋"/>
                <w:color w:val="000000"/>
              </w:rPr>
              <w:t>（二）技术方案</w:t>
            </w:r>
          </w:p>
          <w:p>
            <w:pPr>
              <w:pStyle w:val="222"/>
              <w:spacing w:before="62" w:after="62"/>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rPr>
                <w:rFonts w:ascii="仿宋" w:hAnsi="仿宋" w:eastAsia="仿宋" w:cs="仿宋"/>
                <w:b/>
                <w:color w:val="000000"/>
                <w:szCs w:val="21"/>
              </w:rPr>
            </w:pPr>
            <w:r>
              <w:rPr>
                <w:rFonts w:hint="eastAsia" w:ascii="仿宋" w:hAnsi="仿宋" w:eastAsia="仿宋" w:cs="仿宋"/>
                <w:b/>
                <w:color w:val="000000"/>
                <w:szCs w:val="21"/>
              </w:rPr>
              <w:t>三、报价文件</w:t>
            </w:r>
          </w:p>
          <w:p>
            <w:pPr>
              <w:pStyle w:val="222"/>
              <w:spacing w:before="62" w:after="62"/>
              <w:rPr>
                <w:rFonts w:ascii="仿宋" w:hAnsi="仿宋" w:eastAsia="仿宋" w:cs="仿宋"/>
                <w:color w:val="000000"/>
              </w:rPr>
            </w:pPr>
            <w:r>
              <w:rPr>
                <w:rFonts w:hint="eastAsia" w:ascii="仿宋" w:hAnsi="仿宋" w:eastAsia="仿宋" w:cs="仿宋"/>
                <w:color w:val="000000"/>
              </w:rPr>
              <w:t>（一）报价一览表</w:t>
            </w:r>
          </w:p>
          <w:p>
            <w:pPr>
              <w:pStyle w:val="222"/>
              <w:spacing w:before="62" w:after="62"/>
              <w:rPr>
                <w:rFonts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noWrap w:val="0"/>
            <w:vAlign w:val="center"/>
          </w:tcPr>
          <w:p>
            <w:pPr>
              <w:pStyle w:val="227"/>
              <w:spacing w:before="62" w:after="62"/>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noWrap w:val="0"/>
            <w:vAlign w:val="center"/>
          </w:tcPr>
          <w:p>
            <w:pPr>
              <w:pStyle w:val="229"/>
              <w:spacing w:before="62" w:after="62"/>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229"/>
              <w:spacing w:before="62" w:after="62"/>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229"/>
              <w:spacing w:before="62" w:after="62"/>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227"/>
              <w:spacing w:before="62" w:after="62"/>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noWrap w:val="0"/>
            <w:vAlign w:val="center"/>
          </w:tcPr>
          <w:p>
            <w:pPr>
              <w:pStyle w:val="198"/>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noWrap w:val="0"/>
            <w:vAlign w:val="center"/>
          </w:tcPr>
          <w:p>
            <w:pPr>
              <w:pStyle w:val="198"/>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★磋商响应有效期</w:t>
            </w:r>
          </w:p>
        </w:tc>
        <w:tc>
          <w:tcPr>
            <w:tcW w:w="7199" w:type="dxa"/>
            <w:noWrap w:val="0"/>
            <w:vAlign w:val="center"/>
          </w:tcPr>
          <w:p>
            <w:pPr>
              <w:pStyle w:val="198"/>
              <w:spacing w:line="300" w:lineRule="auto"/>
              <w:ind w:left="103" w:right="-18"/>
              <w:jc w:val="both"/>
              <w:rPr>
                <w:rFonts w:hint="default" w:ascii="仿宋_GB2312" w:eastAsia="仿宋_GB2312"/>
                <w:sz w:val="24"/>
                <w:szCs w:val="24"/>
                <w:lang w:val="en-US" w:eastAsia="zh-CN"/>
              </w:rPr>
            </w:pPr>
            <w:r>
              <w:rPr>
                <w:rFonts w:hint="eastAsia" w:ascii="仿宋" w:hAnsi="仿宋" w:eastAsia="仿宋"/>
                <w:color w:val="000000"/>
                <w:lang w:eastAsia="zh-CN"/>
              </w:rPr>
              <w:t>磋商响应有效期：</w:t>
            </w:r>
            <w:r>
              <w:rPr>
                <w:rFonts w:hint="eastAsia" w:ascii="仿宋" w:hAnsi="仿宋" w:eastAsia="仿宋" w:cs="仿宋"/>
                <w:color w:val="auto"/>
                <w:u w:val="single"/>
                <w:lang w:val="en-US" w:eastAsia="zh-CN"/>
              </w:rPr>
              <w:t>90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noWrap w:val="0"/>
            <w:vAlign w:val="center"/>
          </w:tcPr>
          <w:p>
            <w:pPr>
              <w:pStyle w:val="198"/>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noWrap w:val="0"/>
            <w:vAlign w:val="center"/>
          </w:tcPr>
          <w:p>
            <w:pPr>
              <w:pStyle w:val="198"/>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noWrap w:val="0"/>
            <w:vAlign w:val="center"/>
          </w:tcPr>
          <w:p>
            <w:pPr>
              <w:pStyle w:val="198"/>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份（格式要求为基于正本扫描的pdf格式）；纸质文件正本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w:t>
            </w:r>
            <w:r>
              <w:rPr>
                <w:rFonts w:hint="eastAsia" w:ascii="仿宋" w:hAnsi="仿宋" w:eastAsia="仿宋"/>
                <w:color w:val="auto"/>
                <w:sz w:val="21"/>
                <w:szCs w:val="21"/>
                <w:lang w:eastAsia="zh-CN"/>
              </w:rPr>
              <w:t>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2</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noWrap w:val="0"/>
            <w:vAlign w:val="center"/>
          </w:tcPr>
          <w:p>
            <w:pPr>
              <w:pStyle w:val="198"/>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noWrap w:val="0"/>
            <w:vAlign w:val="center"/>
          </w:tcPr>
          <w:p>
            <w:pPr>
              <w:pStyle w:val="198"/>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磋商响应报价</w:t>
            </w:r>
          </w:p>
        </w:tc>
        <w:tc>
          <w:tcPr>
            <w:tcW w:w="7199" w:type="dxa"/>
            <w:noWrap w:val="0"/>
            <w:vAlign w:val="center"/>
          </w:tcPr>
          <w:p>
            <w:pPr>
              <w:pStyle w:val="222"/>
              <w:spacing w:before="62" w:after="62"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198"/>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2）磋商小组将视磋商情况决定是否进行多轮次报价，供应商</w:t>
            </w:r>
            <w:r>
              <w:rPr>
                <w:rFonts w:hint="eastAsia" w:ascii="仿宋" w:hAnsi="仿宋" w:eastAsia="仿宋" w:cs="仿宋"/>
                <w:color w:val="000000"/>
                <w:u w:val="single"/>
                <w:lang w:eastAsia="zh-CN"/>
              </w:rPr>
              <w:t>最后一轮磋商提交的报价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noWrap w:val="0"/>
            <w:vAlign w:val="center"/>
          </w:tcPr>
          <w:p>
            <w:pPr>
              <w:pStyle w:val="198"/>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noWrap w:val="0"/>
            <w:vAlign w:val="center"/>
          </w:tcPr>
          <w:p>
            <w:pPr>
              <w:pStyle w:val="198"/>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noWrap w:val="0"/>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198"/>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0" distR="0">
                      <wp:extent cx="4320540" cy="2775585"/>
                      <wp:effectExtent l="4445" t="4445" r="5715" b="13970"/>
                      <wp:docPr id="3" name="文本框 3"/>
                      <wp:cNvGraphicFramePr/>
                      <a:graphic xmlns:a="http://schemas.openxmlformats.org/drawingml/2006/main">
                        <a:graphicData uri="http://schemas.microsoft.com/office/word/2010/wordprocessingShape">
                          <wps:wsp>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_x0000_s1026"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DJRr1gAAAAUBAAAPAAAAAAAAAAEAIAAAACIAAABkcnMvZG93&#10;bnJldi54bWxQSwECFAAUAAAACACHTuJAnKzlWjsCAACQBAAADgAAAAAAAAABACAAAAAlAQAAZHJz&#10;L2Uyb0RvYy54bWxQSwUGAAAAAAYABgBZAQAA0gU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noWrap w:val="0"/>
            <w:vAlign w:val="center"/>
          </w:tcPr>
          <w:p>
            <w:pPr>
              <w:pStyle w:val="198"/>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noWrap w:val="0"/>
            <w:vAlign w:val="center"/>
          </w:tcPr>
          <w:p>
            <w:pPr>
              <w:spacing w:line="400" w:lineRule="exact"/>
              <w:ind w:left="77" w:right="132" w:firstLine="67"/>
              <w:jc w:val="center"/>
              <w:rPr>
                <w:rFonts w:ascii="仿宋_GB2312" w:hAnsi="宋体" w:eastAsia="仿宋_GB2312"/>
                <w:szCs w:val="21"/>
              </w:rPr>
            </w:pPr>
            <w:r>
              <w:rPr>
                <w:rFonts w:hint="eastAsia" w:ascii="仿宋" w:hAnsi="仿宋" w:eastAsia="仿宋" w:cs="仿宋"/>
                <w:color w:val="000000"/>
                <w:szCs w:val="21"/>
              </w:rPr>
              <w:t>组建磋商小组</w:t>
            </w:r>
          </w:p>
        </w:tc>
        <w:tc>
          <w:tcPr>
            <w:tcW w:w="7199" w:type="dxa"/>
            <w:noWrap w:val="0"/>
            <w:vAlign w:val="center"/>
          </w:tcPr>
          <w:p>
            <w:pPr>
              <w:spacing w:line="400" w:lineRule="exact"/>
              <w:ind w:left="146" w:firstLine="2"/>
              <w:rPr>
                <w:rFonts w:ascii="仿宋_GB2312" w:hAnsi="宋体" w:eastAsia="仿宋_GB2312" w:cs="新宋体"/>
                <w:szCs w:val="21"/>
                <w:lang w:val="zh-CN"/>
              </w:rPr>
            </w:pPr>
            <w:r>
              <w:rPr>
                <w:rFonts w:hint="eastAsia" w:ascii="仿宋" w:hAnsi="仿宋" w:eastAsia="仿宋" w:cs="仿宋"/>
                <w:color w:val="000000"/>
                <w:sz w:val="22"/>
              </w:rPr>
              <w:t>本项目磋商小组成员人数</w:t>
            </w:r>
            <w:bookmarkStart w:id="219" w:name="_GoBack"/>
            <w:r>
              <w:rPr>
                <w:rFonts w:hint="eastAsia" w:ascii="仿宋" w:hAnsi="仿宋" w:eastAsia="仿宋" w:cs="仿宋"/>
                <w:color w:val="auto"/>
                <w:sz w:val="22"/>
              </w:rPr>
              <w:t>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bookmarkEnd w:id="21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noWrap w:val="0"/>
            <w:vAlign w:val="center"/>
          </w:tcPr>
          <w:p>
            <w:pPr>
              <w:pStyle w:val="198"/>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szCs w:val="21"/>
              </w:rPr>
              <w:t>磋商程序及方式</w:t>
            </w:r>
          </w:p>
        </w:tc>
        <w:tc>
          <w:tcPr>
            <w:tcW w:w="7199" w:type="dxa"/>
            <w:noWrap w:val="0"/>
            <w:vAlign w:val="center"/>
          </w:tcPr>
          <w:p>
            <w:pPr>
              <w:pStyle w:val="222"/>
              <w:spacing w:before="62" w:after="62" w:line="360" w:lineRule="auto"/>
              <w:rPr>
                <w:rFonts w:ascii="仿宋" w:hAnsi="仿宋" w:eastAsia="仿宋" w:cs="仿宋"/>
                <w:color w:val="000000"/>
                <w:sz w:val="22"/>
                <w:szCs w:val="22"/>
              </w:rPr>
            </w:pPr>
            <w:r>
              <w:rPr>
                <w:rFonts w:hint="eastAsia" w:ascii="仿宋" w:hAnsi="仿宋" w:eastAsia="仿宋" w:cs="仿宋"/>
                <w:color w:val="000000"/>
                <w:sz w:val="22"/>
                <w:szCs w:val="22"/>
              </w:rPr>
              <w:t>（1）磋商小组将与通过初步评审的有效供应商按照</w:t>
            </w:r>
            <w:r>
              <w:rPr>
                <w:rFonts w:hint="eastAsia" w:ascii="仿宋" w:hAnsi="仿宋" w:eastAsia="仿宋" w:cs="仿宋"/>
                <w:color w:val="000000"/>
                <w:sz w:val="22"/>
                <w:szCs w:val="22"/>
                <w:u w:val="single"/>
              </w:rPr>
              <w:t>响应文件递交顺序</w:t>
            </w:r>
            <w:r>
              <w:rPr>
                <w:rFonts w:hint="eastAsia" w:ascii="仿宋" w:hAnsi="仿宋" w:eastAsia="仿宋" w:cs="仿宋"/>
                <w:color w:val="000000"/>
                <w:sz w:val="22"/>
                <w:szCs w:val="22"/>
              </w:rPr>
              <w:t>逐一进行磋商，供应商至少应派法定代表人或其授权委托人准时参会。</w:t>
            </w:r>
          </w:p>
          <w:p>
            <w:pPr>
              <w:spacing w:line="400" w:lineRule="exact"/>
              <w:rPr>
                <w:rFonts w:ascii="仿宋" w:hAnsi="仿宋" w:eastAsia="仿宋" w:cs="仿宋"/>
                <w:color w:val="000000"/>
              </w:rPr>
            </w:pPr>
            <w:r>
              <w:rPr>
                <w:rFonts w:hint="eastAsia" w:ascii="仿宋" w:hAnsi="仿宋" w:eastAsia="仿宋" w:cs="仿宋"/>
                <w:color w:val="000000"/>
                <w:sz w:val="22"/>
                <w:szCs w:val="22"/>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noWrap w:val="0"/>
            <w:vAlign w:val="center"/>
          </w:tcPr>
          <w:p>
            <w:pPr>
              <w:pStyle w:val="198"/>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szCs w:val="21"/>
              </w:rPr>
              <w:t>磋商内容</w:t>
            </w:r>
          </w:p>
        </w:tc>
        <w:tc>
          <w:tcPr>
            <w:tcW w:w="7199" w:type="dxa"/>
            <w:noWrap w:val="0"/>
            <w:vAlign w:val="center"/>
          </w:tcPr>
          <w:p>
            <w:pPr>
              <w:spacing w:line="400" w:lineRule="exact"/>
              <w:ind w:left="146"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w:t>
            </w:r>
            <w:r>
              <w:rPr>
                <w:rFonts w:hint="eastAsia" w:ascii="仿宋" w:hAnsi="仿宋" w:eastAsia="仿宋" w:cs="仿宋"/>
                <w:color w:val="auto"/>
                <w:sz w:val="22"/>
                <w:u w:val="single"/>
              </w:rPr>
              <w:t>技术方案、</w:t>
            </w:r>
            <w:r>
              <w:rPr>
                <w:rFonts w:hint="eastAsia" w:ascii="仿宋" w:hAnsi="仿宋" w:eastAsia="仿宋" w:cs="仿宋"/>
                <w:color w:val="000000"/>
                <w:sz w:val="22"/>
                <w:u w:val="single"/>
              </w:rPr>
              <w:t>实施方案、人员</w:t>
            </w:r>
            <w:r>
              <w:rPr>
                <w:rFonts w:hint="eastAsia" w:ascii="仿宋" w:hAnsi="仿宋" w:eastAsia="仿宋" w:cs="仿宋"/>
                <w:color w:val="000000"/>
                <w:sz w:val="22"/>
                <w:u w:val="single"/>
                <w:lang w:val="en-US" w:eastAsia="zh-CN"/>
              </w:rPr>
              <w:t>/设施</w:t>
            </w:r>
            <w:r>
              <w:rPr>
                <w:rFonts w:hint="eastAsia" w:ascii="仿宋" w:hAnsi="仿宋" w:eastAsia="仿宋" w:cs="仿宋"/>
                <w:color w:val="000000"/>
                <w:sz w:val="22"/>
                <w:u w:val="single"/>
              </w:rPr>
              <w:t>配置、服务承诺、</w:t>
            </w:r>
            <w:r>
              <w:rPr>
                <w:rFonts w:hint="eastAsia" w:ascii="仿宋" w:hAnsi="仿宋" w:eastAsia="仿宋" w:cs="仿宋"/>
                <w:color w:val="000000"/>
                <w:sz w:val="22"/>
                <w:u w:val="single"/>
                <w:lang w:val="en-US" w:eastAsia="zh-CN"/>
              </w:rPr>
              <w:t>增值服务、</w:t>
            </w:r>
            <w:r>
              <w:rPr>
                <w:rFonts w:hint="eastAsia" w:ascii="仿宋" w:hAnsi="仿宋" w:eastAsia="仿宋" w:cs="仿宋"/>
                <w:color w:val="000000"/>
                <w:sz w:val="22"/>
                <w:u w:val="single"/>
              </w:rPr>
              <w:t>商务条款</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noWrap w:val="0"/>
            <w:vAlign w:val="center"/>
          </w:tcPr>
          <w:p>
            <w:pPr>
              <w:pStyle w:val="198"/>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noWrap w:val="0"/>
            <w:vAlign w:val="center"/>
          </w:tcPr>
          <w:p>
            <w:pPr>
              <w:spacing w:line="400" w:lineRule="exact"/>
              <w:ind w:left="146" w:firstLine="2"/>
              <w:rPr>
                <w:rFonts w:ascii="仿宋" w:hAnsi="仿宋" w:eastAsia="仿宋" w:cs="仿宋"/>
                <w:color w:val="000000"/>
              </w:rPr>
            </w:pPr>
            <w:r>
              <w:rPr>
                <w:rFonts w:hint="eastAsia" w:ascii="仿宋" w:hAnsi="仿宋" w:eastAsia="仿宋" w:cs="仿宋"/>
                <w:color w:val="000000"/>
                <w:sz w:val="22"/>
              </w:rPr>
              <w:t>磋商小组根据有效供应商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w:t>
            </w:r>
            <w:r>
              <w:rPr>
                <w:rFonts w:hint="eastAsia" w:ascii="仿宋" w:hAnsi="仿宋" w:eastAsia="仿宋" w:cs="宋体"/>
                <w:color w:val="auto"/>
                <w:sz w:val="22"/>
                <w:u w:val="single"/>
              </w:rPr>
              <w:t>前</w:t>
            </w:r>
            <w:r>
              <w:rPr>
                <w:rFonts w:hint="eastAsia" w:ascii="仿宋" w:hAnsi="仿宋" w:eastAsia="仿宋" w:cs="仿宋"/>
                <w:color w:val="auto"/>
                <w:sz w:val="22"/>
                <w:szCs w:val="22"/>
                <w:u w:val="single"/>
                <w:lang w:val="en-US" w:eastAsia="zh-CN"/>
              </w:rPr>
              <w:t>3</w:t>
            </w:r>
            <w:r>
              <w:rPr>
                <w:rFonts w:hint="eastAsia" w:ascii="仿宋" w:hAnsi="仿宋" w:eastAsia="仿宋" w:cs="宋体"/>
                <w:color w:val="auto"/>
                <w:sz w:val="22"/>
                <w:u w:val="single"/>
              </w:rPr>
              <w:t>名</w:t>
            </w:r>
            <w:r>
              <w:rPr>
                <w:rFonts w:hint="eastAsia" w:ascii="仿宋" w:hAnsi="仿宋" w:eastAsia="仿宋" w:cs="宋体"/>
                <w:color w:val="auto"/>
                <w:sz w:val="22"/>
              </w:rPr>
              <w:t>为成交候选人</w:t>
            </w:r>
            <w:r>
              <w:rPr>
                <w:rFonts w:hint="eastAsia" w:ascii="仿宋" w:hAnsi="仿宋" w:eastAsia="仿宋" w:cs="宋体"/>
                <w:color w:val="000000"/>
                <w:sz w:val="22"/>
              </w:rPr>
              <w:t>。</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优先；价格得分也相同时，</w:t>
            </w:r>
            <w:r>
              <w:rPr>
                <w:rFonts w:hint="eastAsia" w:ascii="仿宋" w:hAnsi="仿宋" w:eastAsia="仿宋" w:cs="仿宋"/>
                <w:color w:val="000000"/>
                <w:u w:val="single"/>
              </w:rPr>
              <w:t>商务</w:t>
            </w:r>
            <w:r>
              <w:rPr>
                <w:rFonts w:hint="eastAsia" w:ascii="仿宋" w:hAnsi="仿宋" w:eastAsia="仿宋" w:cs="仿宋"/>
                <w:color w:val="000000"/>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noWrap w:val="0"/>
            <w:vAlign w:val="center"/>
          </w:tcPr>
          <w:p>
            <w:pPr>
              <w:pStyle w:val="198"/>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noWrap w:val="0"/>
            <w:vAlign w:val="center"/>
          </w:tcPr>
          <w:p>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noWrap w:val="0"/>
            <w:vAlign w:val="center"/>
          </w:tcPr>
          <w:p>
            <w:pPr>
              <w:pStyle w:val="222"/>
              <w:spacing w:before="62" w:after="62"/>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lang w:val="en-US" w:eastAsia="zh-CN"/>
              </w:rPr>
              <w:t>1</w:t>
            </w:r>
            <w:r>
              <w:rPr>
                <w:rFonts w:hint="eastAsia" w:ascii="仿宋" w:hAnsi="仿宋" w:eastAsia="仿宋" w:cs="仿宋"/>
                <w:color w:val="auto"/>
                <w:sz w:val="22"/>
                <w:szCs w:val="22"/>
                <w:u w:val="single"/>
              </w:rPr>
              <w:t>家</w:t>
            </w:r>
          </w:p>
          <w:p>
            <w:pPr>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w:t>
            </w:r>
            <w:r>
              <w:rPr>
                <w:rFonts w:hint="eastAsia" w:ascii="仿宋" w:hAnsi="仿宋" w:eastAsia="仿宋" w:cs="宋体"/>
                <w:color w:val="auto"/>
                <w:sz w:val="22"/>
                <w:szCs w:val="22"/>
                <w:u w:val="single"/>
                <w:lang w:val="en-US" w:eastAsia="zh-CN"/>
              </w:rPr>
              <w:t>第1</w:t>
            </w:r>
            <w:r>
              <w:rPr>
                <w:rFonts w:hint="eastAsia" w:ascii="仿宋" w:hAnsi="仿宋" w:eastAsia="仿宋" w:cs="宋体"/>
                <w:color w:val="auto"/>
                <w:sz w:val="22"/>
                <w:szCs w:val="22"/>
                <w:u w:val="single"/>
              </w:rPr>
              <w:t>位</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不按照磋商文件要求提交履约保证金</w:t>
            </w:r>
            <w:r>
              <w:rPr>
                <w:rFonts w:hint="eastAsia" w:ascii="仿宋" w:hAnsi="仿宋" w:eastAsia="仿宋" w:cs="仿宋"/>
                <w:color w:val="auto"/>
                <w:sz w:val="22"/>
                <w:szCs w:val="22"/>
              </w:rPr>
              <w:t>、存在重大经营或法律风险、被查实存在影响采购结果的违法行为等情形，采购人按照磋商小组提出的成交候选人名单排序依次确定其他成交候选人为成交人，或者重新采购。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noWrap w:val="0"/>
            <w:vAlign w:val="center"/>
          </w:tcPr>
          <w:p>
            <w:pPr>
              <w:pStyle w:val="198"/>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noWrap w:val="0"/>
            <w:vAlign w:val="center"/>
          </w:tcPr>
          <w:p>
            <w:pPr>
              <w:spacing w:line="400" w:lineRule="exact"/>
              <w:ind w:left="77" w:right="132" w:firstLine="67"/>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noWrap w:val="0"/>
            <w:vAlign w:val="center"/>
          </w:tcPr>
          <w:p>
            <w:pPr>
              <w:pStyle w:val="222"/>
              <w:spacing w:before="62" w:after="62"/>
              <w:rPr>
                <w:rFonts w:ascii="仿宋" w:hAnsi="仿宋" w:eastAsia="仿宋" w:cs="仿宋"/>
                <w:color w:val="auto"/>
              </w:rPr>
            </w:pPr>
            <w:r>
              <w:rPr>
                <w:rFonts w:ascii="Wingdings 2" w:hAnsi="Wingdings 2" w:eastAsia="Wingdings 2" w:cs="Wingdings 2"/>
                <w:color w:val="auto"/>
              </w:rPr>
              <w:t>R</w:t>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noWrap w:val="0"/>
            <w:vAlign w:val="center"/>
          </w:tcPr>
          <w:p>
            <w:pPr>
              <w:pStyle w:val="198"/>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noWrap w:val="0"/>
            <w:vAlign w:val="center"/>
          </w:tcPr>
          <w:p>
            <w:pPr>
              <w:spacing w:line="400" w:lineRule="exact"/>
              <w:ind w:left="77" w:right="132" w:firstLine="67"/>
              <w:jc w:val="center"/>
              <w:rPr>
                <w:rFonts w:ascii="仿宋_GB2312" w:hAnsi="宋体" w:eastAsia="仿宋_GB2312"/>
                <w:szCs w:val="21"/>
              </w:rPr>
            </w:pPr>
            <w:r>
              <w:rPr>
                <w:rFonts w:hint="eastAsia" w:ascii="仿宋_GB2312" w:hAnsi="宋体" w:eastAsia="仿宋_GB2312"/>
                <w:szCs w:val="21"/>
              </w:rPr>
              <w:t>合同签署</w:t>
            </w:r>
          </w:p>
        </w:tc>
        <w:tc>
          <w:tcPr>
            <w:tcW w:w="7199" w:type="dxa"/>
            <w:noWrap w:val="0"/>
            <w:vAlign w:val="center"/>
          </w:tcPr>
          <w:p>
            <w:pPr>
              <w:spacing w:line="400" w:lineRule="exact"/>
              <w:ind w:left="146" w:firstLine="2"/>
              <w:rPr>
                <w:rFonts w:ascii="仿宋_GB2312" w:hAnsi="宋体" w:eastAsia="仿宋_GB2312" w:cs="新宋体"/>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lang w:eastAsia="zh-CN"/>
              </w:rPr>
              <w:t>德阳市分公司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17" w:name="_Toc20514"/>
      <w:bookmarkStart w:id="18" w:name="_Toc11071"/>
      <w:bookmarkStart w:id="19" w:name="_Toc517281816"/>
      <w:bookmarkStart w:id="20" w:name="_Toc27232"/>
      <w:bookmarkStart w:id="21" w:name="_Toc6047"/>
      <w:bookmarkStart w:id="22" w:name="_Toc19783313"/>
      <w:bookmarkStart w:id="23" w:name="_Toc287600118"/>
      <w:bookmarkStart w:id="24" w:name="_Toc444891336"/>
      <w:bookmarkStart w:id="25" w:name="_Toc186737799"/>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287600119"/>
      <w:bookmarkStart w:id="28" w:name="_Toc22969"/>
      <w:bookmarkStart w:id="29" w:name="_Toc431"/>
      <w:bookmarkStart w:id="30" w:name="_Toc517281817"/>
      <w:bookmarkStart w:id="31" w:name="_Toc19783314"/>
      <w:bookmarkStart w:id="32" w:name="_Toc6681"/>
      <w:bookmarkStart w:id="33" w:name="_Toc186737800"/>
      <w:bookmarkStart w:id="34" w:name="_Toc444891337"/>
      <w:bookmarkStart w:id="35" w:name="_Toc16441"/>
      <w:bookmarkStart w:id="36" w:name="_Toc3678"/>
      <w:bookmarkStart w:id="37" w:name="_Toc11851"/>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本项目按照中华人民共和国有关法律、行政法规和部门规章以及采购人的采购管理制度，通过竞争性磋商方式确定签约供应商。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5.磋商响应费用</w:t>
      </w:r>
    </w:p>
    <w:p>
      <w:pPr>
        <w:spacing w:line="360" w:lineRule="auto"/>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自行承担所有准备和参与本次磋商响应的有关费用。</w:t>
      </w:r>
    </w:p>
    <w:p>
      <w:pPr>
        <w:pStyle w:val="5"/>
        <w:spacing w:after="0" w:line="360" w:lineRule="auto"/>
        <w:ind w:firstLine="482"/>
        <w:rPr>
          <w:rFonts w:ascii="仿宋" w:hAnsi="仿宋" w:eastAsia="仿宋" w:cs="仿宋"/>
          <w:color w:val="000000"/>
          <w:sz w:val="24"/>
          <w:szCs w:val="24"/>
        </w:rPr>
      </w:pPr>
      <w:bookmarkStart w:id="38" w:name="_Toc186737801"/>
      <w:bookmarkStart w:id="39" w:name="_Toc24246"/>
      <w:bookmarkStart w:id="40" w:name="_Toc517281818"/>
      <w:bookmarkStart w:id="41" w:name="_Toc5255"/>
      <w:bookmarkStart w:id="42" w:name="_Toc3016"/>
      <w:bookmarkStart w:id="43" w:name="_Toc25513"/>
      <w:bookmarkStart w:id="44" w:name="_Toc287600120"/>
      <w:bookmarkStart w:id="45" w:name="_Toc14164"/>
      <w:bookmarkStart w:id="46" w:name="_Toc444891338"/>
      <w:bookmarkStart w:id="47" w:name="_Toc10975"/>
      <w:bookmarkStart w:id="48" w:name="_Toc19783315"/>
      <w:r>
        <w:rPr>
          <w:rFonts w:hint="eastAsia" w:ascii="仿宋" w:hAnsi="仿宋" w:eastAsia="仿宋" w:cs="仿宋"/>
          <w:color w:val="000000"/>
          <w:sz w:val="24"/>
          <w:szCs w:val="24"/>
        </w:rPr>
        <w:t>（二）磋商文件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6.磋商文件的组成</w:t>
      </w:r>
    </w:p>
    <w:p>
      <w:pPr>
        <w:spacing w:line="360" w:lineRule="auto"/>
        <w:rPr>
          <w:rFonts w:ascii="仿宋" w:hAnsi="仿宋" w:eastAsia="仿宋" w:cs="仿宋"/>
          <w:color w:val="000000"/>
        </w:rPr>
      </w:pPr>
      <w:r>
        <w:rPr>
          <w:rFonts w:hint="eastAsia" w:ascii="仿宋" w:hAnsi="仿宋" w:eastAsia="仿宋" w:cs="仿宋"/>
          <w:color w:val="000000"/>
        </w:rPr>
        <w:t>6.1磋商文件包括下列内容：</w:t>
      </w:r>
    </w:p>
    <w:p>
      <w:pPr>
        <w:pStyle w:val="18"/>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pPr>
        <w:pStyle w:val="18"/>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8"/>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8"/>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rPr>
          <w:rFonts w:ascii="仿宋" w:hAnsi="仿宋" w:eastAsia="仿宋" w:cs="仿宋"/>
          <w:color w:val="000000"/>
        </w:rPr>
      </w:pPr>
      <w:r>
        <w:rPr>
          <w:rFonts w:hint="eastAsia" w:ascii="仿宋" w:hAnsi="仿宋" w:eastAsia="仿宋" w:cs="仿宋"/>
          <w:color w:val="000000"/>
        </w:rPr>
        <w:t>第六章 响应文件格式</w:t>
      </w:r>
    </w:p>
    <w:p>
      <w:pPr>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7.磋商文件的修改</w:t>
      </w:r>
    </w:p>
    <w:p>
      <w:pPr>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在响应文件递交截止时间前，无论出于何种原因，采购人可主动地或在解答供应商要求澄清的问题时对磋商文件进行修改。</w:t>
      </w:r>
    </w:p>
    <w:p>
      <w:pPr>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供应商有权要求采购人对磋商文件中的有关问题进行答疑、澄清。</w:t>
      </w:r>
    </w:p>
    <w:p>
      <w:pPr>
        <w:pStyle w:val="2"/>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供应商对磋商文件如有疑问,应在首次响应文件递交截止时间前按磋商文件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对于磋商文件的修改，如影响供应商响应文件编制的，</w:t>
      </w:r>
      <w:r>
        <w:rPr>
          <w:rFonts w:hint="eastAsia" w:ascii="仿宋_GB2312" w:hAnsi="宋体" w:eastAsia="仿宋_GB2312"/>
          <w:spacing w:val="-3"/>
        </w:rPr>
        <w:t>采购人应推迟响应文件递交截止日期，并以书面或邮件形式通知所有已获取磋商文件</w:t>
      </w:r>
      <w:r>
        <w:rPr>
          <w:rFonts w:hint="eastAsia" w:ascii="仿宋_GB2312" w:hAnsi="宋体" w:eastAsia="仿宋_GB2312"/>
        </w:rPr>
        <w:t>的供应商。</w:t>
      </w:r>
    </w:p>
    <w:p>
      <w:pPr>
        <w:pStyle w:val="2"/>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任何对磋商文件的澄清均为磋商文件的组成部分，并具有同等的法律效力。如磋商文件的澄清与磋商文件有矛盾，以日期后的为准。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8.磋商响应预备会</w:t>
      </w:r>
    </w:p>
    <w:p>
      <w:pPr>
        <w:spacing w:line="360" w:lineRule="auto"/>
        <w:rPr>
          <w:rFonts w:ascii="仿宋" w:hAnsi="仿宋" w:eastAsia="仿宋" w:cs="宋体"/>
          <w:color w:val="000000"/>
          <w:u w:val="single"/>
        </w:rPr>
      </w:pPr>
      <w:r>
        <w:rPr>
          <w:rFonts w:hint="eastAsia" w:ascii="仿宋" w:hAnsi="仿宋" w:eastAsia="仿宋" w:cs="宋体"/>
          <w:color w:val="000000"/>
        </w:rPr>
        <w:t>采购人认为必要时，将召开磋商响应预备会(答疑会)，公开解答潜在供应商对磋商文件提出的疑问。</w:t>
      </w:r>
    </w:p>
    <w:p>
      <w:pPr>
        <w:pStyle w:val="5"/>
        <w:spacing w:after="0" w:line="360" w:lineRule="auto"/>
        <w:jc w:val="center"/>
        <w:rPr>
          <w:rFonts w:ascii="仿宋" w:hAnsi="仿宋" w:eastAsia="仿宋" w:cs="仿宋"/>
          <w:color w:val="000000"/>
          <w:sz w:val="24"/>
          <w:szCs w:val="24"/>
        </w:rPr>
      </w:pPr>
      <w:bookmarkStart w:id="49" w:name="_Toc14308"/>
      <w:bookmarkStart w:id="50" w:name="_Toc517281819"/>
      <w:bookmarkStart w:id="51" w:name="_Toc27642"/>
      <w:bookmarkStart w:id="52" w:name="_Toc13691"/>
      <w:bookmarkStart w:id="53" w:name="_Toc287600121"/>
      <w:bookmarkStart w:id="54" w:name="_Toc444891339"/>
      <w:bookmarkStart w:id="55" w:name="_Toc27563"/>
      <w:bookmarkStart w:id="56" w:name="_Toc16985"/>
      <w:bookmarkStart w:id="57" w:name="_Toc31141"/>
      <w:bookmarkStart w:id="58" w:name="_Toc19783316"/>
      <w:bookmarkStart w:id="59" w:name="_Toc186737802"/>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供应商应当按照磋商文件的要求编制响应文件，并对其提交的响应文件的真实性、合法性承担法律责任。响应文件应当对磋商文件提出的实质性要求和条件作出响应。 </w:t>
      </w:r>
    </w:p>
    <w:p>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bookmarkEnd w:id="60"/>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11.磋商响应报价</w:t>
      </w:r>
    </w:p>
    <w:p>
      <w:pPr>
        <w:spacing w:line="360" w:lineRule="auto"/>
        <w:rPr>
          <w:rFonts w:ascii="仿宋" w:hAnsi="仿宋" w:eastAsia="仿宋" w:cs="宋体"/>
          <w:color w:val="000000"/>
        </w:rPr>
      </w:pPr>
      <w:r>
        <w:rPr>
          <w:rFonts w:hint="eastAsia" w:ascii="仿宋" w:hAnsi="仿宋" w:eastAsia="仿宋" w:cs="宋体"/>
          <w:color w:val="000000"/>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.磋商响应有效期</w:t>
      </w:r>
    </w:p>
    <w:p>
      <w:pPr>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磋商响应有效期从响应文件递交截止之日起算，具体时间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，在此期间，供应商不得要求撤销或修改其响应文件。供应商承诺的磋商响应有效期必须不短于磋商文件规定的磋商响应有效期，否则将构成对磋商文件的非实质性响应，磋商响应将被否决。</w:t>
      </w:r>
    </w:p>
    <w:p>
      <w:pPr>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文件为准;响应文件正本与副本不一致时，以正本为准。 </w:t>
      </w:r>
    </w:p>
    <w:p>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对于磋商文件中提及的原件或复印件要求，照片件、扫描件、影印件、截图件等与其具有同等效力（磋商文件有特殊要求的除外）。</w:t>
      </w:r>
    </w:p>
    <w:p>
      <w:pPr>
        <w:pStyle w:val="5"/>
        <w:spacing w:after="0" w:line="360" w:lineRule="auto"/>
        <w:ind w:firstLine="482"/>
        <w:rPr>
          <w:rFonts w:ascii="仿宋" w:hAnsi="仿宋" w:eastAsia="仿宋" w:cs="仿宋"/>
          <w:color w:val="000000"/>
          <w:sz w:val="24"/>
          <w:szCs w:val="24"/>
        </w:rPr>
      </w:pPr>
      <w:bookmarkStart w:id="61" w:name="_Toc4155"/>
      <w:bookmarkStart w:id="62" w:name="_Toc444891340"/>
      <w:bookmarkStart w:id="63" w:name="_Toc287600122"/>
      <w:bookmarkStart w:id="64" w:name="_Toc18673"/>
      <w:bookmarkStart w:id="65" w:name="_Toc19783317"/>
      <w:bookmarkStart w:id="66" w:name="_Toc517281820"/>
      <w:bookmarkStart w:id="67" w:name="_Toc21600"/>
      <w:bookmarkStart w:id="68" w:name="_Toc14726"/>
      <w:bookmarkStart w:id="69" w:name="_Toc7129"/>
      <w:bookmarkStart w:id="70" w:name="_Toc17865"/>
      <w:bookmarkStart w:id="71" w:name="_Toc186737803"/>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（2）纸质响应文件逾期递交或者未送达指定地点或者未按照磋商文件要求封装的；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）未按磋商公告或者响应公告书要求获得本项目磋商文件的。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磋商文件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，应当在响应文件递交截止时间前按照磋商文件的规定进行递交。</w:t>
      </w:r>
    </w:p>
    <w:p>
      <w:pPr>
        <w:pStyle w:val="2"/>
        <w:spacing w:line="360" w:lineRule="auto"/>
      </w:pPr>
      <w:bookmarkStart w:id="72" w:name="_Toc332188194"/>
      <w:bookmarkStart w:id="73" w:name="_Toc246996202"/>
      <w:bookmarkStart w:id="74" w:name="_Toc326223561"/>
      <w:bookmarkStart w:id="75" w:name="_Toc247085716"/>
      <w:bookmarkStart w:id="76" w:name="_Toc152045558"/>
      <w:bookmarkStart w:id="77" w:name="_Toc334766948"/>
      <w:bookmarkStart w:id="78" w:name="_Toc144974526"/>
      <w:bookmarkStart w:id="79" w:name="_Toc246996945"/>
      <w:bookmarkStart w:id="80" w:name="_Toc152042334"/>
      <w:bookmarkStart w:id="81" w:name="_Toc179632576"/>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响应文件递交截止时间后，供应商在响应有效期内撤销其响应文件，磋商保证金不予退还。</w:t>
      </w:r>
    </w:p>
    <w:p>
      <w:pPr>
        <w:pStyle w:val="5"/>
        <w:spacing w:before="0" w:after="0" w:line="360" w:lineRule="auto"/>
        <w:ind w:firstLine="482"/>
        <w:rPr>
          <w:rFonts w:ascii="仿宋" w:hAnsi="仿宋" w:eastAsia="仿宋" w:cs="仿宋"/>
          <w:color w:val="000000"/>
          <w:sz w:val="24"/>
          <w:szCs w:val="24"/>
        </w:rPr>
      </w:pPr>
      <w:bookmarkStart w:id="82" w:name="_Toc444891341"/>
      <w:bookmarkStart w:id="83" w:name="_Toc30466"/>
      <w:bookmarkStart w:id="84" w:name="_Toc20741"/>
      <w:bookmarkStart w:id="85" w:name="_Toc11361"/>
      <w:bookmarkStart w:id="86" w:name="_Toc287600123"/>
      <w:bookmarkStart w:id="87" w:name="_Toc12797"/>
      <w:bookmarkStart w:id="88" w:name="_Toc2636"/>
      <w:bookmarkStart w:id="89" w:name="_Toc186737804"/>
      <w:bookmarkStart w:id="90" w:name="_Toc517281821"/>
      <w:bookmarkStart w:id="91" w:name="_Toc2055"/>
      <w:r>
        <w:rPr>
          <w:rFonts w:hint="eastAsia" w:ascii="仿宋" w:hAnsi="仿宋" w:eastAsia="仿宋" w:cs="仿宋"/>
          <w:color w:val="000000"/>
          <w:sz w:val="24"/>
          <w:szCs w:val="24"/>
        </w:rPr>
        <w:t>（五）竞争性磋商和评审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磋商小组</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采购人依照企业采购管理制度的相关规定组建磋商小组，具体人数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，磋商小组成员名单在成交结果确定前保密。</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磋商小组成员应当按照客观、公正、审慎的原则，根据磋商文件规定的评审程序、评审方法和评审标准进行独立评审。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磋商小组按照第三章评审办法中初步评审的内容及要求，对响应文件进行初步评审。未通过初步评审的供应商，其磋商响应将被否决，不进入详细评审等后续环节。</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rPr>
        <w:t>，磋商小组有权对其响应做否决处理。</w:t>
      </w:r>
    </w:p>
    <w:p>
      <w:pPr>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磋商小组必要时可以要求供应商提交有关证明和证件的原件，以便核验。拒不按要求提供原件的供应商，</w:t>
      </w:r>
      <w:r>
        <w:rPr>
          <w:rFonts w:hint="eastAsia" w:ascii="仿宋" w:hAnsi="仿宋" w:eastAsia="仿宋" w:cs="仿宋"/>
          <w:b/>
          <w:bCs/>
        </w:rPr>
        <w:t>磋商小组有权对其响应做否决处理。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磋商程序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磋商小组可视情况要求供应商进行多轮磋商及报价。磋商中，任何一方不得向第三方透露与磋商有关的任何信息。</w:t>
      </w:r>
      <w:bookmarkEnd w:id="94"/>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bookmarkEnd w:id="93"/>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 xml:space="preserve">（3）成交人为N家（1＜N≤3）的项目，有效供应商少于2N家（不含本数）；成交人为N家（N＞3）的项目，有效供应商少于1.5N家（不含本数）；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成交候选人的经营、财务状况发生较大变化或者存在违法行为，采购人认为可能影响其履约能力的，应当在发出成交通知书前由原磋商小组会按照磋商文件规定的标准和方法审查确认。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未在响应文件中提及和承诺，但又未明确书面提出异议的事项，按本磋商磋商邀请函的有关要求执行。</w:t>
      </w:r>
    </w:p>
    <w:p>
      <w:pPr>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磋商文件及附件之著作权受中国法律保护，所有文件仅限于供应商参加本次采购磋商使用，任何用于其他目的之复制或引用均应事先获得采购方书面许可。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pacing w:after="0" w:line="360" w:lineRule="auto"/>
        <w:ind w:right="-57" w:firstLine="48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pacing w:after="0" w:line="360" w:lineRule="auto"/>
        <w:ind w:right="-57" w:firstLine="424"/>
        <w:rPr>
          <w:rFonts w:ascii="仿宋_GB2312" w:hAnsi="宋体" w:eastAsia="仿宋_GB2312"/>
        </w:rPr>
      </w:pPr>
      <w:r>
        <w:rPr>
          <w:rFonts w:hint="eastAsia" w:ascii="仿宋_GB2312" w:hAnsi="宋体" w:eastAsia="仿宋_GB2312"/>
        </w:rPr>
        <w:t>（1）成交候选供应商存在违法、违纪行为的；</w:t>
      </w:r>
    </w:p>
    <w:p>
      <w:pPr>
        <w:pStyle w:val="2"/>
        <w:spacing w:after="0" w:line="360" w:lineRule="auto"/>
        <w:ind w:right="-57" w:firstLine="424"/>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pacing w:after="0" w:line="360" w:lineRule="auto"/>
        <w:ind w:right="-57" w:firstLine="424"/>
        <w:rPr>
          <w:rFonts w:ascii="仿宋_GB2312" w:hAnsi="宋体" w:eastAsia="仿宋_GB2312"/>
        </w:rPr>
      </w:pPr>
      <w:r>
        <w:rPr>
          <w:rFonts w:hint="eastAsia" w:ascii="仿宋_GB2312" w:hAnsi="宋体" w:eastAsia="仿宋_GB2312"/>
        </w:rPr>
        <w:t>（3）成交候选供应商书面自愿放弃成交，且无其他非法目的的；</w:t>
      </w:r>
    </w:p>
    <w:p>
      <w:pPr>
        <w:pStyle w:val="2"/>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pPr>
        <w:pStyle w:val="2"/>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pacing w:after="0" w:line="360" w:lineRule="auto"/>
        <w:ind w:right="-57" w:firstLine="424"/>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pacing w:after="0" w:line="360" w:lineRule="auto"/>
        <w:ind w:right="-57" w:firstLine="424"/>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pPr>
        <w:pStyle w:val="2"/>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bookmarkStart w:id="95" w:name="_Toc517281822"/>
      <w:bookmarkStart w:id="96" w:name="_Toc28031"/>
      <w:bookmarkStart w:id="97" w:name="_Toc19451"/>
      <w:bookmarkStart w:id="98" w:name="_Toc13936"/>
      <w:bookmarkStart w:id="99" w:name="_Toc16781"/>
      <w:bookmarkStart w:id="100" w:name="_Toc444891342"/>
      <w:bookmarkStart w:id="101" w:name="_Toc9911"/>
      <w:bookmarkStart w:id="102" w:name="_Toc287600124"/>
      <w:bookmarkStart w:id="103" w:name="_Toc2322"/>
      <w:bookmarkStart w:id="104" w:name="_Toc186737805"/>
      <w:bookmarkStart w:id="105" w:name="_Toc234223231"/>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23.1</w:t>
      </w:r>
      <w:r>
        <w:rPr>
          <w:rFonts w:hint="eastAsia" w:ascii="仿宋" w:hAnsi="仿宋" w:eastAsia="仿宋" w:cs="仿宋"/>
          <w:color w:val="000000"/>
        </w:rPr>
        <w:t>采购人依据磋商小组推荐的成交候选人名单确定成交人，成交人数量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spacing w:line="360" w:lineRule="auto"/>
        <w:rPr>
          <w:rFonts w:ascii="仿宋" w:hAnsi="仿宋" w:eastAsia="仿宋" w:cs="宋体"/>
          <w:color w:val="000000"/>
        </w:rPr>
      </w:pPr>
      <w:r>
        <w:rPr>
          <w:rFonts w:ascii="仿宋" w:hAnsi="仿宋" w:eastAsia="仿宋" w:cs="宋体"/>
          <w:color w:val="000000"/>
        </w:rPr>
        <w:t>23.</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采购人与成交人按照磋商文件和成交人的响应文件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磋商</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磋商文件要求成交人提交履约保证金的，成交人应当按照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07" w:name="_Toc10670"/>
      <w:bookmarkStart w:id="108" w:name="_Toc186737806"/>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186737807"/>
      <w:bookmarkStart w:id="111" w:name="_Toc444891344"/>
      <w:bookmarkStart w:id="112" w:name="_Toc7201"/>
      <w:bookmarkStart w:id="113" w:name="_Toc517281825"/>
      <w:bookmarkStart w:id="114" w:name="_Toc226969358"/>
      <w:bookmarkStart w:id="115" w:name="_Toc227057964"/>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rPr>
          <w:rFonts w:ascii="仿宋" w:hAnsi="仿宋" w:eastAsia="仿宋" w:cs="仿宋"/>
          <w:color w:val="000000"/>
        </w:rPr>
      </w:pPr>
      <w:r>
        <w:rPr>
          <w:rFonts w:hint="eastAsia" w:ascii="仿宋" w:hAnsi="仿宋" w:eastAsia="仿宋" w:cs="仿宋"/>
          <w:color w:val="000000"/>
        </w:rPr>
        <w:t>磋商小组对响应文件中的相关内容进行评审。评审按照以下程序进行：</w:t>
      </w:r>
    </w:p>
    <w:p>
      <w:pPr>
        <w:spacing w:line="360" w:lineRule="auto"/>
        <w:ind w:firstLine="420"/>
        <w:rPr>
          <w:rFonts w:ascii="仿宋" w:hAnsi="仿宋" w:eastAsia="仿宋" w:cs="仿宋"/>
          <w:color w:val="000000"/>
        </w:rPr>
      </w:pPr>
      <w:r>
        <w:rPr>
          <w:rFonts w:hint="eastAsia" w:ascii="仿宋" w:hAnsi="仿宋" w:eastAsia="仿宋" w:cs="仿宋"/>
          <w:color w:val="000000"/>
        </w:rPr>
        <w:t>1.熟悉磋商文件；</w:t>
      </w:r>
    </w:p>
    <w:p>
      <w:pPr>
        <w:spacing w:line="360" w:lineRule="auto"/>
        <w:ind w:firstLine="420"/>
        <w:rPr>
          <w:rFonts w:ascii="仿宋" w:hAnsi="仿宋" w:eastAsia="仿宋" w:cs="仿宋"/>
          <w:color w:val="000000"/>
        </w:rPr>
      </w:pPr>
      <w:r>
        <w:rPr>
          <w:rFonts w:hint="eastAsia" w:ascii="仿宋" w:hAnsi="仿宋" w:eastAsia="仿宋" w:cs="仿宋"/>
          <w:color w:val="000000"/>
        </w:rPr>
        <w:t>2.对响应文件进行初步评审，检查响应文件是否满足磋商文件的初审要求；初步评审中不符合评审标准的，将做否决磋商响应处理；</w:t>
      </w:r>
    </w:p>
    <w:p>
      <w:pPr>
        <w:spacing w:line="360" w:lineRule="auto"/>
        <w:ind w:firstLine="420"/>
        <w:rPr>
          <w:rFonts w:ascii="仿宋" w:hAnsi="仿宋" w:eastAsia="仿宋" w:cs="仿宋"/>
          <w:color w:val="000000"/>
        </w:rPr>
      </w:pPr>
      <w:r>
        <w:rPr>
          <w:rFonts w:hint="eastAsia" w:ascii="仿宋" w:hAnsi="仿宋" w:eastAsia="仿宋" w:cs="仿宋"/>
          <w:color w:val="000000"/>
        </w:rPr>
        <w:t>3.供应商有以下情形之一的，磋商小组应当否决其磋商响应：</w:t>
      </w:r>
    </w:p>
    <w:p>
      <w:pPr>
        <w:spacing w:line="360" w:lineRule="auto"/>
        <w:ind w:firstLine="420"/>
        <w:rPr>
          <w:rFonts w:ascii="仿宋" w:hAnsi="仿宋" w:eastAsia="仿宋" w:cs="仿宋"/>
        </w:rPr>
      </w:pPr>
      <w:r>
        <w:rPr>
          <w:rFonts w:hint="eastAsia" w:ascii="仿宋" w:hAnsi="仿宋" w:eastAsia="仿宋" w:cs="仿宋"/>
        </w:rPr>
        <w:t>（1）按照磋商公告要求已经递交电子响应文件，但未按要求递交纸质响应文件；</w:t>
      </w:r>
    </w:p>
    <w:p>
      <w:pPr>
        <w:spacing w:line="360" w:lineRule="auto"/>
        <w:ind w:firstLine="420"/>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rPr>
          <w:rFonts w:ascii="仿宋" w:hAnsi="仿宋" w:eastAsia="仿宋" w:cs="仿宋"/>
        </w:rPr>
      </w:pPr>
      <w:r>
        <w:rPr>
          <w:rFonts w:hint="eastAsia" w:ascii="仿宋" w:hAnsi="仿宋" w:eastAsia="仿宋" w:cs="仿宋"/>
        </w:rPr>
        <w:t>（4）不符合国家或者磋商文件规定的资格条件；</w:t>
      </w:r>
    </w:p>
    <w:p>
      <w:pPr>
        <w:spacing w:line="360" w:lineRule="auto"/>
        <w:ind w:firstLine="420"/>
        <w:rPr>
          <w:rFonts w:ascii="仿宋" w:hAnsi="仿宋" w:eastAsia="仿宋" w:cs="仿宋"/>
        </w:rPr>
      </w:pPr>
      <w:r>
        <w:rPr>
          <w:rFonts w:hint="eastAsia" w:ascii="仿宋" w:hAnsi="仿宋" w:eastAsia="仿宋" w:cs="仿宋"/>
        </w:rPr>
        <w:t>（5）同一供应商提交两个以上不同的响应文件或者响应报价，但磋商文件要求提交备选文件的除外；</w:t>
      </w:r>
    </w:p>
    <w:p>
      <w:pPr>
        <w:spacing w:line="360" w:lineRule="auto"/>
        <w:ind w:firstLine="420"/>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最终报价低于成本或者高于磋商文件设定的最高投标限价；</w:t>
      </w:r>
    </w:p>
    <w:p>
      <w:pPr>
        <w:spacing w:line="360" w:lineRule="auto"/>
        <w:ind w:firstLine="420"/>
        <w:rPr>
          <w:rFonts w:ascii="仿宋" w:hAnsi="仿宋" w:eastAsia="仿宋" w:cs="宋体"/>
          <w:color w:val="000000"/>
        </w:rPr>
      </w:pPr>
      <w:r>
        <w:rPr>
          <w:rFonts w:hint="eastAsia" w:ascii="仿宋" w:hAnsi="仿宋" w:eastAsia="仿宋" w:cs="宋体"/>
          <w:color w:val="000000"/>
        </w:rPr>
        <w:t xml:space="preserve">（7）响应文件未对磋商文件的实质性要求和条件作出响应； </w:t>
      </w:r>
    </w:p>
    <w:p>
      <w:pPr>
        <w:spacing w:line="360" w:lineRule="auto"/>
        <w:ind w:firstLine="420"/>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rPr>
          <w:rFonts w:ascii="仿宋" w:hAnsi="仿宋" w:eastAsia="仿宋" w:cs="宋体"/>
          <w:color w:val="000000"/>
        </w:rPr>
      </w:pPr>
      <w:r>
        <w:rPr>
          <w:rFonts w:hint="eastAsia" w:ascii="仿宋" w:hAnsi="仿宋" w:eastAsia="仿宋" w:cs="宋体"/>
          <w:color w:val="000000"/>
        </w:rPr>
        <w:t>（11）不符合磋商文件中规定的其他实质性要求。</w:t>
      </w:r>
    </w:p>
    <w:p>
      <w:pPr>
        <w:spacing w:line="360" w:lineRule="auto"/>
        <w:ind w:firstLine="420"/>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内容允许在磋商过程中按磋商小组规定的时间内补充，若未在规定时间内补充则将导致响应无效。</w:t>
      </w:r>
    </w:p>
    <w:p>
      <w:pPr>
        <w:spacing w:line="360" w:lineRule="auto"/>
        <w:ind w:firstLine="420"/>
        <w:rPr>
          <w:rFonts w:ascii="仿宋" w:hAnsi="仿宋" w:eastAsia="仿宋" w:cs="仿宋"/>
        </w:rPr>
      </w:pPr>
      <w:r>
        <w:rPr>
          <w:rFonts w:hint="eastAsia" w:ascii="仿宋" w:hAnsi="仿宋" w:eastAsia="仿宋" w:cs="仿宋"/>
        </w:rPr>
        <w:t>5.通过初步评审的供应商分别进行磋商；</w:t>
      </w:r>
    </w:p>
    <w:p>
      <w:pPr>
        <w:spacing w:line="360" w:lineRule="auto"/>
        <w:ind w:firstLine="420"/>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rPr>
          <w:rFonts w:ascii="仿宋" w:hAnsi="仿宋" w:eastAsia="仿宋" w:cs="仿宋"/>
        </w:rPr>
      </w:pPr>
      <w:r>
        <w:rPr>
          <w:rFonts w:hint="eastAsia" w:ascii="仿宋" w:hAnsi="仿宋" w:eastAsia="仿宋" w:cs="仿宋"/>
        </w:rPr>
        <w:t>7.通过初步评审的响应文件进行详细评审及打分；</w:t>
      </w:r>
    </w:p>
    <w:p>
      <w:pPr>
        <w:spacing w:line="360" w:lineRule="auto"/>
        <w:ind w:firstLine="420"/>
        <w:rPr>
          <w:rFonts w:ascii="仿宋" w:hAnsi="仿宋" w:eastAsia="仿宋" w:cs="仿宋"/>
          <w:color w:val="000000"/>
        </w:rPr>
      </w:pPr>
      <w:r>
        <w:rPr>
          <w:rFonts w:hint="eastAsia" w:ascii="仿宋" w:hAnsi="仿宋" w:eastAsia="仿宋" w:cs="仿宋"/>
        </w:rPr>
        <w:t>8.按照综合评分由高到低的次序推荐成交候选人，提交评审结果，评审结果应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4"/>
        <w:jc w:val="left"/>
        <w:rPr>
          <w:rFonts w:ascii="仿宋" w:hAnsi="仿宋" w:eastAsia="仿宋" w:cs="仿宋"/>
          <w:color w:val="000000"/>
          <w:sz w:val="24"/>
          <w:szCs w:val="24"/>
        </w:rPr>
      </w:pPr>
      <w:bookmarkStart w:id="116" w:name="_Toc444891345"/>
      <w:bookmarkStart w:id="117" w:name="_Toc517281826"/>
      <w:r>
        <w:rPr>
          <w:rFonts w:hint="eastAsia" w:ascii="仿宋" w:hAnsi="仿宋" w:eastAsia="仿宋" w:cs="仿宋"/>
          <w:color w:val="000000"/>
          <w:sz w:val="24"/>
          <w:szCs w:val="24"/>
        </w:rPr>
        <w:br w:type="page" w:clear="all"/>
      </w:r>
      <w:bookmarkStart w:id="118" w:name="_Toc186737808"/>
      <w:bookmarkStart w:id="119" w:name="_Toc32019"/>
      <w:r>
        <w:rPr>
          <w:rFonts w:hint="eastAsia" w:ascii="仿宋" w:hAnsi="仿宋" w:eastAsia="仿宋" w:cs="仿宋"/>
          <w:color w:val="000000"/>
          <w:sz w:val="24"/>
          <w:szCs w:val="24"/>
        </w:rPr>
        <w:t>二、初步评审</w:t>
      </w:r>
      <w:bookmarkEnd w:id="114"/>
      <w:bookmarkEnd w:id="115"/>
      <w:bookmarkEnd w:id="116"/>
      <w:bookmarkEnd w:id="117"/>
      <w:bookmarkEnd w:id="118"/>
      <w:bookmarkEnd w:id="119"/>
    </w:p>
    <w:tbl>
      <w:tblPr>
        <w:tblStyle w:val="34"/>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7"/>
        <w:gridCol w:w="1169"/>
        <w:gridCol w:w="1950"/>
        <w:gridCol w:w="606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noWrap w:val="0"/>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989" w:type="pct"/>
            <w:noWrap w:val="0"/>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77" w:type="pct"/>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989"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7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989" w:type="pct"/>
            <w:noWrap w:val="0"/>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77" w:type="pct"/>
            <w:noWrap w:val="0"/>
            <w:vAlign w:val="center"/>
          </w:tcPr>
          <w:p>
            <w:pPr>
              <w:pStyle w:val="234"/>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233"/>
              <w:tabs>
                <w:tab w:val="left" w:pos="630"/>
              </w:tabs>
              <w:spacing w:before="62" w:after="62"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989"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77" w:type="pct"/>
            <w:noWrap w:val="0"/>
            <w:vAlign w:val="center"/>
          </w:tcPr>
          <w:p>
            <w:pPr>
              <w:pStyle w:val="234"/>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234"/>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989"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77" w:type="pct"/>
            <w:noWrap w:val="0"/>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222"/>
              <w:spacing w:before="62" w:after="62"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989"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营业执照</w:t>
            </w:r>
          </w:p>
        </w:tc>
        <w:tc>
          <w:tcPr>
            <w:tcW w:w="307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989" w:type="pct"/>
            <w:noWrap w:val="0"/>
            <w:vAlign w:val="center"/>
          </w:tcPr>
          <w:p>
            <w:pPr>
              <w:spacing w:before="24" w:after="24" w:line="276" w:lineRule="auto"/>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具有良好的商业信誉和健全的财务会计制度</w:t>
            </w:r>
          </w:p>
        </w:tc>
        <w:tc>
          <w:tcPr>
            <w:tcW w:w="307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989" w:type="pct"/>
            <w:noWrap w:val="0"/>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Cs w:val="21"/>
              </w:rPr>
              <w:t>具有履行合同所必需的设备和专业技术能力</w:t>
            </w:r>
          </w:p>
        </w:tc>
        <w:tc>
          <w:tcPr>
            <w:tcW w:w="307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989" w:type="pct"/>
            <w:noWrap w:val="0"/>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Cs w:val="21"/>
              </w:rPr>
              <w:t>具有依法缴纳税收和社会保障资金的良好记录</w:t>
            </w:r>
          </w:p>
        </w:tc>
        <w:tc>
          <w:tcPr>
            <w:tcW w:w="307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989" w:type="pct"/>
            <w:noWrap w:val="0"/>
            <w:vAlign w:val="center"/>
          </w:tcPr>
          <w:p>
            <w:pPr>
              <w:spacing w:before="24" w:after="24"/>
              <w:jc w:val="center"/>
              <w:rPr>
                <w:rFonts w:hint="eastAsia" w:ascii="仿宋" w:hAnsi="仿宋" w:eastAsia="仿宋" w:cs="Cambria Math"/>
                <w:color w:val="000000"/>
                <w:szCs w:val="21"/>
              </w:rPr>
            </w:pPr>
            <w:r>
              <w:rPr>
                <w:rFonts w:hint="eastAsia" w:ascii="仿宋" w:hAnsi="仿宋" w:eastAsia="仿宋" w:cs="仿宋"/>
                <w:color w:val="000000"/>
                <w:szCs w:val="21"/>
              </w:rPr>
              <w:t>无违法违规记录</w:t>
            </w:r>
          </w:p>
        </w:tc>
        <w:tc>
          <w:tcPr>
            <w:tcW w:w="3077" w:type="pct"/>
            <w:noWrap w:val="0"/>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989" w:type="pct"/>
            <w:noWrap w:val="0"/>
            <w:vAlign w:val="center"/>
          </w:tcPr>
          <w:p>
            <w:pPr>
              <w:spacing w:before="24" w:after="24"/>
              <w:jc w:val="center"/>
              <w:rPr>
                <w:rFonts w:hint="eastAsia" w:ascii="仿宋" w:hAnsi="仿宋" w:eastAsia="仿宋" w:cs="Cambria Math"/>
                <w:color w:val="000000"/>
                <w:szCs w:val="21"/>
              </w:rPr>
            </w:pPr>
            <w:r>
              <w:rPr>
                <w:rFonts w:hint="eastAsia" w:ascii="仿宋" w:hAnsi="仿宋" w:eastAsia="仿宋" w:cs="Monaco"/>
                <w:color w:val="000000"/>
                <w:szCs w:val="21"/>
              </w:rPr>
              <w:t>未被列入黑名单</w:t>
            </w:r>
          </w:p>
        </w:tc>
        <w:tc>
          <w:tcPr>
            <w:tcW w:w="3077" w:type="pct"/>
            <w:noWrap w:val="0"/>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989" w:type="pct"/>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Cs w:val="21"/>
              </w:rPr>
              <w:t>控股及管理关系</w:t>
            </w:r>
          </w:p>
        </w:tc>
        <w:tc>
          <w:tcPr>
            <w:tcW w:w="307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989"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7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989" w:type="pct"/>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77" w:type="pct"/>
            <w:noWrap w:val="0"/>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989" w:type="pct"/>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77" w:type="pct"/>
            <w:noWrap w:val="0"/>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989" w:type="pct"/>
            <w:noWrap w:val="0"/>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77" w:type="pct"/>
            <w:noWrap w:val="0"/>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82"/>
        <w:jc w:val="left"/>
        <w:rPr>
          <w:rFonts w:ascii="仿宋" w:hAnsi="仿宋" w:eastAsia="仿宋" w:cs="仿宋"/>
          <w:color w:val="000000"/>
          <w:sz w:val="24"/>
          <w:szCs w:val="24"/>
        </w:rPr>
      </w:pPr>
      <w:bookmarkStart w:id="120" w:name="_Toc186737809"/>
      <w:bookmarkStart w:id="121" w:name="_Toc25550"/>
      <w:r>
        <w:rPr>
          <w:rFonts w:hint="eastAsia" w:ascii="仿宋" w:hAnsi="仿宋" w:eastAsia="仿宋" w:cs="仿宋"/>
          <w:color w:val="000000"/>
          <w:sz w:val="24"/>
          <w:szCs w:val="24"/>
        </w:rPr>
        <w:t>三、详细评审</w:t>
      </w:r>
      <w:bookmarkEnd w:id="109"/>
      <w:bookmarkEnd w:id="120"/>
      <w:bookmarkEnd w:id="121"/>
    </w:p>
    <w:tbl>
      <w:tblPr>
        <w:tblStyle w:val="34"/>
        <w:tblW w:w="9229" w:type="dxa"/>
        <w:tblInd w:w="93" w:type="dxa"/>
        <w:tblLayout w:type="autofit"/>
        <w:tblCellMar>
          <w:top w:w="0" w:type="dxa"/>
          <w:left w:w="108" w:type="dxa"/>
          <w:bottom w:w="0" w:type="dxa"/>
          <w:right w:w="108" w:type="dxa"/>
        </w:tblCellMar>
      </w:tblPr>
      <w:tblGrid>
        <w:gridCol w:w="1400"/>
        <w:gridCol w:w="1167"/>
        <w:gridCol w:w="850"/>
        <w:gridCol w:w="5812"/>
      </w:tblGrid>
      <w:tr>
        <w:tblPrEx>
          <w:tblCellMar>
            <w:top w:w="0" w:type="dxa"/>
            <w:left w:w="108" w:type="dxa"/>
            <w:bottom w:w="0" w:type="dxa"/>
            <w:right w:w="108" w:type="dxa"/>
          </w:tblCellMar>
        </w:tblPrEx>
        <w:trPr>
          <w:trHeight w:val="690" w:hRule="atLeast"/>
        </w:trPr>
        <w:tc>
          <w:tcPr>
            <w:tcW w:w="140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sz w:val="24"/>
                <w:szCs w:val="24"/>
              </w:rPr>
            </w:pPr>
            <w:bookmarkStart w:id="122" w:name="_Toc15254"/>
            <w:bookmarkStart w:id="123" w:name="_Toc186737810"/>
            <w:r>
              <w:rPr>
                <w:rFonts w:hint="eastAsia" w:ascii="宋体" w:hAnsi="宋体" w:eastAsia="宋体" w:cs="宋体"/>
                <w:b/>
                <w:bCs/>
                <w:sz w:val="24"/>
                <w:szCs w:val="24"/>
              </w:rPr>
              <w:t>项目</w:t>
            </w:r>
          </w:p>
        </w:tc>
        <w:tc>
          <w:tcPr>
            <w:tcW w:w="116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sz w:val="24"/>
                <w:szCs w:val="24"/>
              </w:rPr>
            </w:pPr>
            <w:r>
              <w:rPr>
                <w:rFonts w:hint="eastAsia" w:ascii="宋体" w:hAnsi="宋体" w:eastAsia="宋体" w:cs="宋体"/>
                <w:b/>
                <w:bCs/>
                <w:sz w:val="24"/>
                <w:szCs w:val="24"/>
              </w:rPr>
              <w:t>评审内容</w:t>
            </w:r>
          </w:p>
        </w:tc>
        <w:tc>
          <w:tcPr>
            <w:tcW w:w="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sz w:val="24"/>
                <w:szCs w:val="24"/>
              </w:rPr>
            </w:pPr>
            <w:r>
              <w:rPr>
                <w:rFonts w:hint="eastAsia" w:ascii="宋体" w:hAnsi="宋体" w:eastAsia="宋体" w:cs="宋体"/>
                <w:b/>
                <w:bCs/>
                <w:sz w:val="24"/>
                <w:szCs w:val="24"/>
              </w:rPr>
              <w:t>分值</w:t>
            </w:r>
          </w:p>
        </w:tc>
        <w:tc>
          <w:tcPr>
            <w:tcW w:w="5812" w:type="dxa"/>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ascii="宋体" w:hAnsi="宋体" w:eastAsia="宋体" w:cs="宋体"/>
                <w:b/>
                <w:bCs/>
                <w:sz w:val="24"/>
                <w:szCs w:val="24"/>
              </w:rPr>
            </w:pPr>
            <w:r>
              <w:rPr>
                <w:rFonts w:hint="eastAsia" w:ascii="宋体" w:hAnsi="宋体" w:eastAsia="宋体" w:cs="宋体"/>
                <w:b/>
                <w:bCs/>
                <w:sz w:val="24"/>
                <w:szCs w:val="24"/>
              </w:rPr>
              <w:t>评分标准</w:t>
            </w:r>
          </w:p>
        </w:tc>
      </w:tr>
      <w:tr>
        <w:tblPrEx>
          <w:tblCellMar>
            <w:top w:w="0" w:type="dxa"/>
            <w:left w:w="108" w:type="dxa"/>
            <w:bottom w:w="0" w:type="dxa"/>
            <w:right w:w="108" w:type="dxa"/>
          </w:tblCellMar>
        </w:tblPrEx>
        <w:trPr>
          <w:trHeight w:val="1140" w:hRule="atLeast"/>
        </w:trPr>
        <w:tc>
          <w:tcPr>
            <w:tcW w:w="1400" w:type="dxa"/>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仿宋" w:hAnsi="仿宋" w:eastAsia="仿宋" w:cs="宋体"/>
                <w:color w:val="auto"/>
                <w:sz w:val="20"/>
                <w:szCs w:val="20"/>
                <w:highlight w:val="none"/>
                <w:lang w:eastAsia="zh-CN"/>
              </w:rPr>
            </w:pPr>
            <w:r>
              <w:rPr>
                <w:rFonts w:hint="eastAsia" w:ascii="仿宋" w:hAnsi="仿宋" w:eastAsia="仿宋" w:cs="宋体"/>
                <w:color w:val="auto"/>
                <w:sz w:val="20"/>
                <w:szCs w:val="20"/>
                <w:highlight w:val="none"/>
                <w:lang w:eastAsia="zh-CN"/>
              </w:rPr>
              <w:t>价格部分</w:t>
            </w:r>
          </w:p>
          <w:p>
            <w:pPr>
              <w:widowControl/>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（4</w:t>
            </w:r>
            <w:r>
              <w:rPr>
                <w:rFonts w:hint="eastAsia" w:ascii="仿宋" w:hAnsi="仿宋" w:eastAsia="仿宋" w:cs="宋体"/>
                <w:color w:val="auto"/>
                <w:sz w:val="20"/>
                <w:szCs w:val="20"/>
                <w:highlight w:val="none"/>
                <w:lang w:val="en-US" w:eastAsia="zh-CN"/>
              </w:rPr>
              <w:t>5</w:t>
            </w:r>
            <w:r>
              <w:rPr>
                <w:rFonts w:hint="eastAsia" w:ascii="仿宋" w:hAnsi="仿宋" w:eastAsia="仿宋" w:cs="宋体"/>
                <w:color w:val="auto"/>
                <w:sz w:val="20"/>
                <w:szCs w:val="20"/>
                <w:highlight w:val="none"/>
              </w:rPr>
              <w:t>分）</w:t>
            </w:r>
          </w:p>
        </w:tc>
        <w:tc>
          <w:tcPr>
            <w:tcW w:w="1167"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报价函</w:t>
            </w:r>
          </w:p>
          <w:p>
            <w:pPr>
              <w:widowControl/>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lang w:val="en-US" w:eastAsia="zh-CN"/>
              </w:rPr>
              <w:t>报价</w:t>
            </w:r>
            <w:r>
              <w:rPr>
                <w:rFonts w:hint="eastAsia" w:ascii="仿宋" w:hAnsi="仿宋" w:eastAsia="仿宋" w:cs="宋体"/>
                <w:color w:val="auto"/>
                <w:sz w:val="20"/>
                <w:szCs w:val="20"/>
                <w:highlight w:val="none"/>
              </w:rPr>
              <w:t>　</w:t>
            </w:r>
          </w:p>
        </w:tc>
        <w:tc>
          <w:tcPr>
            <w:tcW w:w="850" w:type="dxa"/>
            <w:tcBorders>
              <w:top w:val="nil"/>
              <w:left w:val="nil"/>
              <w:bottom w:val="single" w:color="auto" w:sz="4" w:space="0"/>
              <w:right w:val="single" w:color="auto" w:sz="4" w:space="0"/>
            </w:tcBorders>
            <w:shd w:val="clear" w:color="auto" w:fill="auto"/>
            <w:noWrap w:val="0"/>
            <w:vAlign w:val="center"/>
          </w:tcPr>
          <w:p>
            <w:pPr>
              <w:widowControl/>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4</w:t>
            </w:r>
            <w:r>
              <w:rPr>
                <w:rFonts w:hint="eastAsia" w:ascii="仿宋" w:hAnsi="仿宋" w:eastAsia="仿宋" w:cs="宋体"/>
                <w:color w:val="auto"/>
                <w:sz w:val="20"/>
                <w:szCs w:val="20"/>
                <w:highlight w:val="none"/>
                <w:lang w:val="en-US" w:eastAsia="zh-CN"/>
              </w:rPr>
              <w:t>5</w:t>
            </w:r>
            <w:r>
              <w:rPr>
                <w:rFonts w:hint="eastAsia" w:ascii="仿宋" w:hAnsi="仿宋" w:eastAsia="仿宋" w:cs="宋体"/>
                <w:color w:val="auto"/>
                <w:sz w:val="20"/>
                <w:szCs w:val="20"/>
                <w:highlight w:val="none"/>
              </w:rPr>
              <w:t>分</w:t>
            </w:r>
          </w:p>
        </w:tc>
        <w:tc>
          <w:tcPr>
            <w:tcW w:w="5812" w:type="dxa"/>
            <w:tcBorders>
              <w:top w:val="nil"/>
              <w:left w:val="nil"/>
              <w:bottom w:val="single" w:color="auto" w:sz="4" w:space="0"/>
              <w:right w:val="single" w:color="auto" w:sz="4" w:space="0"/>
            </w:tcBorders>
            <w:shd w:val="clear" w:color="auto" w:fill="auto"/>
            <w:noWrap w:val="0"/>
            <w:vAlign w:val="center"/>
          </w:tcPr>
          <w:p>
            <w:pPr>
              <w:widowControl/>
              <w:numPr>
                <w:ilvl w:val="0"/>
                <w:numId w:val="0"/>
              </w:numPr>
              <w:jc w:val="both"/>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通过初审的有效供应商数量为N：</w:t>
            </w:r>
          </w:p>
          <w:p>
            <w:pPr>
              <w:widowControl/>
              <w:numPr>
                <w:ilvl w:val="0"/>
                <w:numId w:val="0"/>
              </w:numPr>
              <w:jc w:val="both"/>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1.当N＜5时，价格得分采用低价优先法计算，即满足磋商文件要求且最低的评审价格为评审基准价，等于评审基准价得45分。其他供应商的价格分统一按照下列公式计算，精确到小数点后两位：</w:t>
            </w:r>
          </w:p>
          <w:p>
            <w:pPr>
              <w:widowControl/>
              <w:numPr>
                <w:ilvl w:val="0"/>
                <w:numId w:val="0"/>
              </w:numPr>
              <w:jc w:val="both"/>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报价得分＝（评审基准价/评审价格）×45；</w:t>
            </w:r>
          </w:p>
          <w:p>
            <w:pPr>
              <w:widowControl/>
              <w:numPr>
                <w:ilvl w:val="0"/>
                <w:numId w:val="0"/>
              </w:numPr>
              <w:jc w:val="both"/>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2.当N≥5时，采用均值偏离法，价格得分=（1-A×│1－该供应商评审价格／满分基准值│）×45，其中满分基准值：对所有初审合格的有效供应商评审价格取算术平均值作为本次采购满分基准值；A：价格调整系数，当该供应商评审价格低于满分基准值时，A=0.3；当该供应商评审价格高于满分基准值时，A=1；当价格得分&lt;0时，取0。</w:t>
            </w:r>
          </w:p>
          <w:p>
            <w:pPr>
              <w:widowControl/>
              <w:jc w:val="left"/>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评审价格按照如下方式定义：</w:t>
            </w:r>
          </w:p>
          <w:p>
            <w:pPr>
              <w:widowControl/>
              <w:numPr>
                <w:ilvl w:val="0"/>
                <w:numId w:val="0"/>
              </w:numPr>
              <w:jc w:val="both"/>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对于承诺提供增值税专用发票的供应商，评审价格即不含税的投标价净价；</w:t>
            </w:r>
          </w:p>
          <w:p>
            <w:pPr>
              <w:widowControl/>
              <w:numPr>
                <w:ilvl w:val="0"/>
                <w:numId w:val="0"/>
              </w:numPr>
              <w:jc w:val="both"/>
            </w:pPr>
            <w:r>
              <w:rPr>
                <w:rFonts w:hint="eastAsia" w:ascii="仿宋" w:hAnsi="仿宋" w:eastAsia="仿宋" w:cs="宋体"/>
                <w:color w:val="auto"/>
                <w:sz w:val="20"/>
                <w:szCs w:val="20"/>
                <w:highlight w:val="none"/>
                <w:lang w:val="en-US" w:eastAsia="zh-CN"/>
              </w:rPr>
              <w:t>对于不能提供增值税专用发票的供应商，评审价格是含税的投标价。</w:t>
            </w:r>
          </w:p>
        </w:tc>
      </w:tr>
      <w:tr>
        <w:tblPrEx>
          <w:tblCellMar>
            <w:top w:w="0" w:type="dxa"/>
            <w:left w:w="108" w:type="dxa"/>
            <w:bottom w:w="0" w:type="dxa"/>
            <w:right w:w="108" w:type="dxa"/>
          </w:tblCellMar>
        </w:tblPrEx>
        <w:trPr>
          <w:trHeight w:val="90" w:hRule="atLeast"/>
        </w:trPr>
        <w:tc>
          <w:tcPr>
            <w:tcW w:w="1400" w:type="dxa"/>
            <w:vMerge w:val="restart"/>
            <w:tcBorders>
              <w:top w:val="nil"/>
              <w:left w:val="single" w:color="auto" w:sz="4" w:space="0"/>
              <w:right w:val="single" w:color="auto" w:sz="4" w:space="0"/>
            </w:tcBorders>
            <w:shd w:val="clear" w:color="auto" w:fill="auto"/>
            <w:noWrap w:val="0"/>
            <w:vAlign w:val="center"/>
          </w:tcPr>
          <w:p>
            <w:pPr>
              <w:widowControl/>
              <w:jc w:val="center"/>
              <w:rPr>
                <w:rFonts w:hint="eastAsia" w:ascii="仿宋" w:hAnsi="仿宋" w:eastAsia="仿宋" w:cs="宋体"/>
                <w:color w:val="auto"/>
                <w:sz w:val="20"/>
                <w:szCs w:val="20"/>
                <w:highlight w:val="none"/>
                <w:lang w:eastAsia="zh-CN"/>
              </w:rPr>
            </w:pPr>
            <w:r>
              <w:rPr>
                <w:rFonts w:hint="eastAsia" w:ascii="仿宋" w:hAnsi="仿宋" w:eastAsia="仿宋" w:cs="宋体"/>
                <w:color w:val="auto"/>
                <w:sz w:val="20"/>
                <w:szCs w:val="20"/>
                <w:highlight w:val="none"/>
              </w:rPr>
              <w:t>服务</w:t>
            </w:r>
            <w:r>
              <w:rPr>
                <w:rFonts w:hint="eastAsia" w:ascii="仿宋" w:hAnsi="仿宋" w:eastAsia="仿宋" w:cs="宋体"/>
                <w:color w:val="auto"/>
                <w:sz w:val="20"/>
                <w:szCs w:val="20"/>
                <w:highlight w:val="none"/>
                <w:lang w:eastAsia="zh-CN"/>
              </w:rPr>
              <w:t>部分</w:t>
            </w:r>
          </w:p>
          <w:p>
            <w:pPr>
              <w:widowControl/>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w:t>
            </w:r>
            <w:r>
              <w:rPr>
                <w:rFonts w:hint="eastAsia" w:ascii="仿宋" w:hAnsi="仿宋" w:eastAsia="仿宋" w:cs="宋体"/>
                <w:color w:val="auto"/>
                <w:sz w:val="20"/>
                <w:szCs w:val="20"/>
                <w:highlight w:val="none"/>
                <w:lang w:val="en-US" w:eastAsia="zh-CN"/>
              </w:rPr>
              <w:t>45</w:t>
            </w:r>
            <w:r>
              <w:rPr>
                <w:rFonts w:hint="eastAsia" w:ascii="仿宋" w:hAnsi="仿宋" w:eastAsia="仿宋" w:cs="宋体"/>
                <w:color w:val="auto"/>
                <w:sz w:val="20"/>
                <w:szCs w:val="20"/>
                <w:highlight w:val="none"/>
              </w:rPr>
              <w:t>分）</w:t>
            </w:r>
          </w:p>
        </w:tc>
        <w:tc>
          <w:tcPr>
            <w:tcW w:w="1167" w:type="dxa"/>
            <w:tcBorders>
              <w:top w:val="nil"/>
              <w:left w:val="nil"/>
              <w:bottom w:val="single" w:color="auto" w:sz="4" w:space="0"/>
              <w:right w:val="single" w:color="auto" w:sz="4" w:space="0"/>
            </w:tcBorders>
            <w:shd w:val="clear" w:color="auto" w:fill="auto"/>
            <w:noWrap w:val="0"/>
            <w:vAlign w:val="center"/>
          </w:tcPr>
          <w:p>
            <w:pPr>
              <w:widowControl/>
              <w:jc w:val="center"/>
              <w:rPr>
                <w:rFonts w:hint="default"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吃住行方案</w:t>
            </w:r>
          </w:p>
        </w:tc>
        <w:tc>
          <w:tcPr>
            <w:tcW w:w="850" w:type="dxa"/>
            <w:tcBorders>
              <w:top w:val="nil"/>
              <w:left w:val="nil"/>
              <w:bottom w:val="single" w:color="auto" w:sz="4" w:space="0"/>
              <w:right w:val="single" w:color="auto" w:sz="4" w:space="0"/>
            </w:tcBorders>
            <w:shd w:val="clear" w:color="auto" w:fill="auto"/>
            <w:noWrap w:val="0"/>
            <w:vAlign w:val="center"/>
          </w:tcPr>
          <w:p>
            <w:pPr>
              <w:widowControl/>
              <w:jc w:val="center"/>
              <w:rPr>
                <w:rFonts w:hint="default"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10分</w:t>
            </w:r>
          </w:p>
        </w:tc>
        <w:tc>
          <w:tcPr>
            <w:tcW w:w="5812" w:type="dxa"/>
            <w:tcBorders>
              <w:top w:val="nil"/>
              <w:left w:val="nil"/>
              <w:bottom w:val="single" w:color="auto" w:sz="4" w:space="0"/>
              <w:right w:val="single" w:color="auto" w:sz="4" w:space="0"/>
            </w:tcBorders>
            <w:shd w:val="clear" w:color="auto" w:fill="auto"/>
            <w:noWrap w:val="0"/>
            <w:vAlign w:val="center"/>
          </w:tcPr>
          <w:p>
            <w:pPr>
              <w:widowControl/>
              <w:numPr>
                <w:ilvl w:val="0"/>
                <w:numId w:val="0"/>
              </w:numPr>
              <w:jc w:val="both"/>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根据供应商提供的服务响应方案中团建拓展活动期间的住宿、餐饮、车辆安排情况的完整性、详实程度、与项目需求契合度，并结合供应商方案的横向比较情况进行综合赋分，优得8-10分，良得5-7分，差得 0-4分。</w:t>
            </w:r>
          </w:p>
        </w:tc>
      </w:tr>
      <w:tr>
        <w:tblPrEx>
          <w:tblCellMar>
            <w:top w:w="0" w:type="dxa"/>
            <w:left w:w="108" w:type="dxa"/>
            <w:bottom w:w="0" w:type="dxa"/>
            <w:right w:w="108" w:type="dxa"/>
          </w:tblCellMar>
        </w:tblPrEx>
        <w:trPr>
          <w:trHeight w:val="765" w:hRule="atLeast"/>
        </w:trPr>
        <w:tc>
          <w:tcPr>
            <w:tcW w:w="1400" w:type="dxa"/>
            <w:vMerge w:val="continue"/>
            <w:tcBorders>
              <w:left w:val="single" w:color="auto" w:sz="4" w:space="0"/>
              <w:right w:val="single" w:color="auto" w:sz="4" w:space="0"/>
            </w:tcBorders>
            <w:shd w:val="clear" w:color="auto" w:fill="auto"/>
            <w:noWrap w:val="0"/>
            <w:vAlign w:val="center"/>
          </w:tcPr>
          <w:p>
            <w:pPr>
              <w:widowControl/>
              <w:jc w:val="center"/>
              <w:rPr>
                <w:rFonts w:hint="eastAsia" w:ascii="仿宋" w:hAnsi="仿宋" w:eastAsia="仿宋" w:cs="宋体"/>
                <w:color w:val="auto"/>
                <w:sz w:val="20"/>
                <w:szCs w:val="20"/>
                <w:highlight w:val="none"/>
              </w:rPr>
            </w:pPr>
          </w:p>
        </w:tc>
        <w:tc>
          <w:tcPr>
            <w:tcW w:w="1167" w:type="dxa"/>
            <w:tcBorders>
              <w:top w:val="nil"/>
              <w:left w:val="nil"/>
              <w:bottom w:val="single" w:color="auto" w:sz="4" w:space="0"/>
              <w:right w:val="single" w:color="auto" w:sz="4" w:space="0"/>
            </w:tcBorders>
            <w:shd w:val="clear" w:color="auto" w:fill="auto"/>
            <w:noWrap w:val="0"/>
            <w:vAlign w:val="center"/>
          </w:tcPr>
          <w:p>
            <w:pPr>
              <w:widowControl/>
              <w:jc w:val="center"/>
              <w:rPr>
                <w:rFonts w:hint="default"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项目实施方案</w:t>
            </w:r>
          </w:p>
        </w:tc>
        <w:tc>
          <w:tcPr>
            <w:tcW w:w="850"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10分</w:t>
            </w:r>
          </w:p>
        </w:tc>
        <w:tc>
          <w:tcPr>
            <w:tcW w:w="5812" w:type="dxa"/>
            <w:tcBorders>
              <w:top w:val="nil"/>
              <w:left w:val="nil"/>
              <w:bottom w:val="single" w:color="auto" w:sz="4" w:space="0"/>
              <w:right w:val="single" w:color="auto" w:sz="4" w:space="0"/>
            </w:tcBorders>
            <w:shd w:val="clear" w:color="auto" w:fill="auto"/>
            <w:noWrap w:val="0"/>
            <w:vAlign w:val="center"/>
          </w:tcPr>
          <w:p>
            <w:pPr>
              <w:widowControl/>
              <w:numPr>
                <w:ilvl w:val="0"/>
                <w:numId w:val="0"/>
              </w:numPr>
              <w:jc w:val="both"/>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根据供应商提供的服务响应方案中拓展项目场地、时间、配套物质及组织实施方案的完整性、详实程度、与项目需求契合度，并结合供应商方案的横向比较情况进行综合赋分，优得8-10分，良得5-7分，差得 0-4分。</w:t>
            </w:r>
          </w:p>
        </w:tc>
      </w:tr>
      <w:tr>
        <w:tblPrEx>
          <w:tblCellMar>
            <w:top w:w="0" w:type="dxa"/>
            <w:left w:w="108" w:type="dxa"/>
            <w:bottom w:w="0" w:type="dxa"/>
            <w:right w:w="108" w:type="dxa"/>
          </w:tblCellMar>
        </w:tblPrEx>
        <w:trPr>
          <w:trHeight w:val="90" w:hRule="atLeast"/>
        </w:trPr>
        <w:tc>
          <w:tcPr>
            <w:tcW w:w="1400" w:type="dxa"/>
            <w:vMerge w:val="continue"/>
            <w:tcBorders>
              <w:left w:val="single" w:color="auto" w:sz="4" w:space="0"/>
              <w:right w:val="single" w:color="auto" w:sz="4" w:space="0"/>
            </w:tcBorders>
            <w:shd w:val="clear" w:color="auto" w:fill="auto"/>
            <w:noWrap w:val="0"/>
            <w:vAlign w:val="center"/>
          </w:tcPr>
          <w:p>
            <w:pPr>
              <w:widowControl/>
              <w:jc w:val="center"/>
              <w:rPr>
                <w:rFonts w:hint="eastAsia" w:ascii="仿宋" w:hAnsi="仿宋" w:eastAsia="仿宋" w:cs="宋体"/>
                <w:color w:val="auto"/>
                <w:sz w:val="20"/>
                <w:szCs w:val="20"/>
                <w:highlight w:val="none"/>
              </w:rPr>
            </w:pPr>
          </w:p>
        </w:tc>
        <w:tc>
          <w:tcPr>
            <w:tcW w:w="1167" w:type="dxa"/>
            <w:tcBorders>
              <w:top w:val="nil"/>
              <w:left w:val="nil"/>
              <w:bottom w:val="single" w:color="auto" w:sz="4" w:space="0"/>
              <w:right w:val="single" w:color="auto" w:sz="4" w:space="0"/>
            </w:tcBorders>
            <w:shd w:val="clear" w:color="auto" w:fill="auto"/>
            <w:noWrap w:val="0"/>
            <w:vAlign w:val="center"/>
          </w:tcPr>
          <w:p>
            <w:pPr>
              <w:widowControl/>
              <w:jc w:val="center"/>
              <w:rPr>
                <w:rFonts w:hint="default"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人员配备方案</w:t>
            </w:r>
          </w:p>
        </w:tc>
        <w:tc>
          <w:tcPr>
            <w:tcW w:w="850"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10分</w:t>
            </w:r>
          </w:p>
        </w:tc>
        <w:tc>
          <w:tcPr>
            <w:tcW w:w="5812" w:type="dxa"/>
            <w:tcBorders>
              <w:top w:val="nil"/>
              <w:left w:val="nil"/>
              <w:bottom w:val="single" w:color="auto" w:sz="4" w:space="0"/>
              <w:right w:val="single" w:color="auto" w:sz="4" w:space="0"/>
            </w:tcBorders>
            <w:shd w:val="clear" w:color="auto" w:fill="auto"/>
            <w:noWrap w:val="0"/>
            <w:vAlign w:val="center"/>
          </w:tcPr>
          <w:p>
            <w:pPr>
              <w:widowControl/>
              <w:numPr>
                <w:ilvl w:val="0"/>
                <w:numId w:val="0"/>
              </w:numPr>
              <w:jc w:val="both"/>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根据供应商提供的服务响应方案中拓展项目服务团队和教练人员安排方案的完整性、详实程度、与项目需求契合度，并结合供应商方案的横向比较情况进行综合赋分，优得8-10分，良得5-7分，差得 0-4分。</w:t>
            </w:r>
          </w:p>
        </w:tc>
      </w:tr>
      <w:tr>
        <w:tblPrEx>
          <w:tblCellMar>
            <w:top w:w="0" w:type="dxa"/>
            <w:left w:w="108" w:type="dxa"/>
            <w:bottom w:w="0" w:type="dxa"/>
            <w:right w:w="108" w:type="dxa"/>
          </w:tblCellMar>
        </w:tblPrEx>
        <w:trPr>
          <w:trHeight w:val="765" w:hRule="atLeast"/>
        </w:trPr>
        <w:tc>
          <w:tcPr>
            <w:tcW w:w="1400" w:type="dxa"/>
            <w:vMerge w:val="continue"/>
            <w:tcBorders>
              <w:left w:val="single" w:color="auto" w:sz="4" w:space="0"/>
              <w:right w:val="single" w:color="auto" w:sz="4" w:space="0"/>
            </w:tcBorders>
            <w:shd w:val="clear" w:color="auto" w:fill="auto"/>
            <w:noWrap w:val="0"/>
            <w:vAlign w:val="center"/>
          </w:tcPr>
          <w:p>
            <w:pPr>
              <w:widowControl/>
              <w:jc w:val="center"/>
              <w:rPr>
                <w:rFonts w:hint="eastAsia" w:ascii="仿宋" w:hAnsi="仿宋" w:eastAsia="仿宋" w:cs="宋体"/>
                <w:color w:val="auto"/>
                <w:sz w:val="20"/>
                <w:szCs w:val="20"/>
                <w:highlight w:val="none"/>
              </w:rPr>
            </w:pPr>
          </w:p>
        </w:tc>
        <w:tc>
          <w:tcPr>
            <w:tcW w:w="1167" w:type="dxa"/>
            <w:tcBorders>
              <w:top w:val="nil"/>
              <w:left w:val="nil"/>
              <w:bottom w:val="single" w:color="auto" w:sz="4" w:space="0"/>
              <w:right w:val="single" w:color="auto" w:sz="4" w:space="0"/>
            </w:tcBorders>
            <w:shd w:val="clear" w:color="auto" w:fill="auto"/>
            <w:noWrap w:val="0"/>
            <w:vAlign w:val="center"/>
          </w:tcPr>
          <w:p>
            <w:pPr>
              <w:widowControl/>
              <w:jc w:val="center"/>
              <w:rPr>
                <w:rFonts w:hint="default"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项目活动方案</w:t>
            </w:r>
          </w:p>
        </w:tc>
        <w:tc>
          <w:tcPr>
            <w:tcW w:w="850"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10分</w:t>
            </w:r>
          </w:p>
        </w:tc>
        <w:tc>
          <w:tcPr>
            <w:tcW w:w="5812" w:type="dxa"/>
            <w:tcBorders>
              <w:top w:val="nil"/>
              <w:left w:val="nil"/>
              <w:bottom w:val="single" w:color="auto" w:sz="4" w:space="0"/>
              <w:right w:val="single" w:color="auto" w:sz="4" w:space="0"/>
            </w:tcBorders>
            <w:shd w:val="clear" w:color="auto" w:fill="auto"/>
            <w:noWrap w:val="0"/>
            <w:vAlign w:val="center"/>
          </w:tcPr>
          <w:p>
            <w:pPr>
              <w:widowControl/>
              <w:numPr>
                <w:ilvl w:val="0"/>
                <w:numId w:val="0"/>
              </w:numPr>
              <w:jc w:val="both"/>
              <w:rPr>
                <w:rFonts w:hint="default"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根据供应商提供的服务响应中户外拓展项目活动方案的完整性、详实程度、与项目需求契合度，并结合供应商方案的横向比较情况进行综合赋分，优得8-10分，良得5-7分，差得 0-4分。</w:t>
            </w:r>
          </w:p>
        </w:tc>
      </w:tr>
      <w:tr>
        <w:tblPrEx>
          <w:tblCellMar>
            <w:top w:w="0" w:type="dxa"/>
            <w:left w:w="108" w:type="dxa"/>
            <w:bottom w:w="0" w:type="dxa"/>
            <w:right w:w="108" w:type="dxa"/>
          </w:tblCellMar>
        </w:tblPrEx>
        <w:trPr>
          <w:trHeight w:val="765" w:hRule="atLeast"/>
        </w:trPr>
        <w:tc>
          <w:tcPr>
            <w:tcW w:w="1400" w:type="dxa"/>
            <w:vMerge w:val="continue"/>
            <w:tcBorders>
              <w:left w:val="single" w:color="auto" w:sz="4" w:space="0"/>
              <w:bottom w:val="single" w:color="auto" w:sz="4" w:space="0"/>
              <w:right w:val="single" w:color="auto" w:sz="4" w:space="0"/>
            </w:tcBorders>
            <w:shd w:val="clear" w:color="auto" w:fill="auto"/>
            <w:noWrap w:val="0"/>
            <w:vAlign w:val="center"/>
          </w:tcPr>
          <w:p>
            <w:pPr>
              <w:widowControl/>
              <w:jc w:val="center"/>
              <w:rPr>
                <w:rFonts w:ascii="仿宋" w:hAnsi="仿宋" w:eastAsia="仿宋" w:cs="宋体"/>
                <w:color w:val="auto"/>
                <w:sz w:val="20"/>
                <w:szCs w:val="20"/>
                <w:highlight w:val="none"/>
              </w:rPr>
            </w:pPr>
          </w:p>
        </w:tc>
        <w:tc>
          <w:tcPr>
            <w:tcW w:w="1167" w:type="dxa"/>
            <w:tcBorders>
              <w:top w:val="nil"/>
              <w:left w:val="nil"/>
              <w:bottom w:val="single" w:color="auto" w:sz="4" w:space="0"/>
              <w:right w:val="single" w:color="auto" w:sz="4" w:space="0"/>
            </w:tcBorders>
            <w:shd w:val="clear" w:color="auto" w:fill="auto"/>
            <w:noWrap w:val="0"/>
            <w:vAlign w:val="center"/>
          </w:tcPr>
          <w:p>
            <w:pPr>
              <w:widowControl/>
              <w:jc w:val="center"/>
              <w:rPr>
                <w:rFonts w:hint="default"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安全应急方案</w:t>
            </w:r>
          </w:p>
        </w:tc>
        <w:tc>
          <w:tcPr>
            <w:tcW w:w="850" w:type="dxa"/>
            <w:tcBorders>
              <w:top w:val="nil"/>
              <w:left w:val="nil"/>
              <w:bottom w:val="single" w:color="auto" w:sz="4" w:space="0"/>
              <w:right w:val="single" w:color="auto" w:sz="4" w:space="0"/>
            </w:tcBorders>
            <w:shd w:val="clear" w:color="auto" w:fill="auto"/>
            <w:noWrap w:val="0"/>
            <w:vAlign w:val="center"/>
          </w:tcPr>
          <w:p>
            <w:pPr>
              <w:widowControl/>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lang w:val="en-US" w:eastAsia="zh-CN"/>
              </w:rPr>
              <w:t>5分</w:t>
            </w:r>
          </w:p>
        </w:tc>
        <w:tc>
          <w:tcPr>
            <w:tcW w:w="5812" w:type="dxa"/>
            <w:tcBorders>
              <w:top w:val="nil"/>
              <w:left w:val="nil"/>
              <w:bottom w:val="single" w:color="auto" w:sz="4" w:space="0"/>
              <w:right w:val="single" w:color="auto" w:sz="4" w:space="0"/>
            </w:tcBorders>
            <w:shd w:val="clear" w:color="auto" w:fill="auto"/>
            <w:noWrap w:val="0"/>
            <w:vAlign w:val="center"/>
          </w:tcPr>
          <w:p>
            <w:pPr>
              <w:widowControl/>
              <w:numPr>
                <w:ilvl w:val="0"/>
                <w:numId w:val="0"/>
              </w:numPr>
              <w:jc w:val="both"/>
              <w:rPr>
                <w:rFonts w:hint="default"/>
                <w:color w:val="auto"/>
                <w:lang w:val="en-US"/>
              </w:rPr>
            </w:pPr>
            <w:r>
              <w:rPr>
                <w:rFonts w:hint="eastAsia" w:ascii="仿宋" w:hAnsi="仿宋" w:eastAsia="仿宋" w:cs="宋体"/>
                <w:color w:val="auto"/>
                <w:sz w:val="20"/>
                <w:szCs w:val="20"/>
                <w:highlight w:val="none"/>
                <w:lang w:val="en-US" w:eastAsia="zh-CN"/>
              </w:rPr>
              <w:t>根据供应商提供的服务响应方案中人员安全措施及应急方案的完整性、详实程度、与项目需求契合度，并结合供应商方案的横向比较情况进行综合赋分，优得4-5分，良得2-3分，差得 0-1分。</w:t>
            </w:r>
          </w:p>
        </w:tc>
      </w:tr>
      <w:tr>
        <w:tblPrEx>
          <w:tblCellMar>
            <w:top w:w="0" w:type="dxa"/>
            <w:left w:w="108" w:type="dxa"/>
            <w:bottom w:w="0" w:type="dxa"/>
            <w:right w:w="108" w:type="dxa"/>
          </w:tblCellMar>
        </w:tblPrEx>
        <w:trPr>
          <w:trHeight w:val="1170" w:hRule="atLeast"/>
        </w:trPr>
        <w:tc>
          <w:tcPr>
            <w:tcW w:w="140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eastAsia="zh-CN"/>
              </w:rPr>
              <w:t>增值服务（</w:t>
            </w:r>
            <w:r>
              <w:rPr>
                <w:rFonts w:hint="eastAsia" w:ascii="仿宋" w:hAnsi="仿宋" w:eastAsia="仿宋" w:cs="宋体"/>
                <w:color w:val="auto"/>
                <w:sz w:val="20"/>
                <w:szCs w:val="20"/>
                <w:highlight w:val="none"/>
                <w:lang w:val="en-US" w:eastAsia="zh-CN"/>
              </w:rPr>
              <w:t>5分</w:t>
            </w:r>
            <w:r>
              <w:rPr>
                <w:rFonts w:hint="eastAsia" w:ascii="仿宋" w:hAnsi="仿宋" w:eastAsia="仿宋" w:cs="宋体"/>
                <w:color w:val="auto"/>
                <w:sz w:val="20"/>
                <w:szCs w:val="20"/>
                <w:highlight w:val="none"/>
                <w:lang w:eastAsia="zh-CN"/>
              </w:rPr>
              <w:t>）</w:t>
            </w:r>
          </w:p>
        </w:tc>
        <w:tc>
          <w:tcPr>
            <w:tcW w:w="1167" w:type="dxa"/>
            <w:tcBorders>
              <w:top w:val="nil"/>
              <w:left w:val="nil"/>
              <w:bottom w:val="single" w:color="auto" w:sz="4" w:space="0"/>
              <w:right w:val="single" w:color="auto" w:sz="4" w:space="0"/>
            </w:tcBorders>
            <w:shd w:val="clear" w:color="auto" w:fill="auto"/>
            <w:noWrap w:val="0"/>
            <w:vAlign w:val="center"/>
          </w:tcPr>
          <w:p>
            <w:pPr>
              <w:widowControl/>
              <w:jc w:val="center"/>
              <w:rPr>
                <w:rFonts w:hint="default"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增值服务方案</w:t>
            </w:r>
          </w:p>
        </w:tc>
        <w:tc>
          <w:tcPr>
            <w:tcW w:w="850" w:type="dxa"/>
            <w:tcBorders>
              <w:top w:val="nil"/>
              <w:left w:val="nil"/>
              <w:bottom w:val="single" w:color="auto" w:sz="4" w:space="0"/>
              <w:right w:val="single" w:color="auto" w:sz="4" w:space="0"/>
            </w:tcBorders>
            <w:shd w:val="clear" w:color="auto" w:fill="auto"/>
            <w:noWrap w:val="0"/>
            <w:vAlign w:val="center"/>
          </w:tcPr>
          <w:p>
            <w:pPr>
              <w:widowControl/>
              <w:numPr>
                <w:ilvl w:val="0"/>
                <w:numId w:val="0"/>
              </w:numPr>
              <w:jc w:val="center"/>
              <w:rPr>
                <w:rFonts w:hint="default"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5分</w:t>
            </w:r>
          </w:p>
        </w:tc>
        <w:tc>
          <w:tcPr>
            <w:tcW w:w="5812" w:type="dxa"/>
            <w:tcBorders>
              <w:top w:val="nil"/>
              <w:left w:val="nil"/>
              <w:bottom w:val="single" w:color="auto" w:sz="4" w:space="0"/>
              <w:right w:val="single" w:color="auto" w:sz="4" w:space="0"/>
            </w:tcBorders>
            <w:shd w:val="clear" w:color="auto" w:fill="auto"/>
            <w:noWrap w:val="0"/>
            <w:vAlign w:val="center"/>
          </w:tcPr>
          <w:p>
            <w:pPr>
              <w:widowControl/>
              <w:numPr>
                <w:ilvl w:val="0"/>
                <w:numId w:val="0"/>
              </w:numPr>
              <w:jc w:val="center"/>
              <w:rPr>
                <w:rFonts w:hint="default"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据供应商提供的增值服务可落地情况、可操作性及与项目需求契合度等横向比较进行综合赋分；</w:t>
            </w:r>
            <w:r>
              <w:rPr>
                <w:rFonts w:hint="default" w:ascii="仿宋" w:hAnsi="仿宋" w:eastAsia="仿宋" w:cs="宋体"/>
                <w:color w:val="auto"/>
                <w:sz w:val="20"/>
                <w:szCs w:val="20"/>
                <w:highlight w:val="none"/>
                <w:lang w:val="en-US" w:eastAsia="zh-CN"/>
              </w:rPr>
              <w:t>优</w:t>
            </w:r>
            <w:r>
              <w:rPr>
                <w:rFonts w:hint="eastAsia" w:ascii="仿宋" w:hAnsi="仿宋" w:eastAsia="仿宋" w:cs="宋体"/>
                <w:color w:val="auto"/>
                <w:sz w:val="20"/>
                <w:szCs w:val="20"/>
                <w:highlight w:val="none"/>
                <w:lang w:val="en-US" w:eastAsia="zh-CN"/>
              </w:rPr>
              <w:t>4-5</w:t>
            </w:r>
            <w:r>
              <w:rPr>
                <w:rFonts w:hint="default" w:ascii="仿宋" w:hAnsi="仿宋" w:eastAsia="仿宋" w:cs="宋体"/>
                <w:color w:val="auto"/>
                <w:sz w:val="20"/>
                <w:szCs w:val="20"/>
                <w:highlight w:val="none"/>
                <w:lang w:val="en-US" w:eastAsia="zh-CN"/>
              </w:rPr>
              <w:t>分，良</w:t>
            </w:r>
            <w:r>
              <w:rPr>
                <w:rFonts w:hint="eastAsia" w:ascii="仿宋" w:hAnsi="仿宋" w:eastAsia="仿宋" w:cs="宋体"/>
                <w:color w:val="auto"/>
                <w:sz w:val="20"/>
                <w:szCs w:val="20"/>
                <w:highlight w:val="none"/>
                <w:lang w:val="en-US" w:eastAsia="zh-CN"/>
              </w:rPr>
              <w:t>2-3</w:t>
            </w:r>
            <w:r>
              <w:rPr>
                <w:rFonts w:hint="default" w:ascii="仿宋" w:hAnsi="仿宋" w:eastAsia="仿宋" w:cs="宋体"/>
                <w:color w:val="auto"/>
                <w:sz w:val="20"/>
                <w:szCs w:val="20"/>
                <w:highlight w:val="none"/>
                <w:lang w:val="en-US" w:eastAsia="zh-CN"/>
              </w:rPr>
              <w:t>分，差 0</w:t>
            </w:r>
            <w:r>
              <w:rPr>
                <w:rFonts w:hint="eastAsia" w:ascii="仿宋" w:hAnsi="仿宋" w:eastAsia="仿宋" w:cs="宋体"/>
                <w:color w:val="auto"/>
                <w:sz w:val="20"/>
                <w:szCs w:val="20"/>
                <w:highlight w:val="none"/>
                <w:lang w:val="en-US" w:eastAsia="zh-CN"/>
              </w:rPr>
              <w:t>-1</w:t>
            </w:r>
            <w:r>
              <w:rPr>
                <w:rFonts w:hint="default" w:ascii="仿宋" w:hAnsi="仿宋" w:eastAsia="仿宋" w:cs="宋体"/>
                <w:color w:val="auto"/>
                <w:sz w:val="20"/>
                <w:szCs w:val="20"/>
                <w:highlight w:val="none"/>
                <w:lang w:val="en-US" w:eastAsia="zh-CN"/>
              </w:rPr>
              <w:t>分</w:t>
            </w:r>
          </w:p>
        </w:tc>
      </w:tr>
      <w:tr>
        <w:tblPrEx>
          <w:tblCellMar>
            <w:top w:w="0" w:type="dxa"/>
            <w:left w:w="108" w:type="dxa"/>
            <w:bottom w:w="0" w:type="dxa"/>
            <w:right w:w="108" w:type="dxa"/>
          </w:tblCellMar>
        </w:tblPrEx>
        <w:trPr>
          <w:trHeight w:val="1170" w:hRule="atLeast"/>
        </w:trPr>
        <w:tc>
          <w:tcPr>
            <w:tcW w:w="140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auto"/>
                <w:sz w:val="20"/>
                <w:szCs w:val="20"/>
                <w:highlight w:val="none"/>
                <w:lang w:eastAsia="zh-CN"/>
              </w:rPr>
            </w:pPr>
            <w:r>
              <w:rPr>
                <w:rFonts w:hint="eastAsia" w:ascii="仿宋" w:hAnsi="仿宋" w:eastAsia="仿宋" w:cs="宋体"/>
                <w:color w:val="auto"/>
                <w:sz w:val="20"/>
                <w:szCs w:val="20"/>
                <w:highlight w:val="none"/>
                <w:lang w:eastAsia="zh-CN"/>
              </w:rPr>
              <w:t>商务部分</w:t>
            </w:r>
          </w:p>
          <w:p>
            <w:pPr>
              <w:widowControl/>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lang w:eastAsia="zh-CN"/>
              </w:rPr>
              <w:t>（</w:t>
            </w:r>
            <w:r>
              <w:rPr>
                <w:rFonts w:hint="eastAsia" w:ascii="仿宋" w:hAnsi="仿宋" w:eastAsia="仿宋" w:cs="宋体"/>
                <w:color w:val="auto"/>
                <w:sz w:val="20"/>
                <w:szCs w:val="20"/>
                <w:highlight w:val="none"/>
                <w:lang w:val="en-US" w:eastAsia="zh-CN"/>
              </w:rPr>
              <w:t>5</w:t>
            </w:r>
            <w:r>
              <w:rPr>
                <w:rFonts w:hint="eastAsia" w:ascii="仿宋" w:hAnsi="仿宋" w:eastAsia="仿宋" w:cs="宋体"/>
                <w:color w:val="auto"/>
                <w:sz w:val="20"/>
                <w:szCs w:val="20"/>
                <w:highlight w:val="none"/>
                <w:lang w:eastAsia="zh-CN"/>
              </w:rPr>
              <w:t>分）</w:t>
            </w:r>
          </w:p>
        </w:tc>
        <w:tc>
          <w:tcPr>
            <w:tcW w:w="1167"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仿宋" w:hAnsi="仿宋" w:eastAsia="仿宋" w:cs="宋体"/>
                <w:color w:val="auto"/>
                <w:sz w:val="20"/>
                <w:szCs w:val="20"/>
                <w:highlight w:val="none"/>
                <w:lang w:eastAsia="zh-CN"/>
              </w:rPr>
            </w:pPr>
            <w:r>
              <w:rPr>
                <w:rFonts w:hint="eastAsia" w:ascii="仿宋" w:hAnsi="仿宋" w:eastAsia="仿宋" w:cs="宋体"/>
                <w:color w:val="auto"/>
                <w:sz w:val="20"/>
                <w:szCs w:val="20"/>
                <w:highlight w:val="none"/>
              </w:rPr>
              <w:t>业绩</w:t>
            </w:r>
            <w:r>
              <w:rPr>
                <w:rFonts w:hint="eastAsia" w:ascii="仿宋" w:hAnsi="仿宋" w:eastAsia="仿宋" w:cs="宋体"/>
                <w:color w:val="auto"/>
                <w:sz w:val="20"/>
                <w:szCs w:val="20"/>
                <w:highlight w:val="none"/>
                <w:lang w:eastAsia="zh-CN"/>
              </w:rPr>
              <w:t>证明</w:t>
            </w:r>
          </w:p>
        </w:tc>
        <w:tc>
          <w:tcPr>
            <w:tcW w:w="850" w:type="dxa"/>
            <w:tcBorders>
              <w:top w:val="nil"/>
              <w:left w:val="nil"/>
              <w:bottom w:val="single" w:color="auto" w:sz="4" w:space="0"/>
              <w:right w:val="single" w:color="auto" w:sz="4" w:space="0"/>
            </w:tcBorders>
            <w:shd w:val="clear" w:color="auto" w:fill="auto"/>
            <w:noWrap w:val="0"/>
            <w:vAlign w:val="center"/>
          </w:tcPr>
          <w:p>
            <w:pPr>
              <w:widowControl/>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lang w:val="en-US" w:eastAsia="zh-CN"/>
              </w:rPr>
              <w:t>5</w:t>
            </w:r>
            <w:r>
              <w:rPr>
                <w:rFonts w:hint="eastAsia" w:ascii="仿宋" w:hAnsi="仿宋" w:eastAsia="仿宋" w:cs="宋体"/>
                <w:color w:val="auto"/>
                <w:sz w:val="20"/>
                <w:szCs w:val="20"/>
                <w:highlight w:val="none"/>
              </w:rPr>
              <w:t>分</w:t>
            </w:r>
          </w:p>
        </w:tc>
        <w:tc>
          <w:tcPr>
            <w:tcW w:w="5812" w:type="dxa"/>
            <w:tcBorders>
              <w:top w:val="nil"/>
              <w:left w:val="nil"/>
              <w:bottom w:val="single" w:color="auto" w:sz="4" w:space="0"/>
              <w:right w:val="single" w:color="auto" w:sz="4" w:space="0"/>
            </w:tcBorders>
            <w:shd w:val="clear" w:color="auto" w:fill="auto"/>
            <w:noWrap w:val="0"/>
            <w:vAlign w:val="center"/>
          </w:tcPr>
          <w:p>
            <w:pPr>
              <w:widowControl/>
              <w:numPr>
                <w:ilvl w:val="0"/>
                <w:numId w:val="0"/>
              </w:numPr>
              <w:jc w:val="center"/>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eastAsia="zh-CN"/>
              </w:rPr>
              <w:t>提供</w:t>
            </w:r>
            <w:r>
              <w:rPr>
                <w:rFonts w:hint="eastAsia" w:ascii="仿宋" w:hAnsi="仿宋" w:eastAsia="仿宋" w:cs="宋体"/>
                <w:color w:val="auto"/>
                <w:sz w:val="20"/>
                <w:szCs w:val="20"/>
                <w:highlight w:val="none"/>
                <w:lang w:val="en-US" w:eastAsia="zh-CN"/>
              </w:rPr>
              <w:t>5年以内的类似业绩</w:t>
            </w:r>
            <w:r>
              <w:rPr>
                <w:rFonts w:hint="eastAsia" w:ascii="仿宋" w:hAnsi="仿宋" w:eastAsia="仿宋" w:cs="宋体"/>
                <w:color w:val="auto"/>
                <w:sz w:val="20"/>
                <w:szCs w:val="20"/>
                <w:highlight w:val="none"/>
              </w:rPr>
              <w:t>证明文件</w:t>
            </w:r>
            <w:r>
              <w:rPr>
                <w:rFonts w:hint="eastAsia" w:ascii="仿宋" w:hAnsi="仿宋" w:eastAsia="仿宋" w:cs="宋体"/>
                <w:color w:val="auto"/>
                <w:sz w:val="20"/>
                <w:szCs w:val="20"/>
                <w:highlight w:val="none"/>
                <w:lang w:eastAsia="zh-CN"/>
              </w:rPr>
              <w:t>，</w:t>
            </w:r>
            <w:r>
              <w:rPr>
                <w:rFonts w:hint="eastAsia" w:ascii="仿宋" w:hAnsi="仿宋" w:eastAsia="仿宋" w:cs="宋体"/>
                <w:color w:val="auto"/>
                <w:sz w:val="20"/>
                <w:szCs w:val="20"/>
                <w:highlight w:val="none"/>
              </w:rPr>
              <w:t>每</w:t>
            </w:r>
            <w:r>
              <w:rPr>
                <w:rFonts w:hint="eastAsia" w:ascii="仿宋" w:hAnsi="仿宋" w:eastAsia="仿宋" w:cs="宋体"/>
                <w:color w:val="auto"/>
                <w:sz w:val="20"/>
                <w:szCs w:val="20"/>
                <w:highlight w:val="none"/>
                <w:lang w:val="en-US" w:eastAsia="zh-CN"/>
              </w:rPr>
              <w:t>提供1个业绩</w:t>
            </w:r>
            <w:r>
              <w:rPr>
                <w:rFonts w:hint="eastAsia" w:ascii="仿宋" w:hAnsi="仿宋" w:eastAsia="仿宋" w:cs="宋体"/>
                <w:color w:val="auto"/>
                <w:sz w:val="20"/>
                <w:szCs w:val="20"/>
                <w:highlight w:val="none"/>
              </w:rPr>
              <w:t>得</w:t>
            </w:r>
            <w:r>
              <w:rPr>
                <w:rFonts w:hint="eastAsia" w:ascii="仿宋" w:hAnsi="仿宋" w:eastAsia="仿宋" w:cs="宋体"/>
                <w:color w:val="auto"/>
                <w:sz w:val="20"/>
                <w:szCs w:val="20"/>
                <w:highlight w:val="none"/>
                <w:lang w:val="en-US" w:eastAsia="zh-CN"/>
              </w:rPr>
              <w:t>1</w:t>
            </w:r>
            <w:r>
              <w:rPr>
                <w:rFonts w:hint="eastAsia" w:ascii="仿宋" w:hAnsi="仿宋" w:eastAsia="仿宋" w:cs="宋体"/>
                <w:color w:val="auto"/>
                <w:sz w:val="20"/>
                <w:szCs w:val="20"/>
                <w:highlight w:val="none"/>
              </w:rPr>
              <w:t>分，</w:t>
            </w:r>
            <w:r>
              <w:rPr>
                <w:rFonts w:hint="eastAsia" w:ascii="仿宋" w:hAnsi="仿宋" w:eastAsia="仿宋" w:cs="宋体"/>
                <w:color w:val="auto"/>
                <w:sz w:val="20"/>
                <w:szCs w:val="20"/>
                <w:highlight w:val="none"/>
                <w:lang w:val="en-US" w:eastAsia="zh-CN"/>
              </w:rPr>
              <w:t>总分不超过5</w:t>
            </w:r>
            <w:r>
              <w:rPr>
                <w:rFonts w:hint="eastAsia" w:ascii="仿宋" w:hAnsi="仿宋" w:eastAsia="仿宋" w:cs="宋体"/>
                <w:color w:val="auto"/>
                <w:sz w:val="20"/>
                <w:szCs w:val="20"/>
                <w:highlight w:val="none"/>
              </w:rPr>
              <w:t>分。</w:t>
            </w:r>
          </w:p>
        </w:tc>
      </w:tr>
      <w:tr>
        <w:tblPrEx>
          <w:tblCellMar>
            <w:top w:w="0" w:type="dxa"/>
            <w:left w:w="108" w:type="dxa"/>
            <w:bottom w:w="0" w:type="dxa"/>
            <w:right w:w="108" w:type="dxa"/>
          </w:tblCellMar>
        </w:tblPrEx>
        <w:trPr>
          <w:trHeight w:val="522" w:hRule="atLeast"/>
        </w:trPr>
        <w:tc>
          <w:tcPr>
            <w:tcW w:w="140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宋体"/>
                <w:sz w:val="20"/>
                <w:szCs w:val="20"/>
                <w:lang w:eastAsia="zh-CN"/>
              </w:rPr>
            </w:pPr>
            <w:r>
              <w:rPr>
                <w:rFonts w:hint="eastAsia" w:ascii="仿宋" w:hAnsi="仿宋" w:eastAsia="仿宋" w:cs="宋体"/>
                <w:sz w:val="20"/>
                <w:szCs w:val="20"/>
                <w:lang w:val="en-US" w:eastAsia="zh-CN"/>
              </w:rPr>
              <w:t>总分</w:t>
            </w:r>
          </w:p>
        </w:tc>
        <w:tc>
          <w:tcPr>
            <w:tcW w:w="1167"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宋体"/>
                <w:sz w:val="20"/>
                <w:szCs w:val="20"/>
              </w:rPr>
            </w:pPr>
            <w:r>
              <w:rPr>
                <w:rFonts w:hint="eastAsia" w:ascii="仿宋" w:hAnsi="仿宋" w:eastAsia="仿宋" w:cs="宋体"/>
                <w:sz w:val="20"/>
                <w:szCs w:val="20"/>
              </w:rPr>
              <w:t>　</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宋体"/>
                <w:sz w:val="20"/>
                <w:szCs w:val="20"/>
              </w:rPr>
            </w:pPr>
            <w:r>
              <w:rPr>
                <w:rFonts w:hint="eastAsia" w:ascii="仿宋" w:hAnsi="仿宋" w:eastAsia="仿宋" w:cs="宋体"/>
                <w:sz w:val="20"/>
                <w:szCs w:val="20"/>
              </w:rPr>
              <w:t>100</w:t>
            </w:r>
          </w:p>
        </w:tc>
        <w:tc>
          <w:tcPr>
            <w:tcW w:w="5812" w:type="dxa"/>
            <w:tcBorders>
              <w:top w:val="nil"/>
              <w:left w:val="nil"/>
              <w:bottom w:val="single" w:color="auto" w:sz="4" w:space="0"/>
              <w:right w:val="single" w:color="auto" w:sz="4" w:space="0"/>
            </w:tcBorders>
            <w:shd w:val="clear" w:color="auto" w:fill="auto"/>
            <w:noWrap w:val="0"/>
            <w:vAlign w:val="center"/>
          </w:tcPr>
          <w:p>
            <w:pPr>
              <w:widowControl/>
              <w:jc w:val="left"/>
              <w:rPr>
                <w:rFonts w:ascii="宋体" w:hAnsi="宋体" w:eastAsia="宋体" w:cs="宋体"/>
                <w:sz w:val="22"/>
              </w:rPr>
            </w:pPr>
            <w:r>
              <w:rPr>
                <w:rFonts w:hint="eastAsia" w:ascii="宋体" w:hAnsi="宋体" w:eastAsia="宋体" w:cs="宋体"/>
                <w:sz w:val="22"/>
              </w:rPr>
              <w:t>　</w:t>
            </w:r>
          </w:p>
        </w:tc>
      </w:tr>
    </w:tbl>
    <w:p>
      <w:pPr>
        <w:pStyle w:val="3"/>
        <w:spacing w:before="0" w:after="0"/>
        <w:ind w:left="0" w:firstLine="0"/>
        <w:jc w:val="left"/>
        <w:rPr>
          <w:rFonts w:hint="eastAsia" w:ascii="仿宋" w:hAnsi="仿宋" w:eastAsia="仿宋" w:cs="仿宋"/>
          <w:color w:val="FF0000"/>
          <w:sz w:val="28"/>
          <w:szCs w:val="28"/>
        </w:rPr>
      </w:pPr>
    </w:p>
    <w:p>
      <w:pPr>
        <w:pStyle w:val="3"/>
        <w:numPr>
          <w:ilvl w:val="0"/>
          <w:numId w:val="3"/>
        </w:numPr>
        <w:spacing w:before="0" w:after="0"/>
        <w:jc w:val="left"/>
        <w:rPr>
          <w:rFonts w:hint="eastAsia" w:ascii="仿宋" w:hAnsi="仿宋" w:eastAsia="仿宋" w:cs="仿宋"/>
          <w:color w:val="FF0000"/>
          <w:sz w:val="28"/>
          <w:szCs w:val="28"/>
        </w:rPr>
      </w:pPr>
      <w:r>
        <w:rPr>
          <w:rFonts w:hint="eastAsia" w:ascii="仿宋" w:hAnsi="仿宋" w:eastAsia="仿宋" w:cs="仿宋"/>
          <w:color w:val="FF0000"/>
          <w:sz w:val="28"/>
          <w:szCs w:val="28"/>
        </w:rPr>
        <w:t>合同条</w:t>
      </w:r>
      <w:bookmarkEnd w:id="122"/>
      <w:r>
        <w:rPr>
          <w:rFonts w:hint="eastAsia" w:ascii="仿宋" w:hAnsi="仿宋" w:eastAsia="仿宋" w:cs="仿宋"/>
          <w:color w:val="FF0000"/>
          <w:sz w:val="28"/>
          <w:szCs w:val="28"/>
        </w:rPr>
        <w:t>款</w:t>
      </w:r>
      <w:bookmarkEnd w:id="123"/>
    </w:p>
    <w:p>
      <w:pPr>
        <w:numPr>
          <w:ilvl w:val="0"/>
          <w:numId w:val="0"/>
        </w:numPr>
      </w:pP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第一条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项目内容及要求</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本合同项下甲乙双方约定的项目内容及要求见本合同【附件】。</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第二条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合同价格</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（二） 本合同付款安排见【附件】。</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（三） 本合同价格明细见【附件】。</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第三条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违约责任</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甲、乙任一方或双方违约的，违约一方应当向相对方承担相应的违约责任。违约责任的具体约定见【附件】。</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center"/>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C4E0F6"/>
          <w:lang w:val="en-US" w:eastAsia="zh-CN" w:bidi="ar"/>
        </w:rPr>
        <w:t>通用部分</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第四条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双方的权利和义务</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（一） 甲方的权利和义务</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（1）甲方有权获得本合同项下乙方应提供的全部合格的服务；</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（2）甲方有权在合同期内对乙方的产品及服务进行监督；</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（3）乙方未按照合同约定履行义务的，甲方有权采取相应的措施；</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（4）甲方应按照合同约定向乙方支付合同价款；</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（5）甲方享有其它双方约定的权利、承担其它双方约定的义务。</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（二） 乙方的权利和义务</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（1）乙方有权获得甲方支付的合同价款；</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（2）乙方应按照合同约定向甲方提供全部合格的服务；</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（3）乙方应当按照合同约定的期限及要求完成项目内容；</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（5）乙方享有其它双方约定的权利、承担其它双方约定的义务。</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第五条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禁止转让</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未经甲方事先书面同意，乙方不得将其本合同项下之全部义务或其中一部分义务转让给第三方执行。</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第六条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权利保证</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第七条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违约责任</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（一） 由于甲方原因不能按合同约定时间付款的，每延迟10个工作日，甲方按合同应付金额的</w:t>
      </w:r>
      <w:r>
        <w:rPr>
          <w:rFonts w:hint="eastAsia" w:ascii="宋体" w:hAnsi="宋体" w:eastAsia="宋体" w:cs="宋体"/>
          <w:i w:val="0"/>
          <w:iCs w:val="0"/>
          <w:caps w:val="0"/>
          <w:color w:val="8B4513"/>
          <w:spacing w:val="0"/>
          <w:sz w:val="21"/>
          <w:szCs w:val="21"/>
          <w:shd w:val="clear" w:color="auto" w:fill="FFFFFF"/>
          <w:lang w:val="en-US" w:eastAsia="zh-CN" w:bidi="ar"/>
        </w:rPr>
        <w:t>/</w:t>
      </w:r>
      <w:r>
        <w:rPr>
          <w:rFonts w:hint="eastAsia" w:ascii="宋体" w:hAnsi="宋体" w:eastAsia="宋体" w:cs="宋体"/>
          <w:i w:val="0"/>
          <w:iCs w:val="0"/>
          <w:caps w:val="0"/>
          <w:color w:val="3A3A3A"/>
          <w:spacing w:val="0"/>
          <w:sz w:val="21"/>
          <w:szCs w:val="21"/>
          <w:shd w:val="clear" w:color="auto" w:fill="FFFFFF"/>
          <w:lang w:val="en-US" w:eastAsia="zh-CN" w:bidi="ar"/>
        </w:rPr>
        <w:t>%向乙方支付违约金。</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（二） 乙方延迟交付的违约责任</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（1）由于乙方原因造成项目延迟的，每延迟10个工作日，乙方向甲方支付违约金为合同服务费用总额的</w:t>
      </w:r>
      <w:r>
        <w:rPr>
          <w:rFonts w:hint="eastAsia" w:ascii="宋体" w:hAnsi="宋体" w:eastAsia="宋体" w:cs="宋体"/>
          <w:i w:val="0"/>
          <w:iCs w:val="0"/>
          <w:caps w:val="0"/>
          <w:color w:val="8B4513"/>
          <w:spacing w:val="0"/>
          <w:sz w:val="21"/>
          <w:szCs w:val="21"/>
          <w:shd w:val="clear" w:color="auto" w:fill="FFFFFF"/>
          <w:lang w:val="en-US" w:eastAsia="zh-CN" w:bidi="ar"/>
        </w:rPr>
        <w:t>1</w:t>
      </w:r>
      <w:r>
        <w:rPr>
          <w:rFonts w:hint="eastAsia" w:ascii="宋体" w:hAnsi="宋体" w:eastAsia="宋体" w:cs="宋体"/>
          <w:i w:val="0"/>
          <w:iCs w:val="0"/>
          <w:caps w:val="0"/>
          <w:color w:val="3A3A3A"/>
          <w:spacing w:val="0"/>
          <w:sz w:val="21"/>
          <w:szCs w:val="21"/>
          <w:shd w:val="clear" w:color="auto" w:fill="FFFFFF"/>
          <w:lang w:val="en-US" w:eastAsia="zh-CN" w:bidi="ar"/>
        </w:rPr>
        <w:t>%。</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（2）由于乙方原因造成项目迟延，经甲方催促后乙方继续延误的，甲方有权单方面解除合同，乙方应按照合同服务费用总额的</w:t>
      </w:r>
      <w:r>
        <w:rPr>
          <w:rFonts w:hint="eastAsia" w:ascii="宋体" w:hAnsi="宋体" w:eastAsia="宋体" w:cs="宋体"/>
          <w:i w:val="0"/>
          <w:iCs w:val="0"/>
          <w:caps w:val="0"/>
          <w:color w:val="8B4513"/>
          <w:spacing w:val="0"/>
          <w:sz w:val="21"/>
          <w:szCs w:val="21"/>
          <w:shd w:val="clear" w:color="auto" w:fill="FFFFFF"/>
          <w:lang w:val="en-US" w:eastAsia="zh-CN" w:bidi="ar"/>
        </w:rPr>
        <w:t>10</w:t>
      </w:r>
      <w:r>
        <w:rPr>
          <w:rFonts w:hint="eastAsia" w:ascii="宋体" w:hAnsi="宋体" w:eastAsia="宋体" w:cs="宋体"/>
          <w:i w:val="0"/>
          <w:iCs w:val="0"/>
          <w:caps w:val="0"/>
          <w:color w:val="3A3A3A"/>
          <w:spacing w:val="0"/>
          <w:sz w:val="21"/>
          <w:szCs w:val="21"/>
          <w:shd w:val="clear" w:color="auto" w:fill="FFFFFF"/>
          <w:lang w:val="en-US" w:eastAsia="zh-CN" w:bidi="ar"/>
        </w:rPr>
        <w:t>%向甲方支付违约金，并赔偿由此引起的甲方全部损失。</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（三） 验收不合格并且乙方在甲方指定期限内无法完成整改、提交合格的工作成果的，乙方应向甲方支付合同服务费用总额</w:t>
      </w:r>
      <w:r>
        <w:rPr>
          <w:rFonts w:hint="eastAsia" w:ascii="宋体" w:hAnsi="宋体" w:eastAsia="宋体" w:cs="宋体"/>
          <w:i w:val="0"/>
          <w:iCs w:val="0"/>
          <w:caps w:val="0"/>
          <w:color w:val="8B4513"/>
          <w:spacing w:val="0"/>
          <w:sz w:val="21"/>
          <w:szCs w:val="21"/>
          <w:shd w:val="clear" w:color="auto" w:fill="FFFFFF"/>
          <w:lang w:val="en-US" w:eastAsia="zh-CN" w:bidi="ar"/>
        </w:rPr>
        <w:t>10</w:t>
      </w:r>
      <w:r>
        <w:rPr>
          <w:rFonts w:hint="eastAsia" w:ascii="宋体" w:hAnsi="宋体" w:eastAsia="宋体" w:cs="宋体"/>
          <w:i w:val="0"/>
          <w:iCs w:val="0"/>
          <w:caps w:val="0"/>
          <w:color w:val="3A3A3A"/>
          <w:spacing w:val="0"/>
          <w:sz w:val="21"/>
          <w:szCs w:val="21"/>
          <w:shd w:val="clear" w:color="auto" w:fill="FFFFFF"/>
          <w:lang w:val="en-US" w:eastAsia="zh-CN" w:bidi="ar"/>
        </w:rPr>
        <w:t>%的违约金，并赔偿由此引起的甲方全部损失。</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（四） 如果乙方违反本合同约定的保密义务，乙方应向甲方支付相当于合同服务费用总额</w:t>
      </w:r>
      <w:r>
        <w:rPr>
          <w:rFonts w:hint="eastAsia" w:ascii="宋体" w:hAnsi="宋体" w:eastAsia="宋体" w:cs="宋体"/>
          <w:i w:val="0"/>
          <w:iCs w:val="0"/>
          <w:caps w:val="0"/>
          <w:color w:val="8B4513"/>
          <w:spacing w:val="0"/>
          <w:sz w:val="21"/>
          <w:szCs w:val="21"/>
          <w:shd w:val="clear" w:color="auto" w:fill="FFFFFF"/>
          <w:lang w:val="en-US" w:eastAsia="zh-CN" w:bidi="ar"/>
        </w:rPr>
        <w:t>10</w:t>
      </w:r>
      <w:r>
        <w:rPr>
          <w:rFonts w:hint="eastAsia" w:ascii="宋体" w:hAnsi="宋体" w:eastAsia="宋体" w:cs="宋体"/>
          <w:i w:val="0"/>
          <w:iCs w:val="0"/>
          <w:caps w:val="0"/>
          <w:color w:val="3A3A3A"/>
          <w:spacing w:val="0"/>
          <w:sz w:val="21"/>
          <w:szCs w:val="21"/>
          <w:shd w:val="clear" w:color="auto" w:fill="FFFFFF"/>
          <w:lang w:val="en-US" w:eastAsia="zh-CN" w:bidi="ar"/>
        </w:rPr>
        <w:t>%的违约金，甲方受到的损失超出违约金的部分，由乙方继续承担赔偿责任。</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（五） 除本合同的约定外，因乙方的违约行为给甲方造成损失的，乙方应向甲方支付相当于合同服务费用总额</w:t>
      </w:r>
      <w:r>
        <w:rPr>
          <w:rFonts w:hint="eastAsia" w:ascii="宋体" w:hAnsi="宋体" w:eastAsia="宋体" w:cs="宋体"/>
          <w:i w:val="0"/>
          <w:iCs w:val="0"/>
          <w:caps w:val="0"/>
          <w:color w:val="8B4513"/>
          <w:spacing w:val="0"/>
          <w:sz w:val="21"/>
          <w:szCs w:val="21"/>
          <w:shd w:val="clear" w:color="auto" w:fill="FFFFFF"/>
          <w:lang w:val="en-US" w:eastAsia="zh-CN" w:bidi="ar"/>
        </w:rPr>
        <w:t>10</w:t>
      </w:r>
      <w:r>
        <w:rPr>
          <w:rFonts w:hint="eastAsia" w:ascii="宋体" w:hAnsi="宋体" w:eastAsia="宋体" w:cs="宋体"/>
          <w:i w:val="0"/>
          <w:iCs w:val="0"/>
          <w:caps w:val="0"/>
          <w:color w:val="3A3A3A"/>
          <w:spacing w:val="0"/>
          <w:sz w:val="21"/>
          <w:szCs w:val="21"/>
          <w:shd w:val="clear" w:color="auto" w:fill="FFFFFF"/>
          <w:lang w:val="en-US" w:eastAsia="zh-CN" w:bidi="ar"/>
        </w:rPr>
        <w:t>%的违约金，如甲方受到的损失超过违约金的，超出部分由乙方继续承担赔偿责任。</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第八条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保密义务</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（二） 乙方在本合同中所受领的保密信息应及时返还甲方或在甲方监督下予以销毁。乙方擅自留存备份信息，视为违反保密约定。</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（三） 无论本合同因何种原因终止，本保密条款依然有效。</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第九条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不可抗力</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（三） 合同一方迟延履行后发生不可抗力的，不能免除其责任。</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第十条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合同变更</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对本合同的任何变更或补充，须经甲乙双方协商一致，并另行签订书面补充协议。</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第十一条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合同特别终止</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（一） 甲乙双方同意在乙方出现下列情形时，甲方可以书面形式通知乙方（或者乙方的破产清算组或相关管理人）提出终止合同而不向其提供任何补偿：</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（1）乙方破产、解散（包括但不限于乙方股东会决议解散、乙方被吊销营业执照、被责令关闭、被撤销、被司法机关裁决解散等情形）；</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（二） 如果因上述原因导致本合同终止，甲方已经采取或者将要采取任何补救措施的权利不受任何影响。</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第十二条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法律适用与争议解决</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（一） 本合同的订立、效力、解释、履行和争议的解决均适用中华人民共和国法律（不包括港澳台地区法律）。</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（二） 凡因本合同引起的或与本合同有关的任何争议，双方首先应友好协商解决。协商不成的，任何一方均有权将争议提交甲方所在地有管辖权的人民法院诉讼解决。</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第十三条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合同生效及其他</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（一） 本合同经甲乙双方法定代表人或授权代表签字并加盖公章后生效。</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（二） 合同期限自     年    月    日始，至      年     月    日止。</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（三） 本合同一式</w:t>
      </w:r>
      <w:r>
        <w:rPr>
          <w:rFonts w:hint="eastAsia" w:ascii="宋体" w:hAnsi="宋体" w:eastAsia="宋体" w:cs="宋体"/>
          <w:i w:val="0"/>
          <w:iCs w:val="0"/>
          <w:caps w:val="0"/>
          <w:color w:val="8B4513"/>
          <w:spacing w:val="0"/>
          <w:sz w:val="21"/>
          <w:szCs w:val="21"/>
          <w:shd w:val="clear" w:color="auto" w:fill="FFFFFF"/>
          <w:lang w:val="en-US" w:eastAsia="zh-CN" w:bidi="ar"/>
        </w:rPr>
        <w:t>肆</w:t>
      </w:r>
      <w:r>
        <w:rPr>
          <w:rFonts w:hint="eastAsia" w:ascii="宋体" w:hAnsi="宋体" w:eastAsia="宋体" w:cs="宋体"/>
          <w:i w:val="0"/>
          <w:iCs w:val="0"/>
          <w:caps w:val="0"/>
          <w:color w:val="3A3A3A"/>
          <w:spacing w:val="0"/>
          <w:sz w:val="21"/>
          <w:szCs w:val="21"/>
          <w:shd w:val="clear" w:color="auto" w:fill="FFFFFF"/>
          <w:lang w:val="en-US" w:eastAsia="zh-CN" w:bidi="ar"/>
        </w:rPr>
        <w:t>份，其中正本</w:t>
      </w:r>
      <w:r>
        <w:rPr>
          <w:rFonts w:hint="eastAsia" w:ascii="宋体" w:hAnsi="宋体" w:eastAsia="宋体" w:cs="宋体"/>
          <w:i w:val="0"/>
          <w:iCs w:val="0"/>
          <w:caps w:val="0"/>
          <w:color w:val="8B4513"/>
          <w:spacing w:val="0"/>
          <w:sz w:val="21"/>
          <w:szCs w:val="21"/>
          <w:shd w:val="clear" w:color="auto" w:fill="FFFFFF"/>
          <w:lang w:val="en-US" w:eastAsia="zh-CN" w:bidi="ar"/>
        </w:rPr>
        <w:t>贰</w:t>
      </w:r>
      <w:r>
        <w:rPr>
          <w:rFonts w:hint="eastAsia" w:ascii="宋体" w:hAnsi="宋体" w:eastAsia="宋体" w:cs="宋体"/>
          <w:i w:val="0"/>
          <w:iCs w:val="0"/>
          <w:caps w:val="0"/>
          <w:color w:val="3A3A3A"/>
          <w:spacing w:val="0"/>
          <w:sz w:val="21"/>
          <w:szCs w:val="21"/>
          <w:shd w:val="clear" w:color="auto" w:fill="FFFFFF"/>
          <w:lang w:val="en-US" w:eastAsia="zh-CN" w:bidi="ar"/>
        </w:rPr>
        <w:t>份，副本</w:t>
      </w:r>
      <w:r>
        <w:rPr>
          <w:rFonts w:hint="eastAsia" w:ascii="宋体" w:hAnsi="宋体" w:eastAsia="宋体" w:cs="宋体"/>
          <w:i w:val="0"/>
          <w:iCs w:val="0"/>
          <w:caps w:val="0"/>
          <w:color w:val="8B4513"/>
          <w:spacing w:val="0"/>
          <w:sz w:val="21"/>
          <w:szCs w:val="21"/>
          <w:shd w:val="clear" w:color="auto" w:fill="FFFFFF"/>
          <w:lang w:val="en-US" w:eastAsia="zh-CN" w:bidi="ar"/>
        </w:rPr>
        <w:t>贰</w:t>
      </w:r>
      <w:r>
        <w:rPr>
          <w:rFonts w:hint="eastAsia" w:ascii="宋体" w:hAnsi="宋体" w:eastAsia="宋体" w:cs="宋体"/>
          <w:i w:val="0"/>
          <w:iCs w:val="0"/>
          <w:caps w:val="0"/>
          <w:color w:val="3A3A3A"/>
          <w:spacing w:val="0"/>
          <w:sz w:val="21"/>
          <w:szCs w:val="21"/>
          <w:shd w:val="clear" w:color="auto" w:fill="FFFFFF"/>
          <w:lang w:val="en-US" w:eastAsia="zh-CN" w:bidi="ar"/>
        </w:rPr>
        <w:t>份。甲方执</w:t>
      </w:r>
      <w:r>
        <w:rPr>
          <w:rFonts w:hint="eastAsia" w:ascii="宋体" w:hAnsi="宋体" w:eastAsia="宋体" w:cs="宋体"/>
          <w:i w:val="0"/>
          <w:iCs w:val="0"/>
          <w:caps w:val="0"/>
          <w:color w:val="8B4513"/>
          <w:spacing w:val="0"/>
          <w:sz w:val="21"/>
          <w:szCs w:val="21"/>
          <w:shd w:val="clear" w:color="auto" w:fill="FFFFFF"/>
          <w:lang w:val="en-US" w:eastAsia="zh-CN" w:bidi="ar"/>
        </w:rPr>
        <w:t>壹</w:t>
      </w:r>
      <w:r>
        <w:rPr>
          <w:rFonts w:hint="eastAsia" w:ascii="宋体" w:hAnsi="宋体" w:eastAsia="宋体" w:cs="宋体"/>
          <w:i w:val="0"/>
          <w:iCs w:val="0"/>
          <w:caps w:val="0"/>
          <w:color w:val="3A3A3A"/>
          <w:spacing w:val="0"/>
          <w:sz w:val="21"/>
          <w:szCs w:val="21"/>
          <w:shd w:val="clear" w:color="auto" w:fill="FFFFFF"/>
          <w:lang w:val="en-US" w:eastAsia="zh-CN" w:bidi="ar"/>
        </w:rPr>
        <w:t>份正本，</w:t>
      </w:r>
      <w:r>
        <w:rPr>
          <w:rFonts w:hint="eastAsia" w:ascii="宋体" w:hAnsi="宋体" w:eastAsia="宋体" w:cs="宋体"/>
          <w:i w:val="0"/>
          <w:iCs w:val="0"/>
          <w:caps w:val="0"/>
          <w:color w:val="8B4513"/>
          <w:spacing w:val="0"/>
          <w:sz w:val="21"/>
          <w:szCs w:val="21"/>
          <w:shd w:val="clear" w:color="auto" w:fill="FFFFFF"/>
          <w:lang w:val="en-US" w:eastAsia="zh-CN" w:bidi="ar"/>
        </w:rPr>
        <w:t>壹</w:t>
      </w:r>
      <w:r>
        <w:rPr>
          <w:rFonts w:hint="eastAsia" w:ascii="宋体" w:hAnsi="宋体" w:eastAsia="宋体" w:cs="宋体"/>
          <w:i w:val="0"/>
          <w:iCs w:val="0"/>
          <w:caps w:val="0"/>
          <w:color w:val="3A3A3A"/>
          <w:spacing w:val="0"/>
          <w:sz w:val="21"/>
          <w:szCs w:val="21"/>
          <w:shd w:val="clear" w:color="auto" w:fill="FFFFFF"/>
          <w:lang w:val="en-US" w:eastAsia="zh-CN" w:bidi="ar"/>
        </w:rPr>
        <w:t>份副本；乙方执</w:t>
      </w:r>
      <w:r>
        <w:rPr>
          <w:rFonts w:hint="eastAsia" w:ascii="宋体" w:hAnsi="宋体" w:eastAsia="宋体" w:cs="宋体"/>
          <w:i w:val="0"/>
          <w:iCs w:val="0"/>
          <w:caps w:val="0"/>
          <w:color w:val="8B4513"/>
          <w:spacing w:val="0"/>
          <w:sz w:val="21"/>
          <w:szCs w:val="21"/>
          <w:shd w:val="clear" w:color="auto" w:fill="FFFFFF"/>
          <w:lang w:val="en-US" w:eastAsia="zh-CN" w:bidi="ar"/>
        </w:rPr>
        <w:t>壹</w:t>
      </w:r>
      <w:r>
        <w:rPr>
          <w:rFonts w:hint="eastAsia" w:ascii="宋体" w:hAnsi="宋体" w:eastAsia="宋体" w:cs="宋体"/>
          <w:i w:val="0"/>
          <w:iCs w:val="0"/>
          <w:caps w:val="0"/>
          <w:color w:val="3A3A3A"/>
          <w:spacing w:val="0"/>
          <w:sz w:val="21"/>
          <w:szCs w:val="21"/>
          <w:shd w:val="clear" w:color="auto" w:fill="FFFFFF"/>
          <w:lang w:val="en-US" w:eastAsia="zh-CN" w:bidi="ar"/>
        </w:rPr>
        <w:t>份正本，</w:t>
      </w:r>
      <w:r>
        <w:rPr>
          <w:rFonts w:hint="eastAsia" w:ascii="宋体" w:hAnsi="宋体" w:eastAsia="宋体" w:cs="宋体"/>
          <w:i w:val="0"/>
          <w:iCs w:val="0"/>
          <w:caps w:val="0"/>
          <w:color w:val="8B4513"/>
          <w:spacing w:val="0"/>
          <w:sz w:val="21"/>
          <w:szCs w:val="21"/>
          <w:shd w:val="clear" w:color="auto" w:fill="FFFFFF"/>
          <w:lang w:val="en-US" w:eastAsia="zh-CN" w:bidi="ar"/>
        </w:rPr>
        <w:t>壹</w:t>
      </w:r>
      <w:r>
        <w:rPr>
          <w:rFonts w:hint="eastAsia" w:ascii="宋体" w:hAnsi="宋体" w:eastAsia="宋体" w:cs="宋体"/>
          <w:i w:val="0"/>
          <w:iCs w:val="0"/>
          <w:caps w:val="0"/>
          <w:color w:val="3A3A3A"/>
          <w:spacing w:val="0"/>
          <w:sz w:val="21"/>
          <w:szCs w:val="21"/>
          <w:shd w:val="clear" w:color="auto" w:fill="FFFFFF"/>
          <w:lang w:val="en-US" w:eastAsia="zh-CN" w:bidi="ar"/>
        </w:rPr>
        <w:t>份副本。</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   （六） 由于法律和法规、政策而导致本合同任何条款无效或无法执行，则该条款无效，但不影响剩余其他条款的效力。</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sz w:val="21"/>
          <w:szCs w:val="21"/>
          <w:shd w:val="clear" w:color="auto" w:fill="FFFFFF"/>
          <w:lang w:val="en-US" w:eastAsia="zh-CN" w:bidi="ar"/>
        </w:rPr>
        <w:t>    第十四条</w:t>
      </w:r>
      <w:r>
        <w:rPr>
          <w:rFonts w:hint="eastAsia" w:ascii="宋体" w:hAnsi="宋体" w:eastAsia="宋体" w:cs="宋体"/>
          <w:i w:val="0"/>
          <w:iCs w:val="0"/>
          <w:caps w:val="0"/>
          <w:color w:val="3A3A3A"/>
          <w:spacing w:val="0"/>
          <w:sz w:val="21"/>
          <w:szCs w:val="21"/>
          <w:shd w:val="clear" w:color="auto" w:fill="FFFFFF"/>
          <w:lang w:val="en-US" w:eastAsia="zh-CN" w:bidi="ar"/>
        </w:rPr>
        <w:t> </w:t>
      </w:r>
      <w:r>
        <w:rPr>
          <w:rFonts w:hint="eastAsia" w:ascii="宋体" w:hAnsi="宋体" w:eastAsia="宋体" w:cs="宋体"/>
          <w:b/>
          <w:bCs/>
          <w:i w:val="0"/>
          <w:iCs w:val="0"/>
          <w:caps w:val="0"/>
          <w:color w:val="3A3A3A"/>
          <w:spacing w:val="0"/>
          <w:sz w:val="21"/>
          <w:szCs w:val="21"/>
          <w:shd w:val="clear" w:color="auto" w:fill="FFFFFF"/>
          <w:lang w:val="en-US" w:eastAsia="zh-CN" w:bidi="ar"/>
        </w:rPr>
        <w:t>附件的组成</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附件一、服务内容及要求</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附件二、付款</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附件三、双方的权利和义务</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    附件四、违约责任</w:t>
      </w:r>
    </w:p>
    <w:p>
      <w:pPr>
        <w:pStyle w:val="2"/>
        <w:rPr>
          <w:rFonts w:hint="eastAsia" w:ascii="宋体" w:hAnsi="宋体" w:eastAsia="宋体" w:cs="宋体"/>
          <w:i w:val="0"/>
          <w:iCs w:val="0"/>
          <w:caps w:val="0"/>
          <w:color w:val="3A3A3A"/>
          <w:spacing w:val="0"/>
          <w:sz w:val="21"/>
          <w:szCs w:val="21"/>
          <w:shd w:val="clear" w:color="auto" w:fill="FFFFFF"/>
        </w:rPr>
      </w:pP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t>兹证明，各方于</w:t>
      </w:r>
      <w:r>
        <w:rPr>
          <w:rFonts w:hint="eastAsia" w:ascii="宋体" w:hAnsi="宋体" w:eastAsia="宋体" w:cs="宋体"/>
          <w:i w:val="0"/>
          <w:iCs w:val="0"/>
          <w:caps w:val="0"/>
          <w:color w:val="3A3A3A"/>
          <w:spacing w:val="0"/>
          <w:sz w:val="21"/>
          <w:szCs w:val="21"/>
          <w:u w:val="single"/>
          <w:shd w:val="clear" w:color="auto" w:fill="FFFFFF"/>
        </w:rPr>
        <w:t>      </w:t>
      </w:r>
      <w:r>
        <w:rPr>
          <w:rFonts w:hint="eastAsia" w:ascii="宋体" w:hAnsi="宋体" w:eastAsia="宋体" w:cs="宋体"/>
          <w:i w:val="0"/>
          <w:iCs w:val="0"/>
          <w:caps w:val="0"/>
          <w:color w:val="3A3A3A"/>
          <w:spacing w:val="0"/>
          <w:sz w:val="21"/>
          <w:szCs w:val="21"/>
          <w:shd w:val="clear" w:color="auto" w:fill="FFFFFF"/>
        </w:rPr>
        <w:t>年 </w:t>
      </w:r>
      <w:r>
        <w:rPr>
          <w:rFonts w:hint="eastAsia" w:ascii="宋体" w:hAnsi="宋体" w:eastAsia="宋体" w:cs="宋体"/>
          <w:i w:val="0"/>
          <w:iCs w:val="0"/>
          <w:caps w:val="0"/>
          <w:color w:val="3A3A3A"/>
          <w:spacing w:val="0"/>
          <w:sz w:val="21"/>
          <w:szCs w:val="21"/>
          <w:u w:val="single"/>
          <w:shd w:val="clear" w:color="auto" w:fill="FFFFFF"/>
        </w:rPr>
        <w:t>      </w:t>
      </w:r>
      <w:r>
        <w:rPr>
          <w:rFonts w:hint="eastAsia" w:ascii="宋体" w:hAnsi="宋体" w:eastAsia="宋体" w:cs="宋体"/>
          <w:i w:val="0"/>
          <w:iCs w:val="0"/>
          <w:caps w:val="0"/>
          <w:color w:val="3A3A3A"/>
          <w:spacing w:val="0"/>
          <w:sz w:val="21"/>
          <w:szCs w:val="21"/>
          <w:shd w:val="clear" w:color="auto" w:fill="FFFFFF"/>
        </w:rPr>
        <w:t>月 </w:t>
      </w:r>
      <w:r>
        <w:rPr>
          <w:rFonts w:hint="eastAsia" w:ascii="宋体" w:hAnsi="宋体" w:eastAsia="宋体" w:cs="宋体"/>
          <w:i w:val="0"/>
          <w:iCs w:val="0"/>
          <w:caps w:val="0"/>
          <w:color w:val="3A3A3A"/>
          <w:spacing w:val="0"/>
          <w:sz w:val="21"/>
          <w:szCs w:val="21"/>
          <w:u w:val="single"/>
          <w:shd w:val="clear" w:color="auto" w:fill="FFFFFF"/>
        </w:rPr>
        <w:t>      </w:t>
      </w:r>
      <w:r>
        <w:rPr>
          <w:rFonts w:hint="eastAsia" w:ascii="宋体" w:hAnsi="宋体" w:eastAsia="宋体" w:cs="宋体"/>
          <w:i w:val="0"/>
          <w:iCs w:val="0"/>
          <w:caps w:val="0"/>
          <w:color w:val="3A3A3A"/>
          <w:spacing w:val="0"/>
          <w:sz w:val="21"/>
          <w:szCs w:val="21"/>
          <w:shd w:val="clear" w:color="auto" w:fill="FFFFFF"/>
        </w:rPr>
        <w:t>日签订本合同</w:t>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t>甲方（盖章）：中国人民财产保险股份有限公司德阳市分公司</w:t>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t>法定代表人/授权代表（签字）：</w:t>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t>乙方（盖章）：</w:t>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br w:type="textWrapping"/>
      </w:r>
      <w:r>
        <w:rPr>
          <w:rFonts w:hint="eastAsia" w:ascii="宋体" w:hAnsi="宋体" w:eastAsia="宋体" w:cs="宋体"/>
          <w:i w:val="0"/>
          <w:iCs w:val="0"/>
          <w:caps w:val="0"/>
          <w:color w:val="3A3A3A"/>
          <w:spacing w:val="0"/>
          <w:sz w:val="21"/>
          <w:szCs w:val="21"/>
          <w:shd w:val="clear" w:color="auto" w:fill="FFFFFF"/>
        </w:rPr>
        <w:t>法定代表人/授权代表（签字）：</w:t>
      </w:r>
    </w:p>
    <w:p>
      <w:pPr>
        <w:pStyle w:val="2"/>
        <w:rPr>
          <w:rFonts w:hint="eastAsia" w:ascii="宋体" w:hAnsi="宋体" w:eastAsia="宋体" w:cs="宋体"/>
          <w:i w:val="0"/>
          <w:iCs w:val="0"/>
          <w:caps w:val="0"/>
          <w:color w:val="3A3A3A"/>
          <w:spacing w:val="0"/>
          <w:sz w:val="21"/>
          <w:szCs w:val="21"/>
          <w:shd w:val="clear" w:color="auto" w:fill="FFFFFF"/>
        </w:rPr>
      </w:pPr>
    </w:p>
    <w:p>
      <w:pPr>
        <w:pStyle w:val="3"/>
        <w:tabs>
          <w:tab w:val="left" w:pos="2190"/>
          <w:tab w:val="clear" w:pos="425"/>
          <w:tab w:val="clear" w:pos="4265"/>
        </w:tabs>
        <w:ind w:left="0" w:firstLine="0"/>
        <w:jc w:val="both"/>
        <w:rPr>
          <w:rFonts w:hint="eastAsia"/>
          <w:sz w:val="24"/>
          <w:szCs w:val="24"/>
        </w:rPr>
      </w:pPr>
      <w:r>
        <w:rPr>
          <w:rFonts w:hint="eastAsia"/>
          <w:sz w:val="24"/>
          <w:szCs w:val="24"/>
        </w:rPr>
        <w:t>附件一</w:t>
      </w:r>
      <w:r>
        <w:rPr>
          <w:sz w:val="24"/>
          <w:szCs w:val="24"/>
        </w:rPr>
        <w:tab/>
      </w:r>
    </w:p>
    <w:p>
      <w:pPr>
        <w:spacing w:line="360" w:lineRule="auto"/>
        <w:jc w:val="center"/>
        <w:rPr>
          <w:rFonts w:ascii="楷体" w:hAnsi="楷体" w:eastAsia="楷体" w:cs="楷体"/>
          <w:b/>
        </w:rPr>
      </w:pPr>
      <w:r>
        <w:rPr>
          <w:rFonts w:hint="eastAsia" w:ascii="楷体" w:hAnsi="楷体" w:eastAsia="楷体" w:cs="楷体"/>
          <w:b/>
        </w:rPr>
        <w:t>服务内容及要求</w:t>
      </w:r>
    </w:p>
    <w:p>
      <w:pPr>
        <w:tabs>
          <w:tab w:val="left" w:pos="165"/>
          <w:tab w:val="left" w:pos="315"/>
        </w:tabs>
        <w:spacing w:line="360" w:lineRule="auto"/>
        <w:ind w:firstLine="470"/>
        <w:jc w:val="both"/>
        <w:rPr>
          <w:rFonts w:ascii="楷体" w:hAnsi="楷体" w:eastAsia="楷体" w:cs="Arial"/>
          <w:szCs w:val="24"/>
        </w:rPr>
      </w:pPr>
    </w:p>
    <w:p>
      <w:pPr>
        <w:tabs>
          <w:tab w:val="left" w:pos="165"/>
          <w:tab w:val="left" w:pos="315"/>
        </w:tabs>
        <w:spacing w:line="360" w:lineRule="auto"/>
        <w:ind w:firstLine="470"/>
        <w:jc w:val="both"/>
        <w:rPr>
          <w:rFonts w:ascii="楷体" w:hAnsi="楷体" w:eastAsia="楷体" w:cs="Arial"/>
          <w:spacing w:val="24"/>
          <w:szCs w:val="24"/>
        </w:rPr>
      </w:pPr>
      <w:r>
        <w:rPr>
          <w:rFonts w:hint="eastAsia" w:ascii="楷体" w:hAnsi="楷体" w:eastAsia="楷体" w:cs="Arial"/>
          <w:szCs w:val="24"/>
        </w:rPr>
        <w:t>1.</w:t>
      </w:r>
      <w:r>
        <w:rPr>
          <w:rFonts w:hint="eastAsia" w:ascii="楷体" w:hAnsi="楷体" w:eastAsia="楷体" w:cs="Arial"/>
          <w:spacing w:val="24"/>
          <w:szCs w:val="24"/>
        </w:rPr>
        <w:t>项目名称</w:t>
      </w:r>
    </w:p>
    <w:p>
      <w:pPr>
        <w:spacing w:line="360" w:lineRule="auto"/>
        <w:ind w:firstLine="480"/>
        <w:jc w:val="both"/>
        <w:rPr>
          <w:rFonts w:ascii="楷体" w:hAnsi="楷体" w:eastAsia="楷体" w:cs="Arial"/>
          <w:szCs w:val="24"/>
        </w:rPr>
      </w:pPr>
      <w:r>
        <w:rPr>
          <w:rFonts w:hint="eastAsia" w:ascii="楷体" w:hAnsi="楷体" w:eastAsia="楷体" w:cs="Arial"/>
          <w:szCs w:val="24"/>
        </w:rPr>
        <w:t>项目名称：</w:t>
      </w:r>
      <w:r>
        <w:rPr>
          <w:rFonts w:hint="eastAsia" w:ascii="楷体" w:hAnsi="楷体" w:eastAsia="楷体" w:cs="Arial"/>
          <w:color w:val="FF0000"/>
          <w:szCs w:val="24"/>
          <w:lang w:val="en-US" w:eastAsia="zh-CN"/>
        </w:rPr>
        <w:t xml:space="preserve"> </w:t>
      </w:r>
      <w:r>
        <w:rPr>
          <w:rFonts w:hint="eastAsia" w:ascii="楷体" w:hAnsi="楷体" w:eastAsia="楷体" w:cs="Arial"/>
          <w:szCs w:val="24"/>
        </w:rPr>
        <w:t>。</w:t>
      </w:r>
    </w:p>
    <w:p>
      <w:pPr>
        <w:spacing w:line="360" w:lineRule="auto"/>
        <w:ind w:firstLine="480"/>
        <w:jc w:val="both"/>
        <w:rPr>
          <w:rFonts w:ascii="楷体" w:hAnsi="楷体" w:eastAsia="楷体" w:cs="Arial"/>
          <w:szCs w:val="24"/>
        </w:rPr>
      </w:pPr>
      <w:r>
        <w:rPr>
          <w:rFonts w:hint="eastAsia" w:ascii="楷体" w:hAnsi="楷体" w:eastAsia="楷体" w:cs="Arial"/>
          <w:szCs w:val="24"/>
        </w:rPr>
        <w:t>2.项目内容</w:t>
      </w:r>
    </w:p>
    <w:p>
      <w:pPr>
        <w:spacing w:line="360" w:lineRule="auto"/>
        <w:ind w:firstLine="480"/>
        <w:jc w:val="both"/>
        <w:rPr>
          <w:rFonts w:hint="eastAsia" w:ascii="楷体" w:hAnsi="楷体" w:eastAsia="楷体" w:cs="Arial"/>
          <w:szCs w:val="24"/>
        </w:rPr>
      </w:pPr>
      <w:r>
        <w:rPr>
          <w:rFonts w:hint="eastAsia" w:ascii="楷体" w:hAnsi="楷体" w:eastAsia="楷体" w:cs="Arial"/>
          <w:szCs w:val="24"/>
        </w:rPr>
        <w:t xml:space="preserve">（1）乙方向甲方提供的服务的内容：                                 </w:t>
      </w:r>
    </w:p>
    <w:p>
      <w:pPr>
        <w:spacing w:line="360" w:lineRule="auto"/>
        <w:ind w:firstLine="432"/>
        <w:jc w:val="both"/>
        <w:rPr>
          <w:rFonts w:ascii="楷体" w:hAnsi="楷体" w:eastAsia="楷体" w:cs="Arial"/>
          <w:spacing w:val="24"/>
          <w:szCs w:val="24"/>
        </w:rPr>
      </w:pPr>
      <w:r>
        <w:rPr>
          <w:rFonts w:hint="eastAsia" w:ascii="楷体" w:hAnsi="楷体" w:eastAsia="楷体" w:cs="Arial"/>
          <w:spacing w:val="24"/>
          <w:szCs w:val="24"/>
        </w:rPr>
        <w:t>（2）服务期限：</w:t>
      </w:r>
      <w:r>
        <w:rPr>
          <w:rFonts w:hint="eastAsia" w:ascii="楷体" w:hAnsi="楷体" w:eastAsia="楷体" w:cs="Arial"/>
          <w:color w:val="FF0000"/>
          <w:spacing w:val="24"/>
          <w:szCs w:val="24"/>
          <w:lang w:val="en-US" w:eastAsia="zh-CN"/>
        </w:rPr>
        <w:t xml:space="preserve"> </w:t>
      </w:r>
      <w:r>
        <w:rPr>
          <w:rFonts w:hint="eastAsia" w:ascii="楷体" w:hAnsi="楷体" w:eastAsia="楷体" w:cs="Arial"/>
          <w:spacing w:val="24"/>
          <w:szCs w:val="24"/>
        </w:rPr>
        <w:t>。</w:t>
      </w:r>
    </w:p>
    <w:p>
      <w:pPr>
        <w:spacing w:line="360" w:lineRule="auto"/>
        <w:ind w:firstLine="432"/>
        <w:jc w:val="both"/>
        <w:rPr>
          <w:rFonts w:hint="eastAsia" w:ascii="楷体" w:hAnsi="楷体" w:eastAsia="楷体" w:cs="Arial"/>
          <w:color w:val="auto"/>
          <w:szCs w:val="24"/>
        </w:rPr>
      </w:pPr>
      <w:r>
        <w:rPr>
          <w:rFonts w:hint="eastAsia" w:ascii="楷体" w:hAnsi="楷体" w:eastAsia="楷体" w:cs="Arial"/>
          <w:spacing w:val="24"/>
          <w:szCs w:val="24"/>
        </w:rPr>
        <w:t>（3）</w:t>
      </w:r>
      <w:r>
        <w:rPr>
          <w:rFonts w:hint="eastAsia" w:ascii="楷体" w:hAnsi="楷体" w:eastAsia="楷体" w:cs="Arial"/>
          <w:szCs w:val="24"/>
        </w:rPr>
        <w:t>甲方向乙方支付的合同服务</w:t>
      </w:r>
      <w:r>
        <w:rPr>
          <w:rFonts w:hint="eastAsia" w:ascii="楷体" w:hAnsi="楷体" w:eastAsia="楷体" w:cs="Arial"/>
          <w:color w:val="auto"/>
          <w:szCs w:val="24"/>
          <w:lang w:val="en-US" w:eastAsia="zh-CN"/>
        </w:rPr>
        <w:t>单价</w:t>
      </w:r>
      <w:r>
        <w:rPr>
          <w:rFonts w:hint="eastAsia" w:ascii="楷体" w:hAnsi="楷体" w:eastAsia="楷体" w:cs="Arial"/>
          <w:color w:val="auto"/>
          <w:szCs w:val="24"/>
        </w:rPr>
        <w:t>为人民币</w:t>
      </w:r>
      <w:r>
        <w:rPr>
          <w:rFonts w:hint="eastAsia" w:ascii="楷体" w:hAnsi="楷体" w:eastAsia="楷体" w:cs="Arial"/>
          <w:color w:val="auto"/>
          <w:szCs w:val="24"/>
          <w:u w:val="single"/>
          <w:lang w:val="en-US" w:eastAsia="zh-CN"/>
        </w:rPr>
        <w:t xml:space="preserve">      </w:t>
      </w:r>
      <w:r>
        <w:rPr>
          <w:rFonts w:hint="eastAsia" w:ascii="楷体" w:hAnsi="楷体" w:eastAsia="楷体" w:cs="Arial"/>
          <w:color w:val="auto"/>
          <w:szCs w:val="24"/>
        </w:rPr>
        <w:t>元（大写：</w:t>
      </w:r>
      <w:r>
        <w:rPr>
          <w:rFonts w:hint="eastAsia" w:ascii="楷体" w:hAnsi="楷体" w:eastAsia="楷体" w:cs="Arial"/>
          <w:color w:val="auto"/>
          <w:szCs w:val="24"/>
          <w:u w:val="single"/>
          <w:lang w:val="en-US" w:eastAsia="zh-CN"/>
        </w:rPr>
        <w:t xml:space="preserve">      </w:t>
      </w:r>
      <w:r>
        <w:rPr>
          <w:rFonts w:hint="eastAsia" w:ascii="楷体" w:hAnsi="楷体" w:eastAsia="楷体" w:cs="Arial"/>
          <w:color w:val="auto"/>
          <w:szCs w:val="24"/>
        </w:rPr>
        <w:t>整）。</w:t>
      </w:r>
    </w:p>
    <w:p>
      <w:pPr>
        <w:spacing w:line="360" w:lineRule="auto"/>
        <w:ind w:firstLine="840"/>
        <w:jc w:val="both"/>
        <w:rPr>
          <w:rFonts w:hint="default" w:ascii="楷体" w:hAnsi="楷体" w:eastAsia="楷体" w:cs="Arial"/>
          <w:color w:val="auto"/>
          <w:szCs w:val="24"/>
          <w:u w:val="none"/>
          <w:lang w:val="en-US" w:eastAsia="zh-CN"/>
        </w:rPr>
      </w:pPr>
      <w:r>
        <w:rPr>
          <w:rFonts w:hint="eastAsia" w:ascii="楷体" w:hAnsi="楷体" w:eastAsia="楷体" w:cs="Arial"/>
          <w:color w:val="auto"/>
          <w:szCs w:val="24"/>
          <w:lang w:val="en-US" w:eastAsia="zh-CN"/>
        </w:rPr>
        <w:t>总价</w:t>
      </w:r>
      <w:r>
        <w:rPr>
          <w:rFonts w:hint="eastAsia" w:ascii="楷体" w:hAnsi="楷体" w:eastAsia="楷体" w:cs="Arial"/>
          <w:color w:val="auto"/>
          <w:szCs w:val="24"/>
          <w:u w:val="single"/>
          <w:lang w:val="en-US" w:eastAsia="zh-CN"/>
        </w:rPr>
        <w:t xml:space="preserve">            </w:t>
      </w:r>
      <w:r>
        <w:rPr>
          <w:rFonts w:hint="eastAsia" w:ascii="楷体" w:hAnsi="楷体" w:eastAsia="楷体" w:cs="Arial"/>
          <w:color w:val="auto"/>
          <w:szCs w:val="24"/>
          <w:u w:val="none"/>
          <w:lang w:val="en-US" w:eastAsia="zh-CN"/>
        </w:rPr>
        <w:t>元（大写</w:t>
      </w:r>
      <w:r>
        <w:rPr>
          <w:rFonts w:hint="eastAsia" w:ascii="楷体" w:hAnsi="楷体" w:eastAsia="楷体" w:cs="Arial"/>
          <w:color w:val="auto"/>
          <w:szCs w:val="24"/>
          <w:u w:val="single"/>
          <w:lang w:val="en-US" w:eastAsia="zh-CN"/>
        </w:rPr>
        <w:t xml:space="preserve">                 </w:t>
      </w:r>
      <w:r>
        <w:rPr>
          <w:rFonts w:hint="eastAsia" w:ascii="楷体" w:hAnsi="楷体" w:eastAsia="楷体" w:cs="Arial"/>
          <w:color w:val="auto"/>
          <w:szCs w:val="24"/>
          <w:u w:val="none"/>
          <w:lang w:val="en-US" w:eastAsia="zh-CN"/>
        </w:rPr>
        <w:t>整）。</w:t>
      </w:r>
    </w:p>
    <w:p>
      <w:pPr>
        <w:spacing w:line="360" w:lineRule="auto"/>
        <w:ind w:firstLine="360"/>
        <w:jc w:val="both"/>
        <w:rPr>
          <w:rFonts w:ascii="楷体" w:hAnsi="楷体" w:eastAsia="楷体" w:cs="Arial"/>
          <w:spacing w:val="24"/>
          <w:szCs w:val="24"/>
        </w:rPr>
      </w:pPr>
      <w:r>
        <w:rPr>
          <w:rFonts w:hint="eastAsia" w:ascii="楷体" w:hAnsi="楷体" w:eastAsia="楷体" w:cs="Arial"/>
          <w:szCs w:val="24"/>
        </w:rPr>
        <w:t xml:space="preserve">费用包括如下项目：                                       </w:t>
      </w:r>
    </w:p>
    <w:p>
      <w:pPr>
        <w:spacing w:line="360" w:lineRule="auto"/>
        <w:ind w:firstLine="432"/>
        <w:jc w:val="both"/>
        <w:rPr>
          <w:rFonts w:ascii="楷体" w:hAnsi="楷体" w:eastAsia="楷体" w:cs="Arial"/>
          <w:spacing w:val="24"/>
          <w:szCs w:val="24"/>
        </w:rPr>
      </w:pPr>
      <w:r>
        <w:rPr>
          <w:rFonts w:hint="eastAsia" w:ascii="楷体" w:hAnsi="楷体" w:eastAsia="楷体" w:cs="Arial"/>
          <w:spacing w:val="24"/>
          <w:szCs w:val="24"/>
        </w:rPr>
        <w:t>（4）其他要求：</w:t>
      </w:r>
    </w:p>
    <w:p>
      <w:pPr>
        <w:tabs>
          <w:tab w:val="left" w:pos="165"/>
          <w:tab w:val="left" w:pos="315"/>
        </w:tabs>
        <w:spacing w:line="360" w:lineRule="auto"/>
        <w:ind w:firstLine="468"/>
        <w:jc w:val="both"/>
        <w:rPr>
          <w:rFonts w:ascii="楷体" w:hAnsi="楷体" w:eastAsia="楷体" w:cs="Arial"/>
          <w:spacing w:val="24"/>
          <w:szCs w:val="24"/>
        </w:rPr>
      </w:pPr>
      <w:r>
        <w:rPr>
          <w:rFonts w:hint="eastAsia" w:ascii="楷体" w:hAnsi="楷体" w:eastAsia="楷体" w:cs="Arial"/>
          <w:szCs w:val="24"/>
        </w:rPr>
        <w:t>3.</w:t>
      </w:r>
      <w:r>
        <w:rPr>
          <w:rFonts w:hint="eastAsia" w:ascii="楷体" w:hAnsi="楷体" w:eastAsia="楷体" w:cs="Arial"/>
          <w:spacing w:val="24"/>
          <w:szCs w:val="24"/>
        </w:rPr>
        <w:t>告知</w:t>
      </w:r>
    </w:p>
    <w:p>
      <w:pPr>
        <w:tabs>
          <w:tab w:val="left" w:pos="165"/>
          <w:tab w:val="left" w:pos="315"/>
        </w:tabs>
        <w:spacing w:line="360" w:lineRule="auto"/>
        <w:ind w:firstLine="480"/>
        <w:jc w:val="both"/>
        <w:rPr>
          <w:rFonts w:ascii="楷体" w:hAnsi="楷体" w:eastAsia="楷体" w:cs="Arial"/>
          <w:szCs w:val="24"/>
        </w:rPr>
      </w:pPr>
      <w:r>
        <w:rPr>
          <w:rFonts w:hint="eastAsia" w:ascii="楷体" w:hAnsi="楷体" w:eastAsia="楷体" w:cs="Arial"/>
          <w:szCs w:val="24"/>
        </w:rPr>
        <w:t>甲乙双方同意涉及本合同的一切事宜均以书面形式提交，双方应及时响应。</w:t>
      </w:r>
    </w:p>
    <w:p>
      <w:pPr>
        <w:tabs>
          <w:tab w:val="left" w:pos="315"/>
        </w:tabs>
        <w:spacing w:line="360" w:lineRule="auto"/>
        <w:ind w:firstLine="468"/>
        <w:jc w:val="both"/>
        <w:rPr>
          <w:rFonts w:ascii="楷体" w:hAnsi="楷体" w:eastAsia="楷体" w:cs="Arial"/>
          <w:spacing w:val="24"/>
          <w:szCs w:val="24"/>
        </w:rPr>
      </w:pPr>
      <w:r>
        <w:rPr>
          <w:rFonts w:hint="eastAsia" w:ascii="楷体" w:hAnsi="楷体" w:eastAsia="楷体" w:cs="Arial"/>
          <w:szCs w:val="24"/>
        </w:rPr>
        <w:t>4.</w:t>
      </w:r>
      <w:r>
        <w:rPr>
          <w:rFonts w:hint="eastAsia" w:ascii="楷体" w:hAnsi="楷体" w:eastAsia="楷体" w:cs="Arial"/>
          <w:spacing w:val="24"/>
          <w:szCs w:val="24"/>
        </w:rPr>
        <w:t>问题项目处理</w:t>
      </w:r>
    </w:p>
    <w:p>
      <w:pPr>
        <w:spacing w:line="360" w:lineRule="auto"/>
        <w:ind w:firstLine="480"/>
        <w:jc w:val="both"/>
        <w:rPr>
          <w:rFonts w:hint="eastAsia" w:ascii="楷体" w:hAnsi="楷体" w:eastAsia="楷体" w:cs="Arial"/>
          <w:szCs w:val="24"/>
        </w:rPr>
      </w:pPr>
      <w:r>
        <w:rPr>
          <w:rFonts w:hint="eastAsia" w:ascii="楷体" w:hAnsi="楷体" w:eastAsia="楷体" w:cs="Arial"/>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pStyle w:val="3"/>
        <w:ind w:left="0" w:firstLine="0"/>
        <w:jc w:val="both"/>
        <w:rPr>
          <w:sz w:val="24"/>
          <w:szCs w:val="24"/>
        </w:rPr>
      </w:pPr>
      <w:r>
        <w:rPr>
          <w:rFonts w:hint="eastAsia"/>
          <w:sz w:val="24"/>
          <w:szCs w:val="24"/>
        </w:rPr>
        <w:t>附件二</w:t>
      </w:r>
    </w:p>
    <w:p>
      <w:pPr>
        <w:spacing w:line="360" w:lineRule="auto"/>
        <w:jc w:val="center"/>
        <w:rPr>
          <w:rFonts w:ascii="楷体" w:hAnsi="楷体" w:eastAsia="楷体" w:cs="楷体"/>
          <w:b/>
        </w:rPr>
      </w:pPr>
      <w:r>
        <w:rPr>
          <w:rFonts w:hint="eastAsia" w:ascii="楷体" w:hAnsi="楷体" w:eastAsia="楷体" w:cs="楷体"/>
          <w:b/>
        </w:rPr>
        <w:t>付款</w:t>
      </w:r>
    </w:p>
    <w:p>
      <w:pPr>
        <w:spacing w:line="360" w:lineRule="auto"/>
        <w:ind w:left="482"/>
        <w:rPr>
          <w:rFonts w:ascii="楷体" w:hAnsi="楷体" w:eastAsia="楷体" w:cs="楷体"/>
        </w:rPr>
      </w:pPr>
    </w:p>
    <w:p>
      <w:pPr>
        <w:spacing w:line="360" w:lineRule="auto"/>
        <w:ind w:left="482"/>
        <w:rPr>
          <w:rFonts w:ascii="楷体" w:hAnsi="楷体" w:eastAsia="楷体" w:cs="楷体"/>
        </w:rPr>
      </w:pPr>
      <w:r>
        <w:rPr>
          <w:rFonts w:ascii="楷体" w:hAnsi="楷体" w:eastAsia="楷体" w:cs="楷体"/>
        </w:rPr>
        <w:t>1.</w:t>
      </w:r>
      <w:r>
        <w:rPr>
          <w:rFonts w:hint="eastAsia" w:ascii="楷体" w:hAnsi="楷体" w:eastAsia="楷体" w:cs="楷体"/>
        </w:rPr>
        <w:t>本合同使用货币种类为人民币。</w:t>
      </w:r>
    </w:p>
    <w:p>
      <w:pPr>
        <w:spacing w:line="360" w:lineRule="auto"/>
        <w:ind w:firstLine="480"/>
        <w:rPr>
          <w:rFonts w:ascii="楷体" w:hAnsi="楷体" w:eastAsia="楷体"/>
        </w:rPr>
      </w:pPr>
      <w:r>
        <w:rPr>
          <w:rFonts w:hint="eastAsia" w:ascii="楷体" w:hAnsi="楷体" w:eastAsia="楷体" w:cs="楷体"/>
        </w:rPr>
        <w:t>2</w:t>
      </w:r>
      <w:r>
        <w:rPr>
          <w:rFonts w:ascii="楷体" w:hAnsi="楷体" w:eastAsia="楷体" w:cs="楷体"/>
        </w:rPr>
        <w:t>.</w:t>
      </w:r>
      <w:r>
        <w:rPr>
          <w:rFonts w:hint="eastAsia" w:ascii="楷体" w:hAnsi="楷体" w:eastAsia="楷体"/>
        </w:rPr>
        <w:t>付款方式：双方采用转账方式付款的，甲方应向乙方以下账户进行支付：</w:t>
      </w:r>
    </w:p>
    <w:p>
      <w:pPr>
        <w:spacing w:line="360" w:lineRule="auto"/>
        <w:ind w:firstLine="480"/>
        <w:rPr>
          <w:rFonts w:ascii="楷体" w:hAnsi="楷体" w:eastAsia="楷体"/>
          <w:u w:val="single"/>
        </w:rPr>
      </w:pPr>
      <w:r>
        <w:rPr>
          <w:rFonts w:ascii="楷体" w:hAnsi="楷体" w:eastAsia="楷体"/>
        </w:rPr>
        <w:tab/>
      </w:r>
      <w:r>
        <w:rPr>
          <w:rFonts w:hint="eastAsia" w:ascii="楷体" w:hAnsi="楷体" w:eastAsia="楷体"/>
        </w:rPr>
        <w:t>乙方：</w:t>
      </w:r>
    </w:p>
    <w:p>
      <w:pPr>
        <w:spacing w:line="360" w:lineRule="auto"/>
        <w:ind w:firstLine="480"/>
        <w:rPr>
          <w:rFonts w:ascii="楷体" w:hAnsi="楷体" w:eastAsia="楷体"/>
          <w:u w:val="single"/>
        </w:rPr>
      </w:pPr>
      <w:r>
        <w:rPr>
          <w:rFonts w:ascii="楷体" w:hAnsi="楷体" w:eastAsia="楷体"/>
        </w:rPr>
        <w:tab/>
      </w:r>
      <w:r>
        <w:rPr>
          <w:rFonts w:ascii="楷体" w:hAnsi="楷体" w:eastAsia="楷体"/>
        </w:rPr>
        <w:t>开户行：</w:t>
      </w:r>
    </w:p>
    <w:p>
      <w:pPr>
        <w:spacing w:line="360" w:lineRule="auto"/>
        <w:ind w:firstLine="480"/>
        <w:rPr>
          <w:rFonts w:ascii="楷体" w:hAnsi="楷体" w:eastAsia="楷体"/>
          <w:u w:val="single"/>
        </w:rPr>
      </w:pPr>
      <w:r>
        <w:rPr>
          <w:rFonts w:ascii="楷体" w:hAnsi="楷体" w:eastAsia="楷体"/>
        </w:rPr>
        <w:tab/>
      </w:r>
      <w:r>
        <w:rPr>
          <w:rFonts w:ascii="楷体" w:hAnsi="楷体" w:eastAsia="楷体"/>
        </w:rPr>
        <w:t>账户名称：</w:t>
      </w:r>
    </w:p>
    <w:p>
      <w:pPr>
        <w:spacing w:line="360" w:lineRule="auto"/>
        <w:ind w:firstLine="480"/>
        <w:rPr>
          <w:rFonts w:ascii="楷体" w:hAnsi="楷体" w:eastAsia="楷体"/>
          <w:u w:val="single"/>
        </w:rPr>
      </w:pPr>
      <w:r>
        <w:rPr>
          <w:rFonts w:ascii="楷体" w:hAnsi="楷体" w:eastAsia="楷体"/>
        </w:rPr>
        <w:tab/>
      </w:r>
      <w:r>
        <w:rPr>
          <w:rFonts w:ascii="楷体" w:hAnsi="楷体" w:eastAsia="楷体"/>
        </w:rPr>
        <w:t>账号：</w:t>
      </w:r>
    </w:p>
    <w:p>
      <w:pPr>
        <w:ind w:firstLine="480"/>
        <w:rPr>
          <w:rFonts w:ascii="楷体" w:hAnsi="楷体" w:eastAsia="楷体"/>
        </w:rPr>
      </w:pPr>
      <w:r>
        <w:rPr>
          <w:rFonts w:hint="eastAsia" w:ascii="楷体" w:hAnsi="楷体" w:eastAsia="楷体"/>
        </w:rPr>
        <w:t>乙方如需改变上述账户，应提前</w:t>
      </w:r>
      <w:r>
        <w:rPr>
          <w:rFonts w:ascii="楷体" w:hAnsi="楷体" w:eastAsia="楷体"/>
        </w:rPr>
        <w:t>10</w:t>
      </w:r>
      <w:r>
        <w:rPr>
          <w:rFonts w:hint="eastAsia" w:ascii="楷体" w:hAnsi="楷体" w:eastAsia="楷体"/>
        </w:rPr>
        <w:t>日以书面通知甲方。</w:t>
      </w:r>
    </w:p>
    <w:p>
      <w:pPr>
        <w:spacing w:line="360" w:lineRule="auto"/>
        <w:ind w:firstLine="480"/>
        <w:jc w:val="both"/>
        <w:rPr>
          <w:rFonts w:ascii="楷体" w:hAnsi="楷体" w:eastAsia="楷体" w:cs="Arial"/>
          <w:szCs w:val="24"/>
        </w:rPr>
      </w:pPr>
      <w:r>
        <w:rPr>
          <w:rFonts w:hint="eastAsia" w:ascii="楷体" w:hAnsi="楷体" w:eastAsia="楷体" w:cs="Arial"/>
          <w:szCs w:val="24"/>
        </w:rPr>
        <w:t>3.付款安排</w:t>
      </w:r>
    </w:p>
    <w:p>
      <w:pPr>
        <w:spacing w:line="360" w:lineRule="auto"/>
        <w:ind w:firstLine="480"/>
        <w:jc w:val="both"/>
        <w:rPr>
          <w:rFonts w:ascii="楷体" w:hAnsi="楷体" w:eastAsia="楷体" w:cs="Arial"/>
          <w:szCs w:val="24"/>
        </w:rPr>
      </w:pPr>
      <w:r>
        <w:rPr>
          <w:rFonts w:hint="eastAsia" w:ascii="楷体" w:hAnsi="楷体" w:eastAsia="楷体" w:cs="Arial"/>
          <w:szCs w:val="24"/>
        </w:rPr>
        <w:t>本合同生效后，项目各阶段全部实施完毕后，甲方依据第五条的约定对项目各阶段的整体服务水平和服务质量进行验收，</w:t>
      </w:r>
      <w:r>
        <w:rPr>
          <w:rFonts w:hint="eastAsia" w:ascii="楷体" w:hAnsi="楷体" w:eastAsia="楷体" w:cs="Arial"/>
          <w:szCs w:val="24"/>
          <w:lang w:val="en-US" w:eastAsia="zh-CN"/>
        </w:rPr>
        <w:t>验收合格后</w:t>
      </w:r>
      <w:r>
        <w:rPr>
          <w:rFonts w:hint="eastAsia" w:ascii="楷体" w:hAnsi="楷体" w:eastAsia="楷体" w:cs="Arial"/>
          <w:szCs w:val="24"/>
        </w:rPr>
        <w:t>甲方向乙方付款，</w:t>
      </w:r>
      <w:r>
        <w:rPr>
          <w:rFonts w:hint="eastAsia" w:ascii="楷体" w:hAnsi="楷体" w:eastAsia="楷体" w:cs="Arial"/>
          <w:szCs w:val="24"/>
          <w:lang w:val="en-US" w:eastAsia="zh-CN"/>
        </w:rPr>
        <w:t>乙方</w:t>
      </w:r>
      <w:r>
        <w:rPr>
          <w:rFonts w:hint="eastAsia" w:ascii="楷体" w:hAnsi="楷体" w:eastAsia="楷体" w:cs="Arial"/>
          <w:szCs w:val="24"/>
        </w:rPr>
        <w:t>出具合法有效的增值税专用发票:</w:t>
      </w:r>
    </w:p>
    <w:p>
      <w:pPr>
        <w:spacing w:line="360" w:lineRule="auto"/>
        <w:ind w:firstLine="480"/>
        <w:jc w:val="both"/>
        <w:rPr>
          <w:rFonts w:ascii="楷体" w:hAnsi="楷体" w:eastAsia="楷体" w:cs="Arial"/>
          <w:szCs w:val="24"/>
        </w:rPr>
      </w:pPr>
      <w:r>
        <w:rPr>
          <w:rFonts w:hint="eastAsia" w:ascii="楷体" w:hAnsi="楷体" w:eastAsia="楷体" w:cs="Arial"/>
          <w:szCs w:val="24"/>
        </w:rPr>
        <w:t>4.增值税专用发票的相关约定</w:t>
      </w:r>
    </w:p>
    <w:p>
      <w:pPr>
        <w:spacing w:line="360" w:lineRule="auto"/>
        <w:ind w:firstLine="470"/>
        <w:jc w:val="both"/>
        <w:rPr>
          <w:rFonts w:ascii="楷体" w:hAnsi="楷体" w:eastAsia="楷体" w:cs="Arial"/>
          <w:szCs w:val="24"/>
        </w:rPr>
      </w:pPr>
      <w:r>
        <w:rPr>
          <w:rFonts w:hint="eastAsia" w:ascii="楷体" w:hAnsi="楷体" w:eastAsia="楷体" w:cs="Arial"/>
          <w:szCs w:val="24"/>
        </w:rPr>
        <w:t xml:space="preserve">（1）乙方应向甲方开具增值税专用发票，甲方开票信息如下： </w:t>
      </w:r>
    </w:p>
    <w:p>
      <w:pPr>
        <w:spacing w:line="360" w:lineRule="auto"/>
        <w:ind w:firstLine="470"/>
        <w:jc w:val="both"/>
        <w:rPr>
          <w:rFonts w:ascii="楷体" w:hAnsi="楷体" w:eastAsia="楷体" w:cs="Arial"/>
          <w:szCs w:val="24"/>
        </w:rPr>
      </w:pPr>
      <w:r>
        <w:rPr>
          <w:rFonts w:hint="eastAsia" w:ascii="楷体" w:hAnsi="楷体" w:eastAsia="楷体" w:cs="Arial"/>
          <w:szCs w:val="24"/>
        </w:rPr>
        <w:t xml:space="preserve">公司名称： </w:t>
      </w:r>
      <w:r>
        <w:rPr>
          <w:rFonts w:ascii="楷体" w:hAnsi="楷体" w:eastAsia="楷体" w:cs="Arial"/>
          <w:szCs w:val="24"/>
        </w:rPr>
        <w:t>_______________________________</w:t>
      </w:r>
    </w:p>
    <w:p>
      <w:pPr>
        <w:spacing w:line="360" w:lineRule="auto"/>
        <w:ind w:firstLine="470"/>
        <w:jc w:val="both"/>
        <w:rPr>
          <w:rFonts w:ascii="楷体" w:hAnsi="楷体" w:eastAsia="楷体" w:cs="Arial"/>
          <w:szCs w:val="24"/>
        </w:rPr>
      </w:pPr>
      <w:r>
        <w:rPr>
          <w:rFonts w:hint="eastAsia" w:ascii="楷体" w:hAnsi="楷体" w:eastAsia="楷体" w:cs="Arial"/>
          <w:szCs w:val="24"/>
        </w:rPr>
        <w:t xml:space="preserve">纳税识别号： </w:t>
      </w:r>
      <w:r>
        <w:rPr>
          <w:rFonts w:ascii="楷体" w:hAnsi="楷体" w:eastAsia="楷体" w:cs="Arial"/>
          <w:szCs w:val="24"/>
        </w:rPr>
        <w:t>_____________________________</w:t>
      </w:r>
    </w:p>
    <w:p>
      <w:pPr>
        <w:spacing w:line="360" w:lineRule="auto"/>
        <w:ind w:firstLine="470"/>
        <w:jc w:val="both"/>
        <w:rPr>
          <w:rFonts w:ascii="楷体" w:hAnsi="楷体" w:eastAsia="楷体" w:cs="Arial"/>
          <w:szCs w:val="24"/>
        </w:rPr>
      </w:pPr>
      <w:r>
        <w:rPr>
          <w:rFonts w:hint="eastAsia" w:ascii="楷体" w:hAnsi="楷体" w:eastAsia="楷体" w:cs="Arial"/>
          <w:szCs w:val="24"/>
        </w:rPr>
        <w:t xml:space="preserve">银行账号： </w:t>
      </w:r>
      <w:r>
        <w:rPr>
          <w:rFonts w:ascii="楷体" w:hAnsi="楷体" w:eastAsia="楷体" w:cs="Arial"/>
          <w:szCs w:val="24"/>
        </w:rPr>
        <w:t>_______________________________</w:t>
      </w:r>
    </w:p>
    <w:p>
      <w:pPr>
        <w:spacing w:line="360" w:lineRule="auto"/>
        <w:ind w:firstLine="470"/>
        <w:jc w:val="both"/>
        <w:rPr>
          <w:rFonts w:ascii="楷体" w:hAnsi="楷体" w:eastAsia="楷体" w:cs="Arial"/>
          <w:szCs w:val="24"/>
        </w:rPr>
      </w:pPr>
      <w:r>
        <w:rPr>
          <w:rFonts w:hint="eastAsia" w:ascii="楷体" w:hAnsi="楷体" w:eastAsia="楷体" w:cs="Arial"/>
          <w:szCs w:val="24"/>
        </w:rPr>
        <w:t xml:space="preserve">开户银行： </w:t>
      </w:r>
      <w:r>
        <w:rPr>
          <w:rFonts w:ascii="楷体" w:hAnsi="楷体" w:eastAsia="楷体" w:cs="Arial"/>
          <w:szCs w:val="24"/>
        </w:rPr>
        <w:t>_______________________________</w:t>
      </w:r>
    </w:p>
    <w:p>
      <w:pPr>
        <w:spacing w:line="360" w:lineRule="auto"/>
        <w:ind w:firstLine="470"/>
        <w:jc w:val="both"/>
        <w:rPr>
          <w:rFonts w:ascii="楷体" w:hAnsi="楷体" w:eastAsia="楷体" w:cs="Arial"/>
          <w:szCs w:val="24"/>
        </w:rPr>
      </w:pPr>
      <w:r>
        <w:rPr>
          <w:rFonts w:hint="eastAsia" w:ascii="楷体" w:hAnsi="楷体" w:eastAsia="楷体" w:cs="Arial"/>
          <w:szCs w:val="24"/>
        </w:rPr>
        <w:t xml:space="preserve">开票地址： </w:t>
      </w:r>
      <w:r>
        <w:rPr>
          <w:rFonts w:ascii="楷体" w:hAnsi="楷体" w:eastAsia="楷体" w:cs="Arial"/>
          <w:szCs w:val="24"/>
        </w:rPr>
        <w:t>_______________________________</w:t>
      </w:r>
    </w:p>
    <w:p>
      <w:pPr>
        <w:spacing w:line="360" w:lineRule="auto"/>
        <w:ind w:firstLine="470"/>
        <w:jc w:val="both"/>
        <w:rPr>
          <w:rFonts w:ascii="楷体" w:hAnsi="楷体" w:eastAsia="楷体" w:cs="Arial"/>
          <w:szCs w:val="24"/>
        </w:rPr>
      </w:pPr>
      <w:r>
        <w:rPr>
          <w:rFonts w:hint="eastAsia" w:ascii="楷体" w:hAnsi="楷体" w:eastAsia="楷体" w:cs="Arial"/>
          <w:szCs w:val="24"/>
        </w:rPr>
        <w:t xml:space="preserve">开票电话： </w:t>
      </w:r>
      <w:r>
        <w:rPr>
          <w:rFonts w:ascii="楷体" w:hAnsi="楷体" w:eastAsia="楷体" w:cs="Arial"/>
          <w:szCs w:val="24"/>
        </w:rPr>
        <w:t>_______________________________</w:t>
      </w:r>
    </w:p>
    <w:p>
      <w:pPr>
        <w:spacing w:line="360" w:lineRule="auto"/>
        <w:ind w:firstLine="470"/>
        <w:jc w:val="both"/>
        <w:rPr>
          <w:rFonts w:ascii="楷体" w:hAnsi="楷体" w:eastAsia="楷体" w:cs="Arial"/>
          <w:szCs w:val="24"/>
        </w:rPr>
      </w:pPr>
      <w:r>
        <w:rPr>
          <w:rFonts w:hint="eastAsia" w:ascii="楷体" w:hAnsi="楷体" w:eastAsia="楷体" w:cs="Arial"/>
          <w:szCs w:val="24"/>
        </w:rPr>
        <w:t>（2）乙方同时向甲方公司及其分支机构提供产品及服务的，双方应在合同中约定甲方的分支机构和对应的价款。乙方应分别对清单中的费用承担方开具相应金额的增值税专用发票；</w:t>
      </w:r>
    </w:p>
    <w:p>
      <w:pPr>
        <w:spacing w:line="360" w:lineRule="auto"/>
        <w:ind w:firstLine="470"/>
        <w:jc w:val="both"/>
        <w:rPr>
          <w:rFonts w:ascii="楷体" w:hAnsi="楷体" w:eastAsia="楷体" w:cs="Arial"/>
          <w:szCs w:val="24"/>
        </w:rPr>
      </w:pPr>
      <w:r>
        <w:rPr>
          <w:rFonts w:hint="eastAsia" w:ascii="楷体" w:hAnsi="楷体" w:eastAsia="楷体" w:cs="Arial"/>
          <w:szCs w:val="24"/>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rPr>
        <w:t>乙方开具并提交甲方的增值税专用发票的价税合计金额应与甲方已经支付的价税合计款项保持一致</w:t>
      </w:r>
      <w:r>
        <w:rPr>
          <w:rFonts w:hint="eastAsia" w:ascii="楷体" w:hAnsi="楷体" w:eastAsia="楷体" w:cs="Arial"/>
          <w:szCs w:val="24"/>
        </w:rPr>
        <w:t xml:space="preserve">； </w:t>
      </w:r>
    </w:p>
    <w:p>
      <w:pPr>
        <w:spacing w:line="360" w:lineRule="auto"/>
        <w:ind w:firstLine="470"/>
        <w:jc w:val="both"/>
        <w:rPr>
          <w:rFonts w:ascii="楷体" w:hAnsi="楷体" w:eastAsia="楷体" w:cs="Arial"/>
          <w:szCs w:val="24"/>
        </w:rPr>
      </w:pPr>
      <w:r>
        <w:rPr>
          <w:rFonts w:hint="eastAsia" w:ascii="楷体" w:hAnsi="楷体" w:eastAsia="楷体" w:cs="Arial"/>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pacing w:line="360" w:lineRule="auto"/>
        <w:ind w:firstLine="470"/>
        <w:jc w:val="both"/>
        <w:rPr>
          <w:rFonts w:ascii="楷体" w:hAnsi="楷体" w:eastAsia="楷体" w:cs="Arial"/>
          <w:szCs w:val="24"/>
        </w:rPr>
      </w:pPr>
      <w:r>
        <w:rPr>
          <w:rFonts w:hint="eastAsia" w:ascii="楷体" w:hAnsi="楷体" w:eastAsia="楷体" w:cs="Arial"/>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70"/>
        <w:jc w:val="both"/>
        <w:rPr>
          <w:rFonts w:ascii="楷体" w:hAnsi="楷体" w:eastAsia="楷体" w:cs="Arial"/>
          <w:szCs w:val="24"/>
        </w:rPr>
      </w:pPr>
      <w:r>
        <w:rPr>
          <w:rFonts w:hint="eastAsia" w:ascii="楷体" w:hAnsi="楷体" w:eastAsia="楷体" w:cs="Arial"/>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470"/>
        <w:jc w:val="both"/>
        <w:rPr>
          <w:rFonts w:hint="eastAsia"/>
        </w:rPr>
      </w:pPr>
      <w:r>
        <w:rPr>
          <w:rFonts w:hint="eastAsia" w:ascii="楷体" w:hAnsi="楷体" w:eastAsia="楷体" w:cs="Arial"/>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3"/>
        <w:ind w:left="0" w:firstLine="0"/>
        <w:jc w:val="both"/>
        <w:rPr>
          <w:sz w:val="24"/>
          <w:szCs w:val="24"/>
        </w:rPr>
      </w:pPr>
      <w:r>
        <w:rPr>
          <w:rFonts w:hint="eastAsia"/>
          <w:sz w:val="24"/>
          <w:szCs w:val="24"/>
        </w:rPr>
        <w:t>附件三</w:t>
      </w:r>
    </w:p>
    <w:p>
      <w:pPr>
        <w:spacing w:line="360" w:lineRule="auto"/>
        <w:jc w:val="center"/>
        <w:rPr>
          <w:rFonts w:ascii="楷体" w:hAnsi="楷体" w:eastAsia="楷体" w:cs="楷体"/>
          <w:b/>
        </w:rPr>
      </w:pPr>
      <w:r>
        <w:rPr>
          <w:rFonts w:hint="eastAsia" w:ascii="楷体" w:hAnsi="楷体" w:eastAsia="楷体" w:cs="楷体"/>
          <w:b/>
        </w:rPr>
        <w:t>双方的权利和义务</w:t>
      </w:r>
    </w:p>
    <w:p>
      <w:pPr>
        <w:spacing w:line="360" w:lineRule="auto"/>
        <w:ind w:firstLine="482"/>
        <w:jc w:val="both"/>
        <w:rPr>
          <w:rFonts w:ascii="楷体" w:hAnsi="楷体" w:eastAsia="楷体" w:cs="Arial"/>
          <w:b/>
          <w:szCs w:val="24"/>
        </w:rPr>
      </w:pPr>
    </w:p>
    <w:p>
      <w:pPr>
        <w:spacing w:line="360" w:lineRule="auto"/>
        <w:ind w:firstLine="480"/>
        <w:jc w:val="both"/>
        <w:rPr>
          <w:rFonts w:ascii="楷体" w:hAnsi="楷体" w:eastAsia="楷体" w:cs="Arial"/>
          <w:szCs w:val="24"/>
        </w:rPr>
      </w:pPr>
      <w:r>
        <w:rPr>
          <w:rFonts w:hint="eastAsia" w:ascii="楷体" w:hAnsi="楷体" w:eastAsia="楷体" w:cs="Arial"/>
          <w:szCs w:val="24"/>
        </w:rPr>
        <w:t>1.甲方的权利和义务</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209" w:right="0" w:firstLine="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sz w:val="21"/>
          <w:szCs w:val="21"/>
          <w:shd w:val="clear" w:color="auto" w:fill="FFFFFF"/>
          <w:lang w:val="en-US" w:eastAsia="zh-CN" w:bidi="ar"/>
        </w:rPr>
        <w:t>（1）甲方有权获得本合同项下乙方应提供的全部合格的服务；</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（2）甲方有权在合同期内对乙方的产品及服务进行监督；</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（3）乙方未按照合同约定履行义务的，甲方有权采取相应的措施；</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（4）甲方应按照合同约定向乙方支付合同价款；</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（5）甲方享有其它双方约定的权利、承担其它双方约定的义务。</w:t>
      </w:r>
    </w:p>
    <w:p>
      <w:pPr>
        <w:spacing w:line="360" w:lineRule="auto"/>
        <w:ind w:firstLine="576"/>
        <w:jc w:val="both"/>
        <w:rPr>
          <w:rFonts w:ascii="楷体" w:hAnsi="楷体" w:eastAsia="楷体" w:cs="Arial"/>
          <w:spacing w:val="24"/>
          <w:szCs w:val="24"/>
        </w:rPr>
      </w:pPr>
    </w:p>
    <w:p>
      <w:pPr>
        <w:spacing w:line="360" w:lineRule="auto"/>
        <w:ind w:firstLine="480"/>
        <w:jc w:val="both"/>
        <w:rPr>
          <w:rFonts w:ascii="楷体" w:hAnsi="楷体" w:eastAsia="楷体" w:cs="Arial"/>
          <w:szCs w:val="24"/>
        </w:rPr>
      </w:pPr>
      <w:r>
        <w:rPr>
          <w:rFonts w:hint="eastAsia" w:ascii="楷体" w:hAnsi="楷体" w:eastAsia="楷体" w:cs="Arial"/>
          <w:szCs w:val="24"/>
        </w:rPr>
        <w:t>2.乙方的权利和义务</w:t>
      </w:r>
    </w:p>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600" w:lineRule="atLeast"/>
        <w:ind w:left="209" w:right="0" w:firstLine="0"/>
        <w:jc w:val="left"/>
        <w:rPr>
          <w:rFonts w:hint="eastAsia"/>
        </w:rPr>
      </w:pPr>
      <w:r>
        <w:rPr>
          <w:rFonts w:hint="eastAsia" w:ascii="宋体" w:hAnsi="宋体" w:eastAsia="宋体" w:cs="宋体"/>
          <w:i w:val="0"/>
          <w:iCs w:val="0"/>
          <w:caps w:val="0"/>
          <w:color w:val="3A3A3A"/>
          <w:spacing w:val="0"/>
          <w:sz w:val="21"/>
          <w:szCs w:val="21"/>
          <w:shd w:val="clear" w:color="auto" w:fill="FFFFFF"/>
          <w:lang w:val="en-US" w:eastAsia="zh-CN" w:bidi="ar"/>
        </w:rPr>
        <w:t>（1）乙方有权获得甲方支付的合同价款；</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（2）乙方应按照合同约定向甲方提供全部合格的服务；</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（3）乙方应当按照合同约定的期限及要求完成项目内容；</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i w:val="0"/>
          <w:iCs w:val="0"/>
          <w:caps w:val="0"/>
          <w:color w:val="3A3A3A"/>
          <w:spacing w:val="0"/>
          <w:sz w:val="21"/>
          <w:szCs w:val="21"/>
          <w:shd w:val="clear" w:color="auto" w:fill="FFFFFF"/>
          <w:lang w:val="en-US" w:eastAsia="zh-CN" w:bidi="ar"/>
        </w:rPr>
        <w:br w:type="textWrapping"/>
      </w:r>
      <w:r>
        <w:rPr>
          <w:rFonts w:hint="eastAsia" w:ascii="宋体" w:hAnsi="宋体" w:eastAsia="宋体" w:cs="宋体"/>
          <w:i w:val="0"/>
          <w:iCs w:val="0"/>
          <w:caps w:val="0"/>
          <w:color w:val="3A3A3A"/>
          <w:spacing w:val="0"/>
          <w:sz w:val="21"/>
          <w:szCs w:val="21"/>
          <w:shd w:val="clear" w:color="auto" w:fill="FFFFFF"/>
          <w:lang w:val="en-US" w:eastAsia="zh-CN" w:bidi="ar"/>
        </w:rPr>
        <w:t>（5）乙方享有其它双方约定的权利、承担其它双方约定的义务。</w:t>
      </w:r>
    </w:p>
    <w:p>
      <w:pPr>
        <w:pStyle w:val="3"/>
        <w:ind w:left="0" w:firstLine="0"/>
        <w:jc w:val="both"/>
        <w:rPr>
          <w:rFonts w:hint="eastAsia"/>
        </w:rPr>
      </w:pPr>
    </w:p>
    <w:p>
      <w:pPr>
        <w:pStyle w:val="3"/>
        <w:ind w:left="0" w:firstLine="0"/>
        <w:jc w:val="both"/>
        <w:rPr>
          <w:sz w:val="24"/>
          <w:szCs w:val="24"/>
        </w:rPr>
      </w:pPr>
      <w:r>
        <w:rPr>
          <w:rFonts w:hint="eastAsia"/>
          <w:sz w:val="24"/>
          <w:szCs w:val="24"/>
        </w:rPr>
        <w:t>附件四</w:t>
      </w:r>
    </w:p>
    <w:p>
      <w:pPr>
        <w:spacing w:line="360" w:lineRule="auto"/>
        <w:jc w:val="center"/>
        <w:rPr>
          <w:rFonts w:ascii="楷体" w:hAnsi="楷体" w:eastAsia="楷体"/>
          <w:b/>
        </w:rPr>
      </w:pPr>
      <w:r>
        <w:rPr>
          <w:rFonts w:hint="eastAsia" w:ascii="楷体" w:hAnsi="楷体" w:eastAsia="楷体"/>
          <w:b/>
        </w:rPr>
        <w:t>违约责任</w:t>
      </w:r>
    </w:p>
    <w:p>
      <w:pPr>
        <w:spacing w:line="360" w:lineRule="auto"/>
        <w:ind w:firstLine="480"/>
        <w:rPr>
          <w:rFonts w:ascii="楷体" w:hAnsi="楷体" w:eastAsia="楷体"/>
        </w:rPr>
      </w:pPr>
    </w:p>
    <w:p>
      <w:pPr>
        <w:spacing w:line="360" w:lineRule="auto"/>
        <w:ind w:firstLine="480"/>
        <w:rPr>
          <w:rFonts w:hint="eastAsia" w:ascii="楷体" w:hAnsi="楷体" w:eastAsia="楷体"/>
          <w:lang w:eastAsia="zh-CN"/>
        </w:rPr>
      </w:pPr>
      <w:r>
        <w:rPr>
          <w:rFonts w:hint="eastAsia" w:ascii="楷体" w:hAnsi="楷体" w:eastAsia="楷体"/>
          <w:lang w:val="en-US" w:eastAsia="zh-CN"/>
        </w:rPr>
        <w:t>以</w:t>
      </w:r>
      <w:r>
        <w:rPr>
          <w:rFonts w:hint="eastAsia" w:ascii="楷体" w:hAnsi="楷体" w:eastAsia="楷体"/>
        </w:rPr>
        <w:t>合同约定的违约责任</w:t>
      </w:r>
      <w:r>
        <w:rPr>
          <w:rFonts w:hint="eastAsia" w:ascii="楷体" w:hAnsi="楷体" w:eastAsia="楷体"/>
          <w:lang w:val="en-US" w:eastAsia="zh-CN"/>
        </w:rPr>
        <w:t>为准。</w:t>
      </w:r>
    </w:p>
    <w:p>
      <w:pPr>
        <w:rPr>
          <w:rFonts w:hint="eastAsia"/>
        </w:rPr>
      </w:pPr>
    </w:p>
    <w:p>
      <w:pPr>
        <w:pStyle w:val="3"/>
        <w:ind w:left="0" w:firstLine="0"/>
        <w:jc w:val="both"/>
        <w:rPr>
          <w:rFonts w:hint="eastAsia" w:ascii="Times New Roman" w:hAnsi="Times New Roman" w:cs="Times New Roman"/>
          <w:sz w:val="24"/>
          <w:szCs w:val="24"/>
          <w:lang w:eastAsia="zh-CN"/>
        </w:rPr>
      </w:pPr>
      <w:r>
        <w:rPr>
          <w:rFonts w:hint="eastAsia" w:ascii="Times New Roman" w:hAnsi="Times New Roman" w:cs="Times New Roman"/>
          <w:sz w:val="24"/>
          <w:szCs w:val="24"/>
        </w:rPr>
        <w:t>附件</w:t>
      </w:r>
      <w:r>
        <w:rPr>
          <w:rFonts w:hint="eastAsia" w:ascii="Times New Roman" w:hAnsi="Times New Roman" w:cs="Times New Roman"/>
          <w:sz w:val="24"/>
          <w:szCs w:val="24"/>
          <w:lang w:val="en-US" w:eastAsia="zh-CN"/>
        </w:rPr>
        <w:t>五</w:t>
      </w:r>
    </w:p>
    <w:p>
      <w:pPr>
        <w:keepNext w:val="0"/>
        <w:keepLines w:val="0"/>
        <w:widowControl w:val="0"/>
        <w:suppressLineNumbers w:val="0"/>
        <w:spacing w:before="312" w:beforeAutospacing="0" w:after="312" w:afterAutospacing="0" w:line="300" w:lineRule="auto"/>
        <w:ind w:left="0" w:right="0"/>
        <w:jc w:val="center"/>
        <w:rPr>
          <w:rFonts w:hint="eastAsia" w:ascii="楷体" w:hAnsi="楷体" w:eastAsia="楷体" w:cs="楷体"/>
          <w:b/>
          <w:bCs/>
          <w:spacing w:val="20"/>
          <w:sz w:val="28"/>
          <w:szCs w:val="28"/>
          <w:lang w:val="en-US"/>
        </w:rPr>
      </w:pPr>
      <w:r>
        <w:rPr>
          <w:rFonts w:hint="eastAsia" w:ascii="楷体" w:hAnsi="楷体" w:eastAsia="楷体" w:cs="楷体"/>
          <w:b/>
          <w:bCs/>
          <w:spacing w:val="20"/>
          <w:sz w:val="28"/>
          <w:szCs w:val="28"/>
          <w:lang w:val="en-US" w:eastAsia="zh-CN" w:bidi="ar"/>
        </w:rPr>
        <w:t>廉洁诚信协议</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第一条  总则</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（1）一方或其关联方之工作人员；</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（2）受一方委托办理相关事务的单位或者个人；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（4）前述相关人员的亲属；</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（5）与前述相关主体存在利害关系的其他单位或者人员。</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第二条  商业贿赂</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2.3本条第1款所称其他形式，包括但不限于：</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（6）向甲方或甲方相关主体提供借款、融资、担保等；</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（7）给予或承诺给予其不正当利益的其他行为；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（8）其他违反国家法律法规或商业道德准则的影响公正交易的行为。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第三条  回扣</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3.3乙方在账外暗中给予甲方相关主体回扣的，视为实施商业贿赂行为。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第四条  折扣</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4.4乙方违反本条约定的，视为实施商业贿赂行为。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第五条  宴请与游玩活动</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5.3乙方违反本条约定的，视为实施商业贿赂行为。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第六条  禁止行为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（1）报销甲方相关主体的私人费用；</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（2）提供超过宴请标准的宴请或娱乐活动；</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（3）介绍甲方相关主体亲友到乙方处工作；</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（6）向甲方相关主体提供借款、融资、担保等；</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第七条  乙方承诺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乙方承诺在双方的商务接洽、合同关系、交易过程中遵守如下要求：</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7.1 避免利害关系</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7.2 恪守廉洁自律原则</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7.3 恪守诚实信用原则</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7.4 确保信息公开透明</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7.5 积极配合监督举报</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7.6 加强内部廉洁管理</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第八条  违约责任</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8.3 如乙方违反本协议任何约定或承诺，</w:t>
      </w:r>
      <w:r>
        <w:rPr>
          <w:rFonts w:hint="eastAsia" w:ascii="楷体" w:hAnsi="楷体" w:eastAsia="楷体" w:cs="楷体"/>
          <w:b/>
          <w:bCs/>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8.4</w:t>
      </w:r>
      <w:r>
        <w:rPr>
          <w:rFonts w:hint="eastAsia" w:ascii="楷体" w:hAnsi="楷体" w:eastAsia="楷体" w:cs="楷体"/>
          <w:b/>
          <w:bCs/>
          <w:sz w:val="24"/>
          <w:szCs w:val="24"/>
          <w:lang w:val="en-US" w:eastAsia="zh-CN" w:bidi="ar"/>
        </w:rPr>
        <w:t>甲方及甲方子公司按照前述条款要求乙方承担赔偿责任的，</w:t>
      </w:r>
      <w:r>
        <w:rPr>
          <w:rFonts w:hint="eastAsia" w:ascii="楷体" w:hAnsi="楷体" w:eastAsia="楷体" w:cs="楷体"/>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第九条  附则</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9.5本协议长期有效。</w:t>
      </w:r>
    </w:p>
    <w:p>
      <w:pPr>
        <w:pStyle w:val="2"/>
        <w:rPr>
          <w:rFonts w:hint="eastAsia" w:ascii="宋体" w:hAnsi="宋体" w:eastAsia="宋体" w:cs="宋体"/>
          <w:i w:val="0"/>
          <w:iCs w:val="0"/>
          <w:caps w:val="0"/>
          <w:color w:val="3A3A3A"/>
          <w:spacing w:val="0"/>
          <w:sz w:val="21"/>
          <w:szCs w:val="21"/>
          <w:shd w:val="clear" w:color="auto" w:fill="FFFFFF"/>
        </w:rPr>
        <w:sectPr>
          <w:footerReference r:id="rId7" w:type="default"/>
          <w:pgSz w:w="11906" w:h="16838"/>
          <w:pgMar w:top="1417" w:right="1134" w:bottom="1134" w:left="1134" w:header="851" w:footer="992" w:gutter="0"/>
          <w:cols w:space="720" w:num="1"/>
          <w:titlePg/>
        </w:sectPr>
      </w:pPr>
    </w:p>
    <w:p>
      <w:pPr>
        <w:pStyle w:val="3"/>
        <w:pageBreakBefore/>
        <w:ind w:left="0" w:firstLine="3064"/>
        <w:jc w:val="left"/>
        <w:rPr>
          <w:rFonts w:ascii="仿宋_GB2312" w:hAnsi="宋体" w:eastAsia="仿宋_GB2312"/>
          <w:color w:val="auto"/>
          <w:sz w:val="28"/>
          <w:szCs w:val="28"/>
        </w:rPr>
      </w:pPr>
      <w:bookmarkStart w:id="124" w:name="_Toc4181"/>
      <w:bookmarkStart w:id="125" w:name="_Toc186737811"/>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pPr>
        <w:numPr>
          <w:ilvl w:val="0"/>
          <w:numId w:val="4"/>
        </w:numPr>
        <w:spacing w:line="360" w:lineRule="auto"/>
        <w:ind w:firstLine="482"/>
        <w:outlineLvl w:val="1"/>
        <w:rPr>
          <w:rFonts w:hint="eastAsia" w:ascii="仿宋_GB2312" w:hAnsi="宋体" w:eastAsia="仿宋_GB2312" w:cstheme="minorBidi"/>
          <w:b w:val="0"/>
          <w:bCs w:val="0"/>
          <w:color w:val="auto"/>
          <w:sz w:val="24"/>
          <w:szCs w:val="24"/>
          <w:lang w:val="en-US" w:eastAsia="zh-CN" w:bidi="ar-SA"/>
        </w:rPr>
      </w:pPr>
      <w:bookmarkStart w:id="126" w:name="_Toc9389"/>
      <w:bookmarkStart w:id="127" w:name="_Toc31468"/>
      <w:r>
        <w:rPr>
          <w:rFonts w:hint="eastAsia" w:ascii="仿宋_GB2312" w:hAnsi="宋体" w:eastAsia="仿宋_GB2312" w:cstheme="minorBidi"/>
          <w:b/>
          <w:bCs/>
          <w:color w:val="auto"/>
          <w:sz w:val="24"/>
          <w:szCs w:val="24"/>
          <w:lang w:val="en-US" w:eastAsia="zh-CN" w:bidi="ar-SA"/>
        </w:rPr>
        <w:t>采购项目背景</w:t>
      </w:r>
      <w:bookmarkEnd w:id="126"/>
      <w:bookmarkEnd w:id="127"/>
    </w:p>
    <w:p>
      <w:pPr>
        <w:numPr>
          <w:ilvl w:val="0"/>
          <w:numId w:val="0"/>
        </w:numPr>
        <w:spacing w:line="360" w:lineRule="auto"/>
        <w:ind w:firstLine="480"/>
        <w:rPr>
          <w:rFonts w:hint="eastAsia" w:ascii="仿宋_GB2312" w:hAnsi="宋体" w:eastAsia="仿宋_GB2312" w:cstheme="minorBidi"/>
          <w:b w:val="0"/>
          <w:bCs w:val="0"/>
          <w:color w:val="auto"/>
          <w:sz w:val="24"/>
          <w:szCs w:val="24"/>
          <w:lang w:val="en-US" w:eastAsia="zh-CN" w:bidi="ar-SA"/>
        </w:rPr>
      </w:pPr>
      <w:r>
        <w:rPr>
          <w:rFonts w:hint="eastAsia" w:ascii="仿宋_GB2312" w:hAnsi="宋体" w:eastAsia="仿宋_GB2312" w:cstheme="minorBidi"/>
          <w:b w:val="0"/>
          <w:bCs w:val="0"/>
          <w:color w:val="auto"/>
          <w:sz w:val="24"/>
          <w:szCs w:val="24"/>
          <w:lang w:val="en-US" w:eastAsia="zh-CN" w:bidi="ar-SA"/>
        </w:rPr>
        <w:t>为了增强员工团队凝聚力和活力，提升团队的默契度和协调组织能力，进一步提升团队工作能力、服务意识，提升公司员工身体素质及协作能力。</w:t>
      </w:r>
    </w:p>
    <w:p>
      <w:pPr>
        <w:numPr>
          <w:ilvl w:val="0"/>
          <w:numId w:val="4"/>
        </w:numPr>
        <w:spacing w:line="360" w:lineRule="auto"/>
        <w:ind w:left="0" w:firstLine="482"/>
        <w:outlineLvl w:val="1"/>
        <w:rPr>
          <w:rFonts w:hint="eastAsia" w:ascii="仿宋_GB2312" w:hAnsi="宋体" w:eastAsia="仿宋_GB2312" w:cstheme="minorBidi"/>
          <w:b/>
          <w:bCs/>
          <w:color w:val="auto"/>
          <w:sz w:val="24"/>
          <w:szCs w:val="24"/>
          <w:lang w:val="en-US" w:eastAsia="zh-CN" w:bidi="ar-SA"/>
        </w:rPr>
      </w:pPr>
      <w:bookmarkStart w:id="128" w:name="_Toc512"/>
      <w:bookmarkStart w:id="129" w:name="_Toc23154"/>
      <w:r>
        <w:rPr>
          <w:rFonts w:hint="eastAsia" w:ascii="仿宋_GB2312" w:hAnsi="宋体" w:eastAsia="仿宋_GB2312" w:cstheme="minorBidi"/>
          <w:b/>
          <w:bCs/>
          <w:color w:val="auto"/>
          <w:sz w:val="24"/>
          <w:szCs w:val="24"/>
          <w:lang w:val="en-US" w:eastAsia="zh-CN" w:bidi="ar-SA"/>
        </w:rPr>
        <w:t>采购内容</w:t>
      </w:r>
      <w:bookmarkEnd w:id="128"/>
      <w:bookmarkEnd w:id="129"/>
    </w:p>
    <w:p>
      <w:pPr>
        <w:numPr>
          <w:ilvl w:val="0"/>
          <w:numId w:val="0"/>
        </w:numPr>
        <w:spacing w:line="360" w:lineRule="auto"/>
        <w:ind w:firstLine="480"/>
        <w:rPr>
          <w:rFonts w:hint="eastAsia" w:ascii="仿宋_GB2312" w:hAnsi="宋体" w:eastAsia="仿宋_GB2312" w:cstheme="minorBidi"/>
          <w:b w:val="0"/>
          <w:bCs w:val="0"/>
          <w:color w:val="auto"/>
          <w:sz w:val="24"/>
          <w:szCs w:val="24"/>
          <w:lang w:val="en-US" w:eastAsia="zh-CN" w:bidi="ar-SA"/>
        </w:rPr>
      </w:pPr>
      <w:r>
        <w:rPr>
          <w:rFonts w:hint="eastAsia" w:ascii="仿宋_GB2312" w:hAnsi="宋体" w:eastAsia="仿宋_GB2312" w:cstheme="minorBidi"/>
          <w:b w:val="0"/>
          <w:bCs w:val="0"/>
          <w:color w:val="auto"/>
          <w:sz w:val="24"/>
          <w:szCs w:val="24"/>
          <w:lang w:val="en-US" w:eastAsia="zh-CN" w:bidi="ar-SA"/>
        </w:rPr>
        <w:t>拟在2025年5-12月期间开展公司员工团建拓展培训，以增强团队凝聚力，提升公司员工身体素质及协作能力。</w:t>
      </w:r>
    </w:p>
    <w:p>
      <w:pPr>
        <w:numPr>
          <w:ilvl w:val="0"/>
          <w:numId w:val="4"/>
        </w:numPr>
        <w:spacing w:line="360" w:lineRule="auto"/>
        <w:ind w:left="0" w:firstLine="482"/>
        <w:outlineLvl w:val="1"/>
        <w:rPr>
          <w:rFonts w:hint="eastAsia" w:ascii="仿宋_GB2312" w:hAnsi="宋体" w:eastAsia="仿宋_GB2312" w:cstheme="minorBidi"/>
          <w:b w:val="0"/>
          <w:bCs w:val="0"/>
          <w:color w:val="auto"/>
          <w:sz w:val="24"/>
          <w:szCs w:val="24"/>
          <w:lang w:val="en-US" w:eastAsia="zh-CN" w:bidi="ar-SA"/>
        </w:rPr>
      </w:pPr>
      <w:bookmarkStart w:id="130" w:name="_Toc16314"/>
      <w:bookmarkStart w:id="131" w:name="_Toc15213"/>
      <w:r>
        <w:rPr>
          <w:rFonts w:hint="eastAsia" w:ascii="仿宋_GB2312" w:hAnsi="宋体" w:eastAsia="仿宋_GB2312" w:cstheme="minorBidi"/>
          <w:b/>
          <w:bCs/>
          <w:color w:val="auto"/>
          <w:sz w:val="24"/>
          <w:szCs w:val="24"/>
          <w:lang w:val="en-US" w:eastAsia="zh-CN" w:bidi="ar-SA"/>
        </w:rPr>
        <w:t>采购数量</w:t>
      </w:r>
      <w:bookmarkEnd w:id="130"/>
      <w:bookmarkEnd w:id="131"/>
    </w:p>
    <w:p>
      <w:pPr>
        <w:numPr>
          <w:ilvl w:val="0"/>
          <w:numId w:val="0"/>
        </w:numPr>
        <w:spacing w:line="360" w:lineRule="auto"/>
        <w:ind w:firstLine="480"/>
        <w:outlineLvl w:val="1"/>
        <w:rPr>
          <w:rFonts w:hint="eastAsia" w:ascii="仿宋_GB2312" w:hAnsi="宋体" w:eastAsia="仿宋_GB2312" w:cstheme="minorBidi"/>
          <w:b w:val="0"/>
          <w:bCs w:val="0"/>
          <w:color w:val="auto"/>
          <w:sz w:val="24"/>
          <w:szCs w:val="24"/>
          <w:lang w:val="en-US" w:eastAsia="zh-CN" w:bidi="ar-SA"/>
        </w:rPr>
      </w:pPr>
      <w:r>
        <w:rPr>
          <w:rFonts w:hint="eastAsia" w:ascii="仿宋_GB2312" w:hAnsi="宋体" w:eastAsia="仿宋_GB2312" w:cstheme="minorBidi"/>
          <w:b w:val="0"/>
          <w:bCs w:val="0"/>
          <w:color w:val="auto"/>
          <w:sz w:val="24"/>
          <w:szCs w:val="24"/>
          <w:lang w:val="en-US" w:eastAsia="zh-CN" w:bidi="ar-SA"/>
        </w:rPr>
        <w:t>拟采购2025年度全市系统475名员工的团建拓展服务。该数量为按现员工数量预估，仅作为供应商报价依据，不作为采购方承诺，最终据实结算。</w:t>
      </w:r>
    </w:p>
    <w:p>
      <w:pPr>
        <w:numPr>
          <w:ilvl w:val="0"/>
          <w:numId w:val="4"/>
        </w:numPr>
        <w:spacing w:line="360" w:lineRule="auto"/>
        <w:ind w:left="0" w:firstLine="482"/>
        <w:outlineLvl w:val="1"/>
        <w:rPr>
          <w:rFonts w:hint="eastAsia" w:ascii="仿宋_GB2312" w:hAnsi="宋体" w:eastAsia="仿宋_GB2312" w:cstheme="minorBidi"/>
          <w:b w:val="0"/>
          <w:bCs w:val="0"/>
          <w:color w:val="auto"/>
          <w:sz w:val="24"/>
          <w:szCs w:val="24"/>
          <w:lang w:val="en-US" w:eastAsia="zh-CN" w:bidi="ar-SA"/>
        </w:rPr>
      </w:pPr>
      <w:bookmarkStart w:id="132" w:name="_Toc25242"/>
      <w:bookmarkStart w:id="133" w:name="_Toc141"/>
      <w:r>
        <w:rPr>
          <w:rFonts w:hint="eastAsia" w:ascii="仿宋_GB2312" w:hAnsi="宋体" w:eastAsia="仿宋_GB2312" w:cstheme="minorBidi"/>
          <w:b/>
          <w:bCs/>
          <w:color w:val="auto"/>
          <w:sz w:val="24"/>
          <w:szCs w:val="24"/>
          <w:lang w:val="en-US" w:eastAsia="zh-CN" w:bidi="ar-SA"/>
        </w:rPr>
        <w:t>付款方式</w:t>
      </w:r>
      <w:bookmarkEnd w:id="132"/>
      <w:bookmarkEnd w:id="133"/>
    </w:p>
    <w:p>
      <w:pPr>
        <w:numPr>
          <w:ilvl w:val="0"/>
          <w:numId w:val="0"/>
        </w:numPr>
        <w:spacing w:line="360" w:lineRule="auto"/>
        <w:ind w:firstLine="480"/>
        <w:outlineLvl w:val="1"/>
        <w:rPr>
          <w:rFonts w:hint="eastAsia" w:ascii="仿宋_GB2312" w:hAnsi="宋体" w:eastAsia="仿宋_GB2312" w:cstheme="minorBidi"/>
          <w:b w:val="0"/>
          <w:bCs w:val="0"/>
          <w:color w:val="auto"/>
          <w:sz w:val="24"/>
          <w:szCs w:val="24"/>
          <w:lang w:val="en-US" w:eastAsia="zh-CN" w:bidi="ar-SA"/>
        </w:rPr>
      </w:pPr>
      <w:r>
        <w:rPr>
          <w:rFonts w:hint="eastAsia" w:ascii="仿宋_GB2312" w:hAnsi="宋体" w:eastAsia="仿宋_GB2312" w:cstheme="minorBidi"/>
          <w:b w:val="0"/>
          <w:bCs w:val="0"/>
          <w:color w:val="auto"/>
          <w:sz w:val="24"/>
          <w:szCs w:val="24"/>
          <w:lang w:val="en-US" w:eastAsia="zh-CN" w:bidi="ar-SA"/>
        </w:rPr>
        <w:t>拓展培训活动结束后7个工作日内，乙方应提交足额有效增值税专用发票至甲方，甲方收到发票后15个工作日内向乙方支付拓展培训费用,如遇特殊情况可协商处理。</w:t>
      </w:r>
    </w:p>
    <w:p>
      <w:pPr>
        <w:numPr>
          <w:ilvl w:val="0"/>
          <w:numId w:val="4"/>
        </w:numPr>
        <w:spacing w:line="360" w:lineRule="auto"/>
        <w:ind w:left="0" w:firstLine="482"/>
        <w:outlineLvl w:val="1"/>
        <w:rPr>
          <w:rFonts w:hint="eastAsia" w:ascii="仿宋_GB2312" w:hAnsi="宋体" w:eastAsia="仿宋_GB2312" w:cstheme="minorBidi"/>
          <w:b w:val="0"/>
          <w:bCs w:val="0"/>
          <w:color w:val="auto"/>
          <w:sz w:val="24"/>
          <w:szCs w:val="24"/>
          <w:lang w:val="en-US" w:eastAsia="zh-CN" w:bidi="ar-SA"/>
        </w:rPr>
      </w:pPr>
      <w:bookmarkStart w:id="134" w:name="_Toc29796"/>
      <w:bookmarkStart w:id="135" w:name="_Toc7869"/>
      <w:r>
        <w:rPr>
          <w:rFonts w:hint="eastAsia" w:ascii="仿宋_GB2312" w:hAnsi="宋体" w:eastAsia="仿宋_GB2312" w:cstheme="minorBidi"/>
          <w:b/>
          <w:bCs/>
          <w:color w:val="auto"/>
          <w:sz w:val="24"/>
          <w:szCs w:val="24"/>
          <w:lang w:val="en-US" w:eastAsia="zh-CN" w:bidi="ar-SA"/>
        </w:rPr>
        <w:t>服务要求</w:t>
      </w:r>
      <w:bookmarkEnd w:id="134"/>
      <w:bookmarkEnd w:id="135"/>
    </w:p>
    <w:p>
      <w:pPr>
        <w:numPr>
          <w:ilvl w:val="0"/>
          <w:numId w:val="0"/>
        </w:numPr>
        <w:spacing w:line="360" w:lineRule="auto"/>
        <w:ind w:firstLine="480"/>
        <w:outlineLvl w:val="1"/>
        <w:rPr>
          <w:rFonts w:hint="eastAsia" w:ascii="仿宋_GB2312" w:hAnsi="宋体" w:eastAsia="仿宋_GB2312" w:cstheme="minorBidi"/>
          <w:b w:val="0"/>
          <w:bCs w:val="0"/>
          <w:color w:val="auto"/>
          <w:sz w:val="24"/>
          <w:szCs w:val="24"/>
          <w:lang w:val="en-US" w:eastAsia="zh-CN" w:bidi="ar-SA"/>
        </w:rPr>
      </w:pPr>
      <w:r>
        <w:rPr>
          <w:rFonts w:hint="eastAsia" w:ascii="仿宋_GB2312" w:hAnsi="宋体" w:eastAsia="仿宋_GB2312" w:cstheme="minorBidi"/>
          <w:b w:val="0"/>
          <w:bCs w:val="0"/>
          <w:color w:val="auto"/>
          <w:sz w:val="24"/>
          <w:szCs w:val="24"/>
          <w:lang w:val="en-US" w:eastAsia="zh-CN" w:bidi="ar-SA"/>
        </w:rPr>
        <w:t>服务内容包括：1.两天一夜行程的团建拓展活动方案策划、组织实施，活动项目包含：（1）组织团建拓展活动，团体参与项目不低于4个，提供专业教练指导（2）以场地地面拓展为主的团队户外拓展活动；2.提供团建拓展活动期间的场地、门票（若有）、出行、住宿、餐饮（包含早、中、晚餐，其中提供的中、晚餐餐标人均不低于50元）等，团建拓展活动目的限四川省内，距出发点车程不超过3小时；3.提供开展拓展项目的横幅、团训服、音响多媒体等配套设施及其他物资；4.配备专业人员组织实施拓展项目的开展，并提供相关安全保障服务；5.提供拓展项目活动过程中的视频、照片拍摄及后期制作等服务。</w:t>
      </w:r>
    </w:p>
    <w:p>
      <w:pPr>
        <w:pStyle w:val="2"/>
        <w:rPr>
          <w:highlight w:val="none"/>
        </w:rPr>
      </w:pPr>
      <w:r>
        <w:rPr>
          <w:rFonts w:hint="eastAsia"/>
          <w:highlight w:val="none"/>
        </w:rPr>
        <w:t xml:space="preserve"> </w:t>
      </w:r>
      <w:r>
        <w:rPr>
          <w:highlight w:val="none"/>
        </w:rPr>
        <w:t xml:space="preserve">   </w:t>
      </w:r>
    </w:p>
    <w:p>
      <w:pPr>
        <w:rPr>
          <w:highlight w:val="none"/>
        </w:rPr>
      </w:pPr>
    </w:p>
    <w:p>
      <w:pPr>
        <w:pStyle w:val="2"/>
      </w:pPr>
      <w:r>
        <w:rPr>
          <w:rFonts w:hint="eastAsia"/>
        </w:rPr>
        <w:t xml:space="preserve"> </w:t>
      </w:r>
      <w:r>
        <w:t xml:space="preserve">   </w:t>
      </w:r>
    </w:p>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36" w:name="_Toc3675"/>
      <w:bookmarkStart w:id="137" w:name="_Toc186737812"/>
      <w:bookmarkStart w:id="138" w:name="_Toc9891"/>
      <w:r>
        <w:rPr>
          <w:rFonts w:hint="eastAsia" w:ascii="仿宋" w:hAnsi="仿宋" w:eastAsia="仿宋" w:cs="仿宋"/>
          <w:sz w:val="28"/>
          <w:szCs w:val="28"/>
        </w:rPr>
        <w:t>第六章 响应文件格式</w:t>
      </w:r>
      <w:bookmarkEnd w:id="136"/>
      <w:bookmarkEnd w:id="137"/>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34"/>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tcPr>
          <w:p>
            <w:pPr>
              <w:pStyle w:val="222"/>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222"/>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222"/>
              <w:ind w:right="-284" w:firstLine="2240"/>
              <w:rPr>
                <w:rFonts w:ascii="仿宋" w:hAnsi="仿宋" w:eastAsia="仿宋" w:cs="仿宋"/>
                <w:color w:val="000000"/>
                <w:sz w:val="28"/>
                <w:u w:val="single"/>
              </w:rPr>
            </w:pPr>
          </w:p>
          <w:p>
            <w:pPr>
              <w:pStyle w:val="222"/>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磋商响应文件</w:t>
            </w:r>
          </w:p>
          <w:p>
            <w:pPr>
              <w:pStyle w:val="222"/>
              <w:spacing w:before="624" w:after="156" w:line="160" w:lineRule="atLeast"/>
              <w:ind w:right="-284"/>
              <w:jc w:val="center"/>
              <w:rPr>
                <w:rFonts w:ascii="仿宋" w:hAnsi="仿宋" w:eastAsia="仿宋" w:cs="仿宋"/>
                <w:color w:val="000000"/>
                <w:sz w:val="52"/>
              </w:rPr>
            </w:pPr>
          </w:p>
          <w:p>
            <w:pPr>
              <w:pStyle w:val="222"/>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222"/>
              <w:spacing w:before="1560" w:line="400" w:lineRule="atLeast"/>
              <w:ind w:right="-284" w:firstLine="252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222"/>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222"/>
              <w:spacing w:after="624"/>
              <w:ind w:right="-284"/>
              <w:jc w:val="center"/>
              <w:rPr>
                <w:rFonts w:ascii="仿宋" w:hAnsi="仿宋" w:eastAsia="仿宋" w:cs="仿宋"/>
                <w:color w:val="000000"/>
                <w:sz w:val="24"/>
              </w:rPr>
            </w:pPr>
          </w:p>
          <w:p>
            <w:pPr>
              <w:pStyle w:val="222"/>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34"/>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222"/>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jc w:val="both"/>
        <w:rPr>
          <w:rFonts w:ascii="仿宋" w:hAnsi="仿宋" w:eastAsia="仿宋" w:cs="仿宋"/>
          <w:color w:val="000000"/>
          <w:sz w:val="24"/>
          <w:szCs w:val="24"/>
        </w:rPr>
      </w:pPr>
      <w:bookmarkStart w:id="139" w:name="_Toc3936"/>
      <w:bookmarkStart w:id="140" w:name="_Toc21280"/>
      <w:bookmarkStart w:id="141" w:name="_Toc19783362"/>
      <w:bookmarkStart w:id="142" w:name="_Toc287600131"/>
      <w:bookmarkStart w:id="143" w:name="_Toc444891353"/>
      <w:bookmarkStart w:id="144" w:name="_Toc25957"/>
      <w:bookmarkStart w:id="145" w:name="_Toc517281836"/>
      <w:bookmarkStart w:id="146" w:name="_Toc19910"/>
      <w:bookmarkStart w:id="147" w:name="_Toc11783"/>
      <w:bookmarkStart w:id="148" w:name="_Toc19783360"/>
      <w:bookmarkStart w:id="149" w:name="_Toc287600129"/>
      <w:r>
        <w:rPr>
          <w:rFonts w:ascii="仿宋" w:hAnsi="仿宋" w:eastAsia="仿宋" w:cs="仿宋"/>
          <w:color w:val="000000"/>
          <w:sz w:val="24"/>
          <w:szCs w:val="24"/>
        </w:rPr>
        <w:br w:type="page" w:clear="all"/>
      </w:r>
      <w:bookmarkStart w:id="150" w:name="_Toc17191"/>
      <w:bookmarkStart w:id="151" w:name="_Toc186737813"/>
      <w:r>
        <w:rPr>
          <w:rFonts w:hint="eastAsia" w:ascii="仿宋" w:hAnsi="仿宋" w:eastAsia="仿宋" w:cs="仿宋"/>
          <w:color w:val="000000"/>
          <w:sz w:val="24"/>
          <w:szCs w:val="24"/>
        </w:rPr>
        <w:t>一、商务文件</w:t>
      </w:r>
      <w:bookmarkEnd w:id="139"/>
      <w:bookmarkEnd w:id="150"/>
      <w:bookmarkEnd w:id="151"/>
    </w:p>
    <w:p>
      <w:pPr>
        <w:jc w:val="center"/>
      </w:pPr>
      <w:bookmarkStart w:id="152" w:name="_Toc26744"/>
      <w:r>
        <w:rPr>
          <w:rFonts w:hint="eastAsia" w:ascii="仿宋" w:hAnsi="仿宋" w:eastAsia="仿宋" w:cs="仿宋"/>
          <w:b/>
          <w:bCs/>
        </w:rPr>
        <w:t>初步评审索引表</w:t>
      </w:r>
      <w:bookmarkEnd w:id="152"/>
    </w:p>
    <w:tbl>
      <w:tblPr>
        <w:tblStyle w:val="34"/>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noWrap w:val="0"/>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300" w:type="dxa"/>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7"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300" w:type="dxa"/>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7" w:type="dxa"/>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7" w:type="dxa"/>
            <w:noWrap w:val="0"/>
            <w:vAlign w:val="center"/>
          </w:tcPr>
          <w:p>
            <w:pPr>
              <w:pStyle w:val="233"/>
              <w:tabs>
                <w:tab w:val="left" w:pos="630"/>
              </w:tabs>
              <w:spacing w:before="48" w:after="48"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7" w:type="dxa"/>
            <w:noWrap w:val="0"/>
            <w:vAlign w:val="center"/>
          </w:tcPr>
          <w:p>
            <w:pPr>
              <w:pStyle w:val="233"/>
              <w:tabs>
                <w:tab w:val="left" w:pos="630"/>
              </w:tabs>
              <w:spacing w:before="48" w:after="48"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7" w:type="dxa"/>
            <w:noWrap w:val="0"/>
            <w:vAlign w:val="center"/>
          </w:tcPr>
          <w:p>
            <w:pPr>
              <w:pStyle w:val="222"/>
              <w:spacing w:before="48" w:after="48"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300" w:type="dxa"/>
            <w:noWrap w:val="0"/>
            <w:vAlign w:val="center"/>
          </w:tcPr>
          <w:p>
            <w:pPr>
              <w:spacing w:before="24" w:after="24"/>
              <w:jc w:val="center"/>
              <w:rPr>
                <w:rFonts w:ascii="仿宋" w:hAnsi="仿宋" w:eastAsia="仿宋" w:cs="仿宋"/>
                <w:color w:val="000000"/>
                <w:szCs w:val="21"/>
              </w:rPr>
            </w:pPr>
            <w:r>
              <w:rPr>
                <w:rFonts w:hint="eastAsia" w:ascii="仿宋" w:hAnsi="仿宋" w:eastAsia="仿宋" w:cs="宋体"/>
                <w:color w:val="000000"/>
                <w:szCs w:val="21"/>
              </w:rPr>
              <w:t>营业执照</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资质证明</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Cs w:val="21"/>
              </w:rPr>
              <w:t>无违法违规记录</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Cs w:val="21"/>
              </w:rPr>
              <w:t>未被列入黑名单</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Cs w:val="21"/>
              </w:rPr>
              <w:t>控股及管理关系</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300" w:type="dxa"/>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Cambria Math"/>
                <w:color w:val="auto"/>
                <w:szCs w:val="21"/>
              </w:rPr>
              <w:t>供应商偏离应答</w:t>
            </w:r>
          </w:p>
        </w:tc>
        <w:tc>
          <w:tcPr>
            <w:tcW w:w="4217" w:type="dxa"/>
            <w:noWrap w:val="0"/>
            <w:vAlign w:val="center"/>
          </w:tcPr>
          <w:p>
            <w:pPr>
              <w:spacing w:before="24" w:after="24" w:line="276" w:lineRule="auto"/>
              <w:rPr>
                <w:rFonts w:ascii="仿宋" w:hAnsi="仿宋" w:eastAsia="仿宋" w:cs="仿宋"/>
                <w:color w:val="000000"/>
                <w:szCs w:val="21"/>
              </w:rPr>
            </w:pPr>
          </w:p>
        </w:tc>
      </w:tr>
      <w:bookmarkEnd w:id="140"/>
      <w:bookmarkEnd w:id="141"/>
      <w:bookmarkEnd w:id="142"/>
      <w:bookmarkEnd w:id="143"/>
      <w:bookmarkEnd w:id="144"/>
      <w:bookmarkEnd w:id="145"/>
      <w:bookmarkEnd w:id="146"/>
      <w:bookmarkEnd w:id="147"/>
    </w:tbl>
    <w:p>
      <w:pPr>
        <w:rPr>
          <w:rFonts w:ascii="宋体" w:hAnsi="宋体"/>
          <w:szCs w:val="21"/>
        </w:rPr>
        <w:sectPr>
          <w:footerReference r:id="rId8" w:type="default"/>
          <w:pgSz w:w="11906" w:h="16838"/>
          <w:pgMar w:top="1417" w:right="1134" w:bottom="1134" w:left="1134" w:header="964" w:footer="964" w:gutter="0"/>
          <w:cols w:space="720" w:num="1"/>
        </w:sectPr>
      </w:pPr>
    </w:p>
    <w:p>
      <w:pPr>
        <w:jc w:val="center"/>
        <w:rPr>
          <w:rFonts w:ascii="仿宋" w:hAnsi="仿宋" w:eastAsia="仿宋" w:cs="仿宋"/>
          <w:b/>
          <w:bCs/>
        </w:rPr>
      </w:pPr>
      <w:bookmarkStart w:id="153" w:name="_Toc27799"/>
      <w:bookmarkStart w:id="154" w:name="_Toc444891354"/>
      <w:bookmarkStart w:id="155" w:name="_Toc12140"/>
      <w:bookmarkStart w:id="156" w:name="_Toc25121"/>
      <w:bookmarkStart w:id="157" w:name="_Toc7202"/>
      <w:bookmarkStart w:id="158" w:name="_Toc517281837"/>
      <w:r>
        <w:rPr>
          <w:rFonts w:hint="eastAsia" w:ascii="仿宋" w:hAnsi="仿宋" w:eastAsia="仿宋" w:cs="仿宋"/>
          <w:b/>
          <w:bCs/>
        </w:rPr>
        <w:t>详细评审索引表</w:t>
      </w:r>
    </w:p>
    <w:tbl>
      <w:tblPr>
        <w:tblStyle w:val="34"/>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5" w:hRule="atLeast"/>
          <w:jc w:val="center"/>
        </w:trPr>
        <w:tc>
          <w:tcPr>
            <w:tcW w:w="729" w:type="dxa"/>
            <w:noWrap w:val="0"/>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noWrap w:val="0"/>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noWrap w:val="0"/>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noWrap w:val="0"/>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1</w:t>
            </w:r>
          </w:p>
        </w:tc>
        <w:tc>
          <w:tcPr>
            <w:tcW w:w="1696" w:type="dxa"/>
            <w:vMerge w:val="restart"/>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商务得分</w:t>
            </w:r>
          </w:p>
          <w:p>
            <w:pPr>
              <w:jc w:val="center"/>
              <w:rPr>
                <w:rFonts w:ascii="仿宋" w:hAnsi="仿宋" w:eastAsia="仿宋" w:cs="宋体"/>
                <w:color w:val="000000"/>
                <w:szCs w:val="21"/>
                <w:lang w:bidi="ar"/>
              </w:rPr>
            </w:pPr>
            <w:r>
              <w:rPr>
                <w:rFonts w:hint="eastAsia" w:ascii="仿宋" w:hAnsi="仿宋" w:eastAsia="仿宋" w:cs="宋体"/>
                <w:color w:val="000000"/>
                <w:szCs w:val="21"/>
                <w:lang w:bidi="ar"/>
              </w:rPr>
              <w:t>（XX分）</w:t>
            </w:r>
          </w:p>
        </w:tc>
        <w:tc>
          <w:tcPr>
            <w:tcW w:w="2268" w:type="dxa"/>
            <w:noWrap w:val="0"/>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综合实力</w:t>
            </w:r>
          </w:p>
          <w:p>
            <w:pPr>
              <w:jc w:val="center"/>
              <w:rPr>
                <w:rFonts w:ascii="仿宋" w:hAnsi="仿宋" w:eastAsia="仿宋" w:cs="宋体"/>
                <w:color w:val="000000"/>
                <w:szCs w:val="21"/>
                <w:lang w:bidi="ar"/>
              </w:rPr>
            </w:pPr>
            <w:r>
              <w:rPr>
                <w:rFonts w:hint="eastAsia" w:ascii="仿宋" w:hAnsi="仿宋" w:eastAsia="仿宋" w:cs="宋体"/>
                <w:color w:val="000000"/>
                <w:szCs w:val="21"/>
                <w:lang w:bidi="ar"/>
              </w:rPr>
              <w:t>（XX分）</w:t>
            </w:r>
          </w:p>
        </w:tc>
        <w:tc>
          <w:tcPr>
            <w:tcW w:w="4820" w:type="dxa"/>
            <w:noWrap w:val="0"/>
            <w:tcMar>
              <w:top w:w="15" w:type="dxa"/>
              <w:left w:w="15" w:type="dxa"/>
              <w:right w:w="15" w:type="dxa"/>
            </w:tcMar>
            <w:vAlign w:val="center"/>
          </w:tcPr>
          <w:p>
            <w:pPr>
              <w:rPr>
                <w:rFonts w:ascii="仿宋" w:hAnsi="仿宋" w:eastAsia="仿宋" w:cs="宋体"/>
                <w:color w:val="000000"/>
                <w:szCs w:val="21"/>
              </w:rPr>
            </w:pPr>
            <w:r>
              <w:rPr>
                <w:rFonts w:hint="eastAsia" w:ascii="仿宋" w:hAnsi="仿宋" w:eastAsia="仿宋" w:cs="宋体"/>
                <w:color w:val="000000"/>
                <w:szCs w:val="21"/>
              </w:rPr>
              <w:t>说明：XX</w:t>
            </w:r>
          </w:p>
          <w:p>
            <w:pPr>
              <w:rPr>
                <w:rStyle w:val="236"/>
                <w:rFonts w:hint="default" w:cs="宋体"/>
                <w:color w:val="000000"/>
                <w:lang w:bidi="ar"/>
              </w:rPr>
            </w:pPr>
            <w:r>
              <w:rPr>
                <w:rFonts w:hint="eastAsia" w:ascii="仿宋" w:hAnsi="仿宋" w:eastAsia="仿宋" w:cs="宋体"/>
                <w:color w:val="000000"/>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2</w:t>
            </w:r>
          </w:p>
        </w:tc>
        <w:tc>
          <w:tcPr>
            <w:tcW w:w="1696" w:type="dxa"/>
            <w:vMerge w:val="continue"/>
            <w:noWrap w:val="0"/>
            <w:tcMar>
              <w:top w:w="15" w:type="dxa"/>
              <w:left w:w="15" w:type="dxa"/>
              <w:right w:w="15" w:type="dxa"/>
            </w:tcMar>
            <w:vAlign w:val="center"/>
          </w:tcPr>
          <w:p>
            <w:pPr>
              <w:jc w:val="center"/>
              <w:rPr>
                <w:rFonts w:ascii="仿宋" w:hAnsi="仿宋" w:eastAsia="仿宋" w:cs="宋体"/>
                <w:color w:val="000000"/>
                <w:szCs w:val="21"/>
                <w:lang w:bidi="ar"/>
              </w:rPr>
            </w:pPr>
          </w:p>
        </w:tc>
        <w:tc>
          <w:tcPr>
            <w:tcW w:w="2268" w:type="dxa"/>
            <w:noWrap w:val="0"/>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同类业绩</w:t>
            </w:r>
          </w:p>
          <w:p>
            <w:pPr>
              <w:jc w:val="center"/>
              <w:rPr>
                <w:rFonts w:ascii="仿宋" w:hAnsi="仿宋" w:eastAsia="仿宋" w:cs="宋体"/>
                <w:color w:val="000000"/>
                <w:szCs w:val="21"/>
                <w:lang w:bidi="ar"/>
              </w:rPr>
            </w:pPr>
            <w:r>
              <w:rPr>
                <w:rFonts w:hint="eastAsia" w:ascii="仿宋" w:hAnsi="仿宋" w:eastAsia="仿宋" w:cs="宋体"/>
                <w:color w:val="000000"/>
                <w:szCs w:val="21"/>
                <w:lang w:bidi="ar"/>
              </w:rPr>
              <w:t>（XX分）</w:t>
            </w:r>
          </w:p>
        </w:tc>
        <w:tc>
          <w:tcPr>
            <w:tcW w:w="4820" w:type="dxa"/>
            <w:noWrap w:val="0"/>
            <w:tcMar>
              <w:top w:w="15" w:type="dxa"/>
              <w:left w:w="15" w:type="dxa"/>
              <w:right w:w="15" w:type="dxa"/>
            </w:tcMar>
            <w:vAlign w:val="center"/>
          </w:tcPr>
          <w:p>
            <w:pPr>
              <w:rPr>
                <w:rStyle w:val="236"/>
                <w:rFonts w:hint="default" w:cs="宋体"/>
                <w:color w:val="000000"/>
                <w:lang w:bidi="ar"/>
              </w:rPr>
            </w:pPr>
          </w:p>
        </w:tc>
      </w:tr>
    </w:tbl>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p>
    <w:p>
      <w:pPr>
        <w:pStyle w:val="5"/>
        <w:spacing w:before="0" w:line="440" w:lineRule="exact"/>
        <w:rPr>
          <w:rFonts w:ascii="仿宋" w:hAnsi="仿宋" w:eastAsia="仿宋" w:cs="仿宋"/>
          <w:color w:val="000000"/>
          <w:sz w:val="24"/>
          <w:szCs w:val="24"/>
        </w:rPr>
      </w:pPr>
      <w:bookmarkStart w:id="159" w:name="_Toc27958"/>
      <w:bookmarkStart w:id="160" w:name="_Toc186737814"/>
      <w:r>
        <w:rPr>
          <w:rFonts w:hint="eastAsia" w:ascii="仿宋" w:hAnsi="仿宋" w:eastAsia="仿宋" w:cs="仿宋"/>
          <w:color w:val="000000"/>
          <w:sz w:val="24"/>
          <w:szCs w:val="24"/>
        </w:rPr>
        <w:t>（一）响应函</w:t>
      </w:r>
      <w:bookmarkEnd w:id="159"/>
      <w:bookmarkEnd w:id="160"/>
    </w:p>
    <w:p>
      <w:pPr>
        <w:pStyle w:val="222"/>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致：中国人民财产保险股份有限公司德阳市分公司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人保财险四川省德阳市分公司2025年度团建拓展服务采购项目 </w:t>
      </w:r>
      <w:r>
        <w:rPr>
          <w:rFonts w:hint="eastAsia" w:ascii="仿宋" w:hAnsi="仿宋" w:eastAsia="仿宋" w:cs="Cambria Math"/>
          <w:color w:val="000000"/>
        </w:rPr>
        <w:t>竞争性磋商文件的全部内容，包括澄清或者修改文件以及有关附件，我方将严格按照竞争性磋商文件要求递交符合要求的全部磋商响应文件。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本响应函及磋商响应文件自磋商响应文件提交截止日起有效期为</w:t>
      </w:r>
      <w:r>
        <w:rPr>
          <w:rFonts w:hint="eastAsia" w:ascii="仿宋" w:hAnsi="仿宋" w:eastAsia="仿宋" w:cs="Cambria Math"/>
          <w:color w:val="auto"/>
          <w:u w:val="single"/>
          <w:lang w:val="en-US" w:eastAsia="zh-CN"/>
        </w:rPr>
        <w:t>90</w:t>
      </w:r>
      <w:r>
        <w:rPr>
          <w:rFonts w:hint="eastAsia" w:ascii="仿宋" w:hAnsi="仿宋" w:eastAsia="仿宋" w:cs="Cambria Math"/>
          <w:color w:val="auto"/>
          <w:u w:val="single"/>
        </w:rPr>
        <w:t>天</w:t>
      </w:r>
      <w:r>
        <w:rPr>
          <w:rFonts w:hint="eastAsia" w:ascii="仿宋" w:hAnsi="仿宋" w:eastAsia="仿宋" w:cs="Cambria Math"/>
          <w:color w:val="000000"/>
        </w:rPr>
        <w:t>，我方承诺在响应有效期内不修改、撤销磋商响应文件。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我方承诺提供磋商过程中可能要求的澄清、说明、补正或者算术性错误修正确认，并同意我方提供的以上材料构成我方响应文件的组成部分。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（2）我方承诺按照竞争性磋商文件规定递交履约保证金。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（3）我方承诺按照竞争性磋商文件的规定及合同约定履行相关责任和义务。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clear="all"/>
      </w:r>
      <w:bookmarkEnd w:id="148"/>
      <w:bookmarkEnd w:id="149"/>
      <w:bookmarkEnd w:id="153"/>
      <w:bookmarkEnd w:id="154"/>
      <w:bookmarkEnd w:id="155"/>
      <w:bookmarkEnd w:id="156"/>
      <w:bookmarkEnd w:id="157"/>
      <w:bookmarkEnd w:id="158"/>
      <w:bookmarkStart w:id="161" w:name="_Toc13983"/>
      <w:bookmarkStart w:id="162" w:name="_Toc186737815"/>
      <w:r>
        <w:rPr>
          <w:rFonts w:hint="eastAsia" w:ascii="仿宋" w:hAnsi="仿宋" w:eastAsia="仿宋" w:cs="仿宋"/>
          <w:color w:val="000000"/>
          <w:sz w:val="24"/>
          <w:szCs w:val="24"/>
        </w:rPr>
        <w:t>（二）法定代表人（负责人）身份证明书</w:t>
      </w:r>
      <w:bookmarkEnd w:id="161"/>
      <w:bookmarkEnd w:id="162"/>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spacing w:line="360" w:lineRule="auto"/>
        <w:rPr>
          <w:rFonts w:ascii="仿宋" w:hAnsi="仿宋" w:eastAsia="仿宋" w:cs="仿宋"/>
          <w:color w:val="000000"/>
        </w:rPr>
      </w:pPr>
      <w:r>
        <w:rPr>
          <w:rFonts w:hint="eastAsia" w:ascii="仿宋" w:hAnsi="仿宋" w:eastAsia="仿宋" w:cs="仿宋"/>
          <w:color w:val="000000"/>
        </w:rPr>
        <w:t>特此证明。</w:t>
      </w:r>
    </w:p>
    <w:p>
      <w:pPr>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4" name="矩形 37"/>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zCffdkAAAAJAQAA&#10;DwAAAAAAAAABACAAAAAiAAAAZHJzL2Rvd25yZXYueG1sUEsBAhQAFAAAAAgAh07iQPEdR2AYAgAA&#10;RQQAAA4AAAAAAAAAAQAgAAAAKAEAAGRycy9lMm9Eb2MueG1sUEsFBgAAAAAGAAYAWQEAALIFAAAA&#10;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5" name="矩形 38"/>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vELUltkAAAAKAQAA&#10;DwAAAAAAAAABACAAAAAiAAAAZHJzL2Rvd25yZXYueG1sUEsBAhQAFAAAAAgAh07iQIe7MUQYAgAA&#10;RQQAAA4AAAAAAAAAAQAgAAAAKAEAAGRycy9lMm9Eb2MueG1sUEsFBgAAAAAGAAYAWQEAALIFAAAA&#10;AA==&#10;">
                <v:fill on="t" focussize="0,0"/>
                <v:stroke weight="1.25pt" color="#739CC3" joinstyle="miter"/>
                <v:imagedata o:title=""/>
                <o:lock v:ext="edit" aspectratio="f"/>
              </v:rect>
            </w:pict>
          </mc:Fallback>
        </mc:AlternateContent>
      </w:r>
    </w:p>
    <w:p>
      <w:pPr>
        <w:pStyle w:val="222"/>
        <w:spacing w:line="440" w:lineRule="atLeast"/>
        <w:ind w:firstLine="480"/>
        <w:jc w:val="left"/>
        <w:rPr>
          <w:rFonts w:ascii="仿宋" w:hAnsi="仿宋" w:eastAsia="仿宋" w:cs="仿宋"/>
          <w:color w:val="000000"/>
        </w:rPr>
      </w:pPr>
    </w:p>
    <w:p>
      <w:pPr>
        <w:pStyle w:val="222"/>
        <w:spacing w:line="440" w:lineRule="atLeast"/>
        <w:ind w:firstLine="480"/>
        <w:jc w:val="left"/>
        <w:rPr>
          <w:rFonts w:ascii="仿宋" w:hAnsi="仿宋" w:eastAsia="仿宋" w:cs="仿宋"/>
          <w:color w:val="000000"/>
        </w:rPr>
      </w:pPr>
    </w:p>
    <w:p>
      <w:pPr>
        <w:pStyle w:val="222"/>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clear="all"/>
      </w:r>
      <w:bookmarkStart w:id="163" w:name="_Toc186737816"/>
      <w:bookmarkStart w:id="164" w:name="_Toc20707"/>
      <w:bookmarkStart w:id="165" w:name="_Toc19783361"/>
      <w:bookmarkStart w:id="166" w:name="_Toc5582"/>
      <w:bookmarkStart w:id="167" w:name="_Toc4426"/>
      <w:bookmarkStart w:id="168" w:name="_Toc517281838"/>
      <w:bookmarkStart w:id="169" w:name="_Toc444891355"/>
      <w:bookmarkStart w:id="170" w:name="_Toc26267"/>
      <w:bookmarkStart w:id="171" w:name="_Toc24788"/>
      <w:bookmarkStart w:id="172" w:name="_Toc287600130"/>
      <w:r>
        <w:rPr>
          <w:rFonts w:hint="eastAsia" w:ascii="仿宋" w:hAnsi="仿宋" w:eastAsia="仿宋" w:cs="仿宋"/>
          <w:color w:val="000000"/>
          <w:sz w:val="24"/>
          <w:szCs w:val="24"/>
        </w:rPr>
        <w:t>（三）法定代表人（负责人）授权委托书</w:t>
      </w:r>
      <w:bookmarkEnd w:id="163"/>
      <w:bookmarkEnd w:id="164"/>
      <w:bookmarkEnd w:id="165"/>
      <w:bookmarkEnd w:id="166"/>
      <w:bookmarkEnd w:id="167"/>
      <w:bookmarkEnd w:id="168"/>
      <w:bookmarkEnd w:id="169"/>
      <w:bookmarkEnd w:id="170"/>
      <w:bookmarkEnd w:id="171"/>
      <w:bookmarkEnd w:id="172"/>
    </w:p>
    <w:p>
      <w:pPr>
        <w:pStyle w:val="222"/>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222"/>
        <w:spacing w:line="360" w:lineRule="auto"/>
        <w:ind w:firstLine="48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仿宋"/>
          <w:color w:val="000000"/>
          <w:sz w:val="24"/>
          <w:u w:val="single"/>
        </w:rPr>
        <w:t>人保财险四川省德阳市分公司2025年度团建拓展服务采购项目</w:t>
      </w:r>
      <w:r>
        <w:rPr>
          <w:rFonts w:hint="eastAsia" w:ascii="仿宋" w:hAnsi="仿宋" w:eastAsia="仿宋" w:cs="Cambria Math"/>
          <w:color w:val="000000"/>
          <w:sz w:val="24"/>
          <w:szCs w:val="24"/>
        </w:rPr>
        <w:t>磋商响应文件、签订合同和处理有关事宜，其法律后果由我方承担。</w:t>
      </w:r>
    </w:p>
    <w:p>
      <w:pPr>
        <w:spacing w:line="360" w:lineRule="auto"/>
        <w:ind w:firstLine="48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之日起至磋商响应有效期到期之日为止 </w:t>
      </w:r>
      <w:r>
        <w:rPr>
          <w:rFonts w:hint="eastAsia" w:ascii="仿宋" w:hAnsi="仿宋" w:eastAsia="仿宋" w:cs="Cambria Math"/>
          <w:color w:val="000000"/>
        </w:rPr>
        <w:t>。</w:t>
      </w:r>
    </w:p>
    <w:p>
      <w:pPr>
        <w:pStyle w:val="222"/>
        <w:spacing w:line="360" w:lineRule="auto"/>
        <w:ind w:firstLine="480"/>
        <w:rPr>
          <w:rFonts w:ascii="仿宋" w:hAnsi="仿宋" w:eastAsia="仿宋" w:cs="Cambria Math"/>
          <w:b/>
          <w:bCs/>
          <w:color w:val="000000"/>
          <w:sz w:val="24"/>
          <w:szCs w:val="24"/>
        </w:rPr>
      </w:pPr>
      <w:r>
        <w:rPr>
          <w:rFonts w:hint="eastAsia" w:ascii="仿宋" w:hAnsi="仿宋" w:eastAsia="仿宋" w:cs="Cambria Math"/>
          <w:color w:val="000000"/>
          <w:sz w:val="24"/>
          <w:szCs w:val="24"/>
        </w:rPr>
        <w:t>代理人无转委托权。</w:t>
      </w:r>
    </w:p>
    <w:p>
      <w:pPr>
        <w:pStyle w:val="222"/>
        <w:spacing w:line="360" w:lineRule="auto"/>
        <w:ind w:firstLine="482"/>
        <w:rPr>
          <w:rFonts w:hint="eastAsia"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222"/>
        <w:spacing w:line="360" w:lineRule="auto"/>
        <w:ind w:firstLine="480"/>
        <w:rPr>
          <w:rFonts w:hint="eastAsia" w:ascii="仿宋" w:hAnsi="仿宋" w:eastAsia="仿宋" w:cs="Cambria Math"/>
          <w:color w:val="000000"/>
          <w:sz w:val="24"/>
          <w:szCs w:val="24"/>
          <w:lang w:eastAsia="zh-CN"/>
        </w:rPr>
      </w:pPr>
    </w:p>
    <w:p>
      <w:pPr>
        <w:pStyle w:val="222"/>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6" name="矩形 39"/>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9" o:spid="_x0000_s1026" o:spt="1" style="position:absolute;left:0pt;margin-left:13.75pt;margin-top:4.45pt;height:152.35pt;width:220.7pt;z-index:251664384;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Igs7L2AAAAAgBAAAP&#10;AAAAAAAAAAEAIAAAACIAAABkcnMvZG93bnJldi54bWxQSwECFAAUAAAACACHTuJAXyda/hgCAABF&#10;BAAADgAAAAAAAAABACAAAAAnAQAAZHJzL2Uyb0RvYy54bWxQSwUGAAAAAAYABgBZAQAAsQU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5408"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7" name="矩形 40"/>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40" o:spid="_x0000_s1026" o:spt="1" style="position:absolute;left:0pt;margin-left:234.45pt;margin-top:4.45pt;height:152.35pt;width:220.7pt;z-index:251665408;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wtMczYAAAACQEAAA8AAAAA&#10;AAAAAQAgAAAAIgAAAGRycy9kb3ducmV2LnhtbFBLAQIUABQAAAAIAIdO4kDHy4z+FAIAAEUEAAAO&#10;AAAAAAAAAAEAIAAAACcBAABkcnMvZTJvRG9jLnhtbFBLBQYAAAAABgAGAFkBAACtBQAAAAA=&#10;">
                <v:fill on="t" focussize="0,0"/>
                <v:stroke weight="1.25pt" color="#739CC3" joinstyle="miter"/>
                <v:imagedata o:title=""/>
                <o:lock v:ext="edit" aspectratio="f"/>
              </v:rect>
            </w:pict>
          </mc:Fallback>
        </mc:AlternateContent>
      </w:r>
    </w:p>
    <w:p>
      <w:pPr>
        <w:pStyle w:val="222"/>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rPr>
          <w:rFonts w:hint="eastAsia" w:ascii="仿宋" w:hAnsi="仿宋" w:eastAsia="仿宋" w:cs="Cambria Math"/>
          <w:color w:val="000000"/>
        </w:rPr>
      </w:pPr>
    </w:p>
    <w:p>
      <w:pPr>
        <w:spacing w:line="360" w:lineRule="auto"/>
        <w:ind w:right="420" w:firstLine="420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222"/>
        <w:spacing w:line="360" w:lineRule="auto"/>
        <w:ind w:right="105" w:firstLine="420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spacing w:line="360" w:lineRule="auto"/>
        <w:ind w:firstLine="420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sectPr>
      </w:pPr>
    </w:p>
    <w:p>
      <w:pPr>
        <w:pStyle w:val="5"/>
        <w:spacing w:before="0" w:after="0" w:line="360" w:lineRule="auto"/>
        <w:rPr>
          <w:rFonts w:ascii="仿宋" w:hAnsi="仿宋" w:eastAsia="仿宋" w:cs="仿宋"/>
          <w:color w:val="000000"/>
          <w:sz w:val="24"/>
          <w:szCs w:val="24"/>
        </w:rPr>
      </w:pPr>
      <w:bookmarkStart w:id="173" w:name="_Toc30551"/>
      <w:bookmarkStart w:id="174" w:name="_Toc186737817"/>
      <w:bookmarkStart w:id="175" w:name="_Toc517281841"/>
      <w:r>
        <w:rPr>
          <w:rFonts w:hint="eastAsia" w:ascii="仿宋" w:hAnsi="仿宋" w:eastAsia="仿宋" w:cs="仿宋"/>
          <w:color w:val="000000"/>
          <w:sz w:val="24"/>
          <w:szCs w:val="24"/>
        </w:rPr>
        <w:t>（四）资格证明文件</w:t>
      </w:r>
      <w:bookmarkEnd w:id="173"/>
      <w:bookmarkEnd w:id="174"/>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222"/>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34"/>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noWrap w:val="0"/>
            <w:vAlign w:val="center"/>
          </w:tcPr>
          <w:p>
            <w:pPr>
              <w:pStyle w:val="222"/>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noWrap w:val="0"/>
            <w:vAlign w:val="center"/>
          </w:tcPr>
          <w:p>
            <w:pPr>
              <w:pStyle w:val="222"/>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2"/>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noWrap w:val="0"/>
            <w:vAlign w:val="center"/>
          </w:tcPr>
          <w:p>
            <w:pPr>
              <w:pStyle w:val="222"/>
              <w:jc w:val="center"/>
              <w:rPr>
                <w:rFonts w:ascii="仿宋" w:hAnsi="仿宋" w:eastAsia="仿宋" w:cs="仿宋"/>
                <w:color w:val="000000"/>
              </w:rPr>
            </w:pPr>
          </w:p>
        </w:tc>
      </w:tr>
    </w:tbl>
    <w:p>
      <w:pPr>
        <w:pStyle w:val="222"/>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222"/>
        <w:jc w:val="left"/>
        <w:rPr>
          <w:rFonts w:ascii="仿宋" w:hAnsi="仿宋" w:eastAsia="仿宋" w:cs="仿宋"/>
          <w:b/>
          <w:color w:val="000000"/>
        </w:rPr>
      </w:pPr>
    </w:p>
    <w:p>
      <w:pPr>
        <w:pStyle w:val="222"/>
        <w:jc w:val="left"/>
        <w:rPr>
          <w:rFonts w:ascii="仿宋" w:hAnsi="仿宋" w:eastAsia="仿宋" w:cs="仿宋"/>
          <w:b/>
          <w:color w:val="000000"/>
        </w:rPr>
      </w:pPr>
    </w:p>
    <w:p>
      <w:pPr>
        <w:pStyle w:val="222"/>
        <w:jc w:val="left"/>
        <w:rPr>
          <w:rFonts w:ascii="仿宋" w:hAnsi="仿宋" w:eastAsia="仿宋" w:cs="仿宋"/>
          <w:b/>
          <w:color w:val="000000"/>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clear="all"/>
      </w:r>
      <w:r>
        <w:rPr>
          <w:rFonts w:hint="eastAsia" w:ascii="仿宋" w:hAnsi="仿宋" w:eastAsia="仿宋" w:cs="仿宋"/>
          <w:color w:val="000000"/>
          <w:sz w:val="24"/>
          <w:szCs w:val="24"/>
        </w:rPr>
        <w:t>2、财务审计报告或银行资信证明</w:t>
      </w:r>
    </w:p>
    <w:p>
      <w:pPr>
        <w:spacing w:line="360" w:lineRule="auto"/>
        <w:ind w:firstLine="480"/>
        <w:rPr>
          <w:rFonts w:ascii="仿宋" w:hAnsi="仿宋" w:eastAsia="仿宋" w:cs="仿宋"/>
          <w:color w:val="000000"/>
        </w:rPr>
      </w:pPr>
      <w:r>
        <w:rPr>
          <w:rFonts w:hint="eastAsia" w:ascii="仿宋" w:hAnsi="仿宋" w:eastAsia="仿宋" w:cs="仿宋"/>
          <w:color w:val="000000"/>
        </w:rPr>
        <w:t>提供</w:t>
      </w:r>
      <w:r>
        <w:rPr>
          <w:rFonts w:ascii="仿宋" w:hAnsi="仿宋" w:eastAsia="仿宋" w:cs="仿宋"/>
          <w:color w:val="auto"/>
        </w:rPr>
        <w:t>20</w:t>
      </w:r>
      <w:r>
        <w:rPr>
          <w:rFonts w:hint="eastAsia" w:ascii="仿宋" w:hAnsi="仿宋" w:eastAsia="仿宋" w:cs="仿宋"/>
          <w:color w:val="auto"/>
          <w:lang w:val="en-US" w:eastAsia="zh-CN"/>
        </w:rPr>
        <w:t>23</w:t>
      </w:r>
      <w:r>
        <w:rPr>
          <w:rFonts w:hint="eastAsia" w:ascii="仿宋" w:hAnsi="仿宋" w:eastAsia="仿宋" w:cs="仿宋"/>
          <w:color w:val="auto"/>
        </w:rPr>
        <w:t>年</w:t>
      </w:r>
      <w:r>
        <w:rPr>
          <w:rFonts w:hint="eastAsia" w:ascii="仿宋" w:hAnsi="仿宋" w:eastAsia="仿宋" w:cs="仿宋"/>
          <w:color w:val="000000"/>
        </w:rPr>
        <w:t>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rPr>
          <w:rFonts w:ascii="仿宋" w:hAnsi="仿宋" w:eastAsia="仿宋" w:cs="Cambria Math"/>
          <w:b/>
          <w:bCs/>
          <w:color w:val="000000"/>
        </w:rPr>
      </w:pPr>
      <w:r>
        <w:rPr>
          <w:rFonts w:hint="eastAsia" w:ascii="仿宋" w:hAnsi="仿宋" w:eastAsia="仿宋" w:cs="Cambria Math"/>
          <w:b/>
          <w:bCs/>
          <w:color w:val="000000"/>
        </w:rPr>
        <w:t>《具有良好的商业信誉和健全的财务会计制度承诺书》</w:t>
      </w:r>
    </w:p>
    <w:p>
      <w:pPr>
        <w:spacing w:before="240" w:line="360" w:lineRule="auto"/>
        <w:rPr>
          <w:rFonts w:ascii="仿宋" w:hAnsi="仿宋" w:eastAsia="仿宋" w:cs="Cambria Math"/>
          <w:color w:val="000000"/>
        </w:rPr>
      </w:pPr>
      <w:r>
        <w:rPr>
          <w:rFonts w:hint="eastAsia" w:ascii="仿宋" w:hAnsi="仿宋" w:eastAsia="仿宋" w:cs="Cambria Math"/>
          <w:color w:val="000000"/>
        </w:rPr>
        <w:t>致：中国人民财产保险股份有限公司德阳市分公司：</w:t>
      </w:r>
    </w:p>
    <w:p>
      <w:pPr>
        <w:spacing w:before="240" w:line="360" w:lineRule="auto"/>
        <w:ind w:firstLine="48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人保财险四川省德阳市分公司2025年度团建拓展服务采购项目</w:t>
      </w:r>
      <w:r>
        <w:rPr>
          <w:rFonts w:ascii="仿宋" w:hAnsi="仿宋" w:eastAsia="仿宋" w:cs="Cambria Math"/>
          <w:color w:val="000000"/>
          <w:u w:val="single"/>
        </w:rPr>
        <w:t xml:space="preserve"> </w:t>
      </w:r>
      <w:r>
        <w:rPr>
          <w:rFonts w:hint="eastAsia" w:ascii="仿宋" w:hAnsi="仿宋" w:eastAsia="仿宋" w:cs="Cambria Math"/>
          <w:color w:val="000000"/>
        </w:rPr>
        <w:t>资格条件中要求的具有良好的商业信誉和健全的财务会计制度磋商响应资格，并对上述承诺真实性负责。</w:t>
      </w:r>
      <w:r>
        <w:rPr>
          <w:rFonts w:ascii="仿宋" w:hAnsi="仿宋" w:eastAsia="仿宋" w:cs="Cambria Math"/>
          <w:color w:val="000000"/>
        </w:rPr>
        <w:t xml:space="preserve"> </w:t>
      </w:r>
    </w:p>
    <w:p>
      <w:pPr>
        <w:pStyle w:val="2"/>
        <w:ind w:firstLine="480"/>
        <w:jc w:val="both"/>
        <w:rPr>
          <w:rFonts w:ascii="仿宋" w:hAnsi="仿宋" w:eastAsia="仿宋" w:cs="Cambria Math"/>
          <w:color w:val="000000"/>
        </w:rPr>
      </w:pPr>
      <w:r>
        <w:rPr>
          <w:rFonts w:hint="eastAsia" w:ascii="仿宋" w:hAnsi="仿宋" w:eastAsia="仿宋" w:cs="Cambria Math"/>
          <w:color w:val="000000"/>
        </w:rPr>
        <w:t>特此声明。</w:t>
      </w:r>
    </w:p>
    <w:p>
      <w:pPr>
        <w:pStyle w:val="2"/>
      </w:pPr>
    </w:p>
    <w:p>
      <w:pPr>
        <w:spacing w:line="360" w:lineRule="auto"/>
        <w:ind w:firstLine="480"/>
        <w:rPr>
          <w:rFonts w:ascii="仿宋" w:hAnsi="仿宋" w:eastAsia="仿宋" w:cs="仿宋"/>
          <w:color w:val="000000"/>
        </w:rPr>
      </w:pPr>
      <w:r>
        <w:rPr>
          <w:rFonts w:ascii="仿宋" w:hAnsi="仿宋" w:eastAsia="仿宋" w:cs="仿宋"/>
          <w:color w:val="000000"/>
        </w:rPr>
        <w:br w:type="page" w:clear="all"/>
      </w: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noWrap w:val="0"/>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noWrap w:val="0"/>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noWrap w:val="0"/>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noWrap w:val="0"/>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noWrap w:val="0"/>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noWrap w:val="0"/>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noWrap w:val="0"/>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rPr>
          <w:rFonts w:ascii="仿宋" w:hAnsi="仿宋" w:eastAsia="仿宋"/>
          <w:b/>
          <w:color w:val="000000"/>
        </w:rPr>
      </w:pPr>
      <w:r>
        <w:rPr>
          <w:rFonts w:hint="eastAsia" w:ascii="仿宋" w:hAnsi="仿宋" w:eastAsia="仿宋"/>
          <w:b/>
          <w:color w:val="000000"/>
        </w:rPr>
        <w:t>2）按照磋商公告的资格要求提供有效的实施经验证明材料，作为资格后审的评审依据。</w:t>
      </w:r>
    </w:p>
    <w:p>
      <w:pPr>
        <w:spacing w:line="360" w:lineRule="auto"/>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rPr>
          <w:rFonts w:ascii="仿宋" w:hAnsi="仿宋" w:eastAsia="仿宋" w:cs="仿宋"/>
          <w:bCs/>
          <w:color w:val="000000"/>
        </w:rPr>
      </w:pPr>
    </w:p>
    <w:p>
      <w:pPr>
        <w:pStyle w:val="212"/>
        <w:spacing w:line="360" w:lineRule="auto"/>
        <w:ind w:left="1575" w:firstLine="0"/>
        <w:rPr>
          <w:rFonts w:ascii="仿宋" w:hAnsi="仿宋" w:eastAsia="仿宋" w:cs="仿宋"/>
          <w:bCs/>
          <w:color w:val="000000"/>
        </w:rPr>
      </w:pPr>
    </w:p>
    <w:p>
      <w:pPr>
        <w:pStyle w:val="212"/>
        <w:spacing w:line="360" w:lineRule="auto"/>
        <w:ind w:left="1575" w:firstLine="0"/>
        <w:rPr>
          <w:rFonts w:ascii="仿宋" w:hAnsi="仿宋" w:eastAsia="仿宋" w:cs="仿宋"/>
          <w:bCs/>
          <w:color w:val="000000"/>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br w:type="page" w:clear="all"/>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rPr>
          <w:rFonts w:ascii="仿宋" w:hAnsi="仿宋" w:eastAsia="仿宋" w:cs="Cambria Math"/>
          <w:b/>
          <w:bCs/>
          <w:color w:val="000000"/>
        </w:rPr>
      </w:pPr>
      <w:r>
        <w:rPr>
          <w:rFonts w:hint="eastAsia" w:ascii="仿宋" w:hAnsi="仿宋" w:eastAsia="仿宋" w:cs="Cambria Math"/>
          <w:b/>
          <w:bCs/>
          <w:color w:val="000000"/>
        </w:rPr>
        <w:t>《企业税收和社会保障资金缴纳承诺书》</w:t>
      </w:r>
    </w:p>
    <w:p>
      <w:pPr>
        <w:spacing w:before="240" w:line="360" w:lineRule="auto"/>
        <w:rPr>
          <w:rFonts w:ascii="仿宋" w:hAnsi="仿宋" w:eastAsia="仿宋" w:cs="Cambria Math"/>
          <w:color w:val="000000"/>
        </w:rPr>
      </w:pPr>
      <w:r>
        <w:rPr>
          <w:rFonts w:hint="eastAsia" w:ascii="仿宋" w:hAnsi="仿宋" w:eastAsia="仿宋" w:cs="Cambria Math"/>
          <w:color w:val="000000"/>
        </w:rPr>
        <w:t>致：中国人民财产保险股份有限公司德阳市分公司：</w:t>
      </w:r>
    </w:p>
    <w:p>
      <w:pPr>
        <w:spacing w:before="240" w:line="360" w:lineRule="auto"/>
        <w:ind w:firstLine="48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人保财险四川省德阳市分公司2025年度团建拓展服务采购项目</w:t>
      </w:r>
      <w:r>
        <w:rPr>
          <w:rFonts w:hint="eastAsia" w:ascii="仿宋" w:hAnsi="仿宋" w:eastAsia="仿宋" w:cs="Cambria Math"/>
          <w:color w:val="000000"/>
        </w:rPr>
        <w:t>资格条件中要求的具有依法缴纳税收和社会保障资金的良好记录磋商响应资格，并对上述承诺真实性负责。</w:t>
      </w:r>
      <w:r>
        <w:rPr>
          <w:rFonts w:ascii="仿宋" w:hAnsi="仿宋" w:eastAsia="仿宋" w:cs="Cambria Math"/>
          <w:color w:val="000000"/>
        </w:rPr>
        <w:t xml:space="preserve"> </w:t>
      </w:r>
    </w:p>
    <w:p>
      <w:pPr>
        <w:pStyle w:val="2"/>
        <w:ind w:firstLine="480"/>
        <w:jc w:val="both"/>
        <w:rPr>
          <w:rFonts w:ascii="仿宋" w:hAnsi="仿宋" w:eastAsia="仿宋" w:cs="Cambria Math"/>
          <w:color w:val="000000"/>
        </w:rPr>
      </w:pPr>
      <w:r>
        <w:rPr>
          <w:rFonts w:hint="eastAsia" w:ascii="仿宋" w:hAnsi="仿宋" w:eastAsia="仿宋" w:cs="Cambria Math"/>
          <w:color w:val="000000"/>
        </w:rPr>
        <w:t>特此声明。</w:t>
      </w:r>
    </w:p>
    <w:p>
      <w:pPr>
        <w:pStyle w:val="2"/>
      </w:pPr>
    </w:p>
    <w:p>
      <w:pPr>
        <w:rPr>
          <w:rFonts w:ascii="仿宋" w:hAnsi="仿宋" w:eastAsia="仿宋" w:cs="仿宋"/>
          <w:color w:val="000000"/>
        </w:rPr>
      </w:pPr>
      <w:r>
        <w:rPr>
          <w:rFonts w:hint="eastAsia" w:ascii="仿宋" w:hAnsi="仿宋" w:eastAsia="仿宋" w:cs="仿宋"/>
          <w:color w:val="000000"/>
        </w:rPr>
        <w:br w:type="page" w:clear="all"/>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pacing w:line="360" w:lineRule="auto"/>
        <w:ind w:firstLine="480"/>
        <w:rPr>
          <w:rStyle w:val="42"/>
        </w:rPr>
      </w:pPr>
      <w:r>
        <w:rPr>
          <w:rFonts w:hint="eastAsia" w:ascii="仿宋" w:hAnsi="仿宋" w:eastAsia="仿宋" w:cs="Cambria Math"/>
          <w:color w:val="000000"/>
        </w:rPr>
        <w:t>信用中国查询网址：</w:t>
      </w:r>
      <w:r>
        <w:fldChar w:fldCharType="begin"/>
      </w:r>
      <w:r>
        <w:instrText xml:space="preserve"> HYPERLINK "https://www.creditchina.gov.cn/xinyongfuwu/?navPage=5" </w:instrText>
      </w:r>
      <w:r>
        <w:fldChar w:fldCharType="separate"/>
      </w:r>
      <w:r>
        <w:rPr>
          <w:rStyle w:val="42"/>
          <w:rFonts w:hint="eastAsia"/>
        </w:rPr>
        <w:t>https://www.creditchina.gov.cn/xinyongfuwu/?navPage=5</w:t>
      </w:r>
      <w:r>
        <w:rPr>
          <w:rStyle w:val="42"/>
          <w:rFonts w:hint="eastAsia"/>
        </w:rPr>
        <w:fldChar w:fldCharType="end"/>
      </w:r>
    </w:p>
    <w:p>
      <w:pPr>
        <w:spacing w:line="360" w:lineRule="auto"/>
        <w:rPr>
          <w:color w:val="333333"/>
        </w:rPr>
      </w:pPr>
      <w:r>
        <w:rPr>
          <w:rFonts w:hint="eastAsia" w:ascii="仿宋" w:hAnsi="仿宋" w:eastAsia="仿宋" w:cs="Cambria Math"/>
        </w:rPr>
        <w:t>（1）失信被执行人查询截图范例：</w:t>
      </w:r>
    </w:p>
    <w:p>
      <w:pPr>
        <w:ind w:firstLine="240"/>
      </w:pPr>
      <w:r>
        <w:drawing>
          <wp:inline distT="0" distB="0" distL="0" distR="0">
            <wp:extent cx="5909310" cy="3769360"/>
            <wp:effectExtent l="0" t="0" r="8890" b="2540"/>
            <wp:docPr id="8"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cca28b419ce15d5afdeea5a744e8556"/>
                    <pic:cNvPicPr>
                      <a:picLocks noChangeAspect="1"/>
                    </pic:cNvPicPr>
                  </pic:nvPicPr>
                  <pic:blipFill>
                    <a:blip r:embed="rId12"/>
                    <a:srcRect b="11950"/>
                    <a:stretch>
                      <a:fillRect/>
                    </a:stretch>
                  </pic:blipFill>
                  <pic:spPr>
                    <a:xfrm>
                      <a:off x="0" y="0"/>
                      <a:ext cx="5909310" cy="3769360"/>
                    </a:xfrm>
                    <a:prstGeom prst="rect">
                      <a:avLst/>
                    </a:prstGeom>
                    <a:noFill/>
                    <a:ln>
                      <a:noFill/>
                    </a:ln>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ascii="仿宋" w:hAnsi="仿宋" w:eastAsia="仿宋"/>
          <w:color w:val="000000"/>
          <w:szCs w:val="21"/>
        </w:rPr>
        <w:drawing>
          <wp:inline distT="0" distB="0" distL="0" distR="0">
            <wp:extent cx="6119495" cy="3312795"/>
            <wp:effectExtent l="0" t="0" r="1905" b="1905"/>
            <wp:docPr id="9"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微信图片_20220713154746"/>
                    <pic:cNvPicPr>
                      <a:picLocks noChangeAspect="1"/>
                    </pic:cNvPicPr>
                  </pic:nvPicPr>
                  <pic:blipFill>
                    <a:blip r:embed="rId13"/>
                    <a:stretch>
                      <a:fillRect/>
                    </a:stretch>
                  </pic:blipFill>
                  <pic:spPr>
                    <a:xfrm>
                      <a:off x="0" y="0"/>
                      <a:ext cx="6119495" cy="3312795"/>
                    </a:xfrm>
                    <a:prstGeom prst="rect">
                      <a:avLst/>
                    </a:prstGeom>
                    <a:noFill/>
                    <a:ln>
                      <a:noFill/>
                    </a:ln>
                  </pic:spPr>
                </pic:pic>
              </a:graphicData>
            </a:graphic>
          </wp:inline>
        </w:drawing>
      </w:r>
    </w:p>
    <w:p>
      <w:pPr>
        <w:ind w:firstLine="24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pPr>
      <w:r>
        <w:drawing>
          <wp:inline distT="0" distB="0" distL="0" distR="0">
            <wp:extent cx="5976620" cy="3242310"/>
            <wp:effectExtent l="0" t="0" r="5080" b="889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4"/>
                    <a:stretch>
                      <a:fillRect/>
                    </a:stretch>
                  </pic:blipFill>
                  <pic:spPr>
                    <a:xfrm>
                      <a:off x="0" y="0"/>
                      <a:ext cx="5976620" cy="3242310"/>
                    </a:xfrm>
                    <a:prstGeom prst="rect">
                      <a:avLst/>
                    </a:prstGeom>
                    <a:noFill/>
                    <a:ln>
                      <a:noFill/>
                    </a:ln>
                  </pic:spPr>
                </pic:pic>
              </a:graphicData>
            </a:graphic>
          </wp:inline>
        </w:drawing>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clear="all"/>
      </w:r>
      <w:r>
        <w:rPr>
          <w:rFonts w:ascii="仿宋" w:hAnsi="仿宋" w:eastAsia="仿宋" w:cs="仿宋"/>
          <w:color w:val="000000"/>
          <w:sz w:val="24"/>
          <w:szCs w:val="24"/>
        </w:rPr>
        <w:t>6</w:t>
      </w:r>
      <w:r>
        <w:rPr>
          <w:rFonts w:hint="eastAsia" w:ascii="仿宋" w:hAnsi="仿宋" w:eastAsia="仿宋" w:cs="仿宋"/>
          <w:color w:val="000000"/>
          <w:sz w:val="24"/>
          <w:szCs w:val="24"/>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中国人民财产保险股份有限公司德阳市分公司</w:t>
      </w:r>
      <w:r>
        <w:rPr>
          <w:rFonts w:hint="eastAsia" w:ascii="仿宋" w:hAnsi="仿宋" w:eastAsia="仿宋" w:cs="Cambria Math"/>
          <w:color w:val="000000"/>
        </w:rPr>
        <w:t>：</w:t>
      </w:r>
    </w:p>
    <w:p>
      <w:pPr>
        <w:spacing w:before="240" w:line="360" w:lineRule="auto"/>
        <w:ind w:firstLine="48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jc w:val="both"/>
        <w:rPr>
          <w:rFonts w:ascii="仿宋" w:hAnsi="仿宋" w:eastAsia="仿宋" w:cs="Cambria Math"/>
          <w:color w:val="000000"/>
        </w:rPr>
      </w:pPr>
    </w:p>
    <w:p>
      <w:pPr>
        <w:pStyle w:val="2"/>
        <w:ind w:firstLine="480"/>
        <w:jc w:val="both"/>
        <w:rPr>
          <w:rFonts w:ascii="仿宋" w:hAnsi="仿宋" w:eastAsia="仿宋" w:cs="Cambria Math"/>
          <w:color w:val="000000"/>
        </w:rPr>
      </w:pPr>
      <w:r>
        <w:rPr>
          <w:rFonts w:hint="eastAsia" w:ascii="仿宋" w:hAnsi="仿宋" w:eastAsia="仿宋" w:cs="Cambria Math"/>
          <w:color w:val="000000"/>
        </w:rPr>
        <w:t>特此承诺。</w:t>
      </w:r>
    </w:p>
    <w:p>
      <w:pPr>
        <w:pStyle w:val="237"/>
        <w:ind w:firstLine="640"/>
        <w:rPr>
          <w:rFonts w:ascii="仿宋" w:hAnsi="仿宋" w:eastAsia="仿宋"/>
        </w:rPr>
      </w:pPr>
    </w:p>
    <w:p>
      <w:pPr>
        <w:pStyle w:val="237"/>
        <w:ind w:firstLine="640"/>
        <w:rPr>
          <w:rFonts w:ascii="仿宋" w:hAnsi="仿宋" w:eastAsia="仿宋"/>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227"/>
        <w:spacing w:line="360" w:lineRule="auto"/>
        <w:rPr>
          <w:rFonts w:ascii="仿宋" w:hAnsi="仿宋" w:eastAsia="仿宋" w:cs="仿宋"/>
          <w:color w:val="000000"/>
        </w:rPr>
      </w:pPr>
      <w:r>
        <w:rPr>
          <w:rFonts w:hint="eastAsia" w:ascii="仿宋" w:hAnsi="仿宋" w:eastAsia="仿宋" w:cs="仿宋"/>
          <w:color w:val="000000"/>
          <w:szCs w:val="24"/>
        </w:rPr>
        <w:br w:type="page" w:clear="all"/>
      </w:r>
    </w:p>
    <w:p>
      <w:pPr>
        <w:pStyle w:val="6"/>
        <w:spacing w:before="0" w:after="0" w:line="360" w:lineRule="auto"/>
        <w:rPr>
          <w:rFonts w:ascii="仿宋" w:hAnsi="仿宋" w:eastAsia="仿宋" w:cs="仿宋"/>
          <w:color w:val="000000"/>
          <w:sz w:val="24"/>
          <w:szCs w:val="24"/>
        </w:rPr>
      </w:pPr>
      <w:bookmarkStart w:id="176"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212"/>
        <w:spacing w:before="240" w:after="240" w:line="360" w:lineRule="auto"/>
        <w:ind w:firstLine="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spacing w:line="360" w:lineRule="auto"/>
        <w:ind w:left="-89" w:hanging="619"/>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中国人民财产保险股份有限公司德阳市分公司</w:t>
      </w:r>
      <w:r>
        <w:rPr>
          <w:rFonts w:hint="eastAsia" w:ascii="仿宋" w:hAnsi="仿宋" w:eastAsia="仿宋" w:cs="宋体"/>
          <w:color w:val="000000"/>
        </w:rPr>
        <w:t>：</w:t>
      </w:r>
    </w:p>
    <w:p>
      <w:pPr>
        <w:spacing w:line="360" w:lineRule="auto"/>
        <w:ind w:left="-706" w:right="-586" w:firstLine="616"/>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人保财险四川省德阳市分公司2025年度团建拓展服务采购项目</w:t>
      </w:r>
      <w:r>
        <w:rPr>
          <w:rFonts w:hint="eastAsia" w:ascii="仿宋" w:hAnsi="仿宋" w:eastAsia="仿宋" w:cs="宋体"/>
          <w:color w:val="000000"/>
        </w:rPr>
        <w:t>的磋商，根据法律法规维护投标公正性的相关规定，我方与采购人之间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4"/>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atLeast"/>
          <w:jc w:val="center"/>
        </w:trPr>
        <w:tc>
          <w:tcPr>
            <w:tcW w:w="192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jc w:val="center"/>
        </w:trPr>
        <w:tc>
          <w:tcPr>
            <w:tcW w:w="1926" w:type="dxa"/>
            <w:vMerge w:val="restart"/>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35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姓    名</w:t>
            </w:r>
          </w:p>
        </w:tc>
        <w:tc>
          <w:tcPr>
            <w:tcW w:w="5570"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spacing w:line="440" w:lineRule="exact"/>
              <w:rPr>
                <w:rFonts w:ascii="仿宋" w:hAnsi="仿宋" w:eastAsia="仿宋" w:cs="宋体"/>
                <w:color w:val="000000"/>
              </w:rPr>
            </w:pPr>
          </w:p>
        </w:tc>
        <w:tc>
          <w:tcPr>
            <w:tcW w:w="235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身份证号</w:t>
            </w:r>
          </w:p>
        </w:tc>
        <w:tc>
          <w:tcPr>
            <w:tcW w:w="5570"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控股关系</w:t>
            </w:r>
          </w:p>
        </w:tc>
        <w:tc>
          <w:tcPr>
            <w:tcW w:w="235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570"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spacing w:line="440" w:lineRule="exact"/>
              <w:rPr>
                <w:rFonts w:ascii="仿宋" w:hAnsi="仿宋" w:eastAsia="仿宋" w:cs="宋体"/>
                <w:color w:val="000000"/>
              </w:rPr>
            </w:pPr>
          </w:p>
        </w:tc>
        <w:tc>
          <w:tcPr>
            <w:tcW w:w="235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570"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spacing w:line="440" w:lineRule="exact"/>
              <w:rPr>
                <w:rFonts w:ascii="仿宋" w:hAnsi="仿宋" w:eastAsia="仿宋" w:cs="宋体"/>
                <w:color w:val="000000"/>
              </w:rPr>
            </w:pPr>
          </w:p>
        </w:tc>
        <w:tc>
          <w:tcPr>
            <w:tcW w:w="235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1" w:hRule="atLeast"/>
          <w:jc w:val="center"/>
        </w:trPr>
        <w:tc>
          <w:tcPr>
            <w:tcW w:w="9852" w:type="dxa"/>
            <w:gridSpan w:val="3"/>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备注：</w:t>
            </w:r>
          </w:p>
        </w:tc>
      </w:tr>
    </w:tbl>
    <w:p>
      <w:pPr>
        <w:spacing w:line="360" w:lineRule="auto"/>
        <w:rPr>
          <w:rFonts w:ascii="仿宋" w:hAnsi="仿宋" w:eastAsia="仿宋" w:cs="宋体"/>
          <w:color w:val="000000"/>
        </w:rPr>
      </w:pPr>
      <w:r>
        <w:rPr>
          <w:rFonts w:hint="eastAsia" w:ascii="仿宋" w:hAnsi="仿宋" w:eastAsia="仿宋" w:cs="宋体"/>
          <w:color w:val="000000"/>
        </w:rPr>
        <w:t>注：</w:t>
      </w:r>
    </w:p>
    <w:p>
      <w:pPr>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spacing w:line="360" w:lineRule="auto"/>
        <w:ind w:left="12"/>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239"/>
        <w:spacing w:line="360" w:lineRule="auto"/>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239"/>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rPr>
          <w:rFonts w:ascii="仿宋" w:hAnsi="仿宋" w:eastAsia="仿宋" w:cs="宋体"/>
          <w:color w:val="000000"/>
        </w:rPr>
      </w:pPr>
    </w:p>
    <w:p>
      <w:pPr>
        <w:spacing w:line="360" w:lineRule="auto"/>
        <w:ind w:firstLine="408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t>8、非联合体磋商响应声明</w:t>
      </w:r>
      <w:bookmarkEnd w:id="175"/>
      <w:bookmarkEnd w:id="176"/>
    </w:p>
    <w:p>
      <w:pPr>
        <w:pStyle w:val="2"/>
        <w:spacing w:before="240"/>
        <w:rPr>
          <w:rFonts w:ascii="仿宋" w:hAnsi="仿宋" w:eastAsia="仿宋" w:cs="Cambria Math"/>
          <w:b/>
          <w:bCs/>
          <w:color w:val="000000"/>
        </w:rPr>
      </w:pPr>
      <w:bookmarkStart w:id="177" w:name="_Toc71192048"/>
      <w:r>
        <w:rPr>
          <w:rFonts w:hint="eastAsia" w:ascii="仿宋" w:hAnsi="仿宋" w:eastAsia="仿宋" w:cs="Cambria Math"/>
          <w:b/>
          <w:bCs/>
          <w:color w:val="000000"/>
        </w:rPr>
        <w:t>非联合体磋商响应声明</w:t>
      </w:r>
    </w:p>
    <w:p>
      <w:pPr>
        <w:spacing w:before="240" w:line="360" w:lineRule="auto"/>
        <w:rPr>
          <w:rFonts w:ascii="仿宋" w:hAnsi="仿宋" w:eastAsia="仿宋" w:cs="Cambria Math"/>
          <w:color w:val="000000"/>
        </w:rPr>
      </w:pPr>
      <w:r>
        <w:rPr>
          <w:rFonts w:hint="eastAsia" w:ascii="仿宋" w:hAnsi="仿宋" w:eastAsia="仿宋" w:cs="Cambria Math"/>
          <w:color w:val="000000"/>
        </w:rPr>
        <w:t>致：中国人民财产保险股份有限公司德阳市分公司：</w:t>
      </w:r>
    </w:p>
    <w:p>
      <w:pPr>
        <w:spacing w:before="240" w:line="360" w:lineRule="auto"/>
        <w:ind w:firstLine="48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人保财险四川省德阳市分公司2025年度团建拓展服务采购项目</w:t>
      </w:r>
      <w:r>
        <w:rPr>
          <w:rFonts w:ascii="仿宋" w:hAnsi="仿宋" w:eastAsia="仿宋" w:cs="Cambria Math"/>
          <w:color w:val="000000"/>
          <w:u w:val="single"/>
        </w:rPr>
        <w:t xml:space="preserve"> </w:t>
      </w:r>
      <w:r>
        <w:rPr>
          <w:rFonts w:hint="eastAsia" w:ascii="仿宋" w:hAnsi="仿宋" w:eastAsia="仿宋" w:cs="Cambria Math"/>
          <w:color w:val="000000"/>
        </w:rPr>
        <w:t>磋商响应，非联合体参与磋商响应。</w:t>
      </w:r>
      <w:r>
        <w:rPr>
          <w:rFonts w:ascii="仿宋" w:hAnsi="仿宋" w:eastAsia="仿宋" w:cs="Cambria Math"/>
          <w:color w:val="000000"/>
        </w:rPr>
        <w:t xml:space="preserve"> </w:t>
      </w:r>
    </w:p>
    <w:p>
      <w:pPr>
        <w:pStyle w:val="2"/>
        <w:ind w:firstLine="480"/>
        <w:jc w:val="both"/>
        <w:rPr>
          <w:rFonts w:ascii="仿宋" w:hAnsi="仿宋" w:eastAsia="仿宋" w:cs="Cambria Math"/>
          <w:color w:val="000000"/>
        </w:rPr>
      </w:pPr>
      <w:r>
        <w:rPr>
          <w:rFonts w:hint="eastAsia" w:ascii="仿宋" w:hAnsi="仿宋" w:eastAsia="仿宋" w:cs="Cambria Math"/>
          <w:color w:val="000000"/>
        </w:rPr>
        <w:t>特此声明。</w:t>
      </w:r>
    </w:p>
    <w:p>
      <w:pPr>
        <w:pStyle w:val="237"/>
        <w:ind w:firstLine="640"/>
        <w:rPr>
          <w:rFonts w:ascii="仿宋" w:hAnsi="仿宋" w:eastAsia="仿宋"/>
        </w:rPr>
      </w:pPr>
    </w:p>
    <w:p>
      <w:pPr>
        <w:pStyle w:val="237"/>
        <w:ind w:firstLine="640"/>
        <w:rPr>
          <w:rFonts w:ascii="仿宋" w:hAnsi="仿宋" w:eastAsia="仿宋"/>
        </w:rPr>
      </w:pPr>
    </w:p>
    <w:p>
      <w:pPr>
        <w:pStyle w:val="237"/>
        <w:ind w:firstLine="640"/>
        <w:rPr>
          <w:rFonts w:ascii="仿宋" w:hAnsi="仿宋" w:eastAsia="仿宋"/>
        </w:rPr>
      </w:pPr>
    </w:p>
    <w:p>
      <w:pPr>
        <w:pStyle w:val="237"/>
        <w:ind w:firstLine="640"/>
        <w:rPr>
          <w:rFonts w:ascii="仿宋" w:hAnsi="仿宋" w:eastAsia="仿宋"/>
        </w:rPr>
      </w:pPr>
    </w:p>
    <w:p>
      <w:pPr>
        <w:pStyle w:val="237"/>
        <w:ind w:firstLine="640"/>
        <w:rPr>
          <w:rFonts w:ascii="仿宋" w:hAnsi="仿宋" w:eastAsia="仿宋"/>
        </w:rPr>
      </w:pPr>
    </w:p>
    <w:p>
      <w:pPr>
        <w:pStyle w:val="237"/>
        <w:ind w:firstLine="640"/>
        <w:rPr>
          <w:rFonts w:ascii="仿宋" w:hAnsi="仿宋" w:eastAsia="仿宋"/>
        </w:rPr>
      </w:pPr>
    </w:p>
    <w:p>
      <w:pPr>
        <w:pStyle w:val="237"/>
        <w:ind w:firstLine="640"/>
        <w:rPr>
          <w:rFonts w:ascii="仿宋" w:hAnsi="仿宋" w:eastAsia="仿宋"/>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clear="all"/>
      </w:r>
    </w:p>
    <w:p>
      <w:pPr>
        <w:pStyle w:val="5"/>
        <w:spacing w:before="0" w:after="0" w:line="360" w:lineRule="auto"/>
        <w:rPr>
          <w:rFonts w:ascii="仿宋" w:hAnsi="仿宋" w:cs="宋体"/>
          <w:color w:val="000000"/>
          <w:szCs w:val="24"/>
        </w:rPr>
      </w:pPr>
      <w:bookmarkStart w:id="178" w:name="_Toc144139212"/>
      <w:bookmarkStart w:id="179" w:name="_Toc65683009"/>
      <w:bookmarkStart w:id="180" w:name="_Toc112068411"/>
      <w:bookmarkStart w:id="181" w:name="_Toc186737818"/>
      <w:bookmarkStart w:id="182" w:name="_Toc15130"/>
      <w:bookmarkStart w:id="183" w:name="_Toc18208"/>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78"/>
      <w:bookmarkEnd w:id="179"/>
      <w:bookmarkEnd w:id="180"/>
      <w:bookmarkEnd w:id="181"/>
      <w:bookmarkEnd w:id="182"/>
      <w:bookmarkEnd w:id="183"/>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宋体"/>
                <w:color w:val="000000"/>
                <w:szCs w:val="21"/>
              </w:rPr>
            </w:pPr>
          </w:p>
        </w:tc>
        <w:tc>
          <w:tcPr>
            <w:tcW w:w="2285" w:type="dxa"/>
            <w:noWrap w:val="0"/>
          </w:tcPr>
          <w:p>
            <w:pPr>
              <w:spacing w:line="360" w:lineRule="auto"/>
              <w:rPr>
                <w:rFonts w:ascii="仿宋" w:hAnsi="仿宋" w:eastAsia="仿宋" w:cs="宋体"/>
                <w:color w:val="000000"/>
                <w:szCs w:val="21"/>
              </w:rPr>
            </w:pPr>
          </w:p>
        </w:tc>
        <w:tc>
          <w:tcPr>
            <w:tcW w:w="2495" w:type="dxa"/>
            <w:noWrap w:val="0"/>
          </w:tcPr>
          <w:p>
            <w:pPr>
              <w:spacing w:line="360" w:lineRule="auto"/>
              <w:rPr>
                <w:rFonts w:ascii="仿宋" w:hAnsi="仿宋" w:eastAsia="仿宋" w:cs="宋体"/>
                <w:color w:val="000000"/>
                <w:szCs w:val="21"/>
              </w:rPr>
            </w:pPr>
          </w:p>
        </w:tc>
        <w:tc>
          <w:tcPr>
            <w:tcW w:w="2704" w:type="dxa"/>
            <w:noWrap w:val="0"/>
          </w:tcPr>
          <w:p>
            <w:pPr>
              <w:spacing w:line="360" w:lineRule="auto"/>
              <w:rPr>
                <w:rFonts w:ascii="仿宋" w:hAnsi="仿宋" w:eastAsia="仿宋" w:cs="宋体"/>
                <w:color w:val="000000"/>
                <w:szCs w:val="21"/>
              </w:rPr>
            </w:pPr>
          </w:p>
        </w:tc>
        <w:tc>
          <w:tcPr>
            <w:tcW w:w="1408" w:type="dxa"/>
            <w:noWrap w:val="0"/>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宋体"/>
                <w:color w:val="000000"/>
                <w:szCs w:val="21"/>
              </w:rPr>
            </w:pPr>
          </w:p>
        </w:tc>
        <w:tc>
          <w:tcPr>
            <w:tcW w:w="2285" w:type="dxa"/>
            <w:noWrap w:val="0"/>
          </w:tcPr>
          <w:p>
            <w:pPr>
              <w:spacing w:line="360" w:lineRule="auto"/>
              <w:rPr>
                <w:rFonts w:ascii="仿宋" w:hAnsi="仿宋" w:eastAsia="仿宋" w:cs="宋体"/>
                <w:color w:val="000000"/>
                <w:szCs w:val="21"/>
              </w:rPr>
            </w:pPr>
          </w:p>
        </w:tc>
        <w:tc>
          <w:tcPr>
            <w:tcW w:w="2495" w:type="dxa"/>
            <w:noWrap w:val="0"/>
          </w:tcPr>
          <w:p>
            <w:pPr>
              <w:spacing w:line="360" w:lineRule="auto"/>
              <w:rPr>
                <w:rFonts w:ascii="仿宋" w:hAnsi="仿宋" w:eastAsia="仿宋" w:cs="宋体"/>
                <w:color w:val="000000"/>
                <w:szCs w:val="21"/>
              </w:rPr>
            </w:pPr>
          </w:p>
        </w:tc>
        <w:tc>
          <w:tcPr>
            <w:tcW w:w="2704" w:type="dxa"/>
            <w:noWrap w:val="0"/>
          </w:tcPr>
          <w:p>
            <w:pPr>
              <w:spacing w:line="360" w:lineRule="auto"/>
              <w:rPr>
                <w:rFonts w:ascii="仿宋" w:hAnsi="仿宋" w:eastAsia="仿宋" w:cs="宋体"/>
                <w:color w:val="000000"/>
                <w:szCs w:val="21"/>
              </w:rPr>
            </w:pPr>
          </w:p>
        </w:tc>
        <w:tc>
          <w:tcPr>
            <w:tcW w:w="1408" w:type="dxa"/>
            <w:noWrap w:val="0"/>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宋体"/>
                <w:color w:val="000000"/>
                <w:szCs w:val="21"/>
              </w:rPr>
            </w:pPr>
          </w:p>
        </w:tc>
        <w:tc>
          <w:tcPr>
            <w:tcW w:w="2285" w:type="dxa"/>
            <w:noWrap w:val="0"/>
          </w:tcPr>
          <w:p>
            <w:pPr>
              <w:spacing w:line="360" w:lineRule="auto"/>
              <w:rPr>
                <w:rFonts w:ascii="仿宋" w:hAnsi="仿宋" w:eastAsia="仿宋" w:cs="宋体"/>
                <w:color w:val="000000"/>
                <w:szCs w:val="21"/>
              </w:rPr>
            </w:pPr>
          </w:p>
        </w:tc>
        <w:tc>
          <w:tcPr>
            <w:tcW w:w="2495" w:type="dxa"/>
            <w:noWrap w:val="0"/>
          </w:tcPr>
          <w:p>
            <w:pPr>
              <w:spacing w:line="360" w:lineRule="auto"/>
              <w:rPr>
                <w:rFonts w:ascii="仿宋" w:hAnsi="仿宋" w:eastAsia="仿宋" w:cs="宋体"/>
                <w:color w:val="000000"/>
                <w:szCs w:val="21"/>
              </w:rPr>
            </w:pPr>
          </w:p>
        </w:tc>
        <w:tc>
          <w:tcPr>
            <w:tcW w:w="2704" w:type="dxa"/>
            <w:noWrap w:val="0"/>
          </w:tcPr>
          <w:p>
            <w:pPr>
              <w:spacing w:line="360" w:lineRule="auto"/>
              <w:rPr>
                <w:rFonts w:ascii="仿宋" w:hAnsi="仿宋" w:eastAsia="仿宋" w:cs="宋体"/>
                <w:color w:val="000000"/>
                <w:szCs w:val="21"/>
              </w:rPr>
            </w:pPr>
          </w:p>
        </w:tc>
        <w:tc>
          <w:tcPr>
            <w:tcW w:w="1408" w:type="dxa"/>
            <w:noWrap w:val="0"/>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宋体"/>
                <w:color w:val="000000"/>
                <w:szCs w:val="21"/>
              </w:rPr>
            </w:pPr>
          </w:p>
        </w:tc>
        <w:tc>
          <w:tcPr>
            <w:tcW w:w="2285" w:type="dxa"/>
            <w:noWrap w:val="0"/>
          </w:tcPr>
          <w:p>
            <w:pPr>
              <w:spacing w:line="360" w:lineRule="auto"/>
              <w:rPr>
                <w:rFonts w:ascii="仿宋" w:hAnsi="仿宋" w:eastAsia="仿宋" w:cs="宋体"/>
                <w:color w:val="000000"/>
                <w:szCs w:val="21"/>
              </w:rPr>
            </w:pPr>
          </w:p>
        </w:tc>
        <w:tc>
          <w:tcPr>
            <w:tcW w:w="2495" w:type="dxa"/>
            <w:noWrap w:val="0"/>
          </w:tcPr>
          <w:p>
            <w:pPr>
              <w:spacing w:line="360" w:lineRule="auto"/>
              <w:rPr>
                <w:rFonts w:ascii="仿宋" w:hAnsi="仿宋" w:eastAsia="仿宋" w:cs="宋体"/>
                <w:color w:val="000000"/>
                <w:szCs w:val="21"/>
              </w:rPr>
            </w:pPr>
          </w:p>
        </w:tc>
        <w:tc>
          <w:tcPr>
            <w:tcW w:w="2704" w:type="dxa"/>
            <w:noWrap w:val="0"/>
          </w:tcPr>
          <w:p>
            <w:pPr>
              <w:spacing w:line="360" w:lineRule="auto"/>
              <w:rPr>
                <w:rFonts w:ascii="仿宋" w:hAnsi="仿宋" w:eastAsia="仿宋" w:cs="宋体"/>
                <w:color w:val="000000"/>
                <w:szCs w:val="21"/>
              </w:rPr>
            </w:pPr>
          </w:p>
        </w:tc>
        <w:tc>
          <w:tcPr>
            <w:tcW w:w="1408" w:type="dxa"/>
            <w:noWrap w:val="0"/>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宋体"/>
                <w:color w:val="000000"/>
                <w:szCs w:val="21"/>
              </w:rPr>
            </w:pPr>
          </w:p>
        </w:tc>
        <w:tc>
          <w:tcPr>
            <w:tcW w:w="2285" w:type="dxa"/>
            <w:noWrap w:val="0"/>
          </w:tcPr>
          <w:p>
            <w:pPr>
              <w:spacing w:line="360" w:lineRule="auto"/>
              <w:rPr>
                <w:rFonts w:ascii="仿宋" w:hAnsi="仿宋" w:eastAsia="仿宋" w:cs="宋体"/>
                <w:color w:val="000000"/>
                <w:szCs w:val="21"/>
              </w:rPr>
            </w:pPr>
          </w:p>
        </w:tc>
        <w:tc>
          <w:tcPr>
            <w:tcW w:w="2495" w:type="dxa"/>
            <w:noWrap w:val="0"/>
          </w:tcPr>
          <w:p>
            <w:pPr>
              <w:spacing w:line="360" w:lineRule="auto"/>
              <w:rPr>
                <w:rFonts w:ascii="仿宋" w:hAnsi="仿宋" w:eastAsia="仿宋" w:cs="宋体"/>
                <w:color w:val="000000"/>
                <w:szCs w:val="21"/>
              </w:rPr>
            </w:pPr>
          </w:p>
        </w:tc>
        <w:tc>
          <w:tcPr>
            <w:tcW w:w="2704" w:type="dxa"/>
            <w:noWrap w:val="0"/>
          </w:tcPr>
          <w:p>
            <w:pPr>
              <w:spacing w:line="360" w:lineRule="auto"/>
              <w:rPr>
                <w:rFonts w:ascii="仿宋" w:hAnsi="仿宋" w:eastAsia="仿宋" w:cs="宋体"/>
                <w:color w:val="000000"/>
                <w:szCs w:val="21"/>
              </w:rPr>
            </w:pPr>
          </w:p>
        </w:tc>
        <w:tc>
          <w:tcPr>
            <w:tcW w:w="1408" w:type="dxa"/>
            <w:noWrap w:val="0"/>
          </w:tcPr>
          <w:p>
            <w:pPr>
              <w:spacing w:line="360" w:lineRule="auto"/>
              <w:rPr>
                <w:rFonts w:ascii="仿宋" w:hAnsi="仿宋" w:eastAsia="仿宋" w:cs="宋体"/>
                <w:color w:val="000000"/>
                <w:szCs w:val="21"/>
              </w:rPr>
            </w:pPr>
          </w:p>
        </w:tc>
      </w:tr>
    </w:tbl>
    <w:p>
      <w:pPr>
        <w:spacing w:line="360" w:lineRule="auto"/>
        <w:ind w:left="480" w:hanging="48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注：所有偏离须在本表中列出，未在本偏离表中列出偏离，将视为供应商已完全接受磋商文件要求</w:t>
      </w:r>
      <w:r>
        <w:rPr>
          <w:rFonts w:hint="eastAsia" w:ascii="仿宋" w:hAnsi="仿宋" w:eastAsia="仿宋" w:cs="宋体"/>
          <w:b/>
          <w:bCs/>
          <w:color w:val="000000"/>
        </w:rPr>
        <w:t>。如全部满足，在偏离表中应答“全部满足”即可。</w:t>
      </w:r>
    </w:p>
    <w:p>
      <w:pPr>
        <w:spacing w:line="360" w:lineRule="auto"/>
        <w:ind w:firstLine="4080"/>
        <w:jc w:val="right"/>
        <w:rPr>
          <w:rFonts w:ascii="仿宋" w:hAnsi="仿宋" w:eastAsia="仿宋" w:cs="宋体"/>
          <w:color w:val="000000"/>
        </w:rPr>
      </w:pPr>
    </w:p>
    <w:p>
      <w:pPr>
        <w:spacing w:line="360" w:lineRule="auto"/>
        <w:ind w:firstLine="4080"/>
        <w:jc w:val="right"/>
        <w:rPr>
          <w:rFonts w:ascii="仿宋" w:hAnsi="仿宋" w:eastAsia="仿宋" w:cs="宋体"/>
          <w:color w:val="000000"/>
        </w:rPr>
      </w:pPr>
    </w:p>
    <w:p>
      <w:pPr>
        <w:spacing w:line="360" w:lineRule="auto"/>
        <w:ind w:firstLine="4080"/>
        <w:jc w:val="right"/>
        <w:rPr>
          <w:rFonts w:ascii="仿宋" w:hAnsi="仿宋" w:eastAsia="仿宋" w:cs="宋体"/>
          <w:color w:val="000000"/>
        </w:rPr>
      </w:pPr>
    </w:p>
    <w:p>
      <w:pPr>
        <w:spacing w:line="360" w:lineRule="auto"/>
        <w:ind w:firstLine="408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8"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bl>
    <w:p>
      <w:pPr>
        <w:spacing w:before="240" w:line="360" w:lineRule="auto"/>
        <w:ind w:left="480" w:hanging="48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注：所有偏离必须在本表中列出，未在本偏离表中列出偏离，将视为供应商已完全接受竞争性磋商文件要求；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sectPr>
      </w:pPr>
      <w:r>
        <w:rPr>
          <w:rFonts w:ascii="仿宋" w:hAnsi="仿宋" w:eastAsia="仿宋" w:cs="仿宋"/>
          <w:color w:val="000000"/>
          <w:sz w:val="24"/>
          <w:szCs w:val="24"/>
        </w:rPr>
        <w:br w:type="page" w:clear="all"/>
      </w:r>
    </w:p>
    <w:p>
      <w:pPr>
        <w:pStyle w:val="5"/>
        <w:spacing w:before="0" w:after="0" w:line="360" w:lineRule="auto"/>
        <w:rPr>
          <w:rFonts w:ascii="仿宋" w:hAnsi="仿宋" w:eastAsia="仿宋" w:cs="仿宋"/>
          <w:color w:val="000000"/>
          <w:sz w:val="24"/>
          <w:szCs w:val="24"/>
        </w:rPr>
      </w:pPr>
      <w:bookmarkStart w:id="184" w:name="_Toc186737819"/>
      <w:bookmarkStart w:id="185" w:name="_Toc17890"/>
      <w:r>
        <w:rPr>
          <w:rFonts w:hint="eastAsia" w:ascii="仿宋" w:hAnsi="仿宋" w:eastAsia="仿宋" w:cs="仿宋"/>
          <w:color w:val="000000"/>
          <w:sz w:val="24"/>
          <w:szCs w:val="24"/>
        </w:rPr>
        <w:t>（七）供应商行为准则承诺书</w:t>
      </w:r>
      <w:bookmarkEnd w:id="184"/>
      <w:bookmarkEnd w:id="185"/>
    </w:p>
    <w:p>
      <w:pPr>
        <w:jc w:val="center"/>
        <w:rPr>
          <w:rFonts w:ascii="仿宋" w:hAnsi="仿宋" w:eastAsia="仿宋" w:cs="宋体"/>
          <w:b/>
          <w:bCs/>
          <w:color w:val="000000"/>
          <w:sz w:val="28"/>
          <w:szCs w:val="28"/>
        </w:rPr>
      </w:pPr>
      <w:bookmarkStart w:id="186" w:name="_Toc15599"/>
      <w:r>
        <w:rPr>
          <w:rFonts w:hint="eastAsia" w:ascii="仿宋" w:hAnsi="仿宋" w:eastAsia="仿宋" w:cs="宋体"/>
          <w:b/>
          <w:bCs/>
          <w:color w:val="000000"/>
          <w:sz w:val="28"/>
          <w:szCs w:val="28"/>
        </w:rPr>
        <w:t>供应商行为准则承诺书</w:t>
      </w:r>
    </w:p>
    <w:p>
      <w:pPr>
        <w:spacing w:line="360" w:lineRule="auto"/>
        <w:ind w:firstLine="480"/>
        <w:rPr>
          <w:rFonts w:ascii="仿宋" w:hAnsi="仿宋" w:eastAsia="仿宋" w:cs="仿宋"/>
          <w:color w:val="000000"/>
        </w:rPr>
      </w:pPr>
    </w:p>
    <w:p>
      <w:pPr>
        <w:spacing w:line="360" w:lineRule="auto"/>
        <w:ind w:firstLine="48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rPr>
          <w:rFonts w:ascii="仿宋" w:hAnsi="仿宋" w:eastAsia="仿宋" w:cs="仿宋"/>
          <w:color w:val="000000"/>
        </w:rPr>
      </w:pPr>
      <w:r>
        <w:rPr>
          <w:rFonts w:hint="eastAsia" w:ascii="仿宋" w:hAnsi="仿宋" w:eastAsia="仿宋" w:cs="仿宋"/>
          <w:color w:val="000000"/>
        </w:rPr>
        <w:t>电话：__________传真：__________________</w:t>
      </w:r>
    </w:p>
    <w:p>
      <w:pPr>
        <w:pStyle w:val="238"/>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clear="all"/>
      </w:r>
      <w:bookmarkStart w:id="187" w:name="_Toc8068"/>
      <w:bookmarkStart w:id="188" w:name="_Toc186737820"/>
      <w:r>
        <w:rPr>
          <w:rFonts w:hint="eastAsia" w:ascii="仿宋" w:hAnsi="仿宋" w:eastAsia="仿宋" w:cs="宋体"/>
          <w:bCs w:val="0"/>
          <w:color w:val="000000"/>
          <w:sz w:val="24"/>
          <w:szCs w:val="24"/>
        </w:rPr>
        <w:t>（八）供应商廉洁诚信承诺书</w:t>
      </w:r>
      <w:bookmarkEnd w:id="186"/>
      <w:bookmarkEnd w:id="187"/>
      <w:bookmarkEnd w:id="188"/>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rPr>
          <w:rFonts w:ascii="仿宋" w:hAnsi="仿宋" w:eastAsia="仿宋" w:cs="宋体"/>
          <w:color w:val="000000"/>
        </w:rPr>
      </w:pPr>
    </w:p>
    <w:p>
      <w:pPr>
        <w:spacing w:line="360" w:lineRule="auto"/>
        <w:ind w:firstLine="48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rPr>
          <w:rFonts w:ascii="仿宋" w:hAnsi="仿宋" w:eastAsia="仿宋" w:cs="宋体"/>
          <w:color w:val="000000"/>
        </w:rPr>
      </w:pPr>
    </w:p>
    <w:p>
      <w:pPr>
        <w:spacing w:line="360" w:lineRule="auto"/>
        <w:ind w:firstLine="48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rPr>
          <w:rFonts w:ascii="仿宋" w:hAnsi="仿宋" w:eastAsia="仿宋" w:cs="宋体"/>
          <w:color w:val="000000"/>
        </w:rPr>
      </w:pPr>
    </w:p>
    <w:p>
      <w:pPr>
        <w:tabs>
          <w:tab w:val="left" w:pos="458"/>
        </w:tabs>
        <w:spacing w:line="360" w:lineRule="auto"/>
        <w:ind w:firstLine="3578"/>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rPr>
          <w:rStyle w:val="219"/>
          <w:rFonts w:ascii="仿宋" w:hAnsi="仿宋" w:eastAsia="仿宋" w:cs="仿宋"/>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clear="all"/>
      </w:r>
    </w:p>
    <w:p>
      <w:pPr>
        <w:pStyle w:val="5"/>
        <w:spacing w:before="0" w:after="0" w:line="360" w:lineRule="auto"/>
        <w:rPr>
          <w:rFonts w:ascii="仿宋" w:hAnsi="仿宋" w:eastAsia="仿宋" w:cs="宋体"/>
          <w:bCs w:val="0"/>
          <w:color w:val="000000"/>
          <w:sz w:val="21"/>
          <w:szCs w:val="24"/>
        </w:rPr>
      </w:pPr>
      <w:bookmarkStart w:id="189" w:name="_Toc186737822"/>
      <w:r>
        <w:rPr>
          <w:rFonts w:hint="eastAsia" w:ascii="仿宋" w:hAnsi="仿宋" w:eastAsia="仿宋" w:cs="宋体"/>
          <w:color w:val="000000"/>
          <w:sz w:val="24"/>
        </w:rPr>
        <w:t>（十）其他材料</w:t>
      </w:r>
      <w:bookmarkEnd w:id="189"/>
    </w:p>
    <w:p>
      <w:pPr>
        <w:spacing w:line="360" w:lineRule="auto"/>
        <w:rPr>
          <w:rFonts w:ascii="宋体" w:hAnsi="宋体"/>
          <w:szCs w:val="21"/>
        </w:rPr>
        <w:sectPr>
          <w:pgSz w:w="11906" w:h="16838"/>
          <w:pgMar w:top="1417" w:right="1134" w:bottom="1134" w:left="1134" w:header="851" w:footer="992" w:gutter="0"/>
          <w:cols w:space="720" w:num="1"/>
          <w:titlePg/>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bookmarkEnd w:id="177"/>
    </w:p>
    <w:p>
      <w:pPr>
        <w:pStyle w:val="4"/>
        <w:jc w:val="both"/>
        <w:rPr>
          <w:rFonts w:ascii="仿宋" w:hAnsi="仿宋" w:eastAsia="仿宋" w:cs="仿宋"/>
          <w:color w:val="000000"/>
          <w:sz w:val="24"/>
          <w:szCs w:val="24"/>
        </w:rPr>
      </w:pPr>
      <w:bookmarkStart w:id="190" w:name="_Toc28698"/>
      <w:bookmarkStart w:id="191" w:name="_Toc186737823"/>
      <w:r>
        <w:rPr>
          <w:rFonts w:hint="eastAsia" w:ascii="仿宋" w:hAnsi="仿宋" w:eastAsia="仿宋" w:cs="仿宋"/>
          <w:color w:val="000000"/>
          <w:sz w:val="24"/>
          <w:szCs w:val="24"/>
        </w:rPr>
        <w:t>二、技术文件</w:t>
      </w:r>
      <w:bookmarkEnd w:id="190"/>
      <w:bookmarkEnd w:id="191"/>
    </w:p>
    <w:p>
      <w:pPr>
        <w:jc w:val="center"/>
        <w:rPr>
          <w:rFonts w:ascii="仿宋" w:hAnsi="仿宋" w:eastAsia="仿宋" w:cs="仿宋"/>
          <w:b/>
          <w:bCs/>
        </w:rPr>
      </w:pPr>
      <w:bookmarkStart w:id="192" w:name="_Toc30870"/>
      <w:bookmarkStart w:id="193" w:name="_Toc23108"/>
      <w:r>
        <w:rPr>
          <w:rFonts w:hint="eastAsia" w:ascii="仿宋" w:hAnsi="仿宋" w:eastAsia="仿宋" w:cs="仿宋"/>
          <w:b/>
          <w:bCs/>
        </w:rPr>
        <w:t>详细评审索引表</w:t>
      </w:r>
      <w:bookmarkEnd w:id="192"/>
    </w:p>
    <w:tbl>
      <w:tblPr>
        <w:tblStyle w:val="34"/>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noWrap w:val="0"/>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noWrap w:val="0"/>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noWrap w:val="0"/>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noWrap w:val="0"/>
            <w:tcMar>
              <w:top w:w="15" w:type="dxa"/>
              <w:left w:w="15" w:type="dxa"/>
              <w:right w:w="15" w:type="dxa"/>
            </w:tcMar>
            <w:vAlign w:val="center"/>
          </w:tcPr>
          <w:p>
            <w:pPr>
              <w:jc w:val="center"/>
              <w:rPr>
                <w:rFonts w:ascii="仿宋" w:hAnsi="仿宋" w:eastAsia="仿宋" w:cs="宋体"/>
                <w:color w:val="000000"/>
                <w:szCs w:val="21"/>
              </w:rPr>
            </w:pPr>
            <w:r>
              <w:rPr>
                <w:rFonts w:hint="eastAsia" w:ascii="仿宋" w:hAnsi="仿宋" w:eastAsia="仿宋" w:cs="宋体"/>
                <w:color w:val="000000"/>
                <w:szCs w:val="21"/>
              </w:rPr>
              <w:t>技术得分</w:t>
            </w:r>
          </w:p>
          <w:p>
            <w:pPr>
              <w:jc w:val="center"/>
              <w:rPr>
                <w:rFonts w:ascii="仿宋" w:hAnsi="仿宋" w:eastAsia="仿宋" w:cs="宋体"/>
                <w:color w:val="000000"/>
                <w:szCs w:val="21"/>
                <w:lang w:bidi="ar"/>
              </w:rPr>
            </w:pPr>
            <w:r>
              <w:rPr>
                <w:rFonts w:hint="eastAsia" w:ascii="仿宋" w:hAnsi="仿宋" w:eastAsia="仿宋" w:cs="宋体"/>
                <w:color w:val="000000"/>
                <w:szCs w:val="21"/>
              </w:rPr>
              <w:t>（XX分）</w:t>
            </w:r>
          </w:p>
        </w:tc>
        <w:tc>
          <w:tcPr>
            <w:tcW w:w="2268" w:type="dxa"/>
            <w:noWrap w:val="0"/>
            <w:vAlign w:val="center"/>
          </w:tcPr>
          <w:p>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pPr>
              <w:rPr>
                <w:rStyle w:val="23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noWrap w:val="0"/>
            <w:tcMar>
              <w:top w:w="15" w:type="dxa"/>
              <w:left w:w="15" w:type="dxa"/>
              <w:right w:w="15" w:type="dxa"/>
            </w:tcMar>
            <w:vAlign w:val="center"/>
          </w:tcPr>
          <w:p>
            <w:pPr>
              <w:jc w:val="center"/>
              <w:rPr>
                <w:rFonts w:ascii="仿宋" w:hAnsi="仿宋" w:eastAsia="仿宋" w:cs="宋体"/>
                <w:color w:val="000000"/>
                <w:szCs w:val="21"/>
              </w:rPr>
            </w:pPr>
          </w:p>
        </w:tc>
        <w:tc>
          <w:tcPr>
            <w:tcW w:w="2268" w:type="dxa"/>
            <w:noWrap w:val="0"/>
            <w:vAlign w:val="center"/>
          </w:tcPr>
          <w:p>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pPr>
              <w:rPr>
                <w:rStyle w:val="23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noWrap w:val="0"/>
            <w:tcMar>
              <w:top w:w="15" w:type="dxa"/>
              <w:left w:w="15" w:type="dxa"/>
              <w:right w:w="15" w:type="dxa"/>
            </w:tcMar>
            <w:vAlign w:val="center"/>
          </w:tcPr>
          <w:p>
            <w:pPr>
              <w:jc w:val="center"/>
              <w:rPr>
                <w:rFonts w:ascii="仿宋" w:hAnsi="仿宋" w:eastAsia="仿宋" w:cs="宋体"/>
                <w:color w:val="000000"/>
                <w:szCs w:val="21"/>
              </w:rPr>
            </w:pPr>
          </w:p>
        </w:tc>
        <w:tc>
          <w:tcPr>
            <w:tcW w:w="2268" w:type="dxa"/>
            <w:noWrap w:val="0"/>
            <w:vAlign w:val="center"/>
          </w:tcPr>
          <w:p>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pPr>
              <w:rPr>
                <w:rStyle w:val="23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6</w:t>
            </w:r>
          </w:p>
        </w:tc>
        <w:tc>
          <w:tcPr>
            <w:tcW w:w="1696" w:type="dxa"/>
            <w:vMerge w:val="continue"/>
            <w:noWrap w:val="0"/>
            <w:tcMar>
              <w:top w:w="15" w:type="dxa"/>
              <w:left w:w="15" w:type="dxa"/>
              <w:right w:w="15" w:type="dxa"/>
            </w:tcMar>
            <w:vAlign w:val="center"/>
          </w:tcPr>
          <w:p>
            <w:pPr>
              <w:jc w:val="center"/>
              <w:rPr>
                <w:rFonts w:ascii="仿宋" w:hAnsi="仿宋" w:eastAsia="仿宋" w:cs="宋体"/>
                <w:color w:val="000000"/>
                <w:szCs w:val="21"/>
              </w:rPr>
            </w:pPr>
          </w:p>
        </w:tc>
        <w:tc>
          <w:tcPr>
            <w:tcW w:w="2268" w:type="dxa"/>
            <w:noWrap w:val="0"/>
            <w:vAlign w:val="center"/>
          </w:tcPr>
          <w:p>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pPr>
              <w:rPr>
                <w:rStyle w:val="236"/>
                <w:rFonts w:hint="default" w:cs="宋体"/>
                <w:color w:val="000000"/>
                <w:lang w:bidi="ar"/>
              </w:rPr>
            </w:pPr>
          </w:p>
        </w:tc>
      </w:tr>
    </w:tbl>
    <w:p>
      <w:pPr>
        <w:rPr>
          <w:rFonts w:ascii="仿宋" w:hAnsi="仿宋" w:eastAsia="仿宋" w:cs="仿宋"/>
          <w:color w:val="000000"/>
        </w:rPr>
      </w:pPr>
      <w:r>
        <w:rPr>
          <w:rFonts w:hint="eastAsia" w:ascii="仿宋" w:hAnsi="仿宋" w:eastAsia="仿宋" w:cs="仿宋"/>
          <w:color w:val="000000"/>
        </w:rPr>
        <w:br w:type="page" w:clear="all"/>
      </w:r>
    </w:p>
    <w:p>
      <w:pPr>
        <w:pStyle w:val="5"/>
        <w:spacing w:before="0" w:after="0" w:line="360" w:lineRule="auto"/>
        <w:rPr>
          <w:rFonts w:ascii="仿宋" w:hAnsi="仿宋" w:eastAsia="仿宋" w:cs="仿宋"/>
          <w:color w:val="000000"/>
          <w:sz w:val="24"/>
          <w:szCs w:val="24"/>
        </w:rPr>
      </w:pPr>
      <w:bookmarkStart w:id="194" w:name="_Toc17302"/>
      <w:bookmarkStart w:id="195" w:name="_Toc186737824"/>
      <w:r>
        <w:rPr>
          <w:rFonts w:hint="eastAsia" w:ascii="仿宋" w:hAnsi="仿宋" w:eastAsia="仿宋" w:cs="仿宋"/>
          <w:color w:val="000000"/>
          <w:sz w:val="24"/>
          <w:szCs w:val="24"/>
        </w:rPr>
        <w:t>（一）采购需求应答偏离表</w:t>
      </w:r>
      <w:bookmarkEnd w:id="193"/>
      <w:bookmarkEnd w:id="194"/>
      <w:bookmarkEnd w:id="195"/>
    </w:p>
    <w:p>
      <w:pPr>
        <w:spacing w:line="360" w:lineRule="auto"/>
        <w:jc w:val="center"/>
        <w:rPr>
          <w:rFonts w:ascii="仿宋" w:hAnsi="仿宋" w:eastAsia="仿宋" w:cs="仿宋"/>
          <w:b/>
          <w:bCs/>
          <w:color w:val="000000"/>
        </w:rPr>
      </w:pPr>
      <w:bookmarkStart w:id="196" w:name="_Toc125771198"/>
      <w:bookmarkStart w:id="197" w:name="_Toc125561188"/>
      <w:bookmarkStart w:id="198" w:name="_Toc293297544"/>
      <w:r>
        <w:rPr>
          <w:rFonts w:hint="eastAsia" w:ascii="仿宋" w:hAnsi="仿宋" w:eastAsia="仿宋" w:cs="仿宋"/>
          <w:b/>
          <w:bCs/>
          <w:color w:val="000000"/>
        </w:rPr>
        <w:t>采购需求应答偏离表</w:t>
      </w:r>
      <w:bookmarkEnd w:id="196"/>
      <w:bookmarkEnd w:id="197"/>
      <w:bookmarkEnd w:id="198"/>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对于未列出的偏离内容视同供应商已完全接受竞争性磋商文件的要求，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rPr>
          <w:rFonts w:ascii="仿宋" w:hAnsi="仿宋" w:eastAsia="仿宋" w:cs="仿宋"/>
          <w:color w:val="000000"/>
        </w:rPr>
      </w:pPr>
    </w:p>
    <w:p>
      <w:pPr>
        <w:spacing w:line="440" w:lineRule="exact"/>
        <w:ind w:firstLine="408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clear="all"/>
      </w:r>
      <w:bookmarkStart w:id="199" w:name="_Toc186737825"/>
      <w:bookmarkStart w:id="200" w:name="_Toc8284"/>
      <w:r>
        <w:rPr>
          <w:rFonts w:hint="eastAsia" w:ascii="仿宋" w:hAnsi="仿宋" w:eastAsia="仿宋" w:cs="仿宋"/>
          <w:color w:val="000000"/>
          <w:sz w:val="24"/>
          <w:szCs w:val="24"/>
        </w:rPr>
        <w:t>（二）技术方案</w:t>
      </w:r>
      <w:bookmarkEnd w:id="199"/>
      <w:bookmarkEnd w:id="200"/>
    </w:p>
    <w:p>
      <w:pPr>
        <w:spacing w:line="360" w:lineRule="auto"/>
        <w:ind w:firstLine="48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201" w:name="_Toc517281860"/>
      <w:bookmarkStart w:id="202" w:name="_Toc444891358"/>
      <w:r>
        <w:rPr>
          <w:rFonts w:hint="eastAsia" w:ascii="仿宋" w:hAnsi="仿宋" w:eastAsia="仿宋" w:cs="仿宋"/>
          <w:color w:val="000000"/>
        </w:rPr>
        <w:br w:type="page" w:clear="all"/>
      </w:r>
    </w:p>
    <w:p>
      <w:pPr>
        <w:pStyle w:val="6"/>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34"/>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bl>
    <w:p>
      <w:pPr>
        <w:spacing w:before="240" w:line="360" w:lineRule="auto"/>
        <w:ind w:firstLine="482"/>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pPr>
        <w:rPr>
          <w:rFonts w:ascii="仿宋" w:hAnsi="仿宋" w:eastAsia="仿宋" w:cs="仿宋"/>
          <w:color w:val="000000"/>
        </w:rPr>
      </w:pPr>
      <w:r>
        <w:rPr>
          <w:rFonts w:hint="eastAsia" w:ascii="仿宋" w:hAnsi="仿宋" w:eastAsia="仿宋" w:cs="仿宋"/>
          <w:color w:val="000000"/>
        </w:rPr>
        <w:br w:type="page" w:clear="all"/>
      </w:r>
    </w:p>
    <w:p>
      <w:pPr>
        <w:pStyle w:val="6"/>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noWrap w:val="0"/>
            <w:vAlign w:val="center"/>
          </w:tcPr>
          <w:p>
            <w:pPr>
              <w:jc w:val="center"/>
              <w:rPr>
                <w:rFonts w:ascii="仿宋" w:hAnsi="仿宋" w:eastAsia="仿宋" w:cs="仿宋"/>
                <w:color w:val="000000"/>
              </w:rPr>
            </w:pPr>
          </w:p>
        </w:tc>
        <w:tc>
          <w:tcPr>
            <w:tcW w:w="945" w:type="dxa"/>
            <w:gridSpan w:val="2"/>
            <w:noWrap w:val="0"/>
            <w:vAlign w:val="center"/>
          </w:tcPr>
          <w:p>
            <w:pPr>
              <w:rPr>
                <w:rFonts w:ascii="仿宋" w:hAnsi="仿宋" w:eastAsia="仿宋" w:cs="仿宋"/>
                <w:color w:val="000000"/>
              </w:rPr>
            </w:pPr>
            <w:r>
              <w:rPr>
                <w:rFonts w:hint="eastAsia" w:ascii="仿宋" w:hAnsi="仿宋" w:eastAsia="仿宋" w:cs="仿宋"/>
                <w:color w:val="000000"/>
              </w:rPr>
              <w:t>性 别</w:t>
            </w:r>
          </w:p>
        </w:tc>
        <w:tc>
          <w:tcPr>
            <w:tcW w:w="945" w:type="dxa"/>
            <w:noWrap w:val="0"/>
            <w:vAlign w:val="center"/>
          </w:tcPr>
          <w:p>
            <w:pPr>
              <w:rPr>
                <w:rFonts w:ascii="仿宋" w:hAnsi="仿宋" w:eastAsia="仿宋" w:cs="仿宋"/>
                <w:color w:val="000000"/>
              </w:rPr>
            </w:pPr>
          </w:p>
        </w:tc>
        <w:tc>
          <w:tcPr>
            <w:tcW w:w="1854" w:type="dxa"/>
            <w:gridSpan w:val="2"/>
            <w:noWrap w:val="0"/>
            <w:vAlign w:val="center"/>
          </w:tcPr>
          <w:p>
            <w:pPr>
              <w:rPr>
                <w:rFonts w:ascii="仿宋" w:hAnsi="仿宋" w:eastAsia="仿宋" w:cs="仿宋"/>
                <w:color w:val="000000"/>
              </w:rPr>
            </w:pPr>
            <w:r>
              <w:rPr>
                <w:rFonts w:hint="eastAsia" w:ascii="仿宋" w:hAnsi="仿宋" w:eastAsia="仿宋" w:cs="仿宋"/>
                <w:color w:val="000000"/>
              </w:rPr>
              <w:t>出 生 日 期</w:t>
            </w:r>
          </w:p>
        </w:tc>
        <w:tc>
          <w:tcPr>
            <w:tcW w:w="2694" w:type="dxa"/>
            <w:noWrap w:val="0"/>
            <w:vAlign w:val="center"/>
          </w:tcPr>
          <w:p>
            <w:pPr>
              <w:rPr>
                <w:rFonts w:ascii="仿宋" w:hAnsi="仿宋" w:eastAsia="仿宋" w:cs="仿宋"/>
                <w:color w:val="000000"/>
              </w:rPr>
            </w:pPr>
            <w:r>
              <w:rPr>
                <w:rFonts w:hint="eastAsia" w:ascii="仿宋" w:hAnsi="仿宋" w:eastAsia="仿宋" w:cs="仿宋"/>
                <w:color w:val="00000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00" w:hRule="atLeast"/>
        </w:trPr>
        <w:tc>
          <w:tcPr>
            <w:tcW w:w="1380" w:type="dxa"/>
            <w:noWrap w:val="0"/>
            <w:vAlign w:val="center"/>
          </w:tcPr>
          <w:p>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noWrap w:val="0"/>
            <w:vAlign w:val="center"/>
          </w:tcPr>
          <w:p>
            <w:pPr>
              <w:rPr>
                <w:rFonts w:ascii="仿宋" w:hAnsi="仿宋" w:eastAsia="仿宋" w:cs="仿宋"/>
                <w:color w:val="000000"/>
              </w:rPr>
            </w:pPr>
          </w:p>
        </w:tc>
        <w:tc>
          <w:tcPr>
            <w:tcW w:w="1854" w:type="dxa"/>
            <w:gridSpan w:val="2"/>
            <w:noWrap w:val="0"/>
            <w:vAlign w:val="center"/>
          </w:tcPr>
          <w:p>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noWrap w:val="0"/>
            <w:vAlign w:val="center"/>
          </w:tcPr>
          <w:p>
            <w:pPr>
              <w:ind w:left="45"/>
              <w:rPr>
                <w:rFonts w:ascii="仿宋" w:hAnsi="仿宋" w:eastAsia="仿宋" w:cs="仿宋"/>
                <w:color w:val="000000"/>
              </w:rPr>
            </w:pPr>
            <w:r>
              <w:rPr>
                <w:rFonts w:hint="eastAsia" w:ascii="仿宋" w:hAnsi="仿宋" w:eastAsia="仿宋" w:cs="仿宋"/>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noWrap w:val="0"/>
            <w:vAlign w:val="center"/>
          </w:tcPr>
          <w:p>
            <w:pPr>
              <w:rPr>
                <w:rFonts w:ascii="仿宋" w:hAnsi="仿宋" w:eastAsia="仿宋" w:cs="仿宋"/>
                <w:color w:val="000000"/>
              </w:rPr>
            </w:pPr>
          </w:p>
        </w:tc>
        <w:tc>
          <w:tcPr>
            <w:tcW w:w="2835" w:type="dxa"/>
            <w:gridSpan w:val="4"/>
            <w:noWrap w:val="0"/>
            <w:vAlign w:val="center"/>
          </w:tcPr>
          <w:p>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noWrap w:val="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noWrap w:val="0"/>
            <w:vAlign w:val="center"/>
          </w:tcPr>
          <w:p>
            <w:pPr>
              <w:rPr>
                <w:rFonts w:ascii="仿宋" w:hAnsi="仿宋" w:eastAsia="仿宋" w:cs="仿宋"/>
                <w:color w:val="000000"/>
              </w:rPr>
            </w:pPr>
          </w:p>
        </w:tc>
        <w:tc>
          <w:tcPr>
            <w:tcW w:w="2835" w:type="dxa"/>
            <w:gridSpan w:val="4"/>
            <w:noWrap w:val="0"/>
            <w:vAlign w:val="center"/>
          </w:tcPr>
          <w:p>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noWrap w:val="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pPr>
              <w:ind w:firstLine="3360"/>
              <w:rPr>
                <w:rFonts w:ascii="仿宋" w:hAnsi="仿宋" w:eastAsia="仿宋" w:cs="仿宋"/>
                <w:color w:val="000000"/>
              </w:rPr>
            </w:pPr>
            <w:r>
              <w:rPr>
                <w:rFonts w:hint="eastAsia" w:ascii="仿宋" w:hAnsi="仿宋" w:eastAsia="仿宋" w:cs="仿宋"/>
                <w:color w:val="000000"/>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rPr>
                <w:rFonts w:ascii="仿宋" w:hAnsi="仿宋" w:eastAsia="仿宋" w:cs="仿宋"/>
                <w:color w:val="000000"/>
              </w:rPr>
            </w:pPr>
            <w:r>
              <w:rPr>
                <w:rFonts w:hint="eastAsia" w:ascii="仿宋" w:hAnsi="仿宋" w:eastAsia="仿宋" w:cs="仿宋"/>
                <w:color w:val="000000"/>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0" w:hRule="atLeast"/>
        </w:trPr>
        <w:tc>
          <w:tcPr>
            <w:tcW w:w="1701" w:type="dxa"/>
            <w:gridSpan w:val="2"/>
            <w:noWrap w:val="0"/>
            <w:vAlign w:val="center"/>
          </w:tcPr>
          <w:p>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noWrap w:val="0"/>
            <w:vAlign w:val="center"/>
          </w:tcPr>
          <w:p>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noWrap w:val="0"/>
            <w:vAlign w:val="center"/>
          </w:tcPr>
          <w:p>
            <w:pPr>
              <w:jc w:val="center"/>
              <w:rPr>
                <w:rFonts w:ascii="仿宋" w:hAnsi="仿宋" w:eastAsia="仿宋" w:cs="仿宋"/>
                <w:color w:val="000000"/>
              </w:rPr>
            </w:pPr>
            <w:r>
              <w:rPr>
                <w:rFonts w:hint="eastAsia" w:ascii="仿宋" w:hAnsi="仿宋" w:eastAsia="仿宋" w:cs="仿宋"/>
                <w:color w:val="000000"/>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1" w:hRule="atLeast"/>
        </w:trPr>
        <w:tc>
          <w:tcPr>
            <w:tcW w:w="1701" w:type="dxa"/>
            <w:gridSpan w:val="2"/>
            <w:noWrap w:val="0"/>
          </w:tcPr>
          <w:p>
            <w:pPr>
              <w:rPr>
                <w:rFonts w:ascii="仿宋" w:hAnsi="仿宋" w:eastAsia="仿宋" w:cs="仿宋"/>
                <w:color w:val="000000"/>
              </w:rPr>
            </w:pPr>
          </w:p>
        </w:tc>
        <w:tc>
          <w:tcPr>
            <w:tcW w:w="4536" w:type="dxa"/>
            <w:gridSpan w:val="6"/>
            <w:noWrap w:val="0"/>
          </w:tcPr>
          <w:p>
            <w:pPr>
              <w:rPr>
                <w:rFonts w:ascii="仿宋" w:hAnsi="仿宋" w:eastAsia="仿宋" w:cs="仿宋"/>
                <w:color w:val="000000"/>
              </w:rPr>
            </w:pPr>
          </w:p>
        </w:tc>
        <w:tc>
          <w:tcPr>
            <w:tcW w:w="3261" w:type="dxa"/>
            <w:gridSpan w:val="2"/>
            <w:noWrap w:val="0"/>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tcPr>
          <w:p>
            <w:pPr>
              <w:rPr>
                <w:rFonts w:ascii="仿宋" w:hAnsi="仿宋" w:eastAsia="仿宋" w:cs="仿宋"/>
                <w:color w:val="000000"/>
              </w:rPr>
            </w:pPr>
          </w:p>
        </w:tc>
        <w:tc>
          <w:tcPr>
            <w:tcW w:w="4536" w:type="dxa"/>
            <w:gridSpan w:val="6"/>
            <w:noWrap w:val="0"/>
          </w:tcPr>
          <w:p>
            <w:pPr>
              <w:rPr>
                <w:rFonts w:ascii="仿宋" w:hAnsi="仿宋" w:eastAsia="仿宋" w:cs="仿宋"/>
                <w:color w:val="000000"/>
              </w:rPr>
            </w:pPr>
          </w:p>
        </w:tc>
        <w:tc>
          <w:tcPr>
            <w:tcW w:w="3261" w:type="dxa"/>
            <w:gridSpan w:val="2"/>
            <w:noWrap w:val="0"/>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atLeast"/>
        </w:trPr>
        <w:tc>
          <w:tcPr>
            <w:tcW w:w="1701" w:type="dxa"/>
            <w:gridSpan w:val="2"/>
            <w:noWrap w:val="0"/>
          </w:tcPr>
          <w:p>
            <w:pPr>
              <w:rPr>
                <w:rFonts w:ascii="仿宋" w:hAnsi="仿宋" w:eastAsia="仿宋" w:cs="仿宋"/>
                <w:color w:val="000000"/>
              </w:rPr>
            </w:pPr>
          </w:p>
        </w:tc>
        <w:tc>
          <w:tcPr>
            <w:tcW w:w="4536" w:type="dxa"/>
            <w:gridSpan w:val="6"/>
            <w:noWrap w:val="0"/>
          </w:tcPr>
          <w:p>
            <w:pPr>
              <w:rPr>
                <w:rFonts w:ascii="仿宋" w:hAnsi="仿宋" w:eastAsia="仿宋" w:cs="仿宋"/>
                <w:color w:val="000000"/>
              </w:rPr>
            </w:pPr>
          </w:p>
        </w:tc>
        <w:tc>
          <w:tcPr>
            <w:tcW w:w="3261" w:type="dxa"/>
            <w:gridSpan w:val="2"/>
            <w:noWrap w:val="0"/>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tcPr>
          <w:p>
            <w:pPr>
              <w:rPr>
                <w:rFonts w:ascii="仿宋" w:hAnsi="仿宋" w:eastAsia="仿宋" w:cs="仿宋"/>
                <w:color w:val="000000"/>
              </w:rPr>
            </w:pPr>
          </w:p>
        </w:tc>
        <w:tc>
          <w:tcPr>
            <w:tcW w:w="4536" w:type="dxa"/>
            <w:gridSpan w:val="6"/>
            <w:noWrap w:val="0"/>
          </w:tcPr>
          <w:p>
            <w:pPr>
              <w:rPr>
                <w:rFonts w:ascii="仿宋" w:hAnsi="仿宋" w:eastAsia="仿宋" w:cs="仿宋"/>
                <w:color w:val="000000"/>
              </w:rPr>
            </w:pPr>
          </w:p>
        </w:tc>
        <w:tc>
          <w:tcPr>
            <w:tcW w:w="3261" w:type="dxa"/>
            <w:gridSpan w:val="2"/>
            <w:noWrap w:val="0"/>
          </w:tcPr>
          <w:p>
            <w:pPr>
              <w:rPr>
                <w:rFonts w:ascii="仿宋" w:hAnsi="仿宋" w:eastAsia="仿宋" w:cs="仿宋"/>
                <w:color w:val="000000"/>
              </w:rPr>
            </w:pPr>
          </w:p>
        </w:tc>
      </w:tr>
    </w:tbl>
    <w:p>
      <w:pPr>
        <w:spacing w:before="240" w:line="360" w:lineRule="auto"/>
        <w:rPr>
          <w:rFonts w:ascii="仿宋" w:hAnsi="仿宋" w:eastAsia="仿宋" w:cs="仿宋"/>
          <w:b/>
          <w:color w:val="000000"/>
        </w:rPr>
      </w:pPr>
      <w:r>
        <w:rPr>
          <w:rFonts w:hint="eastAsia" w:ascii="仿宋" w:hAnsi="仿宋" w:eastAsia="仿宋" w:cs="仿宋"/>
          <w:b/>
          <w:color w:val="000000"/>
        </w:rPr>
        <w:t>注：</w:t>
      </w:r>
    </w:p>
    <w:p>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pPr>
        <w:spacing w:line="360" w:lineRule="auto"/>
        <w:rPr>
          <w:rFonts w:ascii="仿宋" w:hAnsi="仿宋" w:eastAsia="仿宋" w:cs="仿宋"/>
          <w:color w:val="000000"/>
        </w:rPr>
      </w:pPr>
    </w:p>
    <w:p>
      <w:pPr>
        <w:rPr>
          <w:rFonts w:ascii="仿宋" w:hAnsi="仿宋" w:eastAsia="仿宋" w:cs="仿宋"/>
          <w:color w:val="000000"/>
        </w:rPr>
      </w:pPr>
    </w:p>
    <w:p>
      <w:pPr>
        <w:rPr>
          <w:rFonts w:ascii="仿宋" w:hAnsi="仿宋" w:eastAsia="仿宋" w:cs="仿宋"/>
          <w:color w:val="000000"/>
        </w:rPr>
      </w:pPr>
      <w:r>
        <w:rPr>
          <w:rFonts w:hint="eastAsia" w:ascii="仿宋" w:hAnsi="仿宋" w:eastAsia="仿宋" w:cs="仿宋"/>
          <w:color w:val="000000"/>
        </w:rPr>
        <w:br w:type="page" w:clear="all"/>
      </w:r>
    </w:p>
    <w:p>
      <w:pPr>
        <w:pStyle w:val="5"/>
        <w:spacing w:before="0" w:after="0" w:line="360" w:lineRule="auto"/>
        <w:rPr>
          <w:rFonts w:ascii="仿宋" w:hAnsi="仿宋" w:eastAsia="仿宋" w:cs="仿宋"/>
          <w:color w:val="000000"/>
          <w:sz w:val="24"/>
          <w:szCs w:val="24"/>
        </w:rPr>
      </w:pPr>
      <w:bookmarkStart w:id="203" w:name="_Toc20365"/>
      <w:bookmarkStart w:id="204" w:name="_Toc186737826"/>
      <w:r>
        <w:rPr>
          <w:rFonts w:hint="eastAsia" w:ascii="仿宋" w:hAnsi="仿宋" w:eastAsia="仿宋" w:cs="仿宋"/>
          <w:color w:val="000000"/>
          <w:sz w:val="24"/>
          <w:szCs w:val="24"/>
        </w:rPr>
        <w:t>（三）</w:t>
      </w:r>
      <w:bookmarkEnd w:id="201"/>
      <w:bookmarkEnd w:id="202"/>
      <w:r>
        <w:rPr>
          <w:rFonts w:hint="eastAsia" w:ascii="仿宋" w:hAnsi="仿宋" w:eastAsia="仿宋" w:cs="仿宋"/>
          <w:color w:val="000000"/>
          <w:sz w:val="24"/>
          <w:szCs w:val="24"/>
        </w:rPr>
        <w:t>其他材料</w:t>
      </w:r>
      <w:bookmarkEnd w:id="203"/>
      <w:bookmarkEnd w:id="204"/>
    </w:p>
    <w:p>
      <w:pPr>
        <w:spacing w:line="360" w:lineRule="auto"/>
        <w:rPr>
          <w:rFonts w:ascii="仿宋" w:hAnsi="仿宋" w:eastAsia="仿宋" w:cs="Cambria Math"/>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pPr>
        <w:spacing w:line="360" w:lineRule="auto"/>
        <w:rPr>
          <w:rFonts w:ascii="仿宋" w:hAnsi="仿宋" w:eastAsia="仿宋" w:cs="仿宋"/>
          <w:color w:val="000000"/>
        </w:rPr>
        <w:sectPr>
          <w:pgSz w:w="11906" w:h="16838"/>
          <w:pgMar w:top="1417" w:right="1134" w:bottom="1134" w:left="1134" w:header="964" w:footer="964" w:gutter="0"/>
          <w:cols w:space="720" w:num="1"/>
        </w:sectPr>
      </w:pPr>
    </w:p>
    <w:p>
      <w:pPr>
        <w:pStyle w:val="4"/>
        <w:jc w:val="both"/>
        <w:rPr>
          <w:rFonts w:ascii="仿宋" w:hAnsi="仿宋" w:eastAsia="仿宋" w:cs="仿宋"/>
          <w:color w:val="000000"/>
          <w:sz w:val="24"/>
          <w:szCs w:val="24"/>
        </w:rPr>
      </w:pPr>
      <w:bookmarkStart w:id="205" w:name="_Toc20443"/>
      <w:bookmarkStart w:id="206" w:name="_Toc186737827"/>
      <w:r>
        <w:rPr>
          <w:rFonts w:hint="eastAsia" w:ascii="仿宋" w:hAnsi="仿宋" w:eastAsia="仿宋" w:cs="仿宋"/>
          <w:color w:val="000000"/>
          <w:sz w:val="24"/>
          <w:szCs w:val="24"/>
        </w:rPr>
        <w:t>三、报价文件</w:t>
      </w:r>
      <w:bookmarkEnd w:id="205"/>
      <w:bookmarkEnd w:id="206"/>
    </w:p>
    <w:p>
      <w:pPr>
        <w:pStyle w:val="5"/>
        <w:spacing w:before="0" w:after="0" w:line="360" w:lineRule="auto"/>
        <w:ind w:firstLine="482"/>
        <w:rPr>
          <w:rFonts w:ascii="仿宋" w:hAnsi="仿宋" w:eastAsia="仿宋" w:cs="仿宋"/>
          <w:color w:val="000000"/>
          <w:sz w:val="24"/>
          <w:szCs w:val="24"/>
        </w:rPr>
      </w:pPr>
      <w:bookmarkStart w:id="207" w:name="_Toc511726864"/>
      <w:bookmarkStart w:id="208" w:name="_Toc18942"/>
      <w:bookmarkStart w:id="209" w:name="_Toc186737828"/>
      <w:r>
        <w:rPr>
          <w:rFonts w:hint="eastAsia" w:ascii="仿宋" w:hAnsi="仿宋" w:eastAsia="仿宋" w:cs="仿宋"/>
          <w:color w:val="000000"/>
          <w:sz w:val="24"/>
          <w:szCs w:val="24"/>
        </w:rPr>
        <w:t>（一）报价</w:t>
      </w:r>
      <w:bookmarkEnd w:id="207"/>
      <w:r>
        <w:rPr>
          <w:rFonts w:hint="eastAsia" w:ascii="仿宋" w:hAnsi="仿宋" w:eastAsia="仿宋" w:cs="仿宋"/>
          <w:color w:val="000000"/>
          <w:sz w:val="24"/>
          <w:szCs w:val="24"/>
        </w:rPr>
        <w:t>一览表</w:t>
      </w:r>
      <w:bookmarkEnd w:id="208"/>
      <w:bookmarkEnd w:id="209"/>
    </w:p>
    <w:p>
      <w:pPr>
        <w:pStyle w:val="12"/>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人保财险四川省德阳市分公司2025年度团建拓展服务采购项目</w:t>
      </w:r>
      <w:r>
        <w:rPr>
          <w:rFonts w:hint="eastAsia" w:ascii="仿宋" w:hAnsi="仿宋" w:eastAsia="仿宋" w:cs="仿宋"/>
          <w:color w:val="000000"/>
          <w:sz w:val="24"/>
          <w:szCs w:val="24"/>
        </w:rPr>
        <w:t xml:space="preserve">  </w:t>
      </w:r>
    </w:p>
    <w:p>
      <w:pPr>
        <w:pStyle w:val="12"/>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rPr>
          <w:rFonts w:ascii="仿宋" w:hAnsi="仿宋" w:eastAsia="仿宋" w:cs="仿宋"/>
          <w:color w:val="000000"/>
          <w:szCs w:val="21"/>
          <w:lang w:bidi="ar"/>
        </w:rPr>
      </w:pPr>
    </w:p>
    <w:tbl>
      <w:tblPr>
        <w:tblStyle w:val="34"/>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auto"/>
                <w:szCs w:val="21"/>
              </w:rPr>
              <w:t>含税</w:t>
            </w:r>
            <w:r>
              <w:rPr>
                <w:rFonts w:hint="eastAsia" w:ascii="仿宋" w:hAnsi="仿宋" w:eastAsia="仿宋" w:cs="宋体"/>
                <w:b/>
                <w:bCs/>
                <w:color w:val="auto"/>
                <w:szCs w:val="21"/>
                <w:lang w:val="en-US" w:eastAsia="zh-CN"/>
              </w:rPr>
              <w:t>单</w:t>
            </w:r>
            <w:r>
              <w:rPr>
                <w:rFonts w:hint="eastAsia" w:ascii="仿宋" w:hAnsi="仿宋" w:eastAsia="仿宋" w:cs="宋体"/>
                <w:b/>
                <w:bCs/>
                <w:color w:val="auto"/>
                <w:szCs w:val="21"/>
              </w:rPr>
              <w:t>价</w:t>
            </w:r>
            <w:r>
              <w:rPr>
                <w:rFonts w:hint="eastAsia" w:ascii="仿宋" w:hAnsi="仿宋" w:eastAsia="仿宋" w:cs="宋体"/>
                <w:b/>
                <w:color w:val="auto"/>
                <w:szCs w:val="21"/>
              </w:rPr>
              <w:t>（元）</w:t>
            </w:r>
          </w:p>
        </w:tc>
        <w:tc>
          <w:tcPr>
            <w:tcW w:w="91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r>
              <w:rPr>
                <w:rFonts w:hint="eastAsia" w:ascii="仿宋" w:hAnsi="仿宋" w:eastAsia="仿宋" w:cs="宋体"/>
                <w:b/>
                <w:bCs/>
                <w:color w:val="auto"/>
                <w:szCs w:val="21"/>
              </w:rPr>
              <w:t>不含税</w:t>
            </w:r>
            <w:r>
              <w:rPr>
                <w:rFonts w:hint="eastAsia" w:ascii="仿宋" w:hAnsi="仿宋" w:eastAsia="仿宋" w:cs="宋体"/>
                <w:b/>
                <w:bCs/>
                <w:color w:val="auto"/>
                <w:szCs w:val="21"/>
                <w:lang w:val="en-US" w:eastAsia="zh-CN"/>
              </w:rPr>
              <w:t>单</w:t>
            </w:r>
            <w:r>
              <w:rPr>
                <w:rFonts w:hint="eastAsia" w:ascii="仿宋" w:hAnsi="仿宋" w:eastAsia="仿宋" w:cs="宋体"/>
                <w:b/>
                <w:bCs/>
                <w:color w:val="auto"/>
                <w:szCs w:val="21"/>
              </w:rPr>
              <w:t>价</w:t>
            </w:r>
            <w:r>
              <w:rPr>
                <w:rFonts w:hint="eastAsia" w:ascii="仿宋" w:hAnsi="仿宋" w:eastAsia="仿宋" w:cs="宋体"/>
                <w:b/>
                <w:color w:val="auto"/>
                <w:szCs w:val="21"/>
              </w:rPr>
              <w:t>（元）</w:t>
            </w:r>
          </w:p>
        </w:tc>
        <w:tc>
          <w:tcPr>
            <w:tcW w:w="3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noWrap w:val="0"/>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noWrap w:val="0"/>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德阳市分公司2025年度团建拓展服务</w:t>
            </w:r>
          </w:p>
        </w:tc>
        <w:tc>
          <w:tcPr>
            <w:tcW w:w="793" w:type="pct"/>
            <w:tcBorders>
              <w:top w:val="nil"/>
              <w:left w:val="nil"/>
              <w:bottom w:val="single" w:color="auto" w:sz="4" w:space="0"/>
              <w:right w:val="single" w:color="auto" w:sz="4" w:space="0"/>
            </w:tcBorders>
            <w:noWrap w:val="0"/>
            <w:vAlign w:val="center"/>
          </w:tcPr>
          <w:p>
            <w:pPr>
              <w:jc w:val="center"/>
              <w:rPr>
                <w:rFonts w:ascii="仿宋" w:hAnsi="仿宋" w:eastAsia="仿宋" w:cs="宋体"/>
                <w:color w:val="000000"/>
                <w:szCs w:val="21"/>
              </w:rPr>
            </w:pPr>
            <w:r>
              <w:rPr>
                <w:rFonts w:hint="eastAsia" w:ascii="仿宋" w:hAnsi="仿宋" w:eastAsia="仿宋" w:cs="宋体"/>
                <w:color w:val="000000"/>
                <w:szCs w:val="21"/>
              </w:rPr>
              <w:t>元/人</w:t>
            </w:r>
          </w:p>
        </w:tc>
        <w:tc>
          <w:tcPr>
            <w:tcW w:w="915" w:type="pct"/>
            <w:tcBorders>
              <w:top w:val="single" w:color="auto" w:sz="4" w:space="0"/>
              <w:left w:val="single" w:color="auto" w:sz="4" w:space="0"/>
              <w:bottom w:val="single" w:color="auto" w:sz="4" w:space="0"/>
              <w:right w:val="single" w:color="auto" w:sz="4" w:space="0"/>
            </w:tcBorders>
            <w:noWrap w:val="0"/>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r>
              <w:rPr>
                <w:rFonts w:hint="eastAsia" w:ascii="仿宋" w:hAnsi="仿宋" w:eastAsia="仿宋" w:cs="宋体"/>
                <w:color w:val="000000"/>
                <w:szCs w:val="21"/>
                <w:lang w:val="en-US" w:eastAsia="zh-CN"/>
              </w:rPr>
              <w:t>元/人</w:t>
            </w:r>
          </w:p>
        </w:tc>
        <w:tc>
          <w:tcPr>
            <w:tcW w:w="3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212"/>
        <w:spacing w:line="360" w:lineRule="auto"/>
        <w:ind w:firstLine="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212"/>
        <w:spacing w:line="360" w:lineRule="auto"/>
        <w:ind w:firstLine="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212"/>
        <w:spacing w:line="360" w:lineRule="auto"/>
        <w:ind w:firstLine="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212"/>
        <w:spacing w:line="360" w:lineRule="auto"/>
        <w:ind w:firstLine="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210" w:name="_Toc2267055"/>
      <w:bookmarkStart w:id="211" w:name="_Toc517281864"/>
      <w:bookmarkStart w:id="212" w:name="_Toc16591840"/>
      <w:bookmarkStart w:id="213" w:name="_Toc530319762"/>
      <w:bookmarkStart w:id="214" w:name="_Toc518302646"/>
      <w:bookmarkStart w:id="215" w:name="_Toc482180015"/>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bookmarkEnd w:id="138"/>
      <w:bookmarkEnd w:id="210"/>
      <w:bookmarkEnd w:id="211"/>
      <w:bookmarkEnd w:id="212"/>
      <w:bookmarkEnd w:id="213"/>
      <w:bookmarkEnd w:id="214"/>
      <w:bookmarkEnd w:id="215"/>
    </w:p>
    <w:p>
      <w:pPr>
        <w:spacing w:line="360" w:lineRule="auto"/>
        <w:rPr>
          <w:rFonts w:ascii="仿宋_GB2312" w:hAnsi="宋体" w:eastAsia="仿宋_GB2312" w:cs="宋体"/>
          <w:color w:val="auto"/>
          <w:sz w:val="28"/>
          <w:szCs w:val="28"/>
        </w:rPr>
      </w:pPr>
      <w:bookmarkStart w:id="216" w:name="_Toc125183170"/>
      <w:bookmarkEnd w:id="216"/>
      <w:bookmarkStart w:id="217" w:name="_Toc104714659"/>
      <w:bookmarkEnd w:id="217"/>
      <w:bookmarkStart w:id="218" w:name="_Toc127761806"/>
      <w:bookmarkEnd w:id="218"/>
    </w:p>
    <w:sectPr>
      <w:headerReference r:id="rId9" w:type="default"/>
      <w:footerReference r:id="rId10" w:type="default"/>
      <w:pgSz w:w="11906" w:h="16838"/>
      <w:pgMar w:top="1418" w:right="1555" w:bottom="1418" w:left="1531" w:header="851" w:footer="992" w:gutter="0"/>
      <w:pgNumType w:start="1"/>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Monaco">
    <w:altName w:val="Courier New"/>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楷体_GB2312">
    <w:altName w:val="楷体"/>
    <w:panose1 w:val="0201060903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9"/>
      </w:rPr>
    </w:pPr>
    <w:r>
      <w:fldChar w:fldCharType="begin"/>
    </w:r>
    <w:r>
      <w:rPr>
        <w:rStyle w:val="39"/>
      </w:rPr>
      <w:instrText xml:space="preserve">PAGE  </w:instrText>
    </w:r>
    <w:r>
      <w:fldChar w:fldCharType="end"/>
    </w:r>
  </w:p>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2"/>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9htLazAEAAJsDAAAOAAAAAAAAAAEAIAAAAB4BAABkcnMvZTJv&#10;RG9jLnhtbFBLBQYAAAAABgAGAFkBAABcBQAAAAA=&#10;">
              <v:fill on="f" focussize="0,0"/>
              <v:stroke on="f"/>
              <v:imagedata o:title=""/>
              <o:lock v:ext="edit" aspectratio="f"/>
              <v:textbox inset="0mm,0mm,0mm,0mm" style="mso-fit-shape-to-text:t;">
                <w:txbxContent>
                  <w:p>
                    <w:pPr>
                      <w:pStyle w:val="22"/>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pPr>
      <w:pStyle w:val="2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pPr>
                            <w:pStyle w:val="22"/>
                            <w:jc w:val="center"/>
                          </w:pPr>
                          <w:r>
                            <w:fldChar w:fldCharType="begin"/>
                          </w:r>
                          <w:r>
                            <w:instrText xml:space="preserve">PAGE   \* MERGEFORMAT</w:instrText>
                          </w:r>
                          <w:r>
                            <w:fldChar w:fldCharType="separate"/>
                          </w:r>
                          <w:r>
                            <w:rPr>
                              <w:lang w:val="zh-CN"/>
                            </w:rPr>
                            <w:t>25</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Cs43i11AEAAKUDAAAOAAAAAAAAAAEAIAAA&#10;ACIBAABkcnMvZTJvRG9jLnhtbFBLBQYAAAAABgAGAFkBAABoBQAAAAA=&#10;">
              <v:fill on="f" focussize="0,0"/>
              <v:stroke on="f" weight="1.25pt"/>
              <v:imagedata o:title=""/>
              <o:lock v:ext="edit" aspectratio="f"/>
              <v:textbox inset="0mm,0mm,0mm,0mm" style="mso-fit-shape-to-text:t;">
                <w:txbxContent>
                  <w:p>
                    <w:pPr>
                      <w:pStyle w:val="22"/>
                      <w:jc w:val="center"/>
                    </w:pPr>
                    <w:r>
                      <w:fldChar w:fldCharType="begin"/>
                    </w:r>
                    <w:r>
                      <w:instrText xml:space="preserve">PAGE   \* MERGEFORMAT</w:instrText>
                    </w:r>
                    <w:r>
                      <w:fldChar w:fldCharType="separate"/>
                    </w:r>
                    <w:r>
                      <w:rPr>
                        <w:lang w:val="zh-CN"/>
                      </w:rPr>
                      <w:t>25</w:t>
                    </w:r>
                    <w:r>
                      <w:fldChar w:fldCharType="end"/>
                    </w:r>
                  </w:p>
                </w:txbxContent>
              </v:textbox>
            </v:shape>
          </w:pict>
        </mc:Fallback>
      </mc:AlternateContent>
    </w:r>
  </w:p>
  <w:p>
    <w:pPr>
      <w:pStyle w:val="2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rFonts w:hint="eastAsia"/>
      </w:rPr>
      <w:t>磋商</w:t>
    </w:r>
    <w:r>
      <w:t>文件</w:t>
    </w:r>
  </w:p>
  <w:p>
    <w:pPr>
      <w:pStyle w:val="23"/>
      <w:pBdr>
        <w:bottom w:val="none" w:color="000000"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BF205925"/>
    <w:multiLevelType w:val="multilevel"/>
    <w:tmpl w:val="BF205925"/>
    <w:lvl w:ilvl="0" w:tentative="0">
      <w:start w:val="4"/>
      <w:numFmt w:val="chineseCounting"/>
      <w:suff w:val="space"/>
      <w:lvlText w:val="第%1章"/>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CF092B84"/>
    <w:multiLevelType w:val="multilevel"/>
    <w:tmpl w:val="CF092B84"/>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3">
    <w:nsid w:val="59ADCABA"/>
    <w:multiLevelType w:val="multilevel"/>
    <w:tmpl w:val="59ADCABA"/>
    <w:lvl w:ilvl="0" w:tentative="0">
      <w:start w:val="1"/>
      <w:numFmt w:val="chineseCountingThousand"/>
      <w:pStyle w:val="214"/>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7A2EC3"/>
    <w:rsid w:val="419A7E82"/>
    <w:rsid w:val="5F4212B4"/>
    <w:rsid w:val="601105E3"/>
    <w:rsid w:val="6B186E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qFormat="1" w:unhideWhenUsed="0" w:uiPriority="39" w:semiHidden="0" w:name="toc 6"/>
    <w:lsdException w:uiPriority="39" w:name="toc 7"/>
    <w:lsdException w:uiPriority="39" w:name="toc 8"/>
    <w:lsdException w:uiPriority="39"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hint="default" w:asciiTheme="minorHAnsi" w:hAnsiTheme="minorHAnsi" w:eastAsiaTheme="minorEastAsia" w:cstheme="minorBidi"/>
      <w:sz w:val="24"/>
      <w:szCs w:val="24"/>
      <w:lang w:val="en-US" w:eastAsia="zh-CN" w:bidi="ar-SA"/>
    </w:rPr>
  </w:style>
  <w:style w:type="paragraph" w:styleId="3">
    <w:name w:val="heading 1"/>
    <w:basedOn w:val="1"/>
    <w:next w:val="1"/>
    <w:link w:val="200"/>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219"/>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22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174"/>
    <w:unhideWhenUsed/>
    <w:qFormat/>
    <w:uiPriority w:val="9"/>
    <w:pPr>
      <w:keepNext/>
      <w:keepLines/>
      <w:spacing w:before="80" w:after="40"/>
      <w:outlineLvl w:val="4"/>
    </w:pPr>
    <w:rPr>
      <w:rFonts w:ascii="Arial" w:hAnsi="Arial" w:eastAsia="Arial" w:cs="Arial"/>
      <w:color w:val="2E75B6" w:themeColor="accent1" w:themeShade="BF"/>
    </w:rPr>
  </w:style>
  <w:style w:type="paragraph" w:styleId="8">
    <w:name w:val="heading 6"/>
    <w:basedOn w:val="1"/>
    <w:next w:val="1"/>
    <w:link w:val="241"/>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9">
    <w:name w:val="heading 7"/>
    <w:basedOn w:val="1"/>
    <w:next w:val="1"/>
    <w:link w:val="242"/>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10">
    <w:name w:val="heading 8"/>
    <w:basedOn w:val="1"/>
    <w:next w:val="1"/>
    <w:link w:val="243"/>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1">
    <w:name w:val="heading 9"/>
    <w:basedOn w:val="1"/>
    <w:next w:val="1"/>
    <w:link w:val="244"/>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w:basedOn w:val="1"/>
    <w:link w:val="223"/>
    <w:qFormat/>
    <w:uiPriority w:val="99"/>
    <w:pPr>
      <w:spacing w:after="120"/>
    </w:pPr>
  </w:style>
  <w:style w:type="paragraph" w:styleId="12">
    <w:name w:val="Normal Indent"/>
    <w:basedOn w:val="1"/>
    <w:link w:val="216"/>
    <w:qFormat/>
    <w:uiPriority w:val="0"/>
    <w:pPr>
      <w:widowControl w:val="0"/>
      <w:ind w:firstLine="420"/>
      <w:jc w:val="both"/>
    </w:pPr>
    <w:rPr>
      <w:rFonts w:ascii="Calibri" w:hAnsi="Calibri" w:eastAsia="宋体" w:cs="Times New Roman"/>
      <w:sz w:val="20"/>
      <w:szCs w:val="20"/>
    </w:rPr>
  </w:style>
  <w:style w:type="paragraph" w:styleId="13">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4">
    <w:name w:val="annotation text"/>
    <w:basedOn w:val="1"/>
    <w:link w:val="210"/>
    <w:qFormat/>
    <w:uiPriority w:val="99"/>
  </w:style>
  <w:style w:type="paragraph" w:styleId="15">
    <w:name w:val="Body Text Indent"/>
    <w:basedOn w:val="1"/>
    <w:link w:val="215"/>
    <w:semiHidden/>
    <w:unhideWhenUsed/>
    <w:qFormat/>
    <w:uiPriority w:val="0"/>
    <w:pPr>
      <w:spacing w:after="120"/>
      <w:ind w:left="420"/>
    </w:pPr>
  </w:style>
  <w:style w:type="paragraph" w:styleId="16">
    <w:name w:val="toc 3"/>
    <w:basedOn w:val="1"/>
    <w:next w:val="1"/>
    <w:unhideWhenUsed/>
    <w:qFormat/>
    <w:uiPriority w:val="39"/>
    <w:pPr>
      <w:ind w:left="840"/>
    </w:pPr>
  </w:style>
  <w:style w:type="paragraph" w:styleId="17">
    <w:name w:val="Plain Text"/>
    <w:basedOn w:val="1"/>
    <w:link w:val="206"/>
    <w:qFormat/>
    <w:uiPriority w:val="0"/>
    <w:pPr>
      <w:widowControl w:val="0"/>
      <w:jc w:val="both"/>
    </w:pPr>
    <w:rPr>
      <w:rFonts w:ascii="宋体" w:hAnsi="Courier New" w:eastAsia="宋体" w:cs="Times New Roman"/>
      <w:sz w:val="28"/>
      <w:szCs w:val="20"/>
    </w:rPr>
  </w:style>
  <w:style w:type="paragraph" w:styleId="18">
    <w:name w:val="Date"/>
    <w:basedOn w:val="1"/>
    <w:next w:val="1"/>
    <w:link w:val="205"/>
    <w:qFormat/>
    <w:uiPriority w:val="0"/>
    <w:pPr>
      <w:widowControl w:val="0"/>
      <w:ind w:left="100"/>
      <w:jc w:val="both"/>
    </w:pPr>
    <w:rPr>
      <w:rFonts w:ascii="Times New Roman" w:hAnsi="Times New Roman" w:eastAsia="宋体" w:cs="Times New Roman"/>
      <w:sz w:val="21"/>
    </w:rPr>
  </w:style>
  <w:style w:type="paragraph" w:styleId="19">
    <w:name w:val="Body Text Indent 2"/>
    <w:basedOn w:val="1"/>
    <w:link w:val="240"/>
    <w:semiHidden/>
    <w:unhideWhenUsed/>
    <w:qFormat/>
    <w:uiPriority w:val="0"/>
    <w:pPr>
      <w:spacing w:after="120" w:line="480" w:lineRule="auto"/>
      <w:ind w:left="420"/>
    </w:pPr>
  </w:style>
  <w:style w:type="paragraph" w:styleId="20">
    <w:name w:val="endnote text"/>
    <w:basedOn w:val="1"/>
    <w:link w:val="194"/>
    <w:semiHidden/>
    <w:unhideWhenUsed/>
    <w:qFormat/>
    <w:uiPriority w:val="99"/>
    <w:pPr>
      <w:spacing w:after="0" w:line="240" w:lineRule="auto"/>
    </w:pPr>
    <w:rPr>
      <w:sz w:val="20"/>
      <w:szCs w:val="20"/>
    </w:rPr>
  </w:style>
  <w:style w:type="paragraph" w:styleId="21">
    <w:name w:val="Balloon Text"/>
    <w:basedOn w:val="1"/>
    <w:link w:val="204"/>
    <w:qFormat/>
    <w:uiPriority w:val="0"/>
    <w:rPr>
      <w:sz w:val="18"/>
      <w:szCs w:val="18"/>
    </w:rPr>
  </w:style>
  <w:style w:type="paragraph" w:styleId="22">
    <w:name w:val="footer"/>
    <w:basedOn w:val="1"/>
    <w:link w:val="230"/>
    <w:qFormat/>
    <w:uiPriority w:val="99"/>
    <w:pPr>
      <w:tabs>
        <w:tab w:val="center" w:pos="4153"/>
        <w:tab w:val="right" w:pos="8306"/>
      </w:tabs>
    </w:pPr>
    <w:rPr>
      <w:sz w:val="18"/>
      <w:szCs w:val="18"/>
    </w:rPr>
  </w:style>
  <w:style w:type="paragraph" w:styleId="23">
    <w:name w:val="header"/>
    <w:basedOn w:val="1"/>
    <w:link w:val="232"/>
    <w:qFormat/>
    <w:uiPriority w:val="99"/>
    <w:pPr>
      <w:pBdr>
        <w:bottom w:val="single" w:color="000000" w:sz="6" w:space="1"/>
      </w:pBdr>
      <w:tabs>
        <w:tab w:val="center" w:pos="4153"/>
        <w:tab w:val="right" w:pos="8306"/>
      </w:tabs>
      <w:jc w:val="center"/>
    </w:pPr>
    <w:rPr>
      <w:sz w:val="18"/>
      <w:szCs w:val="18"/>
    </w:rPr>
  </w:style>
  <w:style w:type="paragraph" w:styleId="24">
    <w:name w:val="toc 1"/>
    <w:basedOn w:val="1"/>
    <w:next w:val="1"/>
    <w:qFormat/>
    <w:uiPriority w:val="39"/>
    <w:pPr>
      <w:spacing w:before="120" w:after="120"/>
    </w:pPr>
    <w:rPr>
      <w:b/>
      <w:bCs/>
      <w:caps/>
      <w:szCs w:val="20"/>
    </w:rPr>
  </w:style>
  <w:style w:type="paragraph" w:styleId="25">
    <w:name w:val="Subtitle"/>
    <w:basedOn w:val="1"/>
    <w:next w:val="1"/>
    <w:link w:val="208"/>
    <w:qFormat/>
    <w:uiPriority w:val="0"/>
    <w:pPr>
      <w:widowControl w:val="0"/>
      <w:spacing w:before="240" w:after="60" w:line="312" w:lineRule="auto"/>
      <w:jc w:val="center"/>
      <w:outlineLvl w:val="1"/>
    </w:pPr>
    <w:rPr>
      <w:rFonts w:ascii="等线 Light" w:hAnsi="等线 Light" w:eastAsia="宋体" w:cs="Times New Roman"/>
      <w:b/>
      <w:bCs/>
      <w:szCs w:val="32"/>
    </w:rPr>
  </w:style>
  <w:style w:type="paragraph" w:styleId="26">
    <w:name w:val="footnote text"/>
    <w:basedOn w:val="1"/>
    <w:link w:val="193"/>
    <w:semiHidden/>
    <w:unhideWhenUsed/>
    <w:qFormat/>
    <w:uiPriority w:val="99"/>
    <w:pPr>
      <w:spacing w:after="0" w:line="240" w:lineRule="auto"/>
    </w:pPr>
    <w:rPr>
      <w:sz w:val="20"/>
      <w:szCs w:val="20"/>
    </w:rPr>
  </w:style>
  <w:style w:type="paragraph" w:styleId="27">
    <w:name w:val="toc 6"/>
    <w:basedOn w:val="1"/>
    <w:next w:val="1"/>
    <w:qFormat/>
    <w:uiPriority w:val="39"/>
    <w:pPr>
      <w:widowControl w:val="0"/>
      <w:ind w:left="1050"/>
    </w:pPr>
    <w:rPr>
      <w:rFonts w:ascii="Calibri" w:hAnsi="Calibri" w:eastAsia="宋体" w:cs="Calibri"/>
      <w:sz w:val="18"/>
      <w:szCs w:val="18"/>
    </w:r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ind w:left="420"/>
    </w:pPr>
  </w:style>
  <w:style w:type="paragraph" w:styleId="30">
    <w:name w:val="HTML Preformatted"/>
    <w:basedOn w:val="1"/>
    <w:link w:val="218"/>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31">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32">
    <w:name w:val="Title"/>
    <w:basedOn w:val="1"/>
    <w:next w:val="1"/>
    <w:link w:val="207"/>
    <w:qFormat/>
    <w:uiPriority w:val="10"/>
    <w:pPr>
      <w:widowControl w:val="0"/>
      <w:spacing w:before="240" w:after="60"/>
      <w:jc w:val="center"/>
      <w:outlineLvl w:val="0"/>
    </w:pPr>
    <w:rPr>
      <w:rFonts w:ascii="Cambria" w:hAnsi="Cambria" w:eastAsia="宋体" w:cs="Times New Roman"/>
      <w:b/>
      <w:bCs/>
      <w:sz w:val="32"/>
      <w:szCs w:val="32"/>
    </w:rPr>
  </w:style>
  <w:style w:type="paragraph" w:styleId="33">
    <w:name w:val="annotation subject"/>
    <w:basedOn w:val="14"/>
    <w:next w:val="14"/>
    <w:link w:val="211"/>
    <w:qFormat/>
    <w:uiPriority w:val="0"/>
    <w:rPr>
      <w:b/>
      <w:bCs/>
    </w:rPr>
  </w:style>
  <w:style w:type="table" w:styleId="35">
    <w:name w:val="Table Grid"/>
    <w:basedOn w:val="34"/>
    <w:qFormat/>
    <w:uiPriority w:val="0"/>
    <w:pPr>
      <w:widowControl w:val="0"/>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7">
    <w:name w:val="Strong"/>
    <w:basedOn w:val="36"/>
    <w:qFormat/>
    <w:uiPriority w:val="22"/>
    <w:rPr>
      <w:b/>
      <w:bCs/>
    </w:rPr>
  </w:style>
  <w:style w:type="character" w:styleId="38">
    <w:name w:val="endnote reference"/>
    <w:basedOn w:val="36"/>
    <w:semiHidden/>
    <w:unhideWhenUsed/>
    <w:qFormat/>
    <w:uiPriority w:val="99"/>
    <w:rPr>
      <w:vertAlign w:val="superscript"/>
    </w:rPr>
  </w:style>
  <w:style w:type="character" w:styleId="39">
    <w:name w:val="page number"/>
    <w:basedOn w:val="36"/>
    <w:qFormat/>
    <w:uiPriority w:val="0"/>
  </w:style>
  <w:style w:type="character" w:styleId="40">
    <w:name w:val="FollowedHyperlink"/>
    <w:basedOn w:val="36"/>
    <w:semiHidden/>
    <w:unhideWhenUsed/>
    <w:qFormat/>
    <w:uiPriority w:val="99"/>
    <w:rPr>
      <w:color w:val="954F72" w:themeColor="followedHyperlink"/>
      <w:u w:val="single"/>
      <w14:textFill>
        <w14:solidFill>
          <w14:schemeClr w14:val="folHlink"/>
        </w14:solidFill>
      </w14:textFill>
    </w:rPr>
  </w:style>
  <w:style w:type="character" w:styleId="41">
    <w:name w:val="Emphasis"/>
    <w:basedOn w:val="36"/>
    <w:qFormat/>
    <w:uiPriority w:val="20"/>
    <w:rPr>
      <w:i/>
      <w:iCs/>
    </w:rPr>
  </w:style>
  <w:style w:type="character" w:styleId="42">
    <w:name w:val="Hyperlink"/>
    <w:qFormat/>
    <w:uiPriority w:val="99"/>
    <w:rPr>
      <w:color w:val="333333"/>
      <w:u w:val="none"/>
    </w:rPr>
  </w:style>
  <w:style w:type="character" w:styleId="43">
    <w:name w:val="annotation reference"/>
    <w:qFormat/>
    <w:uiPriority w:val="0"/>
    <w:rPr>
      <w:sz w:val="21"/>
    </w:rPr>
  </w:style>
  <w:style w:type="character" w:styleId="44">
    <w:name w:val="footnote reference"/>
    <w:basedOn w:val="36"/>
    <w:semiHidden/>
    <w:unhideWhenUsed/>
    <w:qFormat/>
    <w:uiPriority w:val="99"/>
    <w:rPr>
      <w:vertAlign w:val="superscript"/>
    </w:rPr>
  </w:style>
  <w:style w:type="table" w:customStyle="1" w:styleId="45">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6">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7">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8">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9">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0">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1">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2">
    <w:name w:val="Grid Table 1 Light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53">
    <w:name w:val="Grid Table 1 Light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54">
    <w:name w:val="Grid Table 1 Light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55">
    <w:name w:val="Grid Table 1 Light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56">
    <w:name w:val="Grid Table 1 Light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57">
    <w:name w:val="Grid Table 1 Light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58">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59">
    <w:name w:val="Grid Table 2 - Accent 1"/>
    <w:basedOn w:val="34"/>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0">
    <w:name w:val="Grid Table 2 - Accent 2"/>
    <w:basedOn w:val="34"/>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1">
    <w:name w:val="Grid Table 2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2">
    <w:name w:val="Grid Table 2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3">
    <w:name w:val="Grid Table 2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64">
    <w:name w:val="Grid Table 2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65">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6">
    <w:name w:val="Grid Table 3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7">
    <w:name w:val="Grid Table 3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8">
    <w:name w:val="Grid Table 3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9">
    <w:name w:val="Grid Table 3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0">
    <w:name w:val="Grid Table 3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1">
    <w:name w:val="Grid Table 3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2">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3">
    <w:name w:val="Grid Table 4 - Accent 1"/>
    <w:basedOn w:val="34"/>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74">
    <w:name w:val="Grid Table 4 - Accent 2"/>
    <w:basedOn w:val="3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5">
    <w:name w:val="Grid Table 4 - Accent 3"/>
    <w:basedOn w:val="3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6">
    <w:name w:val="Grid Table 4 - Accent 4"/>
    <w:basedOn w:val="3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7">
    <w:name w:val="Grid Table 4 - Accent 5"/>
    <w:basedOn w:val="34"/>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8">
    <w:name w:val="Grid Table 4 - Accent 6"/>
    <w:basedOn w:val="3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9">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0">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81">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82">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83">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84">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85">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86">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7">
    <w:name w:val="Grid Table 6 Colorful - Accent 1"/>
    <w:basedOn w:val="34"/>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8">
    <w:name w:val="Grid Table 6 Colorful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89">
    <w:name w:val="Grid Table 6 Colorful - Accent 3"/>
    <w:basedOn w:val="3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0">
    <w:name w:val="Grid Table 6 Colorful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1">
    <w:name w:val="Grid Table 6 Colorful - Accent 5"/>
    <w:basedOn w:val="34"/>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2">
    <w:name w:val="Grid Table 6 Colorful - Accent 6"/>
    <w:basedOn w:val="3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3">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4">
    <w:name w:val="Grid Table 7 Colorful - Accent 1"/>
    <w:basedOn w:val="34"/>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5">
    <w:name w:val="Grid Table 7 Colorful - Accent 2"/>
    <w:basedOn w:val="3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6">
    <w:name w:val="Grid Table 7 Colorful - Accent 3"/>
    <w:basedOn w:val="3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7">
    <w:name w:val="Grid Table 7 Colorful - Accent 4"/>
    <w:basedOn w:val="3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8">
    <w:name w:val="Grid Table 7 Colorful - Accent 5"/>
    <w:basedOn w:val="34"/>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9">
    <w:name w:val="Grid Table 7 Colorful - Accent 6"/>
    <w:basedOn w:val="3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0">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1">
    <w:name w:val="List Table 1 Light - Accent 1"/>
    <w:basedOn w:val="34"/>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2">
    <w:name w:val="List Table 1 Light - Accent 2"/>
    <w:basedOn w:val="3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3">
    <w:name w:val="List Table 1 Light - Accent 3"/>
    <w:basedOn w:val="3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04">
    <w:name w:val="List Table 1 Light - Accent 4"/>
    <w:basedOn w:val="3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05">
    <w:name w:val="List Table 1 Light - Accent 5"/>
    <w:basedOn w:val="34"/>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06">
    <w:name w:val="List Table 1 Light - Accent 6"/>
    <w:basedOn w:val="3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07">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8">
    <w:name w:val="List Table 2 - Accent 1"/>
    <w:basedOn w:val="34"/>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9">
    <w:name w:val="List Table 2 - Accent 2"/>
    <w:basedOn w:val="3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0">
    <w:name w:val="List Table 2 - Accent 3"/>
    <w:basedOn w:val="3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1">
    <w:name w:val="List Table 2 - Accent 4"/>
    <w:basedOn w:val="3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2">
    <w:name w:val="List Table 2 - Accent 5"/>
    <w:basedOn w:val="34"/>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3">
    <w:name w:val="List Table 2 - Accent 6"/>
    <w:basedOn w:val="3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4">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5">
    <w:name w:val="List Table 3 - Accent 1"/>
    <w:basedOn w:val="34"/>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16">
    <w:name w:val="List Table 3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17">
    <w:name w:val="List Table 3 - Accent 3"/>
    <w:basedOn w:val="3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18">
    <w:name w:val="List Table 3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19">
    <w:name w:val="List Table 3 - Accent 5"/>
    <w:basedOn w:val="34"/>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0">
    <w:name w:val="List Table 3 - Accent 6"/>
    <w:basedOn w:val="3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21">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2">
    <w:name w:val="List Table 4 - Accent 1"/>
    <w:basedOn w:val="34"/>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23">
    <w:name w:val="List Table 4 - Accent 2"/>
    <w:basedOn w:val="3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24">
    <w:name w:val="List Table 4 - Accent 3"/>
    <w:basedOn w:val="34"/>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25">
    <w:name w:val="List Table 4 - Accent 4"/>
    <w:basedOn w:val="3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26">
    <w:name w:val="List Table 4 - Accent 5"/>
    <w:basedOn w:val="34"/>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27">
    <w:name w:val="List Table 4 - Accent 6"/>
    <w:basedOn w:val="34"/>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28">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29">
    <w:name w:val="List Table 5 Dark - Accent 1"/>
    <w:basedOn w:val="34"/>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0">
    <w:name w:val="List Table 5 Dark - Accent 2"/>
    <w:basedOn w:val="34"/>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31">
    <w:name w:val="List Table 5 Dark - Accent 3"/>
    <w:basedOn w:val="34"/>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32">
    <w:name w:val="List Table 5 Dark - Accent 4"/>
    <w:basedOn w:val="34"/>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33">
    <w:name w:val="List Table 5 Dark - Accent 5"/>
    <w:basedOn w:val="34"/>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34">
    <w:name w:val="List Table 5 Dark - Accent 6"/>
    <w:basedOn w:val="34"/>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35">
    <w:name w:val="List Table 6 Colorful"/>
    <w:basedOn w:val="34"/>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36">
    <w:name w:val="List Table 6 Colorful - Accent 1"/>
    <w:basedOn w:val="34"/>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37">
    <w:name w:val="List Table 6 Colorful - Accent 2"/>
    <w:basedOn w:val="34"/>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8">
    <w:name w:val="List Table 6 Colorful - Accent 3"/>
    <w:basedOn w:val="34"/>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39">
    <w:name w:val="List Table 6 Colorful - Accent 4"/>
    <w:basedOn w:val="34"/>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0">
    <w:name w:val="List Table 6 Colorful - Accent 5"/>
    <w:basedOn w:val="34"/>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1">
    <w:name w:val="List Table 6 Colorful - Accent 6"/>
    <w:basedOn w:val="34"/>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2">
    <w:name w:val="List Table 7 Colorful"/>
    <w:basedOn w:val="34"/>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3">
    <w:name w:val="List Table 7 Colorful - Accent 1"/>
    <w:basedOn w:val="34"/>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4">
    <w:name w:val="List Table 7 Colorful - Accent 2"/>
    <w:basedOn w:val="34"/>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5">
    <w:name w:val="List Table 7 Colorful - Accent 3"/>
    <w:basedOn w:val="34"/>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6">
    <w:name w:val="List Table 7 Colorful - Accent 4"/>
    <w:basedOn w:val="34"/>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7">
    <w:name w:val="List Table 7 Colorful - Accent 5"/>
    <w:basedOn w:val="34"/>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8">
    <w:name w:val="List Table 7 Colorful - Accent 6"/>
    <w:basedOn w:val="34"/>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9">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0">
    <w:name w:val="Lined - Accent 1"/>
    <w:basedOn w:val="34"/>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1">
    <w:name w:val="Lined - Accent 2"/>
    <w:basedOn w:val="34"/>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2">
    <w:name w:val="Lined - Accent 3"/>
    <w:basedOn w:val="34"/>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53">
    <w:name w:val="Lined - Accent 4"/>
    <w:basedOn w:val="34"/>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54">
    <w:name w:val="Lined - Accent 5"/>
    <w:basedOn w:val="34"/>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55">
    <w:name w:val="Lined - Accent 6"/>
    <w:basedOn w:val="34"/>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56">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7">
    <w:name w:val="Bordered &amp; Lined - Accent 1"/>
    <w:basedOn w:val="34"/>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8">
    <w:name w:val="Bordered &amp; Lined - Accent 2"/>
    <w:basedOn w:val="3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9">
    <w:name w:val="Bordered &amp; Lined - Accent 3"/>
    <w:basedOn w:val="3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0">
    <w:name w:val="Bordered &amp; Lined - Accent 4"/>
    <w:basedOn w:val="3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1">
    <w:name w:val="Bordered &amp; Lined - Accent 5"/>
    <w:basedOn w:val="34"/>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2">
    <w:name w:val="Bordered &amp; Lined - Accent 6"/>
    <w:basedOn w:val="3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3">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4">
    <w:name w:val="Bordered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65">
    <w:name w:val="Bordered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66">
    <w:name w:val="Bordered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67">
    <w:name w:val="Bordered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68">
    <w:name w:val="Bordered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69">
    <w:name w:val="Bordered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0">
    <w:name w:val="Heading 1 Char"/>
    <w:basedOn w:val="36"/>
    <w:qFormat/>
    <w:uiPriority w:val="9"/>
    <w:rPr>
      <w:rFonts w:ascii="Arial" w:hAnsi="Arial" w:eastAsia="Arial" w:cs="Arial"/>
      <w:color w:val="2E75B6" w:themeColor="accent1" w:themeShade="BF"/>
      <w:sz w:val="40"/>
      <w:szCs w:val="40"/>
    </w:rPr>
  </w:style>
  <w:style w:type="character" w:customStyle="1" w:styleId="171">
    <w:name w:val="Heading 2 Char"/>
    <w:basedOn w:val="36"/>
    <w:qFormat/>
    <w:uiPriority w:val="9"/>
    <w:rPr>
      <w:rFonts w:ascii="Arial" w:hAnsi="Arial" w:eastAsia="Arial" w:cs="Arial"/>
      <w:color w:val="2E75B6" w:themeColor="accent1" w:themeShade="BF"/>
      <w:sz w:val="32"/>
      <w:szCs w:val="32"/>
    </w:rPr>
  </w:style>
  <w:style w:type="character" w:customStyle="1" w:styleId="172">
    <w:name w:val="Heading 3 Char"/>
    <w:basedOn w:val="36"/>
    <w:qFormat/>
    <w:uiPriority w:val="9"/>
    <w:rPr>
      <w:rFonts w:ascii="Arial" w:hAnsi="Arial" w:eastAsia="Arial" w:cs="Arial"/>
      <w:color w:val="2E75B6" w:themeColor="accent1" w:themeShade="BF"/>
      <w:sz w:val="28"/>
      <w:szCs w:val="28"/>
    </w:rPr>
  </w:style>
  <w:style w:type="character" w:customStyle="1" w:styleId="173">
    <w:name w:val="Heading 4 Char"/>
    <w:basedOn w:val="36"/>
    <w:qFormat/>
    <w:uiPriority w:val="9"/>
    <w:rPr>
      <w:rFonts w:ascii="Arial" w:hAnsi="Arial" w:eastAsia="Arial" w:cs="Arial"/>
      <w:i/>
      <w:iCs/>
      <w:color w:val="2E75B6" w:themeColor="accent1" w:themeShade="BF"/>
    </w:rPr>
  </w:style>
  <w:style w:type="character" w:customStyle="1" w:styleId="174">
    <w:name w:val="Heading 5 Char"/>
    <w:basedOn w:val="36"/>
    <w:link w:val="7"/>
    <w:qFormat/>
    <w:uiPriority w:val="9"/>
    <w:rPr>
      <w:rFonts w:ascii="Arial" w:hAnsi="Arial" w:eastAsia="Arial" w:cs="Arial"/>
      <w:color w:val="2E75B6" w:themeColor="accent1" w:themeShade="BF"/>
    </w:rPr>
  </w:style>
  <w:style w:type="character" w:customStyle="1" w:styleId="175">
    <w:name w:val="Heading 6 Char"/>
    <w:basedOn w:val="36"/>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6">
    <w:name w:val="Heading 7 Char"/>
    <w:basedOn w:val="36"/>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7">
    <w:name w:val="Heading 8 Char"/>
    <w:basedOn w:val="36"/>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8">
    <w:name w:val="Heading 9 Char"/>
    <w:basedOn w:val="36"/>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9">
    <w:name w:val="Title Char"/>
    <w:basedOn w:val="36"/>
    <w:qFormat/>
    <w:uiPriority w:val="10"/>
    <w:rPr>
      <w:rFonts w:ascii="Arial" w:hAnsi="Arial" w:eastAsia="Arial" w:cs="Arial"/>
      <w:spacing w:val="-10"/>
      <w:sz w:val="56"/>
      <w:szCs w:val="56"/>
    </w:rPr>
  </w:style>
  <w:style w:type="character" w:customStyle="1" w:styleId="180">
    <w:name w:val="Subtitle Char"/>
    <w:basedOn w:val="36"/>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1">
    <w:name w:val="Quote"/>
    <w:basedOn w:val="1"/>
    <w:next w:val="1"/>
    <w:link w:val="18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2">
    <w:name w:val="Quote Char"/>
    <w:basedOn w:val="36"/>
    <w:link w:val="181"/>
    <w:qFormat/>
    <w:uiPriority w:val="29"/>
    <w:rPr>
      <w:i/>
      <w:iCs/>
      <w:color w:val="404040" w:themeColor="text1" w:themeTint="BF"/>
      <w14:textFill>
        <w14:solidFill>
          <w14:schemeClr w14:val="tx1">
            <w14:lumMod w14:val="75000"/>
            <w14:lumOff w14:val="25000"/>
          </w14:schemeClr>
        </w14:solidFill>
      </w14:textFill>
    </w:rPr>
  </w:style>
  <w:style w:type="character" w:customStyle="1" w:styleId="183">
    <w:name w:val="Intense Emphasis"/>
    <w:basedOn w:val="36"/>
    <w:qFormat/>
    <w:uiPriority w:val="21"/>
    <w:rPr>
      <w:i/>
      <w:iCs/>
      <w:color w:val="2E75B6" w:themeColor="accent1" w:themeShade="BF"/>
    </w:rPr>
  </w:style>
  <w:style w:type="paragraph" w:styleId="184">
    <w:name w:val="Intense Quote"/>
    <w:basedOn w:val="1"/>
    <w:next w:val="1"/>
    <w:link w:val="185"/>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85">
    <w:name w:val="Intense Quote Char"/>
    <w:basedOn w:val="36"/>
    <w:link w:val="184"/>
    <w:qFormat/>
    <w:uiPriority w:val="30"/>
    <w:rPr>
      <w:i/>
      <w:iCs/>
      <w:color w:val="2E75B6" w:themeColor="accent1" w:themeShade="BF"/>
    </w:rPr>
  </w:style>
  <w:style w:type="character" w:customStyle="1" w:styleId="186">
    <w:name w:val="Intense Reference"/>
    <w:basedOn w:val="36"/>
    <w:qFormat/>
    <w:uiPriority w:val="32"/>
    <w:rPr>
      <w:b/>
      <w:bCs/>
      <w:smallCaps/>
      <w:color w:val="2E75B6" w:themeColor="accent1" w:themeShade="BF"/>
      <w:spacing w:val="5"/>
    </w:rPr>
  </w:style>
  <w:style w:type="paragraph" w:styleId="187">
    <w:name w:val="No Spacing"/>
    <w:basedOn w:val="1"/>
    <w:qFormat/>
    <w:uiPriority w:val="1"/>
    <w:pPr>
      <w:spacing w:after="0" w:line="240" w:lineRule="auto"/>
    </w:pPr>
  </w:style>
  <w:style w:type="character" w:customStyle="1" w:styleId="188">
    <w:name w:val="Subtle Emphasis"/>
    <w:basedOn w:val="36"/>
    <w:qFormat/>
    <w:uiPriority w:val="19"/>
    <w:rPr>
      <w:i/>
      <w:iCs/>
      <w:color w:val="404040" w:themeColor="text1" w:themeTint="BF"/>
      <w14:textFill>
        <w14:solidFill>
          <w14:schemeClr w14:val="tx1">
            <w14:lumMod w14:val="75000"/>
            <w14:lumOff w14:val="25000"/>
          </w14:schemeClr>
        </w14:solidFill>
      </w14:textFill>
    </w:rPr>
  </w:style>
  <w:style w:type="character" w:customStyle="1" w:styleId="189">
    <w:name w:val="Subtle Reference"/>
    <w:basedOn w:val="36"/>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0">
    <w:name w:val="Book Title"/>
    <w:basedOn w:val="36"/>
    <w:qFormat/>
    <w:uiPriority w:val="33"/>
    <w:rPr>
      <w:b/>
      <w:bCs/>
      <w:i/>
      <w:iCs/>
      <w:spacing w:val="5"/>
    </w:rPr>
  </w:style>
  <w:style w:type="character" w:customStyle="1" w:styleId="191">
    <w:name w:val="Header Char"/>
    <w:basedOn w:val="36"/>
    <w:qFormat/>
    <w:uiPriority w:val="99"/>
  </w:style>
  <w:style w:type="character" w:customStyle="1" w:styleId="192">
    <w:name w:val="Footer Char"/>
    <w:basedOn w:val="36"/>
    <w:qFormat/>
    <w:uiPriority w:val="99"/>
  </w:style>
  <w:style w:type="character" w:customStyle="1" w:styleId="193">
    <w:name w:val="Footnote Text Char"/>
    <w:basedOn w:val="36"/>
    <w:link w:val="26"/>
    <w:semiHidden/>
    <w:qFormat/>
    <w:uiPriority w:val="99"/>
    <w:rPr>
      <w:sz w:val="20"/>
      <w:szCs w:val="20"/>
    </w:rPr>
  </w:style>
  <w:style w:type="character" w:customStyle="1" w:styleId="194">
    <w:name w:val="Endnote Text Char"/>
    <w:basedOn w:val="36"/>
    <w:link w:val="20"/>
    <w:semiHidden/>
    <w:qFormat/>
    <w:uiPriority w:val="99"/>
    <w:rPr>
      <w:sz w:val="20"/>
      <w:szCs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正文1"/>
    <w:qFormat/>
    <w:uiPriority w:val="0"/>
    <w:pPr>
      <w:widowControl w:val="0"/>
      <w:spacing w:line="312" w:lineRule="atLeast"/>
      <w:jc w:val="both"/>
    </w:pPr>
    <w:rPr>
      <w:rFonts w:hint="default" w:ascii="宋体" w:hAnsiTheme="minorHAnsi" w:eastAsiaTheme="minorEastAsia" w:cstheme="minorBidi"/>
      <w:sz w:val="34"/>
      <w:szCs w:val="22"/>
      <w:lang w:val="en-US" w:eastAsia="zh-CN" w:bidi="ar-SA"/>
    </w:rPr>
  </w:style>
  <w:style w:type="paragraph" w:customStyle="1" w:styleId="197">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198">
    <w:name w:val="Table Paragraph"/>
    <w:basedOn w:val="1"/>
    <w:qFormat/>
    <w:uiPriority w:val="1"/>
    <w:pPr>
      <w:widowControl w:val="0"/>
    </w:pPr>
    <w:rPr>
      <w:rFonts w:ascii="宋体" w:hAnsi="宋体" w:cs="宋体"/>
      <w:sz w:val="22"/>
      <w:szCs w:val="22"/>
      <w:lang w:eastAsia="en-US"/>
    </w:rPr>
  </w:style>
  <w:style w:type="paragraph" w:customStyle="1" w:styleId="199">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200">
    <w:name w:val="标题 1 Char"/>
    <w:link w:val="3"/>
    <w:qFormat/>
    <w:uiPriority w:val="0"/>
    <w:rPr>
      <w:rFonts w:ascii="华文中宋" w:hAnsi="华文中宋" w:eastAsia="华文中宋"/>
      <w:b/>
      <w:bCs/>
      <w:color w:val="000000"/>
      <w:sz w:val="32"/>
      <w:szCs w:val="32"/>
    </w:rPr>
  </w:style>
  <w:style w:type="paragraph" w:customStyle="1" w:styleId="201">
    <w:name w:val="正文 New New New New New New New New New New New New New New"/>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customStyle="1" w:styleId="202">
    <w:name w:val="标题新"/>
    <w:basedOn w:val="4"/>
    <w:next w:val="1"/>
    <w:qFormat/>
    <w:uiPriority w:val="0"/>
    <w:pPr>
      <w:tabs>
        <w:tab w:val="clear" w:pos="720"/>
      </w:tabs>
      <w:spacing w:before="140" w:after="140" w:line="416" w:lineRule="auto"/>
      <w:jc w:val="both"/>
    </w:pPr>
    <w:rPr>
      <w:rFonts w:ascii="Arial" w:hAnsi="Arial" w:cs="Times New Roman"/>
      <w:iCs w:val="0"/>
      <w:sz w:val="30"/>
      <w:szCs w:val="32"/>
    </w:rPr>
  </w:style>
  <w:style w:type="character" w:customStyle="1" w:styleId="203">
    <w:name w:val="Unresolved Mention"/>
    <w:basedOn w:val="36"/>
    <w:semiHidden/>
    <w:unhideWhenUsed/>
    <w:qFormat/>
    <w:uiPriority w:val="99"/>
    <w:rPr>
      <w:color w:val="808080"/>
      <w:shd w:val="clear" w:color="auto" w:fill="E6E6E6"/>
    </w:rPr>
  </w:style>
  <w:style w:type="character" w:customStyle="1" w:styleId="204">
    <w:name w:val="批注框文本 Char"/>
    <w:basedOn w:val="36"/>
    <w:link w:val="21"/>
    <w:qFormat/>
    <w:uiPriority w:val="0"/>
    <w:rPr>
      <w:sz w:val="18"/>
      <w:szCs w:val="18"/>
    </w:rPr>
  </w:style>
  <w:style w:type="character" w:customStyle="1" w:styleId="205">
    <w:name w:val="日期 Char"/>
    <w:basedOn w:val="36"/>
    <w:link w:val="18"/>
    <w:qFormat/>
    <w:uiPriority w:val="0"/>
    <w:rPr>
      <w:rFonts w:ascii="Times New Roman" w:hAnsi="Times New Roman"/>
      <w:sz w:val="21"/>
      <w:szCs w:val="24"/>
    </w:rPr>
  </w:style>
  <w:style w:type="character" w:customStyle="1" w:styleId="206">
    <w:name w:val="纯文本 Char"/>
    <w:basedOn w:val="36"/>
    <w:link w:val="17"/>
    <w:qFormat/>
    <w:uiPriority w:val="0"/>
    <w:rPr>
      <w:rFonts w:ascii="宋体" w:hAnsi="Courier New"/>
      <w:sz w:val="28"/>
    </w:rPr>
  </w:style>
  <w:style w:type="character" w:customStyle="1" w:styleId="207">
    <w:name w:val="标题 Char"/>
    <w:basedOn w:val="36"/>
    <w:link w:val="32"/>
    <w:qFormat/>
    <w:uiPriority w:val="10"/>
    <w:rPr>
      <w:rFonts w:ascii="Cambria" w:hAnsi="Cambria"/>
      <w:b/>
      <w:bCs/>
      <w:sz w:val="32"/>
      <w:szCs w:val="32"/>
    </w:rPr>
  </w:style>
  <w:style w:type="character" w:customStyle="1" w:styleId="208">
    <w:name w:val="副标题 Char"/>
    <w:basedOn w:val="36"/>
    <w:link w:val="25"/>
    <w:qFormat/>
    <w:uiPriority w:val="0"/>
    <w:rPr>
      <w:rFonts w:ascii="等线 Light" w:hAnsi="等线 Light"/>
      <w:b/>
      <w:bCs/>
      <w:sz w:val="24"/>
      <w:szCs w:val="32"/>
    </w:rPr>
  </w:style>
  <w:style w:type="paragraph" w:customStyle="1" w:styleId="209">
    <w:name w:val="GP正文(首行缩进)"/>
    <w:basedOn w:val="1"/>
    <w:qFormat/>
    <w:uiPriority w:val="0"/>
    <w:pPr>
      <w:widowControl w:val="0"/>
      <w:spacing w:line="360" w:lineRule="auto"/>
      <w:ind w:firstLine="480"/>
    </w:pPr>
    <w:rPr>
      <w:rFonts w:ascii="Times New Roman" w:hAnsi="宋体" w:eastAsia="宋体" w:cs="Times New Roman"/>
    </w:rPr>
  </w:style>
  <w:style w:type="character" w:customStyle="1" w:styleId="210">
    <w:name w:val="批注文字 Char"/>
    <w:basedOn w:val="36"/>
    <w:link w:val="14"/>
    <w:qFormat/>
    <w:uiPriority w:val="99"/>
    <w:rPr>
      <w:rFonts w:asciiTheme="minorHAnsi" w:hAnsiTheme="minorHAnsi" w:eastAsiaTheme="minorEastAsia" w:cstheme="minorBidi"/>
      <w:sz w:val="24"/>
      <w:szCs w:val="24"/>
    </w:rPr>
  </w:style>
  <w:style w:type="character" w:customStyle="1" w:styleId="211">
    <w:name w:val="批注主题 Char"/>
    <w:basedOn w:val="210"/>
    <w:link w:val="33"/>
    <w:qFormat/>
    <w:uiPriority w:val="0"/>
    <w:rPr>
      <w:rFonts w:asciiTheme="minorHAnsi" w:hAnsiTheme="minorHAnsi" w:eastAsiaTheme="minorEastAsia" w:cstheme="minorBidi"/>
      <w:b/>
      <w:bCs/>
      <w:sz w:val="24"/>
      <w:szCs w:val="24"/>
    </w:rPr>
  </w:style>
  <w:style w:type="paragraph" w:styleId="212">
    <w:name w:val="List Paragraph"/>
    <w:basedOn w:val="1"/>
    <w:link w:val="235"/>
    <w:unhideWhenUsed/>
    <w:qFormat/>
    <w:uiPriority w:val="34"/>
    <w:pPr>
      <w:ind w:firstLine="420"/>
    </w:pPr>
  </w:style>
  <w:style w:type="paragraph" w:customStyle="1" w:styleId="213">
    <w:name w:val="普通正文"/>
    <w:basedOn w:val="1"/>
    <w:qFormat/>
    <w:uiPriority w:val="0"/>
    <w:pPr>
      <w:widowControl w:val="0"/>
      <w:spacing w:line="580" w:lineRule="exact"/>
      <w:ind w:firstLine="629"/>
      <w:jc w:val="both"/>
    </w:pPr>
    <w:rPr>
      <w:rFonts w:ascii="宋体" w:hAnsi="Times New Roman" w:eastAsia="宋体" w:cs="Times New Roman"/>
      <w:sz w:val="28"/>
      <w:szCs w:val="20"/>
    </w:rPr>
  </w:style>
  <w:style w:type="paragraph" w:customStyle="1" w:styleId="214">
    <w:name w:val="多级自动编号"/>
    <w:basedOn w:val="213"/>
    <w:qFormat/>
    <w:uiPriority w:val="0"/>
    <w:pPr>
      <w:numPr>
        <w:ilvl w:val="0"/>
        <w:numId w:val="2"/>
      </w:numPr>
    </w:pPr>
  </w:style>
  <w:style w:type="character" w:customStyle="1" w:styleId="215">
    <w:name w:val="正文文本缩进 Char"/>
    <w:basedOn w:val="36"/>
    <w:link w:val="15"/>
    <w:semiHidden/>
    <w:qFormat/>
    <w:uiPriority w:val="0"/>
    <w:rPr>
      <w:rFonts w:asciiTheme="minorHAnsi" w:hAnsiTheme="minorHAnsi" w:eastAsiaTheme="minorEastAsia" w:cstheme="minorBidi"/>
      <w:sz w:val="24"/>
      <w:szCs w:val="24"/>
    </w:rPr>
  </w:style>
  <w:style w:type="character" w:customStyle="1" w:styleId="216">
    <w:name w:val="正文缩进 Char"/>
    <w:link w:val="12"/>
    <w:qFormat/>
    <w:uiPriority w:val="0"/>
  </w:style>
  <w:style w:type="paragraph" w:customStyle="1" w:styleId="217">
    <w:name w:val="段"/>
    <w:qFormat/>
    <w:uiPriority w:val="0"/>
    <w:pPr>
      <w:ind w:firstLine="200"/>
      <w:jc w:val="both"/>
    </w:pPr>
    <w:rPr>
      <w:rFonts w:hint="default" w:ascii="宋体" w:hAnsi="Times New Roman" w:eastAsiaTheme="minorEastAsia" w:cstheme="minorBidi"/>
      <w:sz w:val="21"/>
      <w:szCs w:val="22"/>
      <w:lang w:val="en-US" w:eastAsia="zh-CN" w:bidi="ar-SA"/>
    </w:rPr>
  </w:style>
  <w:style w:type="character" w:customStyle="1" w:styleId="218">
    <w:name w:val="HTML 预设格式 Char"/>
    <w:basedOn w:val="36"/>
    <w:link w:val="30"/>
    <w:semiHidden/>
    <w:qFormat/>
    <w:uiPriority w:val="0"/>
    <w:rPr>
      <w:rFonts w:ascii="Arial" w:hAnsi="Arial"/>
      <w:sz w:val="21"/>
      <w:szCs w:val="21"/>
    </w:rPr>
  </w:style>
  <w:style w:type="character" w:customStyle="1" w:styleId="219">
    <w:name w:val="标题 3 Char"/>
    <w:basedOn w:val="36"/>
    <w:link w:val="5"/>
    <w:qFormat/>
    <w:uiPriority w:val="0"/>
    <w:rPr>
      <w:rFonts w:asciiTheme="minorHAnsi" w:hAnsiTheme="minorHAnsi" w:eastAsiaTheme="minorEastAsia" w:cstheme="minorBidi"/>
      <w:b/>
      <w:bCs/>
      <w:sz w:val="32"/>
      <w:szCs w:val="32"/>
    </w:rPr>
  </w:style>
  <w:style w:type="character" w:customStyle="1" w:styleId="220">
    <w:name w:val="标题 4 Char"/>
    <w:basedOn w:val="36"/>
    <w:link w:val="6"/>
    <w:qFormat/>
    <w:uiPriority w:val="0"/>
    <w:rPr>
      <w:rFonts w:asciiTheme="majorHAnsi" w:hAnsiTheme="majorHAnsi" w:eastAsiaTheme="majorEastAsia" w:cstheme="majorBidi"/>
      <w:b/>
      <w:bCs/>
      <w:sz w:val="28"/>
      <w:szCs w:val="28"/>
    </w:rPr>
  </w:style>
  <w:style w:type="paragraph" w:customStyle="1" w:styleId="221">
    <w:name w:val="Default"/>
    <w:qFormat/>
    <w:uiPriority w:val="0"/>
    <w:pPr>
      <w:widowControl w:val="0"/>
    </w:pPr>
    <w:rPr>
      <w:rFonts w:hint="default" w:ascii="仿宋_GB2312" w:eastAsia="仿宋_GB2312" w:cs="仿宋_GB2312" w:hAnsiTheme="minorHAnsi"/>
      <w:color w:val="000000"/>
      <w:sz w:val="24"/>
      <w:szCs w:val="24"/>
      <w:lang w:val="en-US" w:eastAsia="zh-CN" w:bidi="ar-SA"/>
    </w:rPr>
  </w:style>
  <w:style w:type="paragraph" w:customStyle="1" w:styleId="222">
    <w:name w:val="p0"/>
    <w:basedOn w:val="1"/>
    <w:qFormat/>
    <w:uiPriority w:val="0"/>
    <w:pPr>
      <w:jc w:val="both"/>
    </w:pPr>
    <w:rPr>
      <w:rFonts w:ascii="宋体" w:hAnsi="宋体" w:eastAsia="宋体" w:cs="宋体"/>
      <w:sz w:val="21"/>
      <w:szCs w:val="21"/>
    </w:rPr>
  </w:style>
  <w:style w:type="character" w:customStyle="1" w:styleId="223">
    <w:name w:val="正文文本 Char"/>
    <w:basedOn w:val="36"/>
    <w:link w:val="2"/>
    <w:qFormat/>
    <w:uiPriority w:val="99"/>
    <w:rPr>
      <w:rFonts w:asciiTheme="minorHAnsi" w:hAnsiTheme="minorHAnsi" w:eastAsiaTheme="minorEastAsia" w:cstheme="minorBidi"/>
      <w:sz w:val="24"/>
      <w:szCs w:val="24"/>
    </w:rPr>
  </w:style>
  <w:style w:type="paragraph" w:customStyle="1" w:styleId="224">
    <w:name w:val="图文"/>
    <w:basedOn w:val="1"/>
    <w:qFormat/>
    <w:uiPriority w:val="0"/>
    <w:pPr>
      <w:widowControl w:val="0"/>
      <w:spacing w:after="50" w:line="360" w:lineRule="auto"/>
      <w:jc w:val="both"/>
    </w:pPr>
    <w:rPr>
      <w:rFonts w:ascii="Times New Roman" w:hAnsi="Times New Roman" w:eastAsia="宋体" w:cs="Times New Roman"/>
    </w:rPr>
  </w:style>
  <w:style w:type="character" w:customStyle="1" w:styleId="225">
    <w:name w:val="中文正文、 Char Char"/>
    <w:link w:val="226"/>
    <w:qFormat/>
    <w:uiPriority w:val="0"/>
    <w:rPr>
      <w:sz w:val="21"/>
      <w:szCs w:val="21"/>
    </w:rPr>
  </w:style>
  <w:style w:type="paragraph" w:customStyle="1" w:styleId="226">
    <w:name w:val="中文正文、"/>
    <w:basedOn w:val="1"/>
    <w:link w:val="225"/>
    <w:qFormat/>
    <w:uiPriority w:val="0"/>
    <w:pPr>
      <w:widowControl w:val="0"/>
      <w:spacing w:line="360" w:lineRule="auto"/>
      <w:ind w:firstLine="420"/>
      <w:jc w:val="both"/>
    </w:pPr>
    <w:rPr>
      <w:rFonts w:ascii="Calibri" w:hAnsi="Calibri" w:eastAsia="宋体" w:cs="Times New Roman"/>
      <w:sz w:val="21"/>
      <w:szCs w:val="21"/>
    </w:rPr>
  </w:style>
  <w:style w:type="paragraph" w:customStyle="1" w:styleId="227">
    <w:name w:val="p16"/>
    <w:basedOn w:val="1"/>
    <w:qFormat/>
    <w:uiPriority w:val="0"/>
    <w:pPr>
      <w:jc w:val="both"/>
    </w:pPr>
    <w:rPr>
      <w:rFonts w:ascii="宋体" w:hAnsi="宋体" w:eastAsia="宋体" w:cs="Times New Roman"/>
      <w:szCs w:val="20"/>
    </w:rPr>
  </w:style>
  <w:style w:type="character" w:customStyle="1" w:styleId="228">
    <w:name w:val="纯文本 Char1"/>
    <w:qFormat/>
    <w:uiPriority w:val="0"/>
    <w:rPr>
      <w:rFonts w:ascii="宋体" w:hAnsi="Courier New"/>
      <w:sz w:val="21"/>
    </w:rPr>
  </w:style>
  <w:style w:type="paragraph" w:customStyle="1" w:styleId="229">
    <w:name w:val="正文文本 31"/>
    <w:basedOn w:val="1"/>
    <w:qFormat/>
    <w:uiPriority w:val="0"/>
    <w:pPr>
      <w:widowControl w:val="0"/>
      <w:jc w:val="both"/>
    </w:pPr>
    <w:rPr>
      <w:rFonts w:ascii="宋体" w:hAnsi="Times New Roman" w:eastAsia="宋体" w:cs="Times New Roman"/>
    </w:rPr>
  </w:style>
  <w:style w:type="character" w:customStyle="1" w:styleId="230">
    <w:name w:val="页脚 Char"/>
    <w:link w:val="22"/>
    <w:qFormat/>
    <w:uiPriority w:val="99"/>
    <w:rPr>
      <w:rFonts w:asciiTheme="minorHAnsi" w:hAnsiTheme="minorHAnsi" w:eastAsiaTheme="minorEastAsia" w:cstheme="minorBidi"/>
      <w:sz w:val="18"/>
      <w:szCs w:val="18"/>
    </w:rPr>
  </w:style>
  <w:style w:type="character" w:customStyle="1" w:styleId="231">
    <w:name w:val="15"/>
    <w:qFormat/>
    <w:uiPriority w:val="0"/>
    <w:rPr>
      <w:rFonts w:hint="eastAsia" w:ascii="宋体" w:hAnsi="宋体" w:eastAsia="宋体"/>
      <w:sz w:val="24"/>
      <w:szCs w:val="24"/>
    </w:rPr>
  </w:style>
  <w:style w:type="character" w:customStyle="1" w:styleId="232">
    <w:name w:val="页眉 Char"/>
    <w:basedOn w:val="36"/>
    <w:link w:val="23"/>
    <w:qFormat/>
    <w:uiPriority w:val="99"/>
    <w:rPr>
      <w:rFonts w:asciiTheme="minorHAnsi" w:hAnsiTheme="minorHAnsi" w:eastAsiaTheme="minorEastAsia" w:cstheme="minorBidi"/>
      <w:sz w:val="18"/>
      <w:szCs w:val="18"/>
    </w:rPr>
  </w:style>
  <w:style w:type="paragraph" w:customStyle="1" w:styleId="233">
    <w:name w:val="正文文本 32"/>
    <w:basedOn w:val="1"/>
    <w:qFormat/>
    <w:uiPriority w:val="0"/>
    <w:pPr>
      <w:widowControl w:val="0"/>
      <w:spacing w:line="312" w:lineRule="auto"/>
      <w:jc w:val="both"/>
    </w:pPr>
    <w:rPr>
      <w:rFonts w:ascii="宋体" w:hAnsi="Times New Roman" w:eastAsia="宋体" w:cs="Times New Roman"/>
      <w:szCs w:val="20"/>
    </w:rPr>
  </w:style>
  <w:style w:type="paragraph" w:customStyle="1" w:styleId="234">
    <w:name w:val="正文文本 33"/>
    <w:basedOn w:val="1"/>
    <w:qFormat/>
    <w:uiPriority w:val="0"/>
    <w:pPr>
      <w:widowControl w:val="0"/>
      <w:jc w:val="both"/>
    </w:pPr>
    <w:rPr>
      <w:rFonts w:ascii="宋体" w:hAnsi="Times New Roman" w:eastAsia="宋体" w:cs="Times New Roman"/>
    </w:rPr>
  </w:style>
  <w:style w:type="character" w:customStyle="1" w:styleId="235">
    <w:name w:val="列出段落 Char"/>
    <w:link w:val="212"/>
    <w:qFormat/>
    <w:uiPriority w:val="34"/>
    <w:rPr>
      <w:rFonts w:asciiTheme="minorHAnsi" w:hAnsiTheme="minorHAnsi" w:eastAsiaTheme="minorEastAsia" w:cstheme="minorBidi"/>
      <w:sz w:val="24"/>
      <w:szCs w:val="24"/>
    </w:rPr>
  </w:style>
  <w:style w:type="character" w:customStyle="1" w:styleId="236">
    <w:name w:val="font11"/>
    <w:qFormat/>
    <w:uiPriority w:val="0"/>
    <w:rPr>
      <w:rFonts w:hint="eastAsia" w:ascii="仿宋" w:hAnsi="仿宋" w:eastAsia="仿宋" w:cs="仿宋"/>
      <w:color w:val="FF0000"/>
      <w:sz w:val="20"/>
      <w:szCs w:val="20"/>
      <w:u w:val="none"/>
      <w:lang w:val="en-US" w:eastAsia="zh-CN" w:bidi="ar-SA"/>
    </w:rPr>
  </w:style>
  <w:style w:type="paragraph" w:customStyle="1" w:styleId="237">
    <w:name w:val="1正文"/>
    <w:basedOn w:val="1"/>
    <w:qFormat/>
    <w:uiPriority w:val="0"/>
    <w:pPr>
      <w:widowControl w:val="0"/>
      <w:spacing w:line="560" w:lineRule="exact"/>
      <w:ind w:firstLine="200"/>
      <w:jc w:val="both"/>
    </w:pPr>
    <w:rPr>
      <w:rFonts w:ascii="Times New Roman" w:hAnsi="Times New Roman" w:eastAsia="Cambria Math" w:cs="Times New Roman"/>
      <w:sz w:val="32"/>
    </w:rPr>
  </w:style>
  <w:style w:type="paragraph" w:customStyle="1" w:styleId="238">
    <w:name w:val="1"/>
    <w:basedOn w:val="1"/>
    <w:next w:val="19"/>
    <w:qFormat/>
    <w:uiPriority w:val="0"/>
    <w:pPr>
      <w:widowControl w:val="0"/>
      <w:tabs>
        <w:tab w:val="left" w:pos="3060"/>
      </w:tabs>
      <w:spacing w:line="140" w:lineRule="atLeast"/>
      <w:ind w:firstLine="560"/>
      <w:jc w:val="both"/>
    </w:pPr>
    <w:rPr>
      <w:rFonts w:ascii="Times New Roman" w:hAnsi="Times New Roman" w:eastAsia="宋体" w:cs="Times New Roman"/>
      <w:sz w:val="28"/>
    </w:rPr>
  </w:style>
  <w:style w:type="paragraph" w:customStyle="1" w:styleId="239">
    <w:name w:val="_Style 160"/>
    <w:basedOn w:val="1"/>
    <w:next w:val="212"/>
    <w:qFormat/>
    <w:uiPriority w:val="0"/>
    <w:pPr>
      <w:widowControl w:val="0"/>
      <w:pBdr>
        <w:bottom w:val="single" w:color="000000" w:sz="6" w:space="1"/>
      </w:pBdr>
      <w:jc w:val="center"/>
    </w:pPr>
    <w:rPr>
      <w:rFonts w:ascii="Arial" w:hAnsi="Times New Roman" w:eastAsia="宋体" w:cs="Times New Roman"/>
      <w:vanish/>
      <w:sz w:val="16"/>
    </w:rPr>
  </w:style>
  <w:style w:type="character" w:customStyle="1" w:styleId="240">
    <w:name w:val="正文文本缩进 2 Char"/>
    <w:basedOn w:val="36"/>
    <w:link w:val="19"/>
    <w:semiHidden/>
    <w:qFormat/>
    <w:uiPriority w:val="0"/>
    <w:rPr>
      <w:rFonts w:asciiTheme="minorHAnsi" w:hAnsiTheme="minorHAnsi" w:eastAsiaTheme="minorEastAsia" w:cstheme="minorBidi"/>
      <w:sz w:val="24"/>
      <w:szCs w:val="24"/>
    </w:rPr>
  </w:style>
  <w:style w:type="character" w:customStyle="1" w:styleId="241">
    <w:name w:val="标题 6 Char"/>
    <w:basedOn w:val="36"/>
    <w:link w:val="8"/>
    <w:qFormat/>
    <w:uiPriority w:val="0"/>
    <w:rPr>
      <w:rFonts w:ascii="Arial" w:hAnsi="Arial" w:eastAsia="黑体"/>
      <w:b/>
      <w:bCs/>
      <w:sz w:val="24"/>
      <w:szCs w:val="24"/>
    </w:rPr>
  </w:style>
  <w:style w:type="character" w:customStyle="1" w:styleId="242">
    <w:name w:val="标题 7 Char"/>
    <w:basedOn w:val="36"/>
    <w:link w:val="9"/>
    <w:qFormat/>
    <w:uiPriority w:val="0"/>
    <w:rPr>
      <w:rFonts w:ascii="Times New Roman" w:hAnsi="Times New Roman"/>
      <w:b/>
      <w:bCs/>
      <w:sz w:val="24"/>
      <w:szCs w:val="24"/>
    </w:rPr>
  </w:style>
  <w:style w:type="character" w:customStyle="1" w:styleId="243">
    <w:name w:val="标题 8 Char"/>
    <w:basedOn w:val="36"/>
    <w:link w:val="10"/>
    <w:qFormat/>
    <w:uiPriority w:val="0"/>
    <w:rPr>
      <w:rFonts w:ascii="Arial" w:hAnsi="Arial" w:eastAsia="黑体"/>
      <w:sz w:val="24"/>
      <w:szCs w:val="24"/>
    </w:rPr>
  </w:style>
  <w:style w:type="character" w:customStyle="1" w:styleId="244">
    <w:name w:val="标题 9 Char"/>
    <w:basedOn w:val="36"/>
    <w:link w:val="11"/>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58679D-6B03-43F1-B7A5-65ED4E904136}">
  <ds:schemaRefs/>
</ds:datastoreItem>
</file>

<file path=docProps/app.xml><?xml version="1.0" encoding="utf-8"?>
<Properties xmlns="http://schemas.openxmlformats.org/officeDocument/2006/extended-properties" xmlns:vt="http://schemas.openxmlformats.org/officeDocument/2006/docPropsVTypes">
  <Template>0.docx</Template>
  <Company>Lenovo</Company>
  <TotalTime>47</TotalTime>
  <ScaleCrop>false</ScaleCrop>
  <LinksUpToDate>false</LinksUpToDate>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Administrator</cp:lastModifiedBy>
  <dcterms:modified xsi:type="dcterms:W3CDTF">2025-05-20T07:10:01Z</dcterms:modified>
  <cp:revision>163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CED6993AC8F349929DF26B7A489A96C2</vt:lpwstr>
  </property>
</Properties>
</file>