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DB8A5">
      <w:pPr>
        <w:keepNext/>
        <w:keepLines/>
        <w:widowControl w:val="0"/>
        <w:spacing w:before="0" w:after="0" w:line="480" w:lineRule="auto"/>
        <w:jc w:val="center"/>
        <w:outlineLvl w:val="0"/>
        <w:rPr>
          <w:rFonts w:hint="eastAsia" w:ascii="仿宋" w:hAnsi="仿宋" w:eastAsia="仿宋" w:cs="宋体"/>
          <w:b/>
          <w:color w:val="auto"/>
          <w:kern w:val="44"/>
          <w:sz w:val="28"/>
          <w:highlight w:val="none"/>
          <w:lang w:val="en-US" w:eastAsia="zh-CN" w:bidi="ar-SA"/>
        </w:rPr>
      </w:pPr>
      <w:bookmarkStart w:id="41" w:name="_GoBack"/>
      <w:r>
        <w:rPr>
          <w:rFonts w:hint="eastAsia" w:ascii="仿宋" w:hAnsi="仿宋" w:eastAsia="仿宋" w:cs="宋体"/>
          <w:b/>
          <w:color w:val="auto"/>
          <w:kern w:val="44"/>
          <w:sz w:val="28"/>
          <w:highlight w:val="none"/>
          <w:lang w:val="en-US" w:eastAsia="zh-CN" w:bidi="ar-SA"/>
        </w:rPr>
        <w:t>中国人民财产保险股份有限公司海南省分公司2025-2027年车险理赔事故车辆损余物资处置服务合作商采购项目（第二次）</w:t>
      </w:r>
      <w:bookmarkEnd w:id="41"/>
      <w:r>
        <w:rPr>
          <w:rFonts w:hint="eastAsia" w:ascii="仿宋" w:hAnsi="仿宋" w:eastAsia="仿宋" w:cs="宋体"/>
          <w:b/>
          <w:color w:val="auto"/>
          <w:kern w:val="44"/>
          <w:sz w:val="28"/>
          <w:highlight w:val="none"/>
          <w:lang w:val="en-US" w:eastAsia="zh-CN" w:bidi="ar-SA"/>
        </w:rPr>
        <w:t>招标公告</w:t>
      </w:r>
    </w:p>
    <w:p w14:paraId="51D2CE3D">
      <w:pPr>
        <w:keepNext/>
        <w:keepLines/>
        <w:widowControl w:val="0"/>
        <w:adjustRightInd w:val="0"/>
        <w:snapToGrid w:val="0"/>
        <w:spacing w:before="120" w:after="120" w:line="360" w:lineRule="auto"/>
        <w:jc w:val="left"/>
        <w:outlineLvl w:val="1"/>
        <w:rPr>
          <w:rFonts w:hint="eastAsia" w:ascii="仿宋" w:hAnsi="仿宋" w:eastAsia="仿宋" w:cs="宋体"/>
          <w:b/>
          <w:color w:val="auto"/>
          <w:kern w:val="2"/>
          <w:sz w:val="24"/>
          <w:szCs w:val="24"/>
          <w:highlight w:val="none"/>
          <w:lang w:val="en-US" w:eastAsia="zh-CN" w:bidi="ar-SA"/>
        </w:rPr>
      </w:pPr>
      <w:bookmarkStart w:id="0" w:name="_Toc24950"/>
      <w:bookmarkStart w:id="1" w:name="_Toc25200"/>
      <w:bookmarkStart w:id="2" w:name="_Toc10131"/>
      <w:bookmarkStart w:id="3" w:name="_Toc22330"/>
      <w:bookmarkStart w:id="4" w:name="_Toc23271"/>
      <w:bookmarkStart w:id="5" w:name="_Toc109124223"/>
      <w:bookmarkStart w:id="6" w:name="_Toc65682913"/>
      <w:r>
        <w:rPr>
          <w:rFonts w:hint="eastAsia" w:ascii="仿宋" w:hAnsi="仿宋" w:eastAsia="仿宋" w:cs="宋体"/>
          <w:b/>
          <w:color w:val="auto"/>
          <w:kern w:val="2"/>
          <w:sz w:val="24"/>
          <w:szCs w:val="24"/>
          <w:highlight w:val="none"/>
          <w:lang w:val="en-US" w:eastAsia="zh-CN" w:bidi="ar-SA"/>
        </w:rPr>
        <w:t>一、</w:t>
      </w:r>
      <w:bookmarkEnd w:id="0"/>
      <w:bookmarkEnd w:id="1"/>
      <w:bookmarkEnd w:id="2"/>
      <w:r>
        <w:rPr>
          <w:rFonts w:hint="eastAsia" w:ascii="仿宋" w:hAnsi="仿宋" w:eastAsia="仿宋" w:cs="宋体"/>
          <w:b/>
          <w:color w:val="auto"/>
          <w:kern w:val="2"/>
          <w:sz w:val="24"/>
          <w:szCs w:val="24"/>
          <w:highlight w:val="none"/>
          <w:lang w:val="en-US" w:eastAsia="zh-CN" w:bidi="ar-SA"/>
        </w:rPr>
        <w:t>招标条件</w:t>
      </w:r>
      <w:bookmarkEnd w:id="3"/>
      <w:bookmarkEnd w:id="4"/>
      <w:bookmarkEnd w:id="5"/>
      <w:bookmarkEnd w:id="6"/>
    </w:p>
    <w:p w14:paraId="4832DF04">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u w:val="single"/>
          <w:lang w:eastAsia="zh-CN"/>
        </w:rPr>
        <w:t>中国人民财产保险股份有限公司海南省分公司2025-2027年车险理赔事故车辆损余物资处置服务合作商采购项目（第二次）</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0"/>
          <w:highlight w:val="none"/>
          <w:lang w:eastAsia="zh-CN"/>
        </w:rPr>
        <w:t>招标代理编号</w:t>
      </w:r>
      <w:r>
        <w:rPr>
          <w:rFonts w:hint="eastAsia" w:ascii="仿宋" w:hAnsi="仿宋" w:eastAsia="仿宋" w:cs="宋体"/>
          <w:color w:val="auto"/>
          <w:sz w:val="24"/>
          <w:szCs w:val="24"/>
          <w:highlight w:val="none"/>
          <w:lang w:eastAsia="zh-CN"/>
        </w:rPr>
        <w:t>： 07-10-04A-2025-D-E07752C01</w:t>
      </w:r>
      <w:r>
        <w:rPr>
          <w:rFonts w:hint="eastAsia" w:ascii="仿宋" w:hAnsi="仿宋" w:eastAsia="仿宋" w:cs="宋体"/>
          <w:color w:val="auto"/>
          <w:sz w:val="24"/>
          <w:szCs w:val="24"/>
          <w:highlight w:val="none"/>
        </w:rPr>
        <w:t>）</w:t>
      </w:r>
      <w:bookmarkStart w:id="7" w:name="_Hlk69906010"/>
      <w:r>
        <w:rPr>
          <w:rFonts w:hint="eastAsia" w:ascii="仿宋" w:hAnsi="仿宋" w:eastAsia="仿宋" w:cs="宋体"/>
          <w:color w:val="auto"/>
          <w:sz w:val="24"/>
          <w:szCs w:val="24"/>
          <w:highlight w:val="none"/>
        </w:rPr>
        <w:t>由</w:t>
      </w:r>
      <w:r>
        <w:rPr>
          <w:rFonts w:hint="eastAsia" w:ascii="仿宋" w:hAnsi="仿宋" w:eastAsia="仿宋" w:cs="宋体"/>
          <w:color w:val="auto"/>
          <w:sz w:val="24"/>
          <w:szCs w:val="24"/>
          <w:highlight w:val="none"/>
          <w:u w:val="single"/>
          <w:lang w:eastAsia="zh-CN"/>
        </w:rPr>
        <w:t>中国人民财产保险股份有限公司海南省分公司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u w:val="single"/>
          <w:lang w:eastAsia="zh-CN"/>
        </w:rPr>
        <w:t>中国人民财产保险股份有限公司海南省分公司</w:t>
      </w:r>
      <w:r>
        <w:rPr>
          <w:rFonts w:hint="eastAsia" w:ascii="仿宋" w:hAnsi="仿宋" w:eastAsia="仿宋" w:cs="宋体"/>
          <w:color w:val="auto"/>
          <w:sz w:val="24"/>
          <w:szCs w:val="24"/>
          <w:highlight w:val="none"/>
        </w:rPr>
        <w:t>（以下简称“</w:t>
      </w:r>
      <w:r>
        <w:rPr>
          <w:rFonts w:hint="eastAsia" w:ascii="仿宋" w:hAnsi="仿宋" w:eastAsia="仿宋" w:cs="宋体"/>
          <w:color w:val="auto"/>
          <w:sz w:val="24"/>
          <w:szCs w:val="24"/>
          <w:highlight w:val="none"/>
          <w:lang w:eastAsia="zh-CN"/>
        </w:rPr>
        <w:t>人保财险海南分公司</w:t>
      </w:r>
      <w:r>
        <w:rPr>
          <w:rFonts w:hint="eastAsia" w:ascii="仿宋" w:hAnsi="仿宋" w:eastAsia="仿宋" w:cs="宋体"/>
          <w:color w:val="auto"/>
          <w:sz w:val="24"/>
          <w:szCs w:val="24"/>
          <w:highlight w:val="none"/>
        </w:rPr>
        <w:t>”）根据中标结果与中标人签署。</w:t>
      </w:r>
      <w:bookmarkEnd w:id="7"/>
      <w:r>
        <w:rPr>
          <w:rFonts w:hint="eastAsia" w:ascii="仿宋" w:hAnsi="仿宋" w:eastAsia="仿宋" w:cs="宋体"/>
          <w:color w:val="auto"/>
          <w:sz w:val="24"/>
          <w:szCs w:val="24"/>
          <w:highlight w:val="none"/>
        </w:rPr>
        <w:t>现委托</w:t>
      </w:r>
      <w:r>
        <w:rPr>
          <w:rFonts w:hint="eastAsia" w:ascii="仿宋" w:hAnsi="仿宋" w:eastAsia="仿宋" w:cs="宋体"/>
          <w:color w:val="auto"/>
          <w:sz w:val="24"/>
          <w:szCs w:val="24"/>
          <w:highlight w:val="none"/>
          <w:u w:val="single"/>
        </w:rPr>
        <w:t xml:space="preserve"> 公诚管理咨询有限公司 </w:t>
      </w:r>
      <w:r>
        <w:rPr>
          <w:rFonts w:hint="eastAsia" w:ascii="仿宋" w:hAnsi="仿宋" w:eastAsia="仿宋" w:cs="宋体"/>
          <w:color w:val="auto"/>
          <w:sz w:val="24"/>
          <w:szCs w:val="24"/>
          <w:highlight w:val="none"/>
        </w:rPr>
        <w:t>（以下简称“招标代理机构”）进行公开招标，有意向且具有提供标的物能力的潜在投标人（以下简称“投标人”）可前来投标。</w:t>
      </w:r>
    </w:p>
    <w:p w14:paraId="6E179C22">
      <w:pPr>
        <w:keepNext/>
        <w:keepLines/>
        <w:widowControl w:val="0"/>
        <w:adjustRightInd w:val="0"/>
        <w:snapToGrid w:val="0"/>
        <w:spacing w:before="120" w:after="120" w:line="360" w:lineRule="auto"/>
        <w:jc w:val="left"/>
        <w:outlineLvl w:val="1"/>
        <w:rPr>
          <w:rFonts w:hint="eastAsia" w:ascii="仿宋" w:hAnsi="仿宋" w:eastAsia="仿宋" w:cs="宋体"/>
          <w:b/>
          <w:color w:val="auto"/>
          <w:kern w:val="2"/>
          <w:sz w:val="24"/>
          <w:szCs w:val="24"/>
          <w:highlight w:val="none"/>
          <w:lang w:val="en-US" w:eastAsia="zh-CN" w:bidi="ar-SA"/>
        </w:rPr>
      </w:pPr>
      <w:bookmarkStart w:id="8" w:name="_Toc109124224"/>
      <w:bookmarkStart w:id="9" w:name="_Toc65682914"/>
      <w:bookmarkStart w:id="10" w:name="_Toc2599"/>
      <w:bookmarkStart w:id="11" w:name="_Toc18478"/>
      <w:r>
        <w:rPr>
          <w:rFonts w:hint="eastAsia" w:ascii="仿宋" w:hAnsi="仿宋" w:eastAsia="仿宋" w:cs="宋体"/>
          <w:b/>
          <w:color w:val="auto"/>
          <w:kern w:val="2"/>
          <w:sz w:val="24"/>
          <w:szCs w:val="24"/>
          <w:highlight w:val="none"/>
          <w:lang w:val="en-US" w:eastAsia="zh-CN" w:bidi="ar-SA"/>
        </w:rPr>
        <w:t>二、项目概况与招标范围</w:t>
      </w:r>
      <w:bookmarkEnd w:id="8"/>
      <w:bookmarkEnd w:id="9"/>
      <w:bookmarkEnd w:id="10"/>
      <w:bookmarkEnd w:id="11"/>
    </w:p>
    <w:p w14:paraId="67FD8F7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2.1项目名称：</w:t>
      </w:r>
      <w:r>
        <w:rPr>
          <w:rFonts w:hint="eastAsia" w:ascii="仿宋" w:hAnsi="仿宋" w:eastAsia="仿宋" w:cs="宋体"/>
          <w:color w:val="auto"/>
          <w:sz w:val="24"/>
          <w:szCs w:val="24"/>
          <w:highlight w:val="none"/>
          <w:u w:val="single"/>
          <w:lang w:eastAsia="zh-CN"/>
        </w:rPr>
        <w:t>中国人民财产保险股份有限公司海南省分公司2025-2027年车险理赔事故车辆损余物资处置服务合作商采购项目（第二次）</w:t>
      </w:r>
      <w:r>
        <w:rPr>
          <w:rFonts w:hint="eastAsia" w:ascii="仿宋" w:hAnsi="仿宋" w:eastAsia="仿宋" w:cs="宋体"/>
          <w:color w:val="auto"/>
          <w:sz w:val="24"/>
          <w:szCs w:val="24"/>
          <w:highlight w:val="none"/>
        </w:rPr>
        <w:t>。</w:t>
      </w:r>
    </w:p>
    <w:p w14:paraId="0DEA38F0">
      <w:pPr>
        <w:spacing w:line="360" w:lineRule="auto"/>
        <w:ind w:firstLine="480" w:firstLineChars="200"/>
        <w:textAlignment w:val="baseline"/>
        <w:rPr>
          <w:rFonts w:hint="eastAsia"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w:t>
      </w:r>
      <w:r>
        <w:rPr>
          <w:rFonts w:hint="eastAsia" w:ascii="仿宋" w:hAnsi="仿宋" w:eastAsia="仿宋" w:cs="宋体"/>
          <w:color w:val="auto"/>
          <w:sz w:val="24"/>
          <w:szCs w:val="24"/>
          <w:highlight w:val="none"/>
          <w:lang w:eastAsia="zh-CN"/>
        </w:rPr>
        <w:t>中国人民财产保险股份有限公司海南省分公司202</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lang w:eastAsia="zh-CN"/>
        </w:rPr>
        <w:t>-202</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lang w:eastAsia="zh-CN"/>
        </w:rPr>
        <w:t>年车险理赔事故车辆损余物资处置服务合作商采购</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拟</w:t>
      </w:r>
      <w:r>
        <w:rPr>
          <w:rFonts w:hint="eastAsia" w:ascii="仿宋" w:hAnsi="仿宋" w:eastAsia="仿宋" w:cs="宋体"/>
          <w:color w:val="auto"/>
          <w:sz w:val="24"/>
          <w:szCs w:val="24"/>
          <w:highlight w:val="none"/>
        </w:rPr>
        <w:t>引进1家合作处置服务合作商参与海南省分公司理赔损余物资处理工作</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具体内容及要求见招标文件第五章技术规范书</w:t>
      </w:r>
      <w:r>
        <w:rPr>
          <w:rFonts w:hint="eastAsia" w:ascii="仿宋" w:hAnsi="仿宋" w:eastAsia="仿宋" w:cs="宋体"/>
          <w:color w:val="auto"/>
          <w:kern w:val="0"/>
          <w:sz w:val="24"/>
          <w:szCs w:val="24"/>
          <w:highlight w:val="none"/>
          <w:lang w:bidi="ar"/>
        </w:rPr>
        <w:t>。</w:t>
      </w:r>
    </w:p>
    <w:p w14:paraId="0D6E2D95">
      <w:pPr>
        <w:spacing w:line="360" w:lineRule="auto"/>
        <w:ind w:firstLine="480" w:firstLineChars="200"/>
        <w:textAlignment w:val="baseline"/>
        <w:rPr>
          <w:rFonts w:hint="eastAsia" w:ascii="仿宋" w:hAnsi="仿宋" w:eastAsia="仿宋" w:cs="宋体"/>
          <w:color w:val="auto"/>
          <w:sz w:val="24"/>
          <w:szCs w:val="24"/>
          <w:highlight w:val="none"/>
        </w:rPr>
      </w:pPr>
      <w:bookmarkStart w:id="12" w:name="_Hlk69456893"/>
      <w:r>
        <w:rPr>
          <w:rFonts w:hint="eastAsia" w:ascii="仿宋" w:hAnsi="仿宋" w:eastAsia="仿宋" w:cs="宋体"/>
          <w:color w:val="auto"/>
          <w:sz w:val="24"/>
          <w:szCs w:val="24"/>
          <w:highlight w:val="none"/>
        </w:rPr>
        <w:t>2.3项目性质：服务。</w:t>
      </w:r>
    </w:p>
    <w:p w14:paraId="4C8CF305">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2.4标包划分：本项目不划分标包：</w:t>
      </w:r>
    </w:p>
    <w:p w14:paraId="76D6A4DE">
      <w:pPr>
        <w:spacing w:line="360" w:lineRule="auto"/>
        <w:ind w:firstLine="480" w:firstLineChars="200"/>
        <w:textAlignment w:val="baseline"/>
        <w:rPr>
          <w:rFonts w:hint="eastAsia" w:ascii="仿宋" w:hAnsi="仿宋" w:eastAsia="仿宋" w:cs="宋体"/>
          <w:color w:val="auto"/>
          <w:sz w:val="24"/>
          <w:szCs w:val="24"/>
          <w:highlight w:val="none"/>
        </w:rPr>
      </w:pPr>
      <w:bookmarkStart w:id="13" w:name="_Toc17299"/>
      <w:bookmarkStart w:id="14" w:name="_Toc65682915"/>
      <w:r>
        <w:rPr>
          <w:rFonts w:hint="eastAsia" w:ascii="仿宋" w:hAnsi="仿宋" w:eastAsia="仿宋" w:cs="宋体"/>
          <w:color w:val="auto"/>
          <w:sz w:val="24"/>
          <w:szCs w:val="24"/>
          <w:highlight w:val="none"/>
        </w:rPr>
        <w:t>2.5服务期限：自合同签订之日起</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eastAsia="zh-CN"/>
        </w:rPr>
        <w:t>，对于服务规范、技术实力强、经营单位服务评</w:t>
      </w:r>
      <w:bookmarkStart w:id="15" w:name="_Hlt90891656"/>
      <w:bookmarkEnd w:id="15"/>
      <w:r>
        <w:rPr>
          <w:rFonts w:hint="eastAsia" w:ascii="仿宋" w:hAnsi="仿宋" w:eastAsia="仿宋" w:cs="宋体"/>
          <w:color w:val="auto"/>
          <w:sz w:val="24"/>
          <w:szCs w:val="24"/>
          <w:highlight w:val="none"/>
          <w:lang w:eastAsia="zh-CN"/>
        </w:rPr>
        <w:t>价合格的服务机构，在协议期限截止之前，若双方无异议，协议服务期可自动顺延1年</w:t>
      </w:r>
      <w:r>
        <w:rPr>
          <w:rFonts w:hint="eastAsia" w:ascii="仿宋" w:hAnsi="仿宋" w:eastAsia="仿宋" w:cs="宋体"/>
          <w:color w:val="auto"/>
          <w:sz w:val="24"/>
          <w:szCs w:val="24"/>
          <w:highlight w:val="none"/>
        </w:rPr>
        <w:t>。</w:t>
      </w:r>
    </w:p>
    <w:p w14:paraId="3F0F0056">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2.6服务地点：海南省</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招标人指定地点</w:t>
      </w:r>
      <w:r>
        <w:rPr>
          <w:rFonts w:hint="eastAsia" w:ascii="仿宋" w:hAnsi="仿宋" w:eastAsia="仿宋" w:cs="宋体"/>
          <w:color w:val="auto"/>
          <w:sz w:val="24"/>
          <w:szCs w:val="24"/>
          <w:highlight w:val="none"/>
          <w:lang w:eastAsia="zh-CN"/>
        </w:rPr>
        <w:t>）</w:t>
      </w:r>
    </w:p>
    <w:p w14:paraId="621E0B4B">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2.7</w:t>
      </w:r>
      <w:r>
        <w:rPr>
          <w:rFonts w:hint="eastAsia" w:ascii="仿宋" w:hAnsi="仿宋" w:eastAsia="仿宋" w:cs="宋体"/>
          <w:color w:val="auto"/>
          <w:sz w:val="24"/>
          <w:szCs w:val="24"/>
          <w:highlight w:val="none"/>
        </w:rPr>
        <w:t>项目预算:无固定金额。预期每月车险理赔损余汽车零配件处置收入不低于人民币</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万元/月。本项目实际任务量以招标人实际需求为准，招标人对中标人后期任务量不作出任何承诺，所有本项目的投标及服务成本风险由中标人自行承担。</w:t>
      </w:r>
      <w:bookmarkEnd w:id="12"/>
    </w:p>
    <w:p w14:paraId="01707B9F">
      <w:pPr>
        <w:keepNext/>
        <w:keepLines/>
        <w:widowControl w:val="0"/>
        <w:adjustRightInd w:val="0"/>
        <w:snapToGrid w:val="0"/>
        <w:spacing w:before="120" w:after="120" w:line="360" w:lineRule="auto"/>
        <w:jc w:val="left"/>
        <w:outlineLvl w:val="1"/>
        <w:rPr>
          <w:rFonts w:ascii="仿宋" w:hAnsi="仿宋" w:eastAsia="仿宋" w:cs="宋体"/>
          <w:b/>
          <w:color w:val="auto"/>
          <w:kern w:val="2"/>
          <w:sz w:val="24"/>
          <w:szCs w:val="24"/>
          <w:highlight w:val="none"/>
          <w:lang w:val="en-US" w:eastAsia="zh-CN" w:bidi="ar-SA"/>
        </w:rPr>
      </w:pPr>
      <w:bookmarkStart w:id="16" w:name="_Toc109124225"/>
      <w:bookmarkStart w:id="17" w:name="_Toc14432"/>
      <w:r>
        <w:rPr>
          <w:rFonts w:hint="eastAsia" w:ascii="仿宋" w:hAnsi="仿宋" w:eastAsia="仿宋" w:cs="宋体"/>
          <w:b/>
          <w:color w:val="auto"/>
          <w:kern w:val="2"/>
          <w:sz w:val="24"/>
          <w:szCs w:val="24"/>
          <w:highlight w:val="none"/>
          <w:lang w:val="en-US" w:eastAsia="zh-CN" w:bidi="ar-SA"/>
        </w:rPr>
        <w:t>三、投标人资格要求</w:t>
      </w:r>
      <w:bookmarkEnd w:id="13"/>
      <w:bookmarkEnd w:id="14"/>
      <w:bookmarkEnd w:id="16"/>
      <w:bookmarkEnd w:id="17"/>
    </w:p>
    <w:p w14:paraId="704FC2B5">
      <w:pPr>
        <w:widowControl w:val="0"/>
        <w:spacing w:after="120" w:line="312" w:lineRule="auto"/>
        <w:ind w:firstLine="480" w:firstLineChars="200"/>
        <w:jc w:val="both"/>
        <w:rPr>
          <w:rFonts w:hint="eastAsia" w:ascii="宋体" w:hAnsi="宋体" w:eastAsia="宋体" w:cs="Calibri"/>
          <w:color w:val="auto"/>
          <w:kern w:val="2"/>
          <w:sz w:val="21"/>
          <w:szCs w:val="21"/>
          <w:highlight w:val="none"/>
          <w:lang w:val="en-US" w:eastAsia="zh-CN" w:bidi="ar-SA"/>
        </w:rPr>
      </w:pPr>
      <w:r>
        <w:rPr>
          <w:rFonts w:hint="eastAsia" w:ascii="仿宋" w:hAnsi="仿宋" w:eastAsia="仿宋" w:cs="宋体"/>
          <w:color w:val="auto"/>
          <w:kern w:val="2"/>
          <w:sz w:val="24"/>
          <w:szCs w:val="24"/>
          <w:highlight w:val="none"/>
          <w:lang w:val="en-US" w:eastAsia="zh-CN" w:bidi="ar-SA"/>
        </w:rPr>
        <w:t>3.1</w:t>
      </w:r>
      <w:r>
        <w:rPr>
          <w:rFonts w:hint="eastAsia" w:ascii="仿宋" w:hAnsi="仿宋" w:eastAsia="仿宋" w:cs="Monaco"/>
          <w:b/>
          <w:bCs/>
          <w:color w:val="auto"/>
          <w:kern w:val="2"/>
          <w:sz w:val="24"/>
          <w:szCs w:val="24"/>
          <w:highlight w:val="none"/>
          <w:lang w:val="en-US" w:eastAsia="zh-CN" w:bidi="ar-SA"/>
        </w:rPr>
        <w:t>在中华人民共和国境内依法登记的法人或其他组织，</w:t>
      </w:r>
      <w:r>
        <w:rPr>
          <w:rFonts w:hint="eastAsia" w:ascii="仿宋" w:hAnsi="仿宋" w:eastAsia="仿宋" w:cs="Monaco"/>
          <w:b/>
          <w:color w:val="auto"/>
          <w:kern w:val="2"/>
          <w:sz w:val="24"/>
          <w:szCs w:val="24"/>
          <w:highlight w:val="none"/>
          <w:lang w:val="en-US" w:eastAsia="zh-CN" w:bidi="ar-SA"/>
        </w:rPr>
        <w:t>具有独立承担民事责任的能力</w:t>
      </w:r>
      <w:r>
        <w:rPr>
          <w:rFonts w:hint="eastAsia" w:ascii="仿宋" w:hAnsi="仿宋" w:eastAsia="仿宋" w:cs="Monaco"/>
          <w:color w:val="auto"/>
          <w:kern w:val="2"/>
          <w:sz w:val="24"/>
          <w:szCs w:val="24"/>
          <w:highlight w:val="none"/>
          <w:lang w:val="en-US" w:eastAsia="zh-CN" w:bidi="ar-SA"/>
        </w:rPr>
        <w:t>，投标人如为企业法人，须提供企业法人营业执照</w:t>
      </w:r>
      <w:r>
        <w:rPr>
          <w:rFonts w:hint="eastAsia" w:ascii="仿宋" w:hAnsi="仿宋" w:eastAsia="仿宋" w:cs="Monaco"/>
          <w:color w:val="auto"/>
          <w:kern w:val="2"/>
          <w:sz w:val="24"/>
          <w:highlight w:val="none"/>
          <w:lang w:val="en-US" w:eastAsia="zh-CN" w:bidi="ar-SA"/>
        </w:rPr>
        <w:t>（复印件）</w:t>
      </w:r>
      <w:r>
        <w:rPr>
          <w:rFonts w:hint="eastAsia" w:ascii="仿宋" w:hAnsi="仿宋" w:eastAsia="仿宋" w:cs="Monaco"/>
          <w:color w:val="auto"/>
          <w:kern w:val="2"/>
          <w:sz w:val="24"/>
          <w:szCs w:val="24"/>
          <w:highlight w:val="none"/>
          <w:lang w:val="en-US" w:eastAsia="zh-CN" w:bidi="ar-SA"/>
        </w:rPr>
        <w:t>；投标人如为事业单位或其他组织，须提供事业单位法人证书或登记证或组织机构代码证或其他有效证明文件（复印件）。</w:t>
      </w:r>
    </w:p>
    <w:p w14:paraId="25C75C41">
      <w:pPr>
        <w:spacing w:line="360" w:lineRule="auto"/>
        <w:ind w:firstLine="480" w:firstLineChars="200"/>
        <w:textAlignment w:val="baseline"/>
        <w:rPr>
          <w:rFonts w:hint="eastAsia" w:ascii="Calibri" w:hAnsi="Calibri" w:eastAsia="宋体" w:cs="Calibri"/>
          <w:color w:val="auto"/>
          <w:szCs w:val="20"/>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2</w:t>
      </w:r>
      <w:r>
        <w:rPr>
          <w:rFonts w:hint="eastAsia" w:ascii="仿宋" w:hAnsi="仿宋" w:eastAsia="仿宋" w:cs="宋体"/>
          <w:b/>
          <w:color w:val="auto"/>
          <w:sz w:val="24"/>
          <w:szCs w:val="24"/>
          <w:highlight w:val="none"/>
        </w:rPr>
        <w:t>具有良好的商业信誉和健全的财务会计制度</w:t>
      </w:r>
      <w:r>
        <w:rPr>
          <w:rFonts w:hint="eastAsia" w:ascii="仿宋" w:hAnsi="仿宋" w:eastAsia="仿宋" w:cs="宋体"/>
          <w:color w:val="auto"/>
          <w:sz w:val="24"/>
          <w:szCs w:val="24"/>
          <w:highlight w:val="none"/>
        </w:rPr>
        <w:t>，需提供20</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年度经会计师事务所或审计机构审计的财务审计报告及财务报表（至少包含会计师事务所或审计机构签章页、资产负债表、现金流量表、损益表/利润表）</w:t>
      </w:r>
      <w:r>
        <w:rPr>
          <w:rFonts w:hint="eastAsia" w:ascii="仿宋" w:hAnsi="仿宋" w:eastAsia="仿宋" w:cs="宋体"/>
          <w:color w:val="auto"/>
          <w:sz w:val="24"/>
          <w:szCs w:val="24"/>
          <w:highlight w:val="none"/>
          <w:lang w:val="en-US" w:eastAsia="zh-CN"/>
        </w:rPr>
        <w:t>或2024年6月至今任意一个季度的财务报表（需相关负责人签字）</w:t>
      </w:r>
      <w:r>
        <w:rPr>
          <w:rFonts w:hint="eastAsia" w:ascii="仿宋" w:hAnsi="仿宋" w:eastAsia="仿宋" w:cs="宋体"/>
          <w:color w:val="auto"/>
          <w:sz w:val="24"/>
          <w:szCs w:val="24"/>
          <w:highlight w:val="none"/>
        </w:rPr>
        <w:t>或开标日前</w:t>
      </w:r>
      <w:r>
        <w:rPr>
          <w:rFonts w:ascii="仿宋" w:hAnsi="仿宋" w:eastAsia="仿宋" w:cs="宋体"/>
          <w:color w:val="auto"/>
          <w:sz w:val="24"/>
          <w:szCs w:val="24"/>
          <w:highlight w:val="none"/>
        </w:rPr>
        <w:t>6</w:t>
      </w:r>
      <w:r>
        <w:rPr>
          <w:rFonts w:hint="eastAsia" w:ascii="仿宋" w:hAnsi="仿宋" w:eastAsia="仿宋" w:cs="宋体"/>
          <w:color w:val="auto"/>
          <w:sz w:val="24"/>
          <w:szCs w:val="24"/>
          <w:highlight w:val="none"/>
        </w:rPr>
        <w:t>个月内开具的银行资信证明。</w:t>
      </w:r>
    </w:p>
    <w:p w14:paraId="2257B4CB">
      <w:pPr>
        <w:spacing w:line="360" w:lineRule="auto"/>
        <w:ind w:firstLine="480" w:firstLineChars="200"/>
        <w:textAlignment w:val="baseline"/>
        <w:rPr>
          <w:rFonts w:hint="eastAsia" w:ascii="Calibri" w:hAnsi="Calibri" w:eastAsia="宋体" w:cs="Calibri"/>
          <w:color w:val="auto"/>
          <w:szCs w:val="20"/>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 xml:space="preserve">3 </w:t>
      </w:r>
      <w:r>
        <w:rPr>
          <w:rFonts w:hint="eastAsia" w:ascii="仿宋" w:hAnsi="仿宋" w:eastAsia="仿宋" w:cs="宋体"/>
          <w:b/>
          <w:color w:val="auto"/>
          <w:sz w:val="24"/>
          <w:szCs w:val="24"/>
          <w:highlight w:val="none"/>
        </w:rPr>
        <w:t>具有履行合同所必需的设备和专业技术能力</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提供承诺书</w:t>
      </w:r>
      <w:r>
        <w:rPr>
          <w:rFonts w:hint="eastAsia" w:ascii="仿宋" w:hAnsi="仿宋" w:eastAsia="仿宋" w:cs="仿宋"/>
          <w:b w:val="0"/>
          <w:bCs w:val="0"/>
          <w:color w:val="auto"/>
          <w:sz w:val="24"/>
          <w:szCs w:val="24"/>
          <w:highlight w:val="none"/>
        </w:rPr>
        <w:t>）</w:t>
      </w:r>
      <w:r>
        <w:rPr>
          <w:rFonts w:hint="eastAsia" w:ascii="仿宋" w:hAnsi="仿宋" w:eastAsia="仿宋" w:cs="宋体"/>
          <w:color w:val="auto"/>
          <w:sz w:val="24"/>
          <w:szCs w:val="20"/>
          <w:highlight w:val="none"/>
        </w:rPr>
        <w:t>。</w:t>
      </w:r>
    </w:p>
    <w:p w14:paraId="63064AE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3.4</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b/>
          <w:color w:val="auto"/>
          <w:sz w:val="24"/>
          <w:szCs w:val="24"/>
          <w:highlight w:val="none"/>
        </w:rPr>
        <w:t>具有依法缴纳税收的良好记录</w:t>
      </w:r>
      <w:r>
        <w:rPr>
          <w:rFonts w:hint="eastAsia" w:ascii="仿宋" w:hAnsi="仿宋" w:eastAsia="仿宋" w:cs="仿宋"/>
          <w:b w:val="0"/>
          <w:bCs w:val="0"/>
          <w:color w:val="auto"/>
          <w:sz w:val="24"/>
          <w:szCs w:val="24"/>
          <w:highlight w:val="none"/>
          <w:lang w:val="en-US" w:eastAsia="zh-CN"/>
        </w:rPr>
        <w:t>，需提供2024年6月至今任意连续3个月的企业纳税证明复印件加盖公章，以银行付款凭证或完税证明为准，如依法免税的，提供相应证明材料</w:t>
      </w:r>
      <w:r>
        <w:rPr>
          <w:rFonts w:hint="eastAsia" w:ascii="仿宋" w:hAnsi="仿宋" w:eastAsia="仿宋" w:cs="宋体"/>
          <w:color w:val="auto"/>
          <w:sz w:val="24"/>
          <w:szCs w:val="24"/>
          <w:highlight w:val="none"/>
        </w:rPr>
        <w:t>。</w:t>
      </w:r>
    </w:p>
    <w:p w14:paraId="1450136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3.5</w:t>
      </w:r>
      <w:r>
        <w:rPr>
          <w:rFonts w:hint="eastAsia" w:ascii="仿宋" w:hAnsi="仿宋" w:eastAsia="仿宋" w:cs="宋体"/>
          <w:b/>
          <w:bCs/>
          <w:color w:val="auto"/>
          <w:sz w:val="24"/>
          <w:szCs w:val="24"/>
          <w:highlight w:val="none"/>
        </w:rPr>
        <w:t>具有依法缴纳社会保障资金的良好记录</w:t>
      </w:r>
      <w:r>
        <w:rPr>
          <w:rFonts w:hint="eastAsia" w:ascii="仿宋" w:hAnsi="仿宋" w:eastAsia="仿宋" w:cs="宋体"/>
          <w:b/>
          <w:bCs/>
          <w:color w:val="auto"/>
          <w:sz w:val="24"/>
          <w:szCs w:val="24"/>
          <w:highlight w:val="none"/>
          <w:lang w:eastAsia="zh-CN"/>
        </w:rPr>
        <w:t>，</w:t>
      </w:r>
      <w:r>
        <w:rPr>
          <w:rFonts w:hint="eastAsia" w:ascii="仿宋" w:hAnsi="仿宋" w:eastAsia="仿宋" w:cs="宋体"/>
          <w:color w:val="auto"/>
          <w:sz w:val="24"/>
          <w:szCs w:val="24"/>
          <w:highlight w:val="none"/>
        </w:rPr>
        <w:t>需</w:t>
      </w:r>
      <w:r>
        <w:rPr>
          <w:rFonts w:hint="eastAsia" w:ascii="仿宋" w:hAnsi="仿宋" w:eastAsia="仿宋" w:cs="宋体"/>
          <w:color w:val="auto"/>
          <w:sz w:val="24"/>
          <w:szCs w:val="24"/>
          <w:highlight w:val="none"/>
          <w:lang w:eastAsia="zh-CN"/>
        </w:rPr>
        <w:t>提供2024年</w:t>
      </w:r>
      <w:r>
        <w:rPr>
          <w:rFonts w:hint="eastAsia" w:ascii="仿宋" w:hAnsi="仿宋" w:eastAsia="仿宋" w:cs="宋体"/>
          <w:color w:val="auto"/>
          <w:sz w:val="24"/>
          <w:szCs w:val="24"/>
          <w:highlight w:val="none"/>
          <w:lang w:val="en-US" w:eastAsia="zh-CN"/>
        </w:rPr>
        <w:t>6月</w:t>
      </w:r>
      <w:r>
        <w:rPr>
          <w:rFonts w:hint="eastAsia" w:ascii="仿宋" w:hAnsi="仿宋" w:eastAsia="仿宋" w:cs="宋体"/>
          <w:color w:val="auto"/>
          <w:sz w:val="24"/>
          <w:szCs w:val="24"/>
          <w:highlight w:val="none"/>
          <w:lang w:eastAsia="zh-CN"/>
        </w:rPr>
        <w:t>至今任意连续3个月的社会保障缴费记录复印件加盖公章，以银行付款凭证或完税证明为准。</w:t>
      </w:r>
    </w:p>
    <w:p w14:paraId="6F3C0E76">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6</w:t>
      </w:r>
      <w:r>
        <w:rPr>
          <w:rFonts w:hint="eastAsia" w:ascii="仿宋" w:hAnsi="仿宋" w:eastAsia="仿宋" w:cs="Monaco"/>
          <w:b/>
          <w:color w:val="auto"/>
          <w:sz w:val="24"/>
          <w:szCs w:val="24"/>
          <w:highlight w:val="none"/>
        </w:rPr>
        <w:t>投标人应经营状况良好，且近三年内（20</w:t>
      </w:r>
      <w:r>
        <w:rPr>
          <w:rFonts w:hint="eastAsia" w:ascii="仿宋" w:hAnsi="仿宋" w:eastAsia="仿宋" w:cs="Monaco"/>
          <w:b/>
          <w:color w:val="auto"/>
          <w:sz w:val="24"/>
          <w:szCs w:val="24"/>
          <w:highlight w:val="none"/>
          <w:lang w:val="en-US" w:eastAsia="zh-CN"/>
        </w:rPr>
        <w:t>22</w:t>
      </w:r>
      <w:r>
        <w:rPr>
          <w:rFonts w:hint="eastAsia" w:ascii="仿宋" w:hAnsi="仿宋" w:eastAsia="仿宋" w:cs="Monaco"/>
          <w:b/>
          <w:color w:val="auto"/>
          <w:sz w:val="24"/>
          <w:szCs w:val="24"/>
          <w:highlight w:val="none"/>
        </w:rPr>
        <w:t>年1月1日至今）无违法违规记录。</w:t>
      </w:r>
      <w:r>
        <w:rPr>
          <w:rFonts w:hint="eastAsia" w:ascii="仿宋" w:hAnsi="仿宋" w:eastAsia="仿宋" w:cs="Monaco"/>
          <w:color w:val="auto"/>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p>
    <w:p w14:paraId="58C6B2E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Monaco"/>
          <w:color w:val="auto"/>
          <w:sz w:val="24"/>
          <w:szCs w:val="24"/>
          <w:highlight w:val="none"/>
        </w:rPr>
        <w:t>信用中国查询网址：https://www.creditchina.gov.cn/xinyongfuwu/?navPage=5</w:t>
      </w:r>
    </w:p>
    <w:p w14:paraId="2B12252D">
      <w:pPr>
        <w:spacing w:line="360" w:lineRule="auto"/>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7</w:t>
      </w:r>
      <w:r>
        <w:rPr>
          <w:rFonts w:ascii="仿宋" w:hAnsi="仿宋" w:eastAsia="仿宋" w:cs="宋体"/>
          <w:color w:val="auto"/>
          <w:sz w:val="24"/>
          <w:szCs w:val="24"/>
          <w:highlight w:val="none"/>
        </w:rPr>
        <w:t xml:space="preserve"> </w:t>
      </w:r>
      <w:r>
        <w:rPr>
          <w:rFonts w:hint="eastAsia" w:ascii="仿宋" w:hAnsi="仿宋" w:eastAsia="仿宋" w:cs="宋体"/>
          <w:b/>
          <w:color w:val="auto"/>
          <w:sz w:val="24"/>
          <w:szCs w:val="24"/>
          <w:highlight w:val="none"/>
        </w:rPr>
        <w:t>严禁列入招标人及其所隶属的中国人民保险各级机构的供应商黑名单且在禁入期内的供应商参与采购活动。</w:t>
      </w:r>
    </w:p>
    <w:p w14:paraId="21288E2D">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auto"/>
          <w:sz w:val="24"/>
          <w:szCs w:val="24"/>
          <w:highlight w:val="none"/>
        </w:rPr>
        <w:t>需填写《投标人控股及管理关系情况申报表》。</w:t>
      </w:r>
    </w:p>
    <w:p w14:paraId="36051AB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9</w:t>
      </w:r>
      <w:r>
        <w:rPr>
          <w:rFonts w:ascii="仿宋" w:hAnsi="仿宋" w:eastAsia="仿宋" w:cs="宋体"/>
          <w:color w:val="auto"/>
          <w:sz w:val="24"/>
          <w:szCs w:val="24"/>
          <w:highlight w:val="none"/>
        </w:rPr>
        <w:t xml:space="preserve"> </w:t>
      </w:r>
      <w:r>
        <w:rPr>
          <w:rFonts w:hint="eastAsia" w:ascii="仿宋" w:hAnsi="仿宋" w:eastAsia="仿宋" w:cs="宋体"/>
          <w:color w:val="auto"/>
          <w:sz w:val="24"/>
          <w:szCs w:val="24"/>
          <w:highlight w:val="none"/>
        </w:rPr>
        <w:t>本项目不接受联合体投标</w:t>
      </w:r>
    </w:p>
    <w:p w14:paraId="56D6E1B0">
      <w:pPr>
        <w:keepNext/>
        <w:keepLines/>
        <w:widowControl w:val="0"/>
        <w:adjustRightInd w:val="0"/>
        <w:snapToGrid w:val="0"/>
        <w:spacing w:before="120" w:after="120" w:line="360" w:lineRule="auto"/>
        <w:jc w:val="left"/>
        <w:outlineLvl w:val="1"/>
        <w:rPr>
          <w:rFonts w:hint="eastAsia" w:ascii="仿宋" w:hAnsi="仿宋" w:eastAsia="仿宋" w:cs="宋体"/>
          <w:b/>
          <w:color w:val="auto"/>
          <w:kern w:val="2"/>
          <w:sz w:val="24"/>
          <w:highlight w:val="none"/>
          <w:lang w:val="en-US" w:eastAsia="zh-CN" w:bidi="ar-SA"/>
        </w:rPr>
      </w:pPr>
      <w:bookmarkStart w:id="18" w:name="_Toc21224"/>
      <w:bookmarkStart w:id="19" w:name="_Toc109124226"/>
      <w:bookmarkStart w:id="20" w:name="_Toc65682916"/>
      <w:bookmarkStart w:id="21" w:name="_Toc26024"/>
      <w:r>
        <w:rPr>
          <w:rFonts w:hint="eastAsia" w:ascii="仿宋" w:hAnsi="仿宋" w:eastAsia="仿宋" w:cs="宋体"/>
          <w:b/>
          <w:color w:val="auto"/>
          <w:kern w:val="2"/>
          <w:sz w:val="24"/>
          <w:highlight w:val="none"/>
          <w:lang w:val="en-US" w:eastAsia="zh-CN" w:bidi="ar-SA"/>
        </w:rPr>
        <w:t>四、资格审查方法</w:t>
      </w:r>
      <w:bookmarkEnd w:id="18"/>
      <w:bookmarkEnd w:id="19"/>
      <w:bookmarkEnd w:id="20"/>
      <w:bookmarkEnd w:id="21"/>
    </w:p>
    <w:p w14:paraId="7BABA308">
      <w:pPr>
        <w:spacing w:line="360" w:lineRule="auto"/>
        <w:ind w:firstLine="480" w:firstLineChars="200"/>
        <w:textAlignment w:val="baseline"/>
        <w:rPr>
          <w:rFonts w:hint="eastAsia" w:ascii="仿宋" w:hAnsi="仿宋" w:eastAsia="仿宋" w:cs="宋体"/>
          <w:color w:val="auto"/>
          <w:sz w:val="24"/>
          <w:szCs w:val="24"/>
          <w:highlight w:val="none"/>
        </w:rPr>
      </w:pPr>
      <w:bookmarkStart w:id="22" w:name="_Toc65682917"/>
      <w:bookmarkStart w:id="23" w:name="_Toc32460"/>
      <w:r>
        <w:rPr>
          <w:rFonts w:hint="eastAsia" w:ascii="仿宋" w:hAnsi="仿宋" w:eastAsia="仿宋" w:cs="宋体"/>
          <w:color w:val="auto"/>
          <w:sz w:val="24"/>
          <w:szCs w:val="24"/>
          <w:highlight w:val="none"/>
        </w:rPr>
        <w:t>本项目将进行资格后审，资格审查方法为合格制，资格审查标准和内容见招标文件第三章“评标办法”。未通过资格后审的投标人，投标将被否决。</w:t>
      </w:r>
    </w:p>
    <w:p w14:paraId="325CD147">
      <w:pPr>
        <w:keepNext/>
        <w:keepLines/>
        <w:widowControl w:val="0"/>
        <w:adjustRightInd w:val="0"/>
        <w:snapToGrid w:val="0"/>
        <w:spacing w:before="120" w:after="120" w:line="360" w:lineRule="auto"/>
        <w:jc w:val="left"/>
        <w:outlineLvl w:val="1"/>
        <w:rPr>
          <w:rFonts w:hint="eastAsia" w:ascii="仿宋" w:hAnsi="仿宋" w:eastAsia="仿宋" w:cs="宋体"/>
          <w:b/>
          <w:color w:val="auto"/>
          <w:kern w:val="2"/>
          <w:sz w:val="24"/>
          <w:szCs w:val="24"/>
          <w:highlight w:val="none"/>
          <w:lang w:val="en-US" w:eastAsia="zh-CN" w:bidi="ar-SA"/>
        </w:rPr>
      </w:pPr>
      <w:bookmarkStart w:id="24" w:name="_Toc109124227"/>
      <w:bookmarkStart w:id="25" w:name="_Toc20258"/>
      <w:r>
        <w:rPr>
          <w:rFonts w:hint="eastAsia" w:ascii="仿宋" w:hAnsi="仿宋" w:eastAsia="仿宋" w:cs="宋体"/>
          <w:b/>
          <w:color w:val="auto"/>
          <w:kern w:val="2"/>
          <w:sz w:val="24"/>
          <w:szCs w:val="24"/>
          <w:highlight w:val="none"/>
          <w:lang w:val="en-US" w:eastAsia="zh-CN" w:bidi="ar-SA"/>
        </w:rPr>
        <w:t>五、招标文件的获取</w:t>
      </w:r>
      <w:bookmarkEnd w:id="22"/>
      <w:bookmarkEnd w:id="23"/>
      <w:bookmarkEnd w:id="24"/>
      <w:bookmarkEnd w:id="25"/>
    </w:p>
    <w:p w14:paraId="30E6C621">
      <w:pPr>
        <w:widowControl w:val="0"/>
        <w:spacing w:line="360" w:lineRule="auto"/>
        <w:ind w:left="0" w:leftChars="0"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5.1请于2025年5月30日至2025年6月9日，每日上午9：00时至12：00时，下午14：30时至17：00时（北京时间，工作日）购买招标文件。</w:t>
      </w:r>
    </w:p>
    <w:p w14:paraId="6A98166D">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5.2招标文件售价300元，售后不退。未在报名截止时间前按要求购买及支付招标文件费用的潜在供应商不具备参与本项目报价的资格。</w:t>
      </w:r>
    </w:p>
    <w:p w14:paraId="713182BA">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5.3供应商通过“诚E招电子采购交易平台”（网址：https://www.chengezhao.com/）完成本项目的报名、招标文件的购买与下载。</w:t>
      </w:r>
    </w:p>
    <w:p w14:paraId="59142109">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(1)注册：</w:t>
      </w:r>
    </w:p>
    <w:p w14:paraId="20E9226E">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输入网址，点击【新用户注册】（注册步骤详见门户网站：【供应商操作指南】-【注册指引】）。登录账号后点击【常用文件】，下载《供应商&amp;供应商操作手册》。</w:t>
      </w:r>
    </w:p>
    <w:p w14:paraId="2594CC78">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(2)报名、购买与下载：</w:t>
      </w:r>
    </w:p>
    <w:p w14:paraId="1155DD6F">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注册成功后登录平台，点击【商机发现】，报名需上传下列材料：</w:t>
      </w:r>
    </w:p>
    <w:p w14:paraId="56D16BAE">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A、营业执照副本复印件（需加盖公章）。</w:t>
      </w:r>
    </w:p>
    <w:p w14:paraId="7265F592">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B、法定代表人证明或其授权委托书复印件，内附经办人身份证正反面（需加盖公章）。</w:t>
      </w:r>
    </w:p>
    <w:p w14:paraId="5721039B">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上传成功后，请等待报名审核。（采购代理机构审核人：邓家福，联系电话：18708926210）</w:t>
      </w:r>
    </w:p>
    <w:p w14:paraId="40A7EFE6">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(3)支付方式（二选一）：①网上支付（微信/支付宝扫码）、②电汇（须上传汇款凭证）。支付完成后请及时下载招标文件。</w:t>
      </w:r>
    </w:p>
    <w:p w14:paraId="7C20EDBF">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(4)疑问反馈：具体操作若有疑问，可致电客服热线：020-89524219。服务时间8:30-17:30（工作日）。</w:t>
      </w:r>
    </w:p>
    <w:p w14:paraId="152185A0">
      <w:pPr>
        <w:widowControl w:val="0"/>
        <w:spacing w:line="360" w:lineRule="auto"/>
        <w:ind w:firstLine="480" w:firstLineChars="200"/>
        <w:jc w:val="both"/>
        <w:rPr>
          <w:rFonts w:hint="eastAsia" w:ascii="仿宋" w:hAnsi="仿宋" w:eastAsia="仿宋" w:cs="宋体"/>
          <w:color w:val="auto"/>
          <w:kern w:val="2"/>
          <w:sz w:val="24"/>
          <w:highlight w:val="none"/>
          <w:lang w:val="en-US" w:eastAsia="zh-CN" w:bidi="ar-SA"/>
        </w:rPr>
      </w:pPr>
      <w:r>
        <w:rPr>
          <w:rFonts w:hint="eastAsia" w:ascii="仿宋" w:hAnsi="仿宋" w:eastAsia="仿宋" w:cs="宋体"/>
          <w:color w:val="auto"/>
          <w:kern w:val="2"/>
          <w:sz w:val="24"/>
          <w:highlight w:val="none"/>
          <w:lang w:val="en-US" w:eastAsia="zh-CN" w:bidi="ar-SA"/>
        </w:rPr>
        <w:t>(5) 免责声明：</w:t>
      </w:r>
    </w:p>
    <w:p w14:paraId="646D4545">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0"/>
          <w:highlight w:val="none"/>
          <w:lang w:eastAsia="zh-CN"/>
        </w:rPr>
        <w:t>“诚E招电子采购交易平台”（网址：https://www.chengezhao.com/）为本项目报名的唯一网络渠道，其他平台的报名及支付均属无效）</w:t>
      </w:r>
      <w:r>
        <w:rPr>
          <w:rFonts w:hint="eastAsia" w:ascii="仿宋" w:hAnsi="仿宋" w:eastAsia="仿宋" w:cs="宋体"/>
          <w:color w:val="auto"/>
          <w:sz w:val="24"/>
          <w:szCs w:val="24"/>
          <w:highlight w:val="none"/>
          <w:lang w:val="en-US" w:eastAsia="zh-CN"/>
        </w:rPr>
        <w:t>。</w:t>
      </w:r>
    </w:p>
    <w:p w14:paraId="513565FF">
      <w:pPr>
        <w:keepNext/>
        <w:keepLines/>
        <w:widowControl w:val="0"/>
        <w:adjustRightInd w:val="0"/>
        <w:snapToGrid w:val="0"/>
        <w:spacing w:before="120" w:after="120" w:line="360" w:lineRule="auto"/>
        <w:jc w:val="left"/>
        <w:outlineLvl w:val="1"/>
        <w:rPr>
          <w:rFonts w:hint="eastAsia" w:ascii="仿宋" w:hAnsi="仿宋" w:eastAsia="仿宋" w:cs="宋体"/>
          <w:b/>
          <w:color w:val="auto"/>
          <w:kern w:val="2"/>
          <w:sz w:val="24"/>
          <w:highlight w:val="none"/>
          <w:lang w:val="en-US" w:eastAsia="zh-CN" w:bidi="ar-SA"/>
        </w:rPr>
      </w:pPr>
      <w:bookmarkStart w:id="26" w:name="_Toc109124228"/>
      <w:bookmarkStart w:id="27" w:name="_Toc7435"/>
      <w:bookmarkStart w:id="28" w:name="_Toc13101"/>
      <w:r>
        <w:rPr>
          <w:rFonts w:hint="eastAsia" w:ascii="仿宋" w:hAnsi="仿宋" w:eastAsia="仿宋" w:cs="宋体"/>
          <w:b/>
          <w:color w:val="auto"/>
          <w:kern w:val="2"/>
          <w:sz w:val="24"/>
          <w:highlight w:val="none"/>
          <w:lang w:val="en-US" w:eastAsia="zh-CN" w:bidi="ar-SA"/>
        </w:rPr>
        <w:t>六、投标文件的递交</w:t>
      </w:r>
      <w:bookmarkEnd w:id="26"/>
      <w:bookmarkEnd w:id="27"/>
      <w:bookmarkEnd w:id="28"/>
    </w:p>
    <w:p w14:paraId="42531C3E">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25</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6</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20</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09</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30</w:t>
      </w:r>
      <w:r>
        <w:rPr>
          <w:rFonts w:hint="eastAsia" w:ascii="仿宋" w:hAnsi="仿宋" w:eastAsia="仿宋" w:cs="宋体"/>
          <w:color w:val="auto"/>
          <w:sz w:val="24"/>
          <w:szCs w:val="24"/>
          <w:highlight w:val="none"/>
          <w:u w:val="single"/>
        </w:rPr>
        <w:t>分00秒</w:t>
      </w:r>
      <w:r>
        <w:rPr>
          <w:rFonts w:hint="eastAsia" w:ascii="仿宋" w:hAnsi="仿宋" w:eastAsia="仿宋" w:cs="宋体"/>
          <w:color w:val="auto"/>
          <w:sz w:val="24"/>
          <w:szCs w:val="24"/>
          <w:highlight w:val="none"/>
        </w:rPr>
        <w:t>。</w:t>
      </w:r>
    </w:p>
    <w:p w14:paraId="79B7DD15">
      <w:pPr>
        <w:spacing w:line="360" w:lineRule="auto"/>
        <w:ind w:firstLine="480" w:firstLineChars="200"/>
        <w:textAlignment w:val="baseline"/>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color w:val="auto"/>
          <w:sz w:val="24"/>
          <w:szCs w:val="24"/>
          <w:highlight w:val="none"/>
        </w:rPr>
        <w:t>：须现场递交至</w:t>
      </w:r>
      <w:r>
        <w:rPr>
          <w:rFonts w:hint="eastAsia" w:ascii="仿宋" w:hAnsi="仿宋" w:eastAsia="仿宋" w:cs="宋体"/>
          <w:color w:val="auto"/>
          <w:sz w:val="24"/>
          <w:szCs w:val="24"/>
          <w:highlight w:val="none"/>
          <w:u w:val="single"/>
        </w:rPr>
        <w:t>海口市龙华区滨海大道103号财富广场写字楼25楼（公诚管理咨询有限公司）会议室</w:t>
      </w:r>
      <w:r>
        <w:rPr>
          <w:rFonts w:hint="eastAsia" w:ascii="仿宋" w:hAnsi="仿宋" w:eastAsia="仿宋" w:cs="宋体"/>
          <w:color w:val="auto"/>
          <w:sz w:val="24"/>
          <w:szCs w:val="24"/>
          <w:highlight w:val="none"/>
        </w:rPr>
        <w:t>，</w:t>
      </w:r>
      <w:r>
        <w:rPr>
          <w:rFonts w:hint="eastAsia" w:ascii="仿宋" w:hAnsi="仿宋" w:eastAsia="仿宋" w:cs="宋体"/>
          <w:b/>
          <w:bCs/>
          <w:color w:val="auto"/>
          <w:sz w:val="24"/>
          <w:szCs w:val="24"/>
          <w:highlight w:val="none"/>
        </w:rPr>
        <w:t>逾期送达或者未送达指定地点或者未按照招标文件要求封装的纸质投标文件不予接收。</w:t>
      </w:r>
      <w:bookmarkStart w:id="29" w:name="_Toc109124229"/>
      <w:bookmarkStart w:id="30" w:name="_Toc3941"/>
    </w:p>
    <w:p w14:paraId="457BB027">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6.3</w:t>
      </w:r>
      <w:r>
        <w:rPr>
          <w:rFonts w:hint="eastAsia" w:ascii="仿宋" w:hAnsi="仿宋" w:eastAsia="仿宋" w:cs="宋体"/>
          <w:b/>
          <w:bCs/>
          <w:color w:val="auto"/>
          <w:kern w:val="2"/>
          <w:sz w:val="24"/>
          <w:szCs w:val="24"/>
          <w:highlight w:val="none"/>
          <w:lang w:val="en-US" w:eastAsia="zh-CN" w:bidi="ar-SA"/>
        </w:rPr>
        <w:t>本项目将于上述同一时间、地点进行开标</w:t>
      </w:r>
      <w:r>
        <w:rPr>
          <w:rFonts w:hint="eastAsia" w:ascii="仿宋" w:hAnsi="仿宋" w:eastAsia="仿宋" w:cs="宋体"/>
          <w:b w:val="0"/>
          <w:bCs w:val="0"/>
          <w:color w:val="auto"/>
          <w:kern w:val="2"/>
          <w:sz w:val="24"/>
          <w:szCs w:val="24"/>
          <w:highlight w:val="none"/>
          <w:lang w:val="en-US" w:eastAsia="zh-CN" w:bidi="ar-SA"/>
        </w:rPr>
        <w:t>，招标人/招标代理机构邀请投标人代表准时参加。</w:t>
      </w:r>
    </w:p>
    <w:p w14:paraId="46958F81">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w:t>
      </w:r>
      <w:r>
        <w:rPr>
          <w:rFonts w:hint="eastAsia" w:ascii="仿宋" w:hAnsi="仿宋" w:eastAsia="仿宋" w:cs="宋体"/>
          <w:b/>
          <w:bCs/>
          <w:color w:val="auto"/>
          <w:kern w:val="2"/>
          <w:sz w:val="24"/>
          <w:szCs w:val="24"/>
          <w:highlight w:val="none"/>
          <w:lang w:val="en-US" w:eastAsia="zh-CN" w:bidi="ar-SA"/>
        </w:rPr>
        <w:t>出现以下情形之一时，招标人/招标代理机构不予接收投标文件：</w:t>
      </w:r>
    </w:p>
    <w:p w14:paraId="1CB3736F">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6.4.1  逾期送达或者未送达指定地点的；</w:t>
      </w:r>
    </w:p>
    <w:p w14:paraId="4F827288">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6.4.2  未按照招标文件要求密封的；</w:t>
      </w:r>
    </w:p>
    <w:p w14:paraId="5657CAB4">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b w:val="0"/>
          <w:color w:val="auto"/>
          <w:kern w:val="2"/>
          <w:sz w:val="24"/>
          <w:szCs w:val="24"/>
          <w:highlight w:val="none"/>
          <w:lang w:val="en-US" w:eastAsia="zh-CN" w:bidi="ar-SA"/>
        </w:rPr>
        <w:t>6.4.3  未按照招标公告要求获取招标文件的。</w:t>
      </w:r>
    </w:p>
    <w:p w14:paraId="5D836317">
      <w:pPr>
        <w:keepNext/>
        <w:keepLines/>
        <w:widowControl w:val="0"/>
        <w:adjustRightInd w:val="0"/>
        <w:snapToGrid w:val="0"/>
        <w:spacing w:before="120" w:after="120" w:line="360" w:lineRule="auto"/>
        <w:jc w:val="left"/>
        <w:outlineLvl w:val="1"/>
        <w:rPr>
          <w:rFonts w:hint="eastAsia" w:ascii="仿宋" w:hAnsi="仿宋" w:eastAsia="仿宋" w:cs="宋体"/>
          <w:b/>
          <w:color w:val="auto"/>
          <w:kern w:val="2"/>
          <w:sz w:val="24"/>
          <w:highlight w:val="none"/>
          <w:lang w:val="en-US" w:eastAsia="zh-CN" w:bidi="ar-SA"/>
        </w:rPr>
      </w:pPr>
      <w:bookmarkStart w:id="31" w:name="_Toc2130"/>
      <w:r>
        <w:rPr>
          <w:rFonts w:hint="eastAsia" w:ascii="仿宋" w:hAnsi="仿宋" w:eastAsia="仿宋" w:cs="宋体"/>
          <w:b/>
          <w:color w:val="auto"/>
          <w:kern w:val="2"/>
          <w:sz w:val="24"/>
          <w:highlight w:val="none"/>
          <w:lang w:val="en-US" w:eastAsia="zh-CN" w:bidi="ar-SA"/>
        </w:rPr>
        <w:t>七、发布公告的媒介</w:t>
      </w:r>
      <w:bookmarkEnd w:id="29"/>
      <w:bookmarkEnd w:id="30"/>
      <w:bookmarkEnd w:id="31"/>
    </w:p>
    <w:p w14:paraId="7A03089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szCs w:val="20"/>
          <w:highlight w:val="none"/>
          <w:u w:val="single"/>
        </w:rPr>
        <w:t>“人保e采”外网门户（https://ec.picc.com/）</w:t>
      </w:r>
      <w:r>
        <w:rPr>
          <w:rFonts w:hint="eastAsia" w:ascii="仿宋" w:hAnsi="仿宋" w:eastAsia="仿宋" w:cs="宋体"/>
          <w:color w:val="auto"/>
          <w:sz w:val="24"/>
          <w:szCs w:val="20"/>
          <w:highlight w:val="none"/>
          <w:u w:val="single"/>
          <w:lang w:eastAsia="zh-CN"/>
        </w:rPr>
        <w:t>、中国招标投标公共服务平台（http://www.cebpubservice.com/）、中国采购与招标网（http://www.chinabidding.com.cn）</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1A03ACFE">
      <w:pPr>
        <w:keepNext/>
        <w:keepLines/>
        <w:widowControl w:val="0"/>
        <w:adjustRightInd w:val="0"/>
        <w:snapToGrid w:val="0"/>
        <w:spacing w:before="120" w:after="120" w:line="360" w:lineRule="auto"/>
        <w:jc w:val="left"/>
        <w:outlineLvl w:val="1"/>
        <w:rPr>
          <w:rFonts w:hint="eastAsia" w:ascii="仿宋" w:hAnsi="仿宋" w:eastAsia="仿宋" w:cs="宋体"/>
          <w:b/>
          <w:color w:val="auto"/>
          <w:kern w:val="2"/>
          <w:sz w:val="24"/>
          <w:highlight w:val="none"/>
          <w:lang w:val="en-US" w:eastAsia="zh-CN" w:bidi="ar-SA"/>
        </w:rPr>
      </w:pPr>
      <w:bookmarkStart w:id="32" w:name="_Toc15776"/>
      <w:bookmarkStart w:id="33" w:name="_Toc15050"/>
      <w:bookmarkStart w:id="34" w:name="_Toc7427"/>
      <w:bookmarkStart w:id="35" w:name="_Toc20415"/>
      <w:bookmarkStart w:id="36" w:name="_Toc7046"/>
      <w:bookmarkStart w:id="37" w:name="_Toc109124230"/>
      <w:bookmarkStart w:id="38" w:name="_Toc24589"/>
      <w:bookmarkStart w:id="39" w:name="_Toc26408"/>
      <w:r>
        <w:rPr>
          <w:rFonts w:hint="eastAsia" w:ascii="仿宋" w:hAnsi="仿宋" w:eastAsia="仿宋" w:cs="宋体"/>
          <w:b/>
          <w:color w:val="auto"/>
          <w:kern w:val="2"/>
          <w:sz w:val="24"/>
          <w:highlight w:val="none"/>
          <w:lang w:val="en-US" w:eastAsia="zh-CN" w:bidi="ar-SA"/>
        </w:rPr>
        <w:t>七、其他重要说明</w:t>
      </w:r>
      <w:bookmarkEnd w:id="32"/>
      <w:bookmarkEnd w:id="33"/>
      <w:bookmarkEnd w:id="34"/>
    </w:p>
    <w:p w14:paraId="3D062F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供应商须在公开征集期内在“人保e采”外网门户（https://ec.picc.com/）完成供应商注册登记，具体注册入库流程可在人保e采”外网门户查阅《人保e采管理系统供应商入库操作指南》，供应商需及时向采购代理机构反馈注册结果（请将在“人保e采”外网门户通过注册审批的截图发送至gczbhn@163.com）。</w:t>
      </w:r>
    </w:p>
    <w:p w14:paraId="79D0691E">
      <w:pPr>
        <w:keepNext/>
        <w:keepLines/>
        <w:widowControl w:val="0"/>
        <w:adjustRightInd w:val="0"/>
        <w:snapToGrid w:val="0"/>
        <w:spacing w:before="120" w:after="120" w:line="360" w:lineRule="auto"/>
        <w:jc w:val="left"/>
        <w:outlineLvl w:val="1"/>
        <w:rPr>
          <w:rFonts w:hint="eastAsia" w:ascii="仿宋" w:hAnsi="仿宋" w:eastAsia="仿宋" w:cs="宋体"/>
          <w:b/>
          <w:color w:val="auto"/>
          <w:kern w:val="2"/>
          <w:sz w:val="24"/>
          <w:highlight w:val="none"/>
          <w:lang w:val="en-US" w:eastAsia="zh-CN" w:bidi="ar-SA"/>
        </w:rPr>
      </w:pPr>
      <w:bookmarkStart w:id="40" w:name="_Toc6847"/>
      <w:r>
        <w:rPr>
          <w:rFonts w:hint="eastAsia" w:ascii="仿宋" w:hAnsi="仿宋" w:eastAsia="仿宋" w:cs="宋体"/>
          <w:b/>
          <w:color w:val="auto"/>
          <w:kern w:val="2"/>
          <w:sz w:val="24"/>
          <w:highlight w:val="none"/>
          <w:lang w:val="en-US" w:eastAsia="zh-CN" w:bidi="ar-SA"/>
        </w:rPr>
        <w:t>八、联系方式</w:t>
      </w:r>
      <w:bookmarkEnd w:id="35"/>
      <w:bookmarkEnd w:id="36"/>
      <w:bookmarkEnd w:id="37"/>
      <w:bookmarkEnd w:id="38"/>
      <w:bookmarkEnd w:id="39"/>
      <w:bookmarkEnd w:id="40"/>
    </w:p>
    <w:p w14:paraId="0FC57184">
      <w:pPr>
        <w:spacing w:line="360" w:lineRule="auto"/>
        <w:ind w:firstLine="482"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b/>
          <w:bCs/>
          <w:color w:val="auto"/>
          <w:sz w:val="24"/>
          <w:szCs w:val="24"/>
          <w:highlight w:val="none"/>
          <w:lang w:eastAsia="zh-CN"/>
        </w:rPr>
        <w:t>招标人</w:t>
      </w:r>
      <w:r>
        <w:rPr>
          <w:rFonts w:hint="eastAsia" w:ascii="仿宋" w:hAnsi="仿宋" w:eastAsia="仿宋" w:cs="宋体"/>
          <w:b/>
          <w:bCs/>
          <w:color w:val="auto"/>
          <w:sz w:val="24"/>
          <w:szCs w:val="24"/>
          <w:highlight w:val="none"/>
        </w:rPr>
        <w:t>：</w:t>
      </w:r>
      <w:r>
        <w:rPr>
          <w:rFonts w:hint="eastAsia" w:ascii="仿宋" w:hAnsi="仿宋" w:eastAsia="仿宋" w:cs="宋体"/>
          <w:b/>
          <w:bCs/>
          <w:color w:val="auto"/>
          <w:sz w:val="24"/>
          <w:szCs w:val="24"/>
          <w:highlight w:val="none"/>
          <w:lang w:eastAsia="zh-CN"/>
        </w:rPr>
        <w:t>中国人民财产保险股份有限公司海南省分公司</w:t>
      </w:r>
    </w:p>
    <w:p w14:paraId="2CD9DC2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eastAsia="zh-CN"/>
        </w:rPr>
        <w:t>海南省海口市龙华区国贸一横路2号人保大厦</w:t>
      </w:r>
    </w:p>
    <w:p w14:paraId="24241F1A">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联系人：</w:t>
      </w:r>
      <w:r>
        <w:rPr>
          <w:rFonts w:hint="eastAsia" w:ascii="仿宋" w:hAnsi="仿宋" w:eastAsia="仿宋" w:cs="宋体"/>
          <w:color w:val="auto"/>
          <w:sz w:val="24"/>
          <w:szCs w:val="24"/>
          <w:highlight w:val="none"/>
          <w:lang w:val="en-US" w:eastAsia="zh-CN"/>
        </w:rPr>
        <w:t>冯女士</w:t>
      </w:r>
    </w:p>
    <w:p w14:paraId="78D363F1">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电  话：</w:t>
      </w:r>
      <w:r>
        <w:rPr>
          <w:rFonts w:hint="eastAsia" w:ascii="仿宋" w:hAnsi="仿宋" w:eastAsia="仿宋" w:cs="仿宋"/>
          <w:color w:val="auto"/>
          <w:sz w:val="24"/>
          <w:szCs w:val="24"/>
          <w:highlight w:val="none"/>
        </w:rPr>
        <w:t>18608991225</w:t>
      </w:r>
    </w:p>
    <w:p w14:paraId="7068C8A0">
      <w:pPr>
        <w:spacing w:line="360" w:lineRule="auto"/>
        <w:ind w:firstLine="482"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
          <w:bCs w:val="0"/>
          <w:color w:val="auto"/>
          <w:sz w:val="24"/>
          <w:szCs w:val="24"/>
          <w:highlight w:val="none"/>
        </w:rPr>
        <w:t>采购代理机构：公诚管理咨询有限公司</w:t>
      </w:r>
    </w:p>
    <w:p w14:paraId="0E19B688">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地址：海口市龙华区滨海大道103号财富广场写字楼25楼（公诚管理咨询有限公司</w:t>
      </w:r>
      <w:r>
        <w:rPr>
          <w:rFonts w:hint="eastAsia" w:ascii="仿宋" w:hAnsi="仿宋" w:eastAsia="仿宋" w:cs="宋体"/>
          <w:bCs/>
          <w:color w:val="auto"/>
          <w:sz w:val="24"/>
          <w:szCs w:val="24"/>
          <w:highlight w:val="none"/>
          <w:lang w:eastAsia="zh-CN"/>
        </w:rPr>
        <w:t>）</w:t>
      </w:r>
      <w:r>
        <w:rPr>
          <w:rFonts w:hint="eastAsia" w:ascii="仿宋" w:hAnsi="仿宋" w:eastAsia="仿宋" w:cs="宋体"/>
          <w:bCs/>
          <w:color w:val="auto"/>
          <w:sz w:val="24"/>
          <w:szCs w:val="24"/>
          <w:highlight w:val="none"/>
        </w:rPr>
        <w:t xml:space="preserve"> </w:t>
      </w:r>
    </w:p>
    <w:p w14:paraId="1A3D7539">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联系人：</w:t>
      </w:r>
      <w:r>
        <w:rPr>
          <w:rFonts w:hint="eastAsia" w:ascii="仿宋" w:hAnsi="仿宋" w:eastAsia="仿宋" w:cs="宋体"/>
          <w:bCs/>
          <w:color w:val="auto"/>
          <w:sz w:val="24"/>
          <w:szCs w:val="24"/>
          <w:highlight w:val="none"/>
          <w:lang w:val="en-US" w:eastAsia="zh-CN"/>
        </w:rPr>
        <w:t>覃阿丽、</w:t>
      </w:r>
      <w:r>
        <w:rPr>
          <w:rFonts w:hint="eastAsia" w:ascii="仿宋" w:hAnsi="仿宋" w:eastAsia="仿宋" w:cs="宋体"/>
          <w:bCs/>
          <w:color w:val="auto"/>
          <w:sz w:val="24"/>
          <w:szCs w:val="24"/>
          <w:highlight w:val="none"/>
          <w:lang w:eastAsia="zh-CN"/>
        </w:rPr>
        <w:t>邓家福</w:t>
      </w:r>
    </w:p>
    <w:p w14:paraId="116BDB3E">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电话：</w:t>
      </w:r>
      <w:r>
        <w:rPr>
          <w:rFonts w:hint="eastAsia" w:ascii="仿宋" w:hAnsi="仿宋" w:eastAsia="仿宋" w:cs="宋体"/>
          <w:bCs/>
          <w:color w:val="auto"/>
          <w:sz w:val="24"/>
          <w:szCs w:val="24"/>
          <w:highlight w:val="none"/>
          <w:lang w:eastAsia="zh-CN"/>
        </w:rPr>
        <w:t>18708926210</w:t>
      </w:r>
    </w:p>
    <w:p w14:paraId="0E10227D">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电子邮件：gczbhn@163.com</w:t>
      </w:r>
    </w:p>
    <w:p w14:paraId="4CD3FE40">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开户银行：中信银行广州花园支行   </w:t>
      </w:r>
    </w:p>
    <w:p w14:paraId="0191323C">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账号：</w:t>
      </w:r>
      <w:r>
        <w:rPr>
          <w:rFonts w:hint="eastAsia" w:ascii="仿宋" w:hAnsi="仿宋" w:eastAsia="仿宋" w:cs="宋体"/>
          <w:bCs/>
          <w:color w:val="auto"/>
          <w:sz w:val="24"/>
          <w:szCs w:val="24"/>
          <w:highlight w:val="none"/>
          <w:lang w:eastAsia="zh-CN"/>
        </w:rPr>
        <w:t>3110910037672507752</w:t>
      </w:r>
    </w:p>
    <w:p w14:paraId="134B8A2E">
      <w:pPr>
        <w:spacing w:line="360" w:lineRule="auto"/>
        <w:ind w:firstLine="420"/>
        <w:rPr>
          <w:rFonts w:ascii="仿宋" w:hAnsi="仿宋" w:eastAsia="仿宋" w:cs="宋体"/>
          <w:color w:val="auto"/>
          <w:sz w:val="24"/>
          <w:szCs w:val="24"/>
          <w:highlight w:val="none"/>
        </w:rPr>
      </w:pPr>
    </w:p>
    <w:p w14:paraId="7CEB8D36">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招标人：</w:t>
      </w:r>
      <w:r>
        <w:rPr>
          <w:rFonts w:hint="eastAsia" w:ascii="仿宋" w:hAnsi="仿宋" w:eastAsia="仿宋" w:cs="宋体"/>
          <w:color w:val="auto"/>
          <w:sz w:val="24"/>
          <w:szCs w:val="24"/>
          <w:highlight w:val="none"/>
          <w:lang w:eastAsia="zh-CN"/>
        </w:rPr>
        <w:t>中国人民财产保险股份有限公司海南省分公司</w:t>
      </w:r>
    </w:p>
    <w:p w14:paraId="2FC334CF">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招标代理机构：公诚管理咨询有限公司</w:t>
      </w:r>
    </w:p>
    <w:p w14:paraId="30B0E66A">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25</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30</w:t>
      </w:r>
      <w:r>
        <w:rPr>
          <w:rFonts w:hint="eastAsia" w:ascii="仿宋" w:hAnsi="仿宋" w:eastAsia="仿宋" w:cs="宋体"/>
          <w:color w:val="auto"/>
          <w:sz w:val="24"/>
          <w:szCs w:val="24"/>
          <w:highlight w:val="none"/>
        </w:rPr>
        <w:t>日</w:t>
      </w:r>
    </w:p>
    <w:p w14:paraId="144B3A4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BB0DA5"/>
    <w:rsid w:val="06BB0D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2025-05-30T04:14:00Z</dcterms:created>
  <dc:creator>D</dc:creator>
  <cp:lastModifiedBy>D</cp:lastModifiedBy>
  <dcterms:modified xsi:type="dcterms:W3CDTF">2025-05-30T04:15:45Z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A29DD97F70CD4905809679632DCDC985_11</vt:lpwstr>
  </property>
  <property fmtid="{D5CDD505-2E9C-101B-9397-08002B2CF9AE}" pid="4" name="KSOTemplateDocerSaveRecord">
    <vt:lpwstr>eyJoZGlkIjoiNDU5OGQ4NTUxZDJiZjU2YjkzNWVlZDJkZGY5Yjc1ZTQiLCJ1c2VySWQiOiIxMjA1MjExMjY0In0=</vt:lpwstr>
  </property>
</Properties>
</file>