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color w:val="000000"/>
          <w:sz w:val="28"/>
          <w:szCs w:val="28"/>
        </w:rPr>
      </w:pPr>
    </w:p>
    <w:p>
      <w:pPr>
        <w:spacing w:line="360" w:lineRule="auto"/>
        <w:jc w:val="center"/>
        <w:rPr>
          <w:rFonts w:ascii="仿宋" w:hAnsi="仿宋" w:eastAsia="仿宋" w:cs="仿宋"/>
          <w:bCs/>
          <w:color w:val="000000"/>
          <w:sz w:val="28"/>
          <w:szCs w:val="28"/>
        </w:rPr>
      </w:pPr>
    </w:p>
    <w:p>
      <w:pPr>
        <w:spacing w:line="360" w:lineRule="auto"/>
        <w:rPr>
          <w:rFonts w:ascii="仿宋" w:hAnsi="仿宋" w:eastAsia="仿宋" w:cs="仿宋"/>
          <w:b/>
          <w:color w:val="000000"/>
          <w:sz w:val="44"/>
          <w:szCs w:val="44"/>
        </w:rPr>
      </w:pPr>
    </w:p>
    <w:p>
      <w:pPr>
        <w:tabs>
          <w:tab w:val="left" w:pos="8295"/>
        </w:tabs>
        <w:spacing w:line="360" w:lineRule="auto"/>
        <w:ind w:left="26" w:right="-21" w:hanging="27"/>
        <w:jc w:val="center"/>
        <w:rPr>
          <w:rFonts w:ascii="仿宋" w:hAnsi="仿宋" w:eastAsia="仿宋" w:cs="仿宋"/>
          <w:b/>
          <w:color w:val="FF0000"/>
          <w:sz w:val="44"/>
          <w:szCs w:val="44"/>
        </w:rPr>
      </w:pPr>
      <w:r>
        <w:rPr>
          <w:rFonts w:hint="eastAsia" w:ascii="仿宋" w:hAnsi="仿宋" w:eastAsia="仿宋" w:cs="仿宋"/>
          <w:b/>
          <w:color w:val="FF0000"/>
          <w:sz w:val="44"/>
          <w:szCs w:val="44"/>
        </w:rPr>
        <w:t>人保财险广东广州金融街营业部国银中心9楼职场装修工程采购项目</w:t>
      </w:r>
    </w:p>
    <w:p>
      <w:pPr>
        <w:tabs>
          <w:tab w:val="left" w:pos="720"/>
          <w:tab w:val="left" w:pos="8295"/>
        </w:tabs>
        <w:spacing w:line="360" w:lineRule="auto"/>
        <w:jc w:val="center"/>
        <w:rPr>
          <w:rFonts w:ascii="仿宋" w:hAnsi="仿宋" w:eastAsia="仿宋" w:cs="仿宋"/>
          <w:b/>
          <w:color w:val="000000"/>
          <w:sz w:val="28"/>
          <w:szCs w:val="28"/>
        </w:rPr>
      </w:pPr>
    </w:p>
    <w:p>
      <w:pPr>
        <w:pStyle w:val="2"/>
      </w:pPr>
    </w:p>
    <w:p>
      <w:pPr>
        <w:pStyle w:val="2"/>
      </w:pPr>
    </w:p>
    <w:p>
      <w:pPr>
        <w:rPr>
          <w:rFonts w:ascii="仿宋" w:hAnsi="仿宋" w:eastAsia="仿宋" w:cs="仿宋"/>
          <w:color w:val="000000"/>
        </w:rPr>
      </w:pPr>
    </w:p>
    <w:p>
      <w:pPr>
        <w:pStyle w:val="2"/>
      </w:pPr>
    </w:p>
    <w:p>
      <w:pPr>
        <w:pStyle w:val="2"/>
      </w:pPr>
    </w:p>
    <w:p>
      <w:pPr>
        <w:tabs>
          <w:tab w:val="left" w:pos="720"/>
          <w:tab w:val="left" w:pos="8295"/>
        </w:tabs>
        <w:spacing w:line="360" w:lineRule="auto"/>
        <w:jc w:val="center"/>
        <w:rPr>
          <w:rFonts w:ascii="仿宋" w:hAnsi="仿宋" w:eastAsia="仿宋" w:cs="仿宋"/>
          <w:b/>
          <w:bCs/>
          <w:color w:val="000000"/>
          <w:sz w:val="84"/>
          <w:szCs w:val="84"/>
        </w:rPr>
      </w:pPr>
      <w:r>
        <w:rPr>
          <w:rFonts w:hint="eastAsia" w:ascii="仿宋" w:hAnsi="仿宋" w:eastAsia="仿宋" w:cs="仿宋"/>
          <w:b/>
          <w:bCs/>
          <w:color w:val="000000"/>
          <w:sz w:val="84"/>
          <w:szCs w:val="84"/>
        </w:rPr>
        <w:t>竞争性磋商文件</w:t>
      </w: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pStyle w:val="2"/>
      </w:pPr>
    </w:p>
    <w:p>
      <w:pPr>
        <w:tabs>
          <w:tab w:val="left" w:pos="720"/>
          <w:tab w:val="left" w:pos="8295"/>
        </w:tabs>
        <w:spacing w:line="360" w:lineRule="auto"/>
        <w:jc w:val="center"/>
        <w:rPr>
          <w:rFonts w:ascii="仿宋" w:hAnsi="仿宋" w:eastAsia="仿宋" w:cs="仿宋"/>
          <w:b/>
          <w:color w:val="000000"/>
          <w:sz w:val="36"/>
          <w:szCs w:val="36"/>
        </w:rPr>
      </w:pPr>
    </w:p>
    <w:p>
      <w:pPr>
        <w:tabs>
          <w:tab w:val="left" w:pos="8295"/>
        </w:tabs>
        <w:spacing w:line="360" w:lineRule="auto"/>
        <w:ind w:left="17" w:right="-21" w:hanging="17"/>
        <w:jc w:val="center"/>
        <w:rPr>
          <w:rFonts w:ascii="仿宋" w:hAnsi="仿宋" w:eastAsia="仿宋" w:cs="仿宋"/>
          <w:b/>
          <w:sz w:val="28"/>
          <w:szCs w:val="28"/>
        </w:rPr>
      </w:pPr>
      <w:r>
        <w:rPr>
          <w:rFonts w:hint="eastAsia" w:ascii="仿宋" w:hAnsi="仿宋" w:eastAsia="仿宋" w:cs="仿宋"/>
          <w:b/>
          <w:sz w:val="28"/>
          <w:szCs w:val="28"/>
        </w:rPr>
        <w:t>采购人：中国人民财产保险股份有限公司广州市分公司</w:t>
      </w:r>
    </w:p>
    <w:p>
      <w:pPr>
        <w:tabs>
          <w:tab w:val="left" w:pos="8295"/>
        </w:tabs>
        <w:spacing w:line="360" w:lineRule="auto"/>
        <w:ind w:left="1706" w:right="-21" w:hanging="1706"/>
        <w:jc w:val="center"/>
        <w:rPr>
          <w:rFonts w:ascii="仿宋" w:hAnsi="仿宋" w:eastAsia="仿宋" w:cs="仿宋"/>
          <w:b/>
          <w:color w:val="FF0000"/>
          <w:sz w:val="36"/>
          <w:szCs w:val="36"/>
        </w:rPr>
      </w:pPr>
      <w:r>
        <w:rPr>
          <w:rFonts w:hint="eastAsia" w:ascii="仿宋" w:hAnsi="仿宋" w:eastAsia="仿宋" w:cs="仿宋"/>
          <w:b/>
          <w:color w:val="FF0000"/>
          <w:sz w:val="28"/>
          <w:szCs w:val="28"/>
        </w:rPr>
        <w:t>日期：20</w:t>
      </w:r>
      <w:r>
        <w:rPr>
          <w:rFonts w:ascii="仿宋" w:hAnsi="仿宋" w:eastAsia="仿宋" w:cs="仿宋"/>
          <w:b/>
          <w:color w:val="FF0000"/>
          <w:sz w:val="28"/>
          <w:szCs w:val="28"/>
        </w:rPr>
        <w:t>25</w:t>
      </w:r>
      <w:r>
        <w:rPr>
          <w:rFonts w:hint="eastAsia" w:ascii="仿宋" w:hAnsi="仿宋" w:eastAsia="仿宋" w:cs="仿宋"/>
          <w:b/>
          <w:color w:val="FF0000"/>
          <w:sz w:val="28"/>
          <w:szCs w:val="28"/>
        </w:rPr>
        <w:t>年</w:t>
      </w:r>
      <w:r>
        <w:rPr>
          <w:rFonts w:ascii="仿宋" w:hAnsi="仿宋" w:eastAsia="仿宋" w:cs="仿宋"/>
          <w:b/>
          <w:color w:val="FF0000"/>
          <w:sz w:val="28"/>
          <w:szCs w:val="28"/>
        </w:rPr>
        <w:t>6</w:t>
      </w:r>
      <w:r>
        <w:rPr>
          <w:rFonts w:hint="eastAsia" w:ascii="仿宋" w:hAnsi="仿宋" w:eastAsia="仿宋" w:cs="仿宋"/>
          <w:b/>
          <w:color w:val="FF0000"/>
          <w:sz w:val="28"/>
          <w:szCs w:val="28"/>
        </w:rPr>
        <w:t>月</w:t>
      </w:r>
    </w:p>
    <w:p>
      <w:pPr>
        <w:spacing w:line="360" w:lineRule="auto"/>
        <w:jc w:val="center"/>
        <w:rPr>
          <w:rFonts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sectPr>
      </w:pPr>
    </w:p>
    <w:p>
      <w:pPr>
        <w:jc w:val="center"/>
        <w:rPr>
          <w:rFonts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p>
      <w:pPr>
        <w:pStyle w:val="29"/>
        <w:tabs>
          <w:tab w:val="right" w:leader="dot" w:pos="9638"/>
        </w:tabs>
      </w:pPr>
      <w:r>
        <w:rPr>
          <w:rFonts w:hint="eastAsia" w:ascii="仿宋" w:hAnsi="仿宋" w:eastAsia="仿宋" w:cs="仿宋"/>
          <w:b w:val="0"/>
          <w:bCs w:val="0"/>
          <w:caps w:val="0"/>
          <w:color w:val="000000"/>
          <w:sz w:val="24"/>
          <w:szCs w:val="24"/>
        </w:rPr>
        <w:fldChar w:fldCharType="begin"/>
      </w:r>
      <w:r>
        <w:rPr>
          <w:rFonts w:hint="eastAsia" w:ascii="仿宋" w:hAnsi="仿宋" w:eastAsia="仿宋" w:cs="仿宋"/>
          <w:b w:val="0"/>
          <w:bCs w:val="0"/>
          <w:caps w:val="0"/>
          <w:color w:val="000000"/>
          <w:sz w:val="24"/>
          <w:szCs w:val="24"/>
        </w:rPr>
        <w:instrText xml:space="preserve"> TOC \o "1-3" \h \z \u </w:instrText>
      </w:r>
      <w:r>
        <w:rPr>
          <w:rFonts w:hint="eastAsia" w:ascii="仿宋" w:hAnsi="仿宋" w:eastAsia="仿宋" w:cs="仿宋"/>
          <w:b w:val="0"/>
          <w:bCs w:val="0"/>
          <w:caps w:val="0"/>
          <w:color w:val="000000"/>
          <w:sz w:val="24"/>
          <w:szCs w:val="24"/>
        </w:rPr>
        <w:fldChar w:fldCharType="separate"/>
      </w:r>
      <w:r>
        <w:fldChar w:fldCharType="begin"/>
      </w:r>
      <w:r>
        <w:instrText xml:space="preserve"> HYPERLINK \l "_Toc11691" </w:instrText>
      </w:r>
      <w:r>
        <w:fldChar w:fldCharType="separate"/>
      </w:r>
      <w:r>
        <w:rPr>
          <w:rFonts w:hint="eastAsia" w:ascii="仿宋" w:hAnsi="仿宋" w:eastAsia="仿宋" w:cs="仿宋"/>
          <w:bCs w:val="0"/>
          <w:szCs w:val="28"/>
        </w:rPr>
        <w:t>第一章 竞争性磋商公告</w:t>
      </w:r>
      <w:r>
        <w:tab/>
      </w:r>
      <w:r>
        <w:fldChar w:fldCharType="begin"/>
      </w:r>
      <w:r>
        <w:instrText xml:space="preserve"> PAGEREF _Toc11691 \h </w:instrText>
      </w:r>
      <w:r>
        <w:fldChar w:fldCharType="separate"/>
      </w:r>
      <w:r>
        <w:t>2</w:t>
      </w:r>
      <w:r>
        <w:fldChar w:fldCharType="end"/>
      </w:r>
      <w:r>
        <w:fldChar w:fldCharType="end"/>
      </w:r>
    </w:p>
    <w:p>
      <w:pPr>
        <w:pStyle w:val="37"/>
        <w:tabs>
          <w:tab w:val="right" w:leader="dot" w:pos="9638"/>
        </w:tabs>
      </w:pPr>
      <w:r>
        <w:fldChar w:fldCharType="begin"/>
      </w:r>
      <w:r>
        <w:instrText xml:space="preserve"> HYPERLINK \l "_Toc22271" </w:instrText>
      </w:r>
      <w:r>
        <w:fldChar w:fldCharType="separate"/>
      </w:r>
      <w:r>
        <w:rPr>
          <w:rFonts w:hint="eastAsia" w:ascii="仿宋" w:hAnsi="仿宋" w:eastAsia="仿宋" w:cs="仿宋"/>
          <w:szCs w:val="24"/>
        </w:rPr>
        <w:t>一、项目概况与采购范围</w:t>
      </w:r>
      <w:r>
        <w:tab/>
      </w:r>
      <w:r>
        <w:fldChar w:fldCharType="begin"/>
      </w:r>
      <w:r>
        <w:instrText xml:space="preserve"> PAGEREF _Toc22271 \h </w:instrText>
      </w:r>
      <w:r>
        <w:fldChar w:fldCharType="separate"/>
      </w:r>
      <w:r>
        <w:t>2</w:t>
      </w:r>
      <w:r>
        <w:fldChar w:fldCharType="end"/>
      </w:r>
      <w:r>
        <w:fldChar w:fldCharType="end"/>
      </w:r>
    </w:p>
    <w:p>
      <w:pPr>
        <w:pStyle w:val="37"/>
        <w:tabs>
          <w:tab w:val="right" w:leader="dot" w:pos="9638"/>
        </w:tabs>
      </w:pPr>
      <w:r>
        <w:fldChar w:fldCharType="begin"/>
      </w:r>
      <w:r>
        <w:instrText xml:space="preserve"> HYPERLINK \l "_Toc21786" </w:instrText>
      </w:r>
      <w:r>
        <w:fldChar w:fldCharType="separate"/>
      </w:r>
      <w:r>
        <w:rPr>
          <w:rFonts w:hint="eastAsia" w:ascii="仿宋" w:hAnsi="仿宋" w:eastAsia="仿宋" w:cs="仿宋"/>
          <w:szCs w:val="24"/>
        </w:rPr>
        <w:t>二、供应商资格要求</w:t>
      </w:r>
      <w:r>
        <w:tab/>
      </w:r>
      <w:r>
        <w:fldChar w:fldCharType="begin"/>
      </w:r>
      <w:r>
        <w:instrText xml:space="preserve"> PAGEREF _Toc21786 \h </w:instrText>
      </w:r>
      <w:r>
        <w:fldChar w:fldCharType="separate"/>
      </w:r>
      <w:r>
        <w:t>2</w:t>
      </w:r>
      <w:r>
        <w:fldChar w:fldCharType="end"/>
      </w:r>
      <w:r>
        <w:fldChar w:fldCharType="end"/>
      </w:r>
    </w:p>
    <w:p>
      <w:pPr>
        <w:pStyle w:val="37"/>
        <w:tabs>
          <w:tab w:val="right" w:leader="dot" w:pos="9638"/>
        </w:tabs>
      </w:pPr>
      <w:r>
        <w:fldChar w:fldCharType="begin"/>
      </w:r>
      <w:r>
        <w:instrText xml:space="preserve"> HYPERLINK \l "_Toc10868" </w:instrText>
      </w:r>
      <w:r>
        <w:fldChar w:fldCharType="separate"/>
      </w:r>
      <w:r>
        <w:rPr>
          <w:rFonts w:hint="eastAsia" w:ascii="仿宋" w:hAnsi="仿宋" w:eastAsia="仿宋" w:cs="仿宋"/>
          <w:szCs w:val="24"/>
        </w:rPr>
        <w:t>三、资格审查方法</w:t>
      </w:r>
      <w:r>
        <w:tab/>
      </w:r>
      <w:r>
        <w:fldChar w:fldCharType="begin"/>
      </w:r>
      <w:r>
        <w:instrText xml:space="preserve"> PAGEREF _Toc10868 \h </w:instrText>
      </w:r>
      <w:r>
        <w:fldChar w:fldCharType="separate"/>
      </w:r>
      <w:r>
        <w:t>3</w:t>
      </w:r>
      <w:r>
        <w:fldChar w:fldCharType="end"/>
      </w:r>
      <w:r>
        <w:fldChar w:fldCharType="end"/>
      </w:r>
    </w:p>
    <w:p>
      <w:pPr>
        <w:pStyle w:val="37"/>
        <w:tabs>
          <w:tab w:val="right" w:leader="dot" w:pos="9638"/>
        </w:tabs>
      </w:pPr>
      <w:r>
        <w:fldChar w:fldCharType="begin"/>
      </w:r>
      <w:r>
        <w:instrText xml:space="preserve"> HYPERLINK \l "_Toc16788" </w:instrText>
      </w:r>
      <w:r>
        <w:fldChar w:fldCharType="separate"/>
      </w:r>
      <w:r>
        <w:rPr>
          <w:rFonts w:hint="eastAsia" w:ascii="仿宋" w:hAnsi="仿宋" w:eastAsia="仿宋" w:cs="仿宋"/>
          <w:szCs w:val="24"/>
        </w:rPr>
        <w:t>四、磋商文件的获取</w:t>
      </w:r>
      <w:r>
        <w:tab/>
      </w:r>
      <w:r>
        <w:fldChar w:fldCharType="begin"/>
      </w:r>
      <w:r>
        <w:instrText xml:space="preserve"> PAGEREF _Toc16788 \h </w:instrText>
      </w:r>
      <w:r>
        <w:fldChar w:fldCharType="separate"/>
      </w:r>
      <w:r>
        <w:t>3</w:t>
      </w:r>
      <w:r>
        <w:fldChar w:fldCharType="end"/>
      </w:r>
      <w:r>
        <w:fldChar w:fldCharType="end"/>
      </w:r>
    </w:p>
    <w:p>
      <w:pPr>
        <w:pStyle w:val="37"/>
        <w:tabs>
          <w:tab w:val="right" w:leader="dot" w:pos="9638"/>
        </w:tabs>
      </w:pPr>
      <w:r>
        <w:fldChar w:fldCharType="begin"/>
      </w:r>
      <w:r>
        <w:instrText xml:space="preserve"> HYPERLINK \l "_Toc25628" </w:instrText>
      </w:r>
      <w:r>
        <w:fldChar w:fldCharType="separate"/>
      </w:r>
      <w:r>
        <w:rPr>
          <w:rFonts w:hint="eastAsia" w:ascii="仿宋" w:hAnsi="仿宋" w:eastAsia="仿宋" w:cs="仿宋"/>
          <w:szCs w:val="24"/>
        </w:rPr>
        <w:t>五、响应文件的递交</w:t>
      </w:r>
      <w:r>
        <w:tab/>
      </w:r>
      <w:r>
        <w:fldChar w:fldCharType="begin"/>
      </w:r>
      <w:r>
        <w:instrText xml:space="preserve"> PAGEREF _Toc25628 \h </w:instrText>
      </w:r>
      <w:r>
        <w:fldChar w:fldCharType="separate"/>
      </w:r>
      <w:r>
        <w:t>3</w:t>
      </w:r>
      <w:r>
        <w:fldChar w:fldCharType="end"/>
      </w:r>
      <w:r>
        <w:fldChar w:fldCharType="end"/>
      </w:r>
    </w:p>
    <w:p>
      <w:pPr>
        <w:pStyle w:val="37"/>
        <w:tabs>
          <w:tab w:val="right" w:leader="dot" w:pos="9638"/>
        </w:tabs>
      </w:pPr>
      <w:r>
        <w:fldChar w:fldCharType="begin"/>
      </w:r>
      <w:r>
        <w:instrText xml:space="preserve"> HYPERLINK \l "_Toc31862" </w:instrText>
      </w:r>
      <w:r>
        <w:fldChar w:fldCharType="separate"/>
      </w:r>
      <w:r>
        <w:rPr>
          <w:rFonts w:hint="eastAsia" w:ascii="仿宋" w:hAnsi="仿宋" w:eastAsia="仿宋" w:cs="仿宋"/>
          <w:szCs w:val="24"/>
        </w:rPr>
        <w:t>六、发布公告的媒介</w:t>
      </w:r>
      <w:r>
        <w:tab/>
      </w:r>
      <w:r>
        <w:fldChar w:fldCharType="begin"/>
      </w:r>
      <w:r>
        <w:instrText xml:space="preserve"> PAGEREF _Toc31862 \h </w:instrText>
      </w:r>
      <w:r>
        <w:fldChar w:fldCharType="separate"/>
      </w:r>
      <w:r>
        <w:t>3</w:t>
      </w:r>
      <w:r>
        <w:fldChar w:fldCharType="end"/>
      </w:r>
      <w:r>
        <w:fldChar w:fldCharType="end"/>
      </w:r>
    </w:p>
    <w:p>
      <w:pPr>
        <w:pStyle w:val="37"/>
        <w:tabs>
          <w:tab w:val="right" w:leader="dot" w:pos="9638"/>
        </w:tabs>
      </w:pPr>
      <w:r>
        <w:fldChar w:fldCharType="begin"/>
      </w:r>
      <w:r>
        <w:instrText xml:space="preserve"> HYPERLINK \l "_Toc19589" </w:instrText>
      </w:r>
      <w:r>
        <w:fldChar w:fldCharType="separate"/>
      </w:r>
      <w:r>
        <w:rPr>
          <w:rFonts w:hint="eastAsia" w:ascii="仿宋" w:hAnsi="仿宋" w:eastAsia="仿宋" w:cs="仿宋"/>
          <w:szCs w:val="24"/>
        </w:rPr>
        <w:t>七、联系方式</w:t>
      </w:r>
      <w:r>
        <w:tab/>
      </w:r>
      <w:r>
        <w:fldChar w:fldCharType="begin"/>
      </w:r>
      <w:r>
        <w:instrText xml:space="preserve"> PAGEREF _Toc19589 \h </w:instrText>
      </w:r>
      <w:r>
        <w:fldChar w:fldCharType="separate"/>
      </w:r>
      <w:r>
        <w:t>3</w:t>
      </w:r>
      <w:r>
        <w:fldChar w:fldCharType="end"/>
      </w:r>
      <w:r>
        <w:fldChar w:fldCharType="end"/>
      </w:r>
    </w:p>
    <w:p>
      <w:pPr>
        <w:pStyle w:val="29"/>
        <w:tabs>
          <w:tab w:val="right" w:leader="dot" w:pos="9638"/>
        </w:tabs>
      </w:pPr>
      <w:r>
        <w:fldChar w:fldCharType="begin"/>
      </w:r>
      <w:r>
        <w:instrText xml:space="preserve"> HYPERLINK \l "_Toc1590" </w:instrText>
      </w:r>
      <w:r>
        <w:fldChar w:fldCharType="separate"/>
      </w:r>
      <w:r>
        <w:rPr>
          <w:rFonts w:hint="eastAsia" w:ascii="仿宋" w:hAnsi="仿宋" w:eastAsia="仿宋" w:cs="仿宋"/>
          <w:szCs w:val="28"/>
        </w:rPr>
        <w:t>第二章 供应商须知</w:t>
      </w:r>
      <w:r>
        <w:tab/>
      </w:r>
      <w:r>
        <w:fldChar w:fldCharType="begin"/>
      </w:r>
      <w:r>
        <w:instrText xml:space="preserve"> PAGEREF _Toc1590 \h </w:instrText>
      </w:r>
      <w:r>
        <w:fldChar w:fldCharType="separate"/>
      </w:r>
      <w:r>
        <w:t>5</w:t>
      </w:r>
      <w:r>
        <w:fldChar w:fldCharType="end"/>
      </w:r>
      <w:r>
        <w:fldChar w:fldCharType="end"/>
      </w:r>
    </w:p>
    <w:p>
      <w:pPr>
        <w:pStyle w:val="37"/>
        <w:tabs>
          <w:tab w:val="right" w:leader="dot" w:pos="9638"/>
        </w:tabs>
      </w:pPr>
      <w:r>
        <w:fldChar w:fldCharType="begin"/>
      </w:r>
      <w:r>
        <w:instrText xml:space="preserve"> HYPERLINK \l "_Toc15354" </w:instrText>
      </w:r>
      <w:r>
        <w:fldChar w:fldCharType="separate"/>
      </w:r>
      <w:r>
        <w:rPr>
          <w:rFonts w:hint="eastAsia" w:ascii="仿宋" w:hAnsi="仿宋" w:eastAsia="仿宋" w:cs="仿宋"/>
          <w:szCs w:val="24"/>
        </w:rPr>
        <w:t>一、供应商须知前附表</w:t>
      </w:r>
      <w:r>
        <w:tab/>
      </w:r>
      <w:r>
        <w:fldChar w:fldCharType="begin"/>
      </w:r>
      <w:r>
        <w:instrText xml:space="preserve"> PAGEREF _Toc15354 \h </w:instrText>
      </w:r>
      <w:r>
        <w:fldChar w:fldCharType="separate"/>
      </w:r>
      <w:r>
        <w:t>5</w:t>
      </w:r>
      <w:r>
        <w:fldChar w:fldCharType="end"/>
      </w:r>
      <w:r>
        <w:fldChar w:fldCharType="end"/>
      </w:r>
    </w:p>
    <w:p>
      <w:pPr>
        <w:pStyle w:val="37"/>
        <w:tabs>
          <w:tab w:val="right" w:leader="dot" w:pos="9638"/>
        </w:tabs>
      </w:pPr>
      <w:r>
        <w:fldChar w:fldCharType="begin"/>
      </w:r>
      <w:r>
        <w:instrText xml:space="preserve"> HYPERLINK \l "_Toc4309" </w:instrText>
      </w:r>
      <w:r>
        <w:fldChar w:fldCharType="separate"/>
      </w:r>
      <w:r>
        <w:rPr>
          <w:rFonts w:hint="eastAsia" w:ascii="仿宋" w:hAnsi="仿宋" w:eastAsia="仿宋" w:cs="仿宋"/>
          <w:szCs w:val="24"/>
        </w:rPr>
        <w:t>二、供应商须知正文</w:t>
      </w:r>
      <w:r>
        <w:tab/>
      </w:r>
      <w:r>
        <w:fldChar w:fldCharType="begin"/>
      </w:r>
      <w:r>
        <w:instrText xml:space="preserve"> PAGEREF _Toc4309 \h </w:instrText>
      </w:r>
      <w:r>
        <w:fldChar w:fldCharType="separate"/>
      </w:r>
      <w:r>
        <w:t>9</w:t>
      </w:r>
      <w:r>
        <w:fldChar w:fldCharType="end"/>
      </w:r>
      <w:r>
        <w:fldChar w:fldCharType="end"/>
      </w:r>
    </w:p>
    <w:p>
      <w:pPr>
        <w:pStyle w:val="20"/>
        <w:tabs>
          <w:tab w:val="right" w:leader="dot" w:pos="9638"/>
        </w:tabs>
      </w:pPr>
      <w:r>
        <w:fldChar w:fldCharType="begin"/>
      </w:r>
      <w:r>
        <w:instrText xml:space="preserve"> HYPERLINK \l "_Toc5053" </w:instrText>
      </w:r>
      <w:r>
        <w:fldChar w:fldCharType="separate"/>
      </w:r>
      <w:r>
        <w:rPr>
          <w:rFonts w:hint="eastAsia" w:ascii="仿宋" w:hAnsi="仿宋" w:eastAsia="仿宋" w:cs="仿宋"/>
          <w:szCs w:val="24"/>
        </w:rPr>
        <w:t>（一）总 则</w:t>
      </w:r>
      <w:r>
        <w:tab/>
      </w:r>
      <w:r>
        <w:fldChar w:fldCharType="begin"/>
      </w:r>
      <w:r>
        <w:instrText xml:space="preserve"> PAGEREF _Toc5053 \h </w:instrText>
      </w:r>
      <w:r>
        <w:fldChar w:fldCharType="separate"/>
      </w:r>
      <w:r>
        <w:t>9</w:t>
      </w:r>
      <w:r>
        <w:fldChar w:fldCharType="end"/>
      </w:r>
      <w:r>
        <w:fldChar w:fldCharType="end"/>
      </w:r>
    </w:p>
    <w:p>
      <w:pPr>
        <w:pStyle w:val="20"/>
        <w:tabs>
          <w:tab w:val="right" w:leader="dot" w:pos="9638"/>
        </w:tabs>
      </w:pPr>
      <w:r>
        <w:fldChar w:fldCharType="begin"/>
      </w:r>
      <w:r>
        <w:instrText xml:space="preserve"> HYPERLINK \l "_Toc6863" </w:instrText>
      </w:r>
      <w:r>
        <w:fldChar w:fldCharType="separate"/>
      </w:r>
      <w:r>
        <w:rPr>
          <w:rFonts w:hint="eastAsia" w:ascii="仿宋" w:hAnsi="仿宋" w:eastAsia="仿宋" w:cs="仿宋"/>
          <w:szCs w:val="24"/>
        </w:rPr>
        <w:t>（二）磋商文件</w:t>
      </w:r>
      <w:r>
        <w:tab/>
      </w:r>
      <w:r>
        <w:fldChar w:fldCharType="begin"/>
      </w:r>
      <w:r>
        <w:instrText xml:space="preserve"> PAGEREF _Toc6863 \h </w:instrText>
      </w:r>
      <w:r>
        <w:fldChar w:fldCharType="separate"/>
      </w:r>
      <w:r>
        <w:t>9</w:t>
      </w:r>
      <w:r>
        <w:fldChar w:fldCharType="end"/>
      </w:r>
      <w:r>
        <w:fldChar w:fldCharType="end"/>
      </w:r>
    </w:p>
    <w:p>
      <w:pPr>
        <w:pStyle w:val="20"/>
        <w:tabs>
          <w:tab w:val="right" w:leader="dot" w:pos="9638"/>
        </w:tabs>
      </w:pPr>
      <w:r>
        <w:fldChar w:fldCharType="begin"/>
      </w:r>
      <w:r>
        <w:instrText xml:space="preserve"> HYPERLINK \l "_Toc22953" </w:instrText>
      </w:r>
      <w:r>
        <w:fldChar w:fldCharType="separate"/>
      </w:r>
      <w:r>
        <w:rPr>
          <w:rFonts w:hint="eastAsia" w:ascii="仿宋" w:hAnsi="仿宋" w:eastAsia="仿宋" w:cs="仿宋"/>
          <w:szCs w:val="24"/>
        </w:rPr>
        <w:t>（三）响应文件</w:t>
      </w:r>
      <w:r>
        <w:tab/>
      </w:r>
      <w:r>
        <w:fldChar w:fldCharType="begin"/>
      </w:r>
      <w:r>
        <w:instrText xml:space="preserve"> PAGEREF _Toc22953 \h </w:instrText>
      </w:r>
      <w:r>
        <w:fldChar w:fldCharType="separate"/>
      </w:r>
      <w:r>
        <w:t>10</w:t>
      </w:r>
      <w:r>
        <w:fldChar w:fldCharType="end"/>
      </w:r>
      <w:r>
        <w:fldChar w:fldCharType="end"/>
      </w:r>
    </w:p>
    <w:p>
      <w:pPr>
        <w:pStyle w:val="20"/>
        <w:tabs>
          <w:tab w:val="right" w:leader="dot" w:pos="9638"/>
        </w:tabs>
      </w:pPr>
      <w:r>
        <w:fldChar w:fldCharType="begin"/>
      </w:r>
      <w:r>
        <w:instrText xml:space="preserve"> HYPERLINK \l "_Toc22167" </w:instrText>
      </w:r>
      <w:r>
        <w:fldChar w:fldCharType="separate"/>
      </w:r>
      <w:r>
        <w:rPr>
          <w:rFonts w:hint="eastAsia" w:ascii="仿宋" w:hAnsi="仿宋" w:eastAsia="仿宋" w:cs="仿宋"/>
          <w:szCs w:val="24"/>
        </w:rPr>
        <w:t>（四）响应文件的递交</w:t>
      </w:r>
      <w:r>
        <w:tab/>
      </w:r>
      <w:r>
        <w:fldChar w:fldCharType="begin"/>
      </w:r>
      <w:r>
        <w:instrText xml:space="preserve"> PAGEREF _Toc22167 \h </w:instrText>
      </w:r>
      <w:r>
        <w:fldChar w:fldCharType="separate"/>
      </w:r>
      <w:r>
        <w:t>12</w:t>
      </w:r>
      <w:r>
        <w:fldChar w:fldCharType="end"/>
      </w:r>
      <w:r>
        <w:fldChar w:fldCharType="end"/>
      </w:r>
    </w:p>
    <w:p>
      <w:pPr>
        <w:pStyle w:val="20"/>
        <w:tabs>
          <w:tab w:val="right" w:leader="dot" w:pos="9638"/>
        </w:tabs>
      </w:pPr>
      <w:r>
        <w:fldChar w:fldCharType="begin"/>
      </w:r>
      <w:r>
        <w:instrText xml:space="preserve"> HYPERLINK \l "_Toc21069" </w:instrText>
      </w:r>
      <w:r>
        <w:fldChar w:fldCharType="separate"/>
      </w:r>
      <w:r>
        <w:rPr>
          <w:rFonts w:hint="eastAsia" w:ascii="仿宋" w:hAnsi="仿宋" w:eastAsia="仿宋" w:cs="仿宋"/>
          <w:szCs w:val="24"/>
        </w:rPr>
        <w:t>（五）竞争性磋商和评审</w:t>
      </w:r>
      <w:r>
        <w:tab/>
      </w:r>
      <w:r>
        <w:fldChar w:fldCharType="begin"/>
      </w:r>
      <w:r>
        <w:instrText xml:space="preserve"> PAGEREF _Toc21069 \h </w:instrText>
      </w:r>
      <w:r>
        <w:fldChar w:fldCharType="separate"/>
      </w:r>
      <w:r>
        <w:t>12</w:t>
      </w:r>
      <w:r>
        <w:fldChar w:fldCharType="end"/>
      </w:r>
      <w:r>
        <w:fldChar w:fldCharType="end"/>
      </w:r>
    </w:p>
    <w:p>
      <w:pPr>
        <w:pStyle w:val="20"/>
        <w:tabs>
          <w:tab w:val="right" w:leader="dot" w:pos="9638"/>
        </w:tabs>
      </w:pPr>
      <w:r>
        <w:fldChar w:fldCharType="begin"/>
      </w:r>
      <w:r>
        <w:instrText xml:space="preserve"> HYPERLINK \l "_Toc27357" </w:instrText>
      </w:r>
      <w:r>
        <w:fldChar w:fldCharType="separate"/>
      </w:r>
      <w:r>
        <w:rPr>
          <w:rFonts w:hint="eastAsia" w:ascii="仿宋" w:hAnsi="仿宋" w:eastAsia="仿宋" w:cs="仿宋"/>
          <w:szCs w:val="24"/>
        </w:rPr>
        <w:t>（六）授予合同</w:t>
      </w:r>
      <w:r>
        <w:tab/>
      </w:r>
      <w:r>
        <w:fldChar w:fldCharType="begin"/>
      </w:r>
      <w:r>
        <w:instrText xml:space="preserve"> PAGEREF _Toc27357 \h </w:instrText>
      </w:r>
      <w:r>
        <w:fldChar w:fldCharType="separate"/>
      </w:r>
      <w:r>
        <w:t>14</w:t>
      </w:r>
      <w:r>
        <w:fldChar w:fldCharType="end"/>
      </w:r>
      <w:r>
        <w:fldChar w:fldCharType="end"/>
      </w:r>
    </w:p>
    <w:p>
      <w:pPr>
        <w:pStyle w:val="29"/>
        <w:tabs>
          <w:tab w:val="right" w:leader="dot" w:pos="9638"/>
        </w:tabs>
      </w:pPr>
      <w:r>
        <w:fldChar w:fldCharType="begin"/>
      </w:r>
      <w:r>
        <w:instrText xml:space="preserve"> HYPERLINK \l "_Toc5252" </w:instrText>
      </w:r>
      <w:r>
        <w:fldChar w:fldCharType="separate"/>
      </w:r>
      <w:r>
        <w:rPr>
          <w:rFonts w:hint="eastAsia" w:ascii="仿宋" w:hAnsi="仿宋" w:eastAsia="仿宋" w:cs="仿宋"/>
          <w:szCs w:val="28"/>
        </w:rPr>
        <w:t>第三章 评审办法</w:t>
      </w:r>
      <w:r>
        <w:tab/>
      </w:r>
      <w:r>
        <w:fldChar w:fldCharType="begin"/>
      </w:r>
      <w:r>
        <w:instrText xml:space="preserve"> PAGEREF _Toc5252 \h </w:instrText>
      </w:r>
      <w:r>
        <w:fldChar w:fldCharType="separate"/>
      </w:r>
      <w:r>
        <w:t>15</w:t>
      </w:r>
      <w:r>
        <w:fldChar w:fldCharType="end"/>
      </w:r>
      <w:r>
        <w:fldChar w:fldCharType="end"/>
      </w:r>
    </w:p>
    <w:p>
      <w:pPr>
        <w:pStyle w:val="37"/>
        <w:tabs>
          <w:tab w:val="right" w:leader="dot" w:pos="9638"/>
        </w:tabs>
      </w:pPr>
      <w:r>
        <w:fldChar w:fldCharType="begin"/>
      </w:r>
      <w:r>
        <w:instrText xml:space="preserve"> HYPERLINK \l "_Toc14905" </w:instrText>
      </w:r>
      <w:r>
        <w:fldChar w:fldCharType="separate"/>
      </w:r>
      <w:r>
        <w:rPr>
          <w:rFonts w:hint="eastAsia" w:ascii="仿宋" w:hAnsi="仿宋" w:eastAsia="仿宋" w:cs="仿宋"/>
          <w:szCs w:val="24"/>
        </w:rPr>
        <w:t>一、评审程序</w:t>
      </w:r>
      <w:r>
        <w:tab/>
      </w:r>
      <w:r>
        <w:fldChar w:fldCharType="begin"/>
      </w:r>
      <w:r>
        <w:instrText xml:space="preserve"> PAGEREF _Toc14905 \h </w:instrText>
      </w:r>
      <w:r>
        <w:fldChar w:fldCharType="separate"/>
      </w:r>
      <w:r>
        <w:t>15</w:t>
      </w:r>
      <w:r>
        <w:fldChar w:fldCharType="end"/>
      </w:r>
      <w:r>
        <w:fldChar w:fldCharType="end"/>
      </w:r>
    </w:p>
    <w:p>
      <w:pPr>
        <w:pStyle w:val="37"/>
        <w:tabs>
          <w:tab w:val="right" w:leader="dot" w:pos="9638"/>
        </w:tabs>
      </w:pPr>
      <w:r>
        <w:fldChar w:fldCharType="begin"/>
      </w:r>
      <w:r>
        <w:instrText xml:space="preserve"> HYPERLINK \l "_Toc11020" </w:instrText>
      </w:r>
      <w:r>
        <w:fldChar w:fldCharType="separate"/>
      </w:r>
      <w:r>
        <w:rPr>
          <w:rFonts w:hint="eastAsia" w:ascii="仿宋" w:hAnsi="仿宋" w:eastAsia="仿宋" w:cs="仿宋"/>
          <w:szCs w:val="24"/>
        </w:rPr>
        <w:t>二、初步评审</w:t>
      </w:r>
      <w:r>
        <w:tab/>
      </w:r>
      <w:r>
        <w:fldChar w:fldCharType="begin"/>
      </w:r>
      <w:r>
        <w:instrText xml:space="preserve"> PAGEREF _Toc11020 \h </w:instrText>
      </w:r>
      <w:r>
        <w:fldChar w:fldCharType="separate"/>
      </w:r>
      <w:r>
        <w:t>16</w:t>
      </w:r>
      <w:r>
        <w:fldChar w:fldCharType="end"/>
      </w:r>
      <w:r>
        <w:fldChar w:fldCharType="end"/>
      </w:r>
    </w:p>
    <w:p>
      <w:pPr>
        <w:pStyle w:val="37"/>
        <w:tabs>
          <w:tab w:val="right" w:leader="dot" w:pos="9638"/>
        </w:tabs>
      </w:pPr>
      <w:r>
        <w:fldChar w:fldCharType="begin"/>
      </w:r>
      <w:r>
        <w:instrText xml:space="preserve"> HYPERLINK \l "_Toc5356" </w:instrText>
      </w:r>
      <w:r>
        <w:fldChar w:fldCharType="separate"/>
      </w:r>
      <w:r>
        <w:rPr>
          <w:rFonts w:hint="eastAsia" w:ascii="仿宋" w:hAnsi="仿宋" w:eastAsia="仿宋" w:cs="仿宋"/>
          <w:szCs w:val="24"/>
        </w:rPr>
        <w:t>三、详细评审</w:t>
      </w:r>
      <w:r>
        <w:tab/>
      </w:r>
      <w:r>
        <w:fldChar w:fldCharType="begin"/>
      </w:r>
      <w:r>
        <w:instrText xml:space="preserve"> PAGEREF _Toc5356 \h </w:instrText>
      </w:r>
      <w:r>
        <w:fldChar w:fldCharType="separate"/>
      </w:r>
      <w:r>
        <w:t>17</w:t>
      </w:r>
      <w:r>
        <w:fldChar w:fldCharType="end"/>
      </w:r>
      <w:r>
        <w:fldChar w:fldCharType="end"/>
      </w:r>
    </w:p>
    <w:p>
      <w:pPr>
        <w:pStyle w:val="29"/>
        <w:tabs>
          <w:tab w:val="right" w:leader="dot" w:pos="9638"/>
        </w:tabs>
      </w:pPr>
      <w:r>
        <w:fldChar w:fldCharType="begin"/>
      </w:r>
      <w:r>
        <w:instrText xml:space="preserve"> HYPERLINK \l "_Toc15285" </w:instrText>
      </w:r>
      <w:r>
        <w:fldChar w:fldCharType="separate"/>
      </w:r>
      <w:r>
        <w:rPr>
          <w:rFonts w:hint="eastAsia" w:ascii="仿宋" w:hAnsi="仿宋" w:eastAsia="仿宋" w:cs="仿宋"/>
          <w:szCs w:val="28"/>
        </w:rPr>
        <w:t>第四章 合同条款</w:t>
      </w:r>
      <w:r>
        <w:tab/>
      </w:r>
      <w:r>
        <w:fldChar w:fldCharType="begin"/>
      </w:r>
      <w:r>
        <w:instrText xml:space="preserve"> PAGEREF _Toc15285 \h </w:instrText>
      </w:r>
      <w:r>
        <w:fldChar w:fldCharType="separate"/>
      </w:r>
      <w:r>
        <w:t>18</w:t>
      </w:r>
      <w:r>
        <w:fldChar w:fldCharType="end"/>
      </w:r>
      <w:r>
        <w:fldChar w:fldCharType="end"/>
      </w:r>
    </w:p>
    <w:p>
      <w:pPr>
        <w:pStyle w:val="29"/>
        <w:tabs>
          <w:tab w:val="right" w:leader="dot" w:pos="9638"/>
        </w:tabs>
      </w:pPr>
      <w:r>
        <w:fldChar w:fldCharType="begin"/>
      </w:r>
      <w:r>
        <w:instrText xml:space="preserve"> HYPERLINK \l "_Toc3533" </w:instrText>
      </w:r>
      <w:r>
        <w:fldChar w:fldCharType="separate"/>
      </w:r>
      <w:r>
        <w:rPr>
          <w:rFonts w:hint="eastAsia" w:ascii="仿宋" w:hAnsi="仿宋" w:eastAsia="仿宋" w:cs="仿宋"/>
          <w:szCs w:val="28"/>
        </w:rPr>
        <w:t>第五章 采购需求</w:t>
      </w:r>
      <w:r>
        <w:tab/>
      </w:r>
      <w:r>
        <w:fldChar w:fldCharType="begin"/>
      </w:r>
      <w:r>
        <w:instrText xml:space="preserve"> PAGEREF _Toc3533 \h </w:instrText>
      </w:r>
      <w:r>
        <w:fldChar w:fldCharType="separate"/>
      </w:r>
      <w:r>
        <w:t>40</w:t>
      </w:r>
      <w:r>
        <w:fldChar w:fldCharType="end"/>
      </w:r>
      <w:r>
        <w:fldChar w:fldCharType="end"/>
      </w:r>
    </w:p>
    <w:p>
      <w:pPr>
        <w:pStyle w:val="29"/>
        <w:tabs>
          <w:tab w:val="right" w:leader="dot" w:pos="9638"/>
        </w:tabs>
      </w:pPr>
      <w:r>
        <w:fldChar w:fldCharType="begin"/>
      </w:r>
      <w:r>
        <w:instrText xml:space="preserve"> HYPERLINK \l "_Toc10521" </w:instrText>
      </w:r>
      <w:r>
        <w:fldChar w:fldCharType="separate"/>
      </w:r>
      <w:r>
        <w:rPr>
          <w:rFonts w:hint="eastAsia" w:ascii="仿宋" w:hAnsi="仿宋" w:eastAsia="仿宋" w:cs="仿宋"/>
          <w:szCs w:val="28"/>
        </w:rPr>
        <w:t>第六章 响应文件格式</w:t>
      </w:r>
      <w:r>
        <w:tab/>
      </w:r>
      <w:r>
        <w:fldChar w:fldCharType="begin"/>
      </w:r>
      <w:r>
        <w:instrText xml:space="preserve"> PAGEREF _Toc10521 \h </w:instrText>
      </w:r>
      <w:r>
        <w:fldChar w:fldCharType="separate"/>
      </w:r>
      <w:r>
        <w:t>48</w:t>
      </w:r>
      <w:r>
        <w:fldChar w:fldCharType="end"/>
      </w:r>
      <w:r>
        <w:fldChar w:fldCharType="end"/>
      </w:r>
    </w:p>
    <w:p>
      <w:pPr>
        <w:pStyle w:val="37"/>
        <w:tabs>
          <w:tab w:val="right" w:leader="dot" w:pos="9638"/>
        </w:tabs>
      </w:pPr>
      <w:r>
        <w:fldChar w:fldCharType="begin"/>
      </w:r>
      <w:r>
        <w:instrText xml:space="preserve"> HYPERLINK \l "_Toc13228" </w:instrText>
      </w:r>
      <w:r>
        <w:fldChar w:fldCharType="separate"/>
      </w:r>
      <w:r>
        <w:rPr>
          <w:rFonts w:hint="eastAsia" w:ascii="仿宋" w:hAnsi="仿宋" w:eastAsia="仿宋" w:cs="仿宋"/>
          <w:szCs w:val="24"/>
        </w:rPr>
        <w:t>一、商务文件</w:t>
      </w:r>
      <w:r>
        <w:tab/>
      </w:r>
      <w:r>
        <w:fldChar w:fldCharType="begin"/>
      </w:r>
      <w:r>
        <w:instrText xml:space="preserve"> PAGEREF _Toc13228 \h </w:instrText>
      </w:r>
      <w:r>
        <w:fldChar w:fldCharType="separate"/>
      </w:r>
      <w:r>
        <w:t>49</w:t>
      </w:r>
      <w:r>
        <w:fldChar w:fldCharType="end"/>
      </w:r>
      <w:r>
        <w:fldChar w:fldCharType="end"/>
      </w:r>
    </w:p>
    <w:p>
      <w:pPr>
        <w:pStyle w:val="20"/>
        <w:tabs>
          <w:tab w:val="right" w:leader="dot" w:pos="9638"/>
        </w:tabs>
      </w:pPr>
      <w:r>
        <w:fldChar w:fldCharType="begin"/>
      </w:r>
      <w:r>
        <w:instrText xml:space="preserve"> HYPERLINK \l "_Toc2812" </w:instrText>
      </w:r>
      <w:r>
        <w:fldChar w:fldCharType="separate"/>
      </w:r>
      <w:r>
        <w:rPr>
          <w:rFonts w:hint="eastAsia" w:ascii="仿宋" w:hAnsi="仿宋" w:eastAsia="仿宋" w:cs="仿宋"/>
          <w:szCs w:val="24"/>
        </w:rPr>
        <w:t>（一）响应函</w:t>
      </w:r>
      <w:r>
        <w:tab/>
      </w:r>
      <w:r>
        <w:fldChar w:fldCharType="begin"/>
      </w:r>
      <w:r>
        <w:instrText xml:space="preserve"> PAGEREF _Toc2812 \h </w:instrText>
      </w:r>
      <w:r>
        <w:fldChar w:fldCharType="separate"/>
      </w:r>
      <w:r>
        <w:t>51</w:t>
      </w:r>
      <w:r>
        <w:fldChar w:fldCharType="end"/>
      </w:r>
      <w:r>
        <w:fldChar w:fldCharType="end"/>
      </w:r>
    </w:p>
    <w:p>
      <w:pPr>
        <w:pStyle w:val="20"/>
        <w:tabs>
          <w:tab w:val="right" w:leader="dot" w:pos="9638"/>
        </w:tabs>
      </w:pPr>
      <w:r>
        <w:fldChar w:fldCharType="begin"/>
      </w:r>
      <w:r>
        <w:instrText xml:space="preserve"> HYPERLINK \l "_Toc15015"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_Toc15015 \h </w:instrText>
      </w:r>
      <w:r>
        <w:fldChar w:fldCharType="separate"/>
      </w:r>
      <w:r>
        <w:t>52</w:t>
      </w:r>
      <w:r>
        <w:fldChar w:fldCharType="end"/>
      </w:r>
      <w:r>
        <w:fldChar w:fldCharType="end"/>
      </w:r>
    </w:p>
    <w:p>
      <w:pPr>
        <w:pStyle w:val="20"/>
        <w:tabs>
          <w:tab w:val="right" w:leader="dot" w:pos="9638"/>
        </w:tabs>
      </w:pPr>
      <w:r>
        <w:fldChar w:fldCharType="begin"/>
      </w:r>
      <w:r>
        <w:instrText xml:space="preserve"> HYPERLINK \l "_Toc31426" </w:instrText>
      </w:r>
      <w:r>
        <w:fldChar w:fldCharType="separate"/>
      </w:r>
      <w:r>
        <w:rPr>
          <w:rFonts w:hint="eastAsia" w:ascii="仿宋" w:hAnsi="仿宋" w:eastAsia="仿宋" w:cs="仿宋"/>
          <w:szCs w:val="24"/>
        </w:rPr>
        <w:t>（三）法定代表人（负责人）授权委托书</w:t>
      </w:r>
      <w:r>
        <w:tab/>
      </w:r>
      <w:r>
        <w:fldChar w:fldCharType="begin"/>
      </w:r>
      <w:r>
        <w:instrText xml:space="preserve"> PAGEREF _Toc31426 \h </w:instrText>
      </w:r>
      <w:r>
        <w:fldChar w:fldCharType="separate"/>
      </w:r>
      <w:r>
        <w:t>53</w:t>
      </w:r>
      <w:r>
        <w:fldChar w:fldCharType="end"/>
      </w:r>
      <w:r>
        <w:fldChar w:fldCharType="end"/>
      </w:r>
    </w:p>
    <w:p>
      <w:pPr>
        <w:pStyle w:val="20"/>
        <w:tabs>
          <w:tab w:val="right" w:leader="dot" w:pos="9638"/>
        </w:tabs>
      </w:pPr>
      <w:r>
        <w:fldChar w:fldCharType="begin"/>
      </w:r>
      <w:r>
        <w:instrText xml:space="preserve"> HYPERLINK \l "_Toc15686" </w:instrText>
      </w:r>
      <w:r>
        <w:fldChar w:fldCharType="separate"/>
      </w:r>
      <w:r>
        <w:rPr>
          <w:rFonts w:hint="eastAsia" w:ascii="仿宋" w:hAnsi="仿宋" w:eastAsia="仿宋" w:cs="仿宋"/>
          <w:szCs w:val="24"/>
        </w:rPr>
        <w:t>（四）资格证明文件</w:t>
      </w:r>
      <w:r>
        <w:tab/>
      </w:r>
      <w:r>
        <w:fldChar w:fldCharType="begin"/>
      </w:r>
      <w:r>
        <w:instrText xml:space="preserve"> PAGEREF _Toc15686 \h </w:instrText>
      </w:r>
      <w:r>
        <w:fldChar w:fldCharType="separate"/>
      </w:r>
      <w:r>
        <w:t>54</w:t>
      </w:r>
      <w:r>
        <w:fldChar w:fldCharType="end"/>
      </w:r>
      <w:r>
        <w:fldChar w:fldCharType="end"/>
      </w:r>
    </w:p>
    <w:p>
      <w:pPr>
        <w:pStyle w:val="20"/>
        <w:tabs>
          <w:tab w:val="right" w:leader="dot" w:pos="9638"/>
        </w:tabs>
      </w:pPr>
      <w:r>
        <w:fldChar w:fldCharType="begin"/>
      </w:r>
      <w:r>
        <w:instrText xml:space="preserve"> HYPERLINK \l "_Toc23724"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_Toc23724 \h </w:instrText>
      </w:r>
      <w:r>
        <w:fldChar w:fldCharType="separate"/>
      </w:r>
      <w:r>
        <w:t>62</w:t>
      </w:r>
      <w:r>
        <w:fldChar w:fldCharType="end"/>
      </w:r>
      <w:r>
        <w:fldChar w:fldCharType="end"/>
      </w:r>
    </w:p>
    <w:p>
      <w:pPr>
        <w:pStyle w:val="20"/>
        <w:tabs>
          <w:tab w:val="right" w:leader="dot" w:pos="9638"/>
        </w:tabs>
      </w:pPr>
      <w:r>
        <w:fldChar w:fldCharType="begin"/>
      </w:r>
      <w:r>
        <w:instrText xml:space="preserve"> HYPERLINK \l "_Toc15194" </w:instrText>
      </w:r>
      <w:r>
        <w:fldChar w:fldCharType="separate"/>
      </w:r>
      <w:r>
        <w:rPr>
          <w:rFonts w:hint="eastAsia" w:ascii="仿宋" w:hAnsi="仿宋" w:eastAsia="仿宋" w:cs="仿宋"/>
          <w:bCs/>
        </w:rPr>
        <w:t>（六）合同条款应答偏</w:t>
      </w:r>
      <w:r>
        <w:rPr>
          <w:rFonts w:ascii="仿宋" w:hAnsi="仿宋" w:eastAsia="仿宋" w:cs="仿宋"/>
          <w:bCs/>
        </w:rPr>
        <w:t>离表</w:t>
      </w:r>
      <w:r>
        <w:tab/>
      </w:r>
      <w:r>
        <w:fldChar w:fldCharType="begin"/>
      </w:r>
      <w:r>
        <w:instrText xml:space="preserve"> PAGEREF _Toc15194 \h </w:instrText>
      </w:r>
      <w:r>
        <w:fldChar w:fldCharType="separate"/>
      </w:r>
      <w:r>
        <w:t>63</w:t>
      </w:r>
      <w:r>
        <w:fldChar w:fldCharType="end"/>
      </w:r>
      <w:r>
        <w:fldChar w:fldCharType="end"/>
      </w:r>
    </w:p>
    <w:p>
      <w:pPr>
        <w:pStyle w:val="20"/>
        <w:tabs>
          <w:tab w:val="right" w:leader="dot" w:pos="9638"/>
        </w:tabs>
      </w:pPr>
      <w:r>
        <w:fldChar w:fldCharType="begin"/>
      </w:r>
      <w:r>
        <w:instrText xml:space="preserve"> HYPERLINK \l "_Toc21413" </w:instrText>
      </w:r>
      <w:r>
        <w:fldChar w:fldCharType="separate"/>
      </w:r>
      <w:r>
        <w:rPr>
          <w:rFonts w:hint="eastAsia" w:ascii="仿宋" w:hAnsi="仿宋" w:eastAsia="仿宋" w:cs="仿宋"/>
          <w:szCs w:val="24"/>
        </w:rPr>
        <w:t>（七）供应商行为准则承诺书</w:t>
      </w:r>
      <w:r>
        <w:tab/>
      </w:r>
      <w:r>
        <w:fldChar w:fldCharType="begin"/>
      </w:r>
      <w:r>
        <w:instrText xml:space="preserve"> PAGEREF _Toc21413 \h </w:instrText>
      </w:r>
      <w:r>
        <w:fldChar w:fldCharType="separate"/>
      </w:r>
      <w:r>
        <w:t>64</w:t>
      </w:r>
      <w:r>
        <w:fldChar w:fldCharType="end"/>
      </w:r>
      <w:r>
        <w:fldChar w:fldCharType="end"/>
      </w:r>
    </w:p>
    <w:p>
      <w:pPr>
        <w:pStyle w:val="20"/>
        <w:tabs>
          <w:tab w:val="right" w:leader="dot" w:pos="9638"/>
        </w:tabs>
      </w:pPr>
      <w:r>
        <w:fldChar w:fldCharType="begin"/>
      </w:r>
      <w:r>
        <w:instrText xml:space="preserve"> HYPERLINK \l "_Toc27888" </w:instrText>
      </w:r>
      <w:r>
        <w:fldChar w:fldCharType="separate"/>
      </w:r>
      <w:r>
        <w:rPr>
          <w:rFonts w:hint="eastAsia" w:ascii="仿宋" w:hAnsi="仿宋" w:eastAsia="仿宋" w:cs="宋体"/>
          <w:szCs w:val="24"/>
        </w:rPr>
        <w:t>（八）供应商廉洁诚信承诺书</w:t>
      </w:r>
      <w:r>
        <w:tab/>
      </w:r>
      <w:r>
        <w:fldChar w:fldCharType="begin"/>
      </w:r>
      <w:r>
        <w:instrText xml:space="preserve"> PAGEREF _Toc27888 \h </w:instrText>
      </w:r>
      <w:r>
        <w:fldChar w:fldCharType="separate"/>
      </w:r>
      <w:r>
        <w:t>66</w:t>
      </w:r>
      <w:r>
        <w:fldChar w:fldCharType="end"/>
      </w:r>
      <w:r>
        <w:fldChar w:fldCharType="end"/>
      </w:r>
    </w:p>
    <w:p>
      <w:pPr>
        <w:pStyle w:val="20"/>
        <w:tabs>
          <w:tab w:val="right" w:leader="dot" w:pos="9638"/>
        </w:tabs>
      </w:pPr>
      <w:r>
        <w:fldChar w:fldCharType="begin"/>
      </w:r>
      <w:r>
        <w:instrText xml:space="preserve"> HYPERLINK \l "_Toc15606" </w:instrText>
      </w:r>
      <w:r>
        <w:fldChar w:fldCharType="separate"/>
      </w:r>
      <w:r>
        <w:rPr>
          <w:rFonts w:hint="eastAsia" w:ascii="仿宋" w:hAnsi="仿宋" w:eastAsia="仿宋" w:cs="仿宋"/>
          <w:szCs w:val="24"/>
        </w:rPr>
        <w:t>（九）</w:t>
      </w:r>
      <w:r>
        <w:rPr>
          <w:rFonts w:hint="eastAsia" w:ascii="仿宋" w:hAnsi="仿宋" w:eastAsia="仿宋" w:cs="仿宋"/>
          <w:bCs/>
        </w:rPr>
        <w:t>同类项目实施经验</w:t>
      </w:r>
      <w:r>
        <w:tab/>
      </w:r>
      <w:r>
        <w:fldChar w:fldCharType="begin"/>
      </w:r>
      <w:r>
        <w:instrText xml:space="preserve"> PAGEREF _Toc15606 \h </w:instrText>
      </w:r>
      <w:r>
        <w:fldChar w:fldCharType="separate"/>
      </w:r>
      <w:r>
        <w:t>69</w:t>
      </w:r>
      <w:r>
        <w:fldChar w:fldCharType="end"/>
      </w:r>
      <w:r>
        <w:fldChar w:fldCharType="end"/>
      </w:r>
    </w:p>
    <w:p>
      <w:pPr>
        <w:pStyle w:val="37"/>
        <w:tabs>
          <w:tab w:val="right" w:leader="dot" w:pos="9638"/>
        </w:tabs>
      </w:pPr>
      <w:r>
        <w:fldChar w:fldCharType="begin"/>
      </w:r>
      <w:r>
        <w:instrText xml:space="preserve"> HYPERLINK \l "_Toc29155" </w:instrText>
      </w:r>
      <w:r>
        <w:fldChar w:fldCharType="separate"/>
      </w:r>
      <w:r>
        <w:rPr>
          <w:rFonts w:hint="eastAsia" w:ascii="仿宋" w:hAnsi="仿宋" w:eastAsia="仿宋" w:cs="仿宋"/>
          <w:szCs w:val="24"/>
        </w:rPr>
        <w:t>二、技术文件</w:t>
      </w:r>
      <w:r>
        <w:tab/>
      </w:r>
      <w:r>
        <w:fldChar w:fldCharType="begin"/>
      </w:r>
      <w:r>
        <w:instrText xml:space="preserve"> PAGEREF _Toc29155 \h </w:instrText>
      </w:r>
      <w:r>
        <w:fldChar w:fldCharType="separate"/>
      </w:r>
      <w:r>
        <w:t>70</w:t>
      </w:r>
      <w:r>
        <w:fldChar w:fldCharType="end"/>
      </w:r>
      <w:r>
        <w:fldChar w:fldCharType="end"/>
      </w:r>
    </w:p>
    <w:p>
      <w:pPr>
        <w:pStyle w:val="20"/>
        <w:tabs>
          <w:tab w:val="right" w:leader="dot" w:pos="9638"/>
        </w:tabs>
      </w:pPr>
      <w:r>
        <w:fldChar w:fldCharType="begin"/>
      </w:r>
      <w:r>
        <w:instrText xml:space="preserve"> HYPERLINK \l "_Toc14869" </w:instrText>
      </w:r>
      <w:r>
        <w:fldChar w:fldCharType="separate"/>
      </w:r>
      <w:r>
        <w:rPr>
          <w:rFonts w:hint="eastAsia" w:ascii="仿宋" w:hAnsi="仿宋" w:eastAsia="仿宋" w:cs="仿宋"/>
          <w:szCs w:val="24"/>
        </w:rPr>
        <w:t>（一）采购需求应答偏离表</w:t>
      </w:r>
      <w:r>
        <w:tab/>
      </w:r>
      <w:r>
        <w:fldChar w:fldCharType="begin"/>
      </w:r>
      <w:r>
        <w:instrText xml:space="preserve"> PAGEREF _Toc14869 \h </w:instrText>
      </w:r>
      <w:r>
        <w:fldChar w:fldCharType="separate"/>
      </w:r>
      <w:r>
        <w:t>71</w:t>
      </w:r>
      <w:r>
        <w:fldChar w:fldCharType="end"/>
      </w:r>
      <w:r>
        <w:fldChar w:fldCharType="end"/>
      </w:r>
    </w:p>
    <w:p>
      <w:pPr>
        <w:pStyle w:val="20"/>
        <w:tabs>
          <w:tab w:val="right" w:leader="dot" w:pos="9638"/>
        </w:tabs>
      </w:pPr>
      <w:r>
        <w:fldChar w:fldCharType="begin"/>
      </w:r>
      <w:r>
        <w:instrText xml:space="preserve"> HYPERLINK \l "_Toc27328" </w:instrText>
      </w:r>
      <w:r>
        <w:fldChar w:fldCharType="separate"/>
      </w:r>
      <w:r>
        <w:rPr>
          <w:rFonts w:hint="eastAsia" w:ascii="仿宋" w:hAnsi="仿宋" w:eastAsia="仿宋" w:cs="仿宋"/>
          <w:szCs w:val="24"/>
        </w:rPr>
        <w:t>（二）技术方案</w:t>
      </w:r>
      <w:r>
        <w:tab/>
      </w:r>
      <w:r>
        <w:fldChar w:fldCharType="begin"/>
      </w:r>
      <w:r>
        <w:instrText xml:space="preserve"> PAGEREF _Toc27328 \h </w:instrText>
      </w:r>
      <w:r>
        <w:fldChar w:fldCharType="separate"/>
      </w:r>
      <w:r>
        <w:t>72</w:t>
      </w:r>
      <w:r>
        <w:fldChar w:fldCharType="end"/>
      </w:r>
      <w:r>
        <w:fldChar w:fldCharType="end"/>
      </w:r>
    </w:p>
    <w:p>
      <w:pPr>
        <w:pStyle w:val="20"/>
        <w:tabs>
          <w:tab w:val="right" w:leader="dot" w:pos="9638"/>
        </w:tabs>
      </w:pPr>
      <w:r>
        <w:fldChar w:fldCharType="begin"/>
      </w:r>
      <w:r>
        <w:instrText xml:space="preserve"> HYPERLINK \l "_Toc17001" </w:instrText>
      </w:r>
      <w:r>
        <w:fldChar w:fldCharType="separate"/>
      </w:r>
      <w:r>
        <w:rPr>
          <w:rFonts w:hint="eastAsia" w:ascii="仿宋" w:hAnsi="仿宋" w:eastAsia="仿宋" w:cs="仿宋"/>
          <w:szCs w:val="24"/>
        </w:rPr>
        <w:t>（三）其他材料</w:t>
      </w:r>
      <w:r>
        <w:tab/>
      </w:r>
      <w:r>
        <w:fldChar w:fldCharType="begin"/>
      </w:r>
      <w:r>
        <w:instrText xml:space="preserve"> PAGEREF _Toc17001 \h </w:instrText>
      </w:r>
      <w:r>
        <w:fldChar w:fldCharType="separate"/>
      </w:r>
      <w:r>
        <w:t>74</w:t>
      </w:r>
      <w:r>
        <w:fldChar w:fldCharType="end"/>
      </w:r>
      <w:r>
        <w:fldChar w:fldCharType="end"/>
      </w:r>
    </w:p>
    <w:p>
      <w:pPr>
        <w:pStyle w:val="37"/>
        <w:tabs>
          <w:tab w:val="right" w:leader="dot" w:pos="9638"/>
        </w:tabs>
      </w:pPr>
      <w:r>
        <w:fldChar w:fldCharType="begin"/>
      </w:r>
      <w:r>
        <w:instrText xml:space="preserve"> HYPERLINK \l "_Toc11811" </w:instrText>
      </w:r>
      <w:r>
        <w:fldChar w:fldCharType="separate"/>
      </w:r>
      <w:r>
        <w:rPr>
          <w:rFonts w:hint="eastAsia" w:ascii="仿宋" w:hAnsi="仿宋" w:eastAsia="仿宋" w:cs="仿宋"/>
          <w:szCs w:val="24"/>
        </w:rPr>
        <w:t>三、报价文件</w:t>
      </w:r>
      <w:r>
        <w:tab/>
      </w:r>
      <w:r>
        <w:fldChar w:fldCharType="begin"/>
      </w:r>
      <w:r>
        <w:instrText xml:space="preserve"> PAGEREF _Toc11811 \h </w:instrText>
      </w:r>
      <w:r>
        <w:fldChar w:fldCharType="separate"/>
      </w:r>
      <w:r>
        <w:t>75</w:t>
      </w:r>
      <w:r>
        <w:fldChar w:fldCharType="end"/>
      </w:r>
      <w:r>
        <w:fldChar w:fldCharType="end"/>
      </w:r>
    </w:p>
    <w:p>
      <w:pPr>
        <w:pStyle w:val="20"/>
        <w:tabs>
          <w:tab w:val="right" w:leader="dot" w:pos="9638"/>
        </w:tabs>
      </w:pPr>
      <w:r>
        <w:fldChar w:fldCharType="begin"/>
      </w:r>
      <w:r>
        <w:instrText xml:space="preserve"> HYPERLINK \l "_Toc17344" </w:instrText>
      </w:r>
      <w:r>
        <w:fldChar w:fldCharType="separate"/>
      </w:r>
      <w:r>
        <w:rPr>
          <w:rFonts w:hint="eastAsia" w:ascii="仿宋" w:hAnsi="仿宋" w:eastAsia="仿宋" w:cs="仿宋"/>
          <w:szCs w:val="24"/>
        </w:rPr>
        <w:t>（一）报价一览表</w:t>
      </w:r>
      <w:r>
        <w:tab/>
      </w:r>
      <w:r>
        <w:fldChar w:fldCharType="begin"/>
      </w:r>
      <w:r>
        <w:instrText xml:space="preserve"> PAGEREF _Toc17344 \h </w:instrText>
      </w:r>
      <w:r>
        <w:fldChar w:fldCharType="separate"/>
      </w:r>
      <w:r>
        <w:t>75</w:t>
      </w:r>
      <w:r>
        <w:fldChar w:fldCharType="end"/>
      </w:r>
      <w:r>
        <w:fldChar w:fldCharType="end"/>
      </w:r>
    </w:p>
    <w:p>
      <w:pPr>
        <w:pStyle w:val="20"/>
        <w:tabs>
          <w:tab w:val="right" w:leader="dot" w:pos="9638"/>
        </w:tabs>
        <w:rPr>
          <w:rFonts w:ascii="仿宋" w:hAnsi="仿宋" w:eastAsia="仿宋" w:cs="仿宋"/>
          <w:color w:val="000000"/>
          <w:sz w:val="24"/>
        </w:rPr>
        <w:sectPr>
          <w:headerReference r:id="rId8" w:type="default"/>
          <w:footerReference r:id="rId9" w:type="default"/>
          <w:pgSz w:w="11906" w:h="16838"/>
          <w:pgMar w:top="1417" w:right="1134" w:bottom="1134" w:left="1134" w:header="851" w:footer="992" w:gutter="0"/>
          <w:pgNumType w:start="1"/>
          <w:cols w:space="720" w:num="1"/>
        </w:sectPr>
      </w:pPr>
      <w:r>
        <w:rPr>
          <w:rFonts w:hint="eastAsia" w:ascii="仿宋" w:hAnsi="仿宋" w:eastAsia="仿宋" w:cs="仿宋"/>
          <w:caps/>
          <w:color w:val="000000"/>
        </w:rPr>
        <w:fldChar w:fldCharType="end"/>
      </w:r>
    </w:p>
    <w:p>
      <w:pPr>
        <w:pStyle w:val="3"/>
        <w:spacing w:before="0" w:after="0" w:line="360" w:lineRule="auto"/>
        <w:jc w:val="center"/>
        <w:rPr>
          <w:rFonts w:ascii="仿宋" w:hAnsi="仿宋" w:eastAsia="仿宋" w:cs="仿宋"/>
          <w:bCs w:val="0"/>
          <w:color w:val="000000"/>
          <w:sz w:val="28"/>
          <w:szCs w:val="28"/>
        </w:rPr>
      </w:pPr>
      <w:bookmarkStart w:id="1" w:name="_Toc11691"/>
      <w:bookmarkStart w:id="2" w:name="_Toc7300"/>
      <w:bookmarkStart w:id="3" w:name="_Toc517281813"/>
      <w:bookmarkStart w:id="4" w:name="_Toc11838"/>
      <w:bookmarkStart w:id="5" w:name="_Toc19709"/>
      <w:bookmarkStart w:id="6" w:name="_Toc444891333"/>
      <w:bookmarkStart w:id="7" w:name="_Toc287600115"/>
      <w:bookmarkStart w:id="8" w:name="_Toc11826"/>
      <w:r>
        <w:rPr>
          <w:rFonts w:hint="eastAsia" w:ascii="仿宋" w:hAnsi="仿宋" w:eastAsia="仿宋" w:cs="仿宋"/>
          <w:bCs w:val="0"/>
          <w:color w:val="000000"/>
          <w:sz w:val="28"/>
          <w:szCs w:val="28"/>
        </w:rPr>
        <w:t>第一章 竞争性磋商公告</w:t>
      </w:r>
      <w:bookmarkEnd w:id="1"/>
    </w:p>
    <w:p>
      <w:pPr>
        <w:spacing w:line="360" w:lineRule="auto"/>
        <w:ind w:firstLine="480"/>
        <w:rPr>
          <w:rFonts w:ascii="仿宋" w:hAnsi="仿宋" w:eastAsia="仿宋" w:cs="Cambria Math"/>
          <w:color w:val="000000"/>
          <w:sz w:val="24"/>
        </w:rPr>
      </w:pPr>
      <w:r>
        <w:rPr>
          <w:rFonts w:hint="eastAsia" w:ascii="仿宋" w:hAnsi="仿宋" w:eastAsia="仿宋" w:cs="仿宋"/>
          <w:color w:val="000000"/>
          <w:sz w:val="24"/>
        </w:rPr>
        <w:t>本项目</w:t>
      </w:r>
      <w:r>
        <w:rPr>
          <w:rFonts w:hint="eastAsia" w:ascii="仿宋" w:hAnsi="仿宋" w:eastAsia="仿宋" w:cs="仿宋"/>
          <w:color w:val="FF0000"/>
          <w:sz w:val="24"/>
          <w:u w:val="single"/>
        </w:rPr>
        <w:t>人保财险广东广州金融街营业部国银中心9楼职场装修工程采购项目</w:t>
      </w:r>
      <w:r>
        <w:rPr>
          <w:rFonts w:hint="eastAsia" w:ascii="仿宋" w:hAnsi="仿宋" w:eastAsia="仿宋" w:cs="仿宋"/>
          <w:color w:val="000000"/>
          <w:sz w:val="24"/>
        </w:rPr>
        <w:t>由</w:t>
      </w:r>
      <w:r>
        <w:rPr>
          <w:rFonts w:hint="eastAsia" w:ascii="仿宋" w:hAnsi="仿宋" w:eastAsia="仿宋" w:cs="仿宋"/>
          <w:sz w:val="24"/>
          <w:u w:val="single"/>
        </w:rPr>
        <w:t>中国人民财产保险股份有限公司广州市分公司</w:t>
      </w:r>
      <w:r>
        <w:rPr>
          <w:rFonts w:hint="eastAsia" w:ascii="仿宋" w:hAnsi="仿宋" w:eastAsia="仿宋" w:cs="仿宋"/>
          <w:color w:val="000000"/>
          <w:sz w:val="24"/>
        </w:rPr>
        <w:t>（以下简称“采购人”）</w:t>
      </w:r>
      <w:r>
        <w:rPr>
          <w:rFonts w:hint="eastAsia" w:ascii="仿宋" w:hAnsi="仿宋" w:eastAsia="仿宋" w:cs="Cambria Math"/>
          <w:sz w:val="24"/>
        </w:rPr>
        <w:t>批准并落实资金，组织本项目的磋商工作</w:t>
      </w:r>
      <w:r>
        <w:rPr>
          <w:rFonts w:hint="eastAsia" w:ascii="仿宋" w:hAnsi="仿宋" w:eastAsia="仿宋" w:cs="仿宋"/>
          <w:color w:val="000000"/>
          <w:sz w:val="24"/>
        </w:rPr>
        <w:t>，采购合同由</w:t>
      </w:r>
      <w:r>
        <w:rPr>
          <w:rFonts w:hint="eastAsia" w:ascii="仿宋" w:hAnsi="仿宋" w:eastAsia="仿宋" w:cs="宋体"/>
          <w:sz w:val="24"/>
          <w:u w:val="single"/>
        </w:rPr>
        <w:t>中国人民财产保险股份有限公司广州市分公司</w:t>
      </w:r>
      <w:r>
        <w:rPr>
          <w:rFonts w:hint="eastAsia" w:ascii="仿宋" w:hAnsi="仿宋" w:eastAsia="仿宋" w:cs="宋体"/>
          <w:sz w:val="24"/>
        </w:rPr>
        <w:t>（以下简称“人保财险广州市分公司”）</w:t>
      </w:r>
      <w:r>
        <w:rPr>
          <w:rFonts w:hint="eastAsia" w:ascii="仿宋" w:hAnsi="仿宋" w:eastAsia="仿宋" w:cs="仿宋"/>
          <w:color w:val="000000"/>
          <w:sz w:val="24"/>
        </w:rPr>
        <w:t>根据成交结果与成交人签署。</w:t>
      </w:r>
      <w:r>
        <w:rPr>
          <w:rFonts w:hint="eastAsia" w:ascii="仿宋" w:hAnsi="仿宋" w:eastAsia="仿宋" w:cs="仿宋"/>
          <w:sz w:val="24"/>
        </w:rPr>
        <w:t>现进行公开竞争性磋商</w:t>
      </w:r>
      <w:r>
        <w:rPr>
          <w:rFonts w:hint="eastAsia" w:ascii="仿宋" w:hAnsi="仿宋" w:eastAsia="仿宋" w:cs="仿宋"/>
          <w:color w:val="000000"/>
          <w:sz w:val="24"/>
        </w:rPr>
        <w:t>，</w:t>
      </w:r>
      <w:r>
        <w:rPr>
          <w:rFonts w:hint="eastAsia" w:ascii="仿宋" w:hAnsi="仿宋" w:eastAsia="仿宋" w:cs="Cambria Math"/>
          <w:sz w:val="24"/>
        </w:rPr>
        <w:t>有意向且具有提供标的物能力的潜在供应商（以下简称“供应商”）可前来参与磋商响应。</w:t>
      </w:r>
      <w:r>
        <w:rPr>
          <w:rFonts w:hint="eastAsia" w:ascii="仿宋" w:hAnsi="仿宋" w:eastAsia="仿宋" w:cs="Cambria Math"/>
          <w:color w:val="000000"/>
          <w:sz w:val="24"/>
        </w:rPr>
        <w:t xml:space="preserve"> </w:t>
      </w:r>
    </w:p>
    <w:p>
      <w:pPr>
        <w:pStyle w:val="4"/>
        <w:ind w:firstLine="0"/>
        <w:jc w:val="left"/>
        <w:rPr>
          <w:rFonts w:ascii="仿宋" w:hAnsi="仿宋" w:eastAsia="仿宋" w:cs="仿宋"/>
          <w:color w:val="000000"/>
          <w:sz w:val="24"/>
          <w:szCs w:val="24"/>
        </w:rPr>
      </w:pPr>
      <w:bookmarkStart w:id="9" w:name="_Toc22271"/>
      <w:r>
        <w:rPr>
          <w:rFonts w:hint="eastAsia" w:ascii="仿宋" w:hAnsi="仿宋" w:eastAsia="仿宋" w:cs="仿宋"/>
          <w:color w:val="000000"/>
          <w:sz w:val="24"/>
          <w:szCs w:val="24"/>
        </w:rPr>
        <w:t>一、项目概况与采购范围</w:t>
      </w:r>
      <w:bookmarkEnd w:id="9"/>
    </w:p>
    <w:p>
      <w:pPr>
        <w:spacing w:line="360" w:lineRule="auto"/>
        <w:ind w:firstLine="480"/>
        <w:jc w:val="left"/>
        <w:rPr>
          <w:rFonts w:ascii="仿宋" w:hAnsi="仿宋" w:eastAsia="仿宋" w:cs="仿宋"/>
          <w:color w:val="000000"/>
          <w:sz w:val="24"/>
        </w:rPr>
      </w:pPr>
      <w:r>
        <w:rPr>
          <w:rFonts w:hint="eastAsia" w:ascii="仿宋" w:hAnsi="仿宋" w:eastAsia="仿宋" w:cs="仿宋"/>
          <w:color w:val="000000"/>
          <w:sz w:val="24"/>
        </w:rPr>
        <w:t>1.1 项目名称：</w:t>
      </w:r>
      <w:r>
        <w:rPr>
          <w:rFonts w:hint="eastAsia" w:ascii="仿宋" w:hAnsi="仿宋" w:eastAsia="仿宋" w:cs="仿宋"/>
          <w:color w:val="FF0000"/>
          <w:sz w:val="24"/>
          <w:u w:val="single"/>
        </w:rPr>
        <w:t>人保财险广东广州金融街营业部国银中心9楼职场装修工程采购项目</w:t>
      </w:r>
      <w:r>
        <w:rPr>
          <w:rFonts w:hint="eastAsia" w:ascii="仿宋" w:hAnsi="仿宋" w:eastAsia="仿宋" w:cs="仿宋"/>
          <w:color w:val="000000"/>
          <w:sz w:val="24"/>
        </w:rPr>
        <w:t>。</w:t>
      </w:r>
    </w:p>
    <w:p>
      <w:pPr>
        <w:spacing w:line="360" w:lineRule="auto"/>
        <w:ind w:firstLine="480"/>
        <w:jc w:val="left"/>
        <w:rPr>
          <w:rFonts w:ascii="仿宋" w:hAnsi="仿宋" w:eastAsia="仿宋" w:cs="仿宋"/>
          <w:color w:val="000000"/>
          <w:sz w:val="24"/>
        </w:rPr>
      </w:pPr>
      <w:r>
        <w:rPr>
          <w:rFonts w:hint="eastAsia" w:ascii="仿宋" w:hAnsi="仿宋" w:eastAsia="仿宋" w:cs="仿宋"/>
          <w:color w:val="000000"/>
          <w:sz w:val="24"/>
        </w:rPr>
        <w:t>1.2 采购范围：</w:t>
      </w:r>
      <w:r>
        <w:rPr>
          <w:rFonts w:hint="eastAsia" w:ascii="仿宋" w:hAnsi="仿宋" w:eastAsia="仿宋" w:cs="仿宋"/>
          <w:sz w:val="24"/>
        </w:rPr>
        <w:t>本项目拟采购</w:t>
      </w:r>
      <w:r>
        <w:rPr>
          <w:rFonts w:hint="eastAsia" w:ascii="仿宋" w:hAnsi="仿宋" w:eastAsia="仿宋" w:cs="仿宋"/>
          <w:color w:val="FF0000"/>
          <w:sz w:val="24"/>
        </w:rPr>
        <w:t>1家供应商，在</w:t>
      </w:r>
      <w:r>
        <w:rPr>
          <w:rFonts w:ascii="仿宋" w:hAnsi="仿宋" w:eastAsia="仿宋" w:cs="仿宋"/>
          <w:color w:val="FF0000"/>
          <w:sz w:val="24"/>
        </w:rPr>
        <w:t>20</w:t>
      </w:r>
      <w:r>
        <w:rPr>
          <w:rFonts w:hint="eastAsia" w:ascii="仿宋" w:hAnsi="仿宋" w:eastAsia="仿宋" w:cs="仿宋"/>
          <w:color w:val="FF0000"/>
          <w:sz w:val="24"/>
        </w:rPr>
        <w:t>天内完成对</w:t>
      </w:r>
      <w:r>
        <w:rPr>
          <w:rFonts w:hint="eastAsia" w:ascii="仿宋" w:hAnsi="仿宋" w:eastAsia="仿宋" w:cs="仿宋"/>
          <w:color w:val="FF0000"/>
          <w:sz w:val="24"/>
          <w:u w:val="single"/>
        </w:rPr>
        <w:t>国银中心9楼职场</w:t>
      </w:r>
      <w:r>
        <w:rPr>
          <w:rFonts w:hint="eastAsia" w:ascii="仿宋" w:hAnsi="仿宋" w:eastAsia="仿宋" w:cs="仿宋"/>
          <w:color w:val="FF0000"/>
          <w:sz w:val="24"/>
        </w:rPr>
        <w:t>的装修改造</w:t>
      </w:r>
      <w:r>
        <w:rPr>
          <w:rFonts w:hint="eastAsia" w:ascii="仿宋" w:hAnsi="仿宋" w:eastAsia="仿宋" w:cs="仿宋"/>
          <w:color w:val="000000"/>
          <w:sz w:val="24"/>
        </w:rPr>
        <w:t>，具体技术要求详见第五章采购需求。</w:t>
      </w:r>
    </w:p>
    <w:p>
      <w:pPr>
        <w:spacing w:line="360" w:lineRule="auto"/>
        <w:ind w:firstLine="480"/>
        <w:jc w:val="left"/>
        <w:rPr>
          <w:rFonts w:ascii="仿宋" w:hAnsi="仿宋" w:eastAsia="仿宋" w:cs="宋体"/>
          <w:color w:val="FF0000"/>
          <w:sz w:val="24"/>
        </w:rPr>
      </w:pPr>
      <w:r>
        <w:rPr>
          <w:rFonts w:hint="eastAsia" w:ascii="仿宋" w:hAnsi="仿宋" w:eastAsia="仿宋" w:cs="仿宋"/>
          <w:color w:val="000000"/>
          <w:sz w:val="24"/>
        </w:rPr>
        <w:t xml:space="preserve">1.3 </w:t>
      </w:r>
      <w:r>
        <w:rPr>
          <w:rFonts w:hint="eastAsia" w:ascii="仿宋" w:hAnsi="仿宋" w:eastAsia="仿宋" w:cs="仿宋"/>
          <w:sz w:val="24"/>
        </w:rPr>
        <w:t>标包划分</w:t>
      </w:r>
      <w:r>
        <w:rPr>
          <w:rFonts w:hint="eastAsia" w:ascii="仿宋" w:hAnsi="仿宋" w:eastAsia="仿宋" w:cs="仿宋"/>
          <w:color w:val="FF0000"/>
          <w:sz w:val="24"/>
        </w:rPr>
        <w:t>：</w:t>
      </w:r>
      <w:r>
        <w:rPr>
          <w:rFonts w:hint="eastAsia" w:ascii="仿宋" w:hAnsi="仿宋" w:eastAsia="仿宋" w:cs="宋体"/>
          <w:color w:val="FF0000"/>
          <w:sz w:val="24"/>
        </w:rPr>
        <w:t>本项目不划分标包。</w:t>
      </w:r>
    </w:p>
    <w:p>
      <w:pPr>
        <w:spacing w:line="360" w:lineRule="auto"/>
        <w:ind w:firstLine="480"/>
        <w:jc w:val="left"/>
        <w:rPr>
          <w:rFonts w:ascii="仿宋" w:hAnsi="仿宋" w:eastAsia="仿宋" w:cs="仿宋"/>
          <w:color w:val="000000"/>
          <w:sz w:val="24"/>
        </w:rPr>
      </w:pPr>
      <w:r>
        <w:rPr>
          <w:rFonts w:ascii="仿宋" w:hAnsi="仿宋" w:eastAsia="仿宋" w:cs="仿宋"/>
          <w:sz w:val="24"/>
        </w:rPr>
        <w:t>1.4</w:t>
      </w:r>
      <w:r>
        <w:rPr>
          <w:rFonts w:ascii="仿宋" w:hAnsi="仿宋" w:cs="仿宋"/>
          <w:sz w:val="24"/>
        </w:rPr>
        <w:t xml:space="preserve"> </w:t>
      </w:r>
      <w:r>
        <w:rPr>
          <w:rFonts w:hint="eastAsia" w:ascii="仿宋" w:hAnsi="仿宋" w:eastAsia="仿宋" w:cs="仿宋"/>
          <w:color w:val="000000"/>
          <w:sz w:val="24"/>
        </w:rPr>
        <w:t>项目性质：</w:t>
      </w:r>
      <w:r>
        <w:rPr>
          <w:rFonts w:hint="eastAsia" w:ascii="仿宋" w:hAnsi="仿宋" w:eastAsia="仿宋" w:cs="宋体"/>
          <w:color w:val="FF0000"/>
          <w:sz w:val="24"/>
        </w:rPr>
        <w:t>工程</w:t>
      </w:r>
      <w:r>
        <w:rPr>
          <w:rFonts w:hint="eastAsia" w:ascii="仿宋" w:hAnsi="仿宋" w:eastAsia="仿宋" w:cs="仿宋"/>
          <w:color w:val="FF0000"/>
          <w:sz w:val="24"/>
        </w:rPr>
        <w:t>。</w:t>
      </w:r>
    </w:p>
    <w:p>
      <w:pPr>
        <w:spacing w:line="360" w:lineRule="auto"/>
        <w:ind w:firstLine="480"/>
        <w:jc w:val="left"/>
        <w:rPr>
          <w:rFonts w:ascii="仿宋" w:hAnsi="仿宋" w:eastAsia="仿宋" w:cs="宋体"/>
          <w:color w:val="FF0000"/>
          <w:sz w:val="24"/>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仿宋"/>
          <w:color w:val="000000"/>
          <w:sz w:val="24"/>
        </w:rPr>
        <w:t>服务期限：</w:t>
      </w:r>
      <w:r>
        <w:rPr>
          <w:rFonts w:hint="eastAsia" w:ascii="仿宋" w:hAnsi="仿宋" w:eastAsia="仿宋" w:cs="宋体"/>
          <w:color w:val="FF0000"/>
          <w:sz w:val="24"/>
        </w:rPr>
        <w:t>自合同签订之日起</w:t>
      </w:r>
      <w:r>
        <w:rPr>
          <w:rFonts w:hint="eastAsia" w:ascii="仿宋" w:hAnsi="仿宋" w:eastAsia="仿宋" w:cs="仿宋"/>
          <w:color w:val="FF0000"/>
          <w:sz w:val="24"/>
        </w:rPr>
        <w:t>在</w:t>
      </w:r>
      <w:r>
        <w:rPr>
          <w:rFonts w:ascii="仿宋" w:hAnsi="仿宋" w:eastAsia="仿宋" w:cs="仿宋"/>
          <w:color w:val="FF0000"/>
          <w:sz w:val="24"/>
        </w:rPr>
        <w:t>20</w:t>
      </w:r>
      <w:r>
        <w:rPr>
          <w:rFonts w:hint="eastAsia" w:ascii="仿宋" w:hAnsi="仿宋" w:eastAsia="仿宋" w:cs="仿宋"/>
          <w:color w:val="FF0000"/>
          <w:sz w:val="24"/>
        </w:rPr>
        <w:t>天内完成对</w:t>
      </w:r>
      <w:r>
        <w:rPr>
          <w:rFonts w:hint="eastAsia" w:ascii="仿宋" w:hAnsi="仿宋" w:eastAsia="仿宋" w:cs="仿宋"/>
          <w:color w:val="FF0000"/>
          <w:sz w:val="24"/>
          <w:u w:val="single"/>
        </w:rPr>
        <w:t>国银中心9楼职场</w:t>
      </w:r>
      <w:r>
        <w:rPr>
          <w:rFonts w:hint="eastAsia" w:ascii="仿宋" w:hAnsi="仿宋" w:eastAsia="仿宋" w:cs="仿宋"/>
          <w:color w:val="FF0000"/>
          <w:sz w:val="24"/>
        </w:rPr>
        <w:t>的装修改造</w:t>
      </w:r>
      <w:r>
        <w:rPr>
          <w:rFonts w:hint="eastAsia" w:ascii="仿宋" w:hAnsi="仿宋" w:eastAsia="仿宋" w:cs="宋体"/>
          <w:color w:val="FF0000"/>
          <w:sz w:val="24"/>
        </w:rPr>
        <w:t>。</w:t>
      </w:r>
    </w:p>
    <w:p>
      <w:pPr>
        <w:spacing w:line="360" w:lineRule="auto"/>
        <w:ind w:firstLine="480"/>
        <w:jc w:val="left"/>
        <w:rPr>
          <w:sz w:val="18"/>
          <w:szCs w:val="18"/>
        </w:rPr>
      </w:pPr>
      <w:r>
        <w:rPr>
          <w:rFonts w:hint="eastAsia" w:ascii="仿宋" w:hAnsi="仿宋" w:eastAsia="仿宋" w:cs="仿宋"/>
          <w:color w:val="000000"/>
          <w:sz w:val="24"/>
        </w:rPr>
        <w:t>1.</w:t>
      </w:r>
      <w:r>
        <w:rPr>
          <w:rFonts w:ascii="仿宋" w:hAnsi="仿宋" w:eastAsia="仿宋" w:cs="仿宋"/>
          <w:color w:val="000000"/>
          <w:sz w:val="24"/>
        </w:rPr>
        <w:t>6</w:t>
      </w:r>
      <w:r>
        <w:rPr>
          <w:rFonts w:hint="eastAsia" w:ascii="仿宋" w:hAnsi="仿宋" w:eastAsia="仿宋" w:cs="仿宋"/>
          <w:color w:val="000000"/>
          <w:sz w:val="24"/>
        </w:rPr>
        <w:t>服务地点：</w:t>
      </w:r>
      <w:r>
        <w:rPr>
          <w:rFonts w:hint="eastAsia" w:ascii="仿宋" w:hAnsi="仿宋" w:eastAsia="仿宋" w:cs="仿宋"/>
          <w:color w:val="FF0000"/>
          <w:sz w:val="24"/>
        </w:rPr>
        <w:t>广州市越秀区东风西路1</w:t>
      </w:r>
      <w:r>
        <w:rPr>
          <w:rFonts w:ascii="仿宋" w:hAnsi="仿宋" w:eastAsia="仿宋" w:cs="仿宋"/>
          <w:color w:val="FF0000"/>
          <w:sz w:val="24"/>
        </w:rPr>
        <w:t>91号</w:t>
      </w:r>
      <w:r>
        <w:rPr>
          <w:rFonts w:hint="eastAsia" w:ascii="仿宋" w:hAnsi="仿宋" w:eastAsia="仿宋" w:cs="仿宋"/>
          <w:color w:val="FF0000"/>
          <w:sz w:val="24"/>
        </w:rPr>
        <w:t>9楼。</w:t>
      </w:r>
      <w:r>
        <w:rPr>
          <w:rFonts w:hint="eastAsia"/>
          <w:b/>
          <w:sz w:val="18"/>
          <w:szCs w:val="18"/>
        </w:rPr>
        <w:t xml:space="preserve"> </w:t>
      </w:r>
    </w:p>
    <w:p>
      <w:pPr>
        <w:pStyle w:val="4"/>
        <w:ind w:firstLine="0"/>
        <w:jc w:val="left"/>
        <w:rPr>
          <w:rFonts w:ascii="仿宋" w:hAnsi="仿宋" w:eastAsia="仿宋" w:cs="仿宋"/>
          <w:color w:val="000000"/>
          <w:sz w:val="24"/>
          <w:szCs w:val="24"/>
        </w:rPr>
      </w:pPr>
      <w:bookmarkStart w:id="10" w:name="_Toc21786"/>
      <w:r>
        <w:rPr>
          <w:rFonts w:hint="eastAsia" w:ascii="仿宋" w:hAnsi="仿宋" w:eastAsia="仿宋" w:cs="仿宋"/>
          <w:color w:val="000000"/>
          <w:sz w:val="24"/>
          <w:szCs w:val="24"/>
        </w:rPr>
        <w:t>二、供应商资格要求</w:t>
      </w:r>
      <w:bookmarkEnd w:id="10"/>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2.1</w:t>
      </w:r>
      <w:r>
        <w:rPr>
          <w:rFonts w:hint="eastAsia" w:ascii="仿宋" w:hAnsi="仿宋" w:eastAsia="仿宋" w:cs="宋体"/>
          <w:b/>
          <w:bCs/>
          <w:color w:val="000000"/>
          <w:sz w:val="24"/>
        </w:rPr>
        <w:t>在中华人民共和国境内依法登记的法人或其他组织，具有独立承担民事责任的能力，</w:t>
      </w:r>
      <w:r>
        <w:rPr>
          <w:rFonts w:hint="eastAsia" w:ascii="仿宋" w:hAnsi="仿宋" w:eastAsia="仿宋" w:cs="宋体"/>
          <w:color w:val="000000"/>
          <w:sz w:val="24"/>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rPr>
        <w:t>；供应商如为事业单位或其他组织，须提供事业单位法人证书或登记证或组织机构代码证或其他有效证明文件（复印件）；</w:t>
      </w:r>
    </w:p>
    <w:p>
      <w:pPr>
        <w:spacing w:line="360" w:lineRule="auto"/>
        <w:ind w:firstLine="480"/>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2</w:t>
      </w:r>
      <w:r>
        <w:rPr>
          <w:rFonts w:hint="eastAsia" w:ascii="仿宋" w:hAnsi="仿宋" w:eastAsia="仿宋" w:cs="宋体"/>
          <w:b/>
          <w:bCs/>
          <w:color w:val="000000"/>
          <w:sz w:val="24"/>
        </w:rPr>
        <w:t>具有良好的商业信誉和健全的财务会计制度</w:t>
      </w:r>
      <w:r>
        <w:rPr>
          <w:rFonts w:hint="eastAsia" w:ascii="仿宋" w:hAnsi="仿宋" w:eastAsia="仿宋" w:cs="宋体"/>
          <w:color w:val="000000"/>
          <w:sz w:val="24"/>
        </w:rPr>
        <w:t>，需提供</w:t>
      </w:r>
      <w:r>
        <w:rPr>
          <w:rFonts w:hint="eastAsia" w:ascii="仿宋" w:hAnsi="仿宋" w:eastAsia="仿宋" w:cs="宋体"/>
          <w:sz w:val="24"/>
        </w:rPr>
        <w:t>《资格声明函》</w:t>
      </w:r>
      <w:r>
        <w:rPr>
          <w:rFonts w:hint="eastAsia" w:ascii="仿宋" w:hAnsi="仿宋" w:eastAsia="仿宋" w:cs="宋体"/>
          <w:color w:val="000000"/>
          <w:sz w:val="24"/>
        </w:rPr>
        <w:t>。</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2.3</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color w:val="000000"/>
          <w:sz w:val="24"/>
        </w:rPr>
        <w:t>，需提供</w:t>
      </w:r>
      <w:r>
        <w:rPr>
          <w:rFonts w:hint="eastAsia" w:ascii="仿宋" w:hAnsi="仿宋" w:eastAsia="仿宋" w:cs="宋体"/>
          <w:sz w:val="24"/>
        </w:rPr>
        <w:t>《资格声明函》</w:t>
      </w:r>
      <w:r>
        <w:rPr>
          <w:rFonts w:hint="eastAsia" w:ascii="仿宋" w:hAnsi="仿宋" w:eastAsia="仿宋" w:cs="宋体"/>
          <w:color w:val="000000"/>
          <w:sz w:val="24"/>
        </w:rPr>
        <w:t>。</w:t>
      </w:r>
    </w:p>
    <w:p>
      <w:pPr>
        <w:spacing w:line="360" w:lineRule="auto"/>
        <w:ind w:firstLine="480"/>
        <w:rPr>
          <w:rFonts w:ascii="仿宋" w:hAnsi="仿宋" w:eastAsia="仿宋" w:cs="宋体"/>
          <w:sz w:val="24"/>
        </w:rPr>
      </w:pPr>
      <w:r>
        <w:rPr>
          <w:rFonts w:ascii="仿宋" w:hAnsi="仿宋" w:eastAsia="仿宋" w:cs="宋体"/>
          <w:color w:val="000000"/>
          <w:sz w:val="24"/>
        </w:rPr>
        <w:t>2</w:t>
      </w:r>
      <w:r>
        <w:rPr>
          <w:rFonts w:hint="eastAsia" w:ascii="仿宋" w:hAnsi="仿宋" w:eastAsia="仿宋" w:cs="宋体"/>
          <w:color w:val="000000"/>
          <w:sz w:val="24"/>
        </w:rPr>
        <w:t>.4</w:t>
      </w:r>
      <w:r>
        <w:rPr>
          <w:rFonts w:hint="eastAsia" w:ascii="仿宋" w:hAnsi="仿宋" w:eastAsia="仿宋" w:cs="宋体"/>
          <w:b/>
          <w:bCs/>
          <w:color w:val="000000"/>
          <w:sz w:val="24"/>
        </w:rPr>
        <w:t>具有依法缴纳税收和社会保障资金的良好记录</w:t>
      </w:r>
      <w:r>
        <w:rPr>
          <w:rFonts w:hint="eastAsia" w:ascii="仿宋" w:hAnsi="仿宋" w:eastAsia="仿宋" w:cs="宋体"/>
          <w:color w:val="000000"/>
          <w:sz w:val="24"/>
        </w:rPr>
        <w:t>，需提供</w:t>
      </w:r>
      <w:r>
        <w:rPr>
          <w:rFonts w:hint="eastAsia" w:ascii="仿宋" w:hAnsi="仿宋" w:eastAsia="仿宋" w:cs="宋体"/>
          <w:sz w:val="24"/>
        </w:rPr>
        <w:t>《资格声明函》。</w:t>
      </w:r>
    </w:p>
    <w:p>
      <w:pPr>
        <w:spacing w:line="360" w:lineRule="auto"/>
        <w:ind w:firstLine="480"/>
        <w:rPr>
          <w:rFonts w:ascii="仿宋" w:hAnsi="仿宋" w:eastAsia="仿宋" w:cs="Monaco"/>
          <w:color w:val="000000"/>
          <w:sz w:val="24"/>
        </w:rPr>
      </w:pPr>
      <w:r>
        <w:rPr>
          <w:rFonts w:ascii="仿宋" w:hAnsi="仿宋" w:eastAsia="仿宋" w:cs="宋体"/>
          <w:color w:val="000000"/>
          <w:sz w:val="24"/>
        </w:rPr>
        <w:t>2</w:t>
      </w:r>
      <w:r>
        <w:rPr>
          <w:rFonts w:hint="eastAsia" w:ascii="仿宋" w:hAnsi="仿宋" w:eastAsia="仿宋" w:cs="宋体"/>
          <w:color w:val="000000"/>
          <w:sz w:val="24"/>
        </w:rPr>
        <w:t>.5</w:t>
      </w:r>
      <w:r>
        <w:rPr>
          <w:rFonts w:hint="eastAsia" w:ascii="仿宋" w:hAnsi="仿宋" w:eastAsia="仿宋" w:cs="Monaco"/>
          <w:b/>
          <w:bCs/>
          <w:color w:val="000000"/>
          <w:sz w:val="24"/>
        </w:rPr>
        <w:t>供应商应经营状况良好，且近三年内（</w:t>
      </w:r>
      <w:r>
        <w:rPr>
          <w:rFonts w:hint="eastAsia" w:ascii="仿宋" w:hAnsi="仿宋" w:eastAsia="仿宋" w:cs="Monaco"/>
          <w:b/>
          <w:bCs/>
          <w:color w:val="FF0000"/>
          <w:sz w:val="24"/>
        </w:rPr>
        <w:t>2022年</w:t>
      </w:r>
      <w:r>
        <w:rPr>
          <w:rFonts w:ascii="仿宋" w:hAnsi="仿宋" w:eastAsia="仿宋" w:cs="Monaco"/>
          <w:b/>
          <w:bCs/>
          <w:color w:val="FF0000"/>
          <w:sz w:val="24"/>
        </w:rPr>
        <w:t>1</w:t>
      </w:r>
      <w:r>
        <w:rPr>
          <w:rFonts w:hint="eastAsia" w:ascii="仿宋" w:hAnsi="仿宋" w:eastAsia="仿宋" w:cs="Monaco"/>
          <w:b/>
          <w:bCs/>
          <w:color w:val="FF0000"/>
          <w:sz w:val="24"/>
        </w:rPr>
        <w:t>月1日至今</w:t>
      </w:r>
      <w:r>
        <w:rPr>
          <w:rFonts w:hint="eastAsia" w:ascii="仿宋" w:hAnsi="仿宋" w:eastAsia="仿宋" w:cs="Monaco"/>
          <w:b/>
          <w:bCs/>
          <w:color w:val="000000"/>
          <w:sz w:val="24"/>
        </w:rPr>
        <w:t>）无违法违规记录</w:t>
      </w:r>
      <w:r>
        <w:rPr>
          <w:rFonts w:hint="eastAsia" w:ascii="仿宋" w:hAnsi="仿宋" w:eastAsia="仿宋" w:cs="Monaco"/>
          <w:color w:val="000000"/>
          <w:sz w:val="24"/>
        </w:rPr>
        <w:t xml:space="preserve">。违法违规记录是指被“信用中国”列入失信被执行人、重大税收违法失信主体、政府采购严重违法失信行为记录名单。供应商需提供自谈判邀请发布之日至响应文件递交截止之日期间对以上三项内容的查询截图并加盖公章。 </w:t>
      </w:r>
    </w:p>
    <w:p>
      <w:pPr>
        <w:spacing w:line="360" w:lineRule="auto"/>
        <w:ind w:firstLine="480"/>
        <w:rPr>
          <w:rFonts w:ascii="仿宋" w:hAnsi="仿宋" w:eastAsia="仿宋" w:cs="Monaco"/>
          <w:color w:val="000000"/>
          <w:sz w:val="24"/>
        </w:rPr>
      </w:pPr>
      <w:r>
        <w:rPr>
          <w:rFonts w:hint="eastAsia" w:ascii="仿宋" w:hAnsi="仿宋" w:eastAsia="仿宋" w:cs="Monaco"/>
          <w:color w:val="000000"/>
          <w:sz w:val="24"/>
        </w:rPr>
        <w:t>信用中国查询网址：https://www.creditchina.gov.cn/xinyongfuwu/?navPage=5</w:t>
      </w:r>
    </w:p>
    <w:p>
      <w:pPr>
        <w:spacing w:line="360" w:lineRule="auto"/>
        <w:ind w:firstLine="480"/>
        <w:rPr>
          <w:rFonts w:ascii="仿宋" w:hAnsi="仿宋" w:eastAsia="仿宋" w:cs="Monaco"/>
          <w:color w:val="000000"/>
          <w:sz w:val="24"/>
        </w:rPr>
      </w:pPr>
      <w:r>
        <w:rPr>
          <w:rFonts w:ascii="仿宋" w:hAnsi="仿宋" w:eastAsia="仿宋" w:cs="宋体"/>
          <w:color w:val="000000"/>
          <w:sz w:val="24"/>
        </w:rPr>
        <w:t>2</w:t>
      </w:r>
      <w:r>
        <w:rPr>
          <w:rFonts w:hint="eastAsia" w:ascii="仿宋" w:hAnsi="仿宋" w:eastAsia="仿宋" w:cs="宋体"/>
          <w:color w:val="000000"/>
          <w:sz w:val="24"/>
        </w:rPr>
        <w:t>.6</w:t>
      </w:r>
      <w:r>
        <w:rPr>
          <w:rFonts w:hint="eastAsia" w:ascii="仿宋" w:hAnsi="仿宋" w:eastAsia="仿宋" w:cs="宋体"/>
          <w:b/>
          <w:bCs/>
          <w:color w:val="000000"/>
          <w:sz w:val="24"/>
        </w:rPr>
        <w:t>严禁列入采购人及其所隶属的中国人民保险各级机构的供应商黑名单且在禁入期内的供应商参与采购活动</w:t>
      </w:r>
      <w:r>
        <w:rPr>
          <w:rFonts w:hint="eastAsia" w:ascii="仿宋" w:hAnsi="仿宋" w:eastAsia="仿宋" w:cs="宋体"/>
          <w:color w:val="000000"/>
          <w:sz w:val="24"/>
        </w:rPr>
        <w:t>，需提供</w:t>
      </w:r>
      <w:r>
        <w:rPr>
          <w:rFonts w:hint="eastAsia" w:ascii="仿宋" w:hAnsi="仿宋" w:eastAsia="仿宋" w:cs="宋体"/>
          <w:sz w:val="24"/>
        </w:rPr>
        <w:t>《</w:t>
      </w:r>
      <w:r>
        <w:rPr>
          <w:rFonts w:hint="eastAsia" w:ascii="仿宋" w:hAnsi="仿宋" w:eastAsia="仿宋" w:cs="宋体"/>
          <w:color w:val="000000"/>
          <w:sz w:val="24"/>
        </w:rPr>
        <w:t>未被列入供应商黑名单承诺函</w:t>
      </w:r>
      <w:r>
        <w:rPr>
          <w:rFonts w:hint="eastAsia" w:ascii="仿宋" w:hAnsi="仿宋" w:eastAsia="仿宋" w:cs="宋体"/>
          <w:sz w:val="24"/>
        </w:rPr>
        <w:t>》</w:t>
      </w:r>
      <w:r>
        <w:rPr>
          <w:rFonts w:hint="eastAsia" w:ascii="仿宋" w:hAnsi="仿宋" w:eastAsia="仿宋" w:cs="宋体"/>
          <w:b/>
          <w:bCs/>
          <w:color w:val="000000"/>
          <w:sz w:val="24"/>
        </w:rPr>
        <w:t>。</w:t>
      </w:r>
    </w:p>
    <w:p>
      <w:pPr>
        <w:spacing w:line="360" w:lineRule="auto"/>
        <w:ind w:firstLine="480"/>
        <w:rPr>
          <w:rFonts w:ascii="仿宋" w:hAnsi="仿宋" w:eastAsia="仿宋" w:cs="宋体"/>
          <w:b/>
          <w:bCs/>
          <w:color w:val="000000"/>
          <w:sz w:val="24"/>
        </w:rPr>
      </w:pPr>
      <w:r>
        <w:rPr>
          <w:rFonts w:ascii="仿宋" w:hAnsi="仿宋" w:eastAsia="仿宋" w:cs="宋体"/>
          <w:color w:val="000000"/>
          <w:sz w:val="24"/>
        </w:rPr>
        <w:t>2.</w:t>
      </w:r>
      <w:r>
        <w:rPr>
          <w:rFonts w:hint="eastAsia" w:ascii="仿宋" w:hAnsi="仿宋" w:eastAsia="仿宋" w:cs="宋体"/>
          <w:color w:val="000000"/>
          <w:sz w:val="24"/>
        </w:rPr>
        <w:t>7</w:t>
      </w:r>
      <w:r>
        <w:rPr>
          <w:rFonts w:ascii="仿宋" w:hAnsi="仿宋" w:eastAsia="仿宋" w:cs="宋体"/>
          <w:color w:val="000000"/>
          <w:sz w:val="24"/>
        </w:rPr>
        <w:t xml:space="preserve"> </w:t>
      </w:r>
      <w:r>
        <w:rPr>
          <w:rFonts w:hint="eastAsia" w:ascii="仿宋" w:hAnsi="仿宋" w:eastAsia="仿宋" w:cs="宋体"/>
          <w:b/>
          <w:bCs/>
          <w:color w:val="000000"/>
          <w:sz w:val="24"/>
        </w:rPr>
        <w:t>单位负责人为同一人或存在控股、管理关系的不同单位，不得参加同一标段/标包磋商响应或未划分标段/标包的同一采购项目的磋商响应</w:t>
      </w:r>
      <w:r>
        <w:rPr>
          <w:rFonts w:hint="eastAsia" w:ascii="仿宋" w:hAnsi="仿宋" w:eastAsia="仿宋" w:cs="宋体"/>
          <w:color w:val="000000"/>
          <w:sz w:val="24"/>
        </w:rPr>
        <w:t>，需填写《供应商控股及管理关系情况申报表》。</w:t>
      </w:r>
    </w:p>
    <w:p>
      <w:pPr>
        <w:spacing w:line="360" w:lineRule="auto"/>
        <w:ind w:firstLine="480"/>
        <w:rPr>
          <w:color w:val="FF0000"/>
        </w:rPr>
      </w:pPr>
      <w:r>
        <w:rPr>
          <w:rFonts w:hint="eastAsia" w:ascii="仿宋" w:hAnsi="仿宋" w:eastAsia="仿宋" w:cs="宋体"/>
          <w:color w:val="000000"/>
          <w:sz w:val="24"/>
        </w:rPr>
        <w:t>2.8</w:t>
      </w:r>
      <w:r>
        <w:rPr>
          <w:rFonts w:hint="eastAsia" w:ascii="仿宋" w:hAnsi="仿宋" w:eastAsia="仿宋" w:cs="宋体"/>
          <w:b/>
          <w:bCs/>
          <w:color w:val="000000"/>
          <w:sz w:val="24"/>
        </w:rPr>
        <w:t>本项目不接受联合体谈判响应</w:t>
      </w:r>
      <w:r>
        <w:rPr>
          <w:rFonts w:hint="eastAsia" w:ascii="仿宋" w:hAnsi="仿宋" w:eastAsia="仿宋" w:cs="宋体"/>
          <w:color w:val="000000"/>
          <w:sz w:val="24"/>
        </w:rPr>
        <w:t>，需提供</w:t>
      </w:r>
      <w:r>
        <w:rPr>
          <w:rFonts w:hint="eastAsia" w:ascii="仿宋" w:hAnsi="仿宋" w:eastAsia="仿宋" w:cs="宋体"/>
          <w:sz w:val="24"/>
        </w:rPr>
        <w:t>《</w:t>
      </w:r>
      <w:r>
        <w:rPr>
          <w:rFonts w:hint="eastAsia" w:ascii="仿宋" w:hAnsi="仿宋" w:eastAsia="仿宋" w:cs="宋体"/>
          <w:color w:val="000000"/>
          <w:sz w:val="24"/>
        </w:rPr>
        <w:t>非联合体谈判响应声明</w:t>
      </w:r>
      <w:r>
        <w:rPr>
          <w:rFonts w:hint="eastAsia" w:ascii="仿宋" w:hAnsi="仿宋" w:eastAsia="仿宋" w:cs="宋体"/>
          <w:sz w:val="24"/>
        </w:rPr>
        <w:t>》</w:t>
      </w:r>
      <w:r>
        <w:rPr>
          <w:rFonts w:hint="eastAsia" w:ascii="仿宋" w:hAnsi="仿宋" w:eastAsia="仿宋" w:cs="宋体"/>
          <w:color w:val="000000"/>
          <w:sz w:val="24"/>
        </w:rPr>
        <w:t>。</w:t>
      </w:r>
    </w:p>
    <w:p>
      <w:pPr>
        <w:pStyle w:val="4"/>
        <w:ind w:firstLine="0"/>
        <w:jc w:val="left"/>
        <w:rPr>
          <w:rFonts w:ascii="仿宋" w:hAnsi="仿宋" w:eastAsia="仿宋" w:cs="仿宋"/>
          <w:color w:val="000000"/>
          <w:sz w:val="24"/>
          <w:szCs w:val="24"/>
        </w:rPr>
      </w:pPr>
      <w:bookmarkStart w:id="11" w:name="_Toc10868"/>
      <w:r>
        <w:rPr>
          <w:rFonts w:hint="eastAsia" w:ascii="仿宋" w:hAnsi="仿宋" w:eastAsia="仿宋" w:cs="仿宋"/>
          <w:color w:val="000000"/>
          <w:sz w:val="24"/>
          <w:szCs w:val="24"/>
        </w:rPr>
        <w:t>三、资格审查方法</w:t>
      </w:r>
      <w:bookmarkEnd w:id="11"/>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本项目将进行资格</w:t>
      </w:r>
      <w:r>
        <w:rPr>
          <w:rFonts w:hint="eastAsia" w:ascii="仿宋" w:hAnsi="仿宋" w:eastAsia="仿宋" w:cs="仿宋"/>
          <w:color w:val="FF0000"/>
          <w:sz w:val="24"/>
        </w:rPr>
        <w:t>后审</w:t>
      </w:r>
      <w:r>
        <w:rPr>
          <w:rFonts w:hint="eastAsia" w:ascii="仿宋" w:hAnsi="仿宋" w:eastAsia="仿宋" w:cs="仿宋"/>
          <w:color w:val="000000"/>
          <w:sz w:val="24"/>
        </w:rPr>
        <w:t>，资格审查方法为合格制，资格审查标准和内容见磋商文件第三章评审办法。未通过资格</w:t>
      </w:r>
      <w:r>
        <w:rPr>
          <w:rFonts w:hint="eastAsia" w:ascii="仿宋" w:hAnsi="仿宋" w:eastAsia="仿宋" w:cs="仿宋"/>
          <w:color w:val="FF0000"/>
          <w:sz w:val="24"/>
        </w:rPr>
        <w:t>后审</w:t>
      </w:r>
      <w:r>
        <w:rPr>
          <w:rFonts w:hint="eastAsia" w:ascii="仿宋" w:hAnsi="仿宋" w:eastAsia="仿宋" w:cs="仿宋"/>
          <w:color w:val="000000"/>
          <w:sz w:val="24"/>
        </w:rPr>
        <w:t>的供应商，响应文件将被否决，不进入磋商、详细评审等后续环节。</w:t>
      </w:r>
    </w:p>
    <w:p>
      <w:pPr>
        <w:pStyle w:val="4"/>
        <w:spacing w:after="240"/>
        <w:ind w:firstLine="0"/>
        <w:jc w:val="left"/>
        <w:rPr>
          <w:rFonts w:ascii="仿宋" w:hAnsi="仿宋" w:eastAsia="仿宋" w:cs="仿宋"/>
          <w:color w:val="000000"/>
          <w:sz w:val="24"/>
          <w:szCs w:val="24"/>
        </w:rPr>
      </w:pPr>
      <w:bookmarkStart w:id="12" w:name="_Toc16788"/>
      <w:r>
        <w:rPr>
          <w:rFonts w:hint="eastAsia" w:ascii="仿宋" w:hAnsi="仿宋" w:eastAsia="仿宋" w:cs="仿宋"/>
          <w:color w:val="000000"/>
          <w:sz w:val="24"/>
          <w:szCs w:val="24"/>
        </w:rPr>
        <w:t>四、磋商文件的获取</w:t>
      </w:r>
      <w:bookmarkEnd w:id="12"/>
    </w:p>
    <w:p>
      <w:pPr>
        <w:pBdr>
          <w:top w:val="none" w:color="000000" w:sz="0" w:space="0"/>
          <w:left w:val="none" w:color="000000" w:sz="0" w:space="0"/>
          <w:bottom w:val="none" w:color="000000" w:sz="0" w:space="0"/>
          <w:right w:val="none" w:color="000000" w:sz="0" w:space="0"/>
        </w:pBdr>
        <w:spacing w:line="360" w:lineRule="auto"/>
        <w:ind w:left="0" w:right="0" w:firstLine="480"/>
      </w:pPr>
      <w:r>
        <w:rPr>
          <w:rFonts w:ascii="仿宋" w:hAnsi="仿宋" w:eastAsia="仿宋" w:cs="仿宋"/>
          <w:color w:val="000000"/>
          <w:sz w:val="24"/>
        </w:rPr>
        <w:t>4.1拟报名参加本项目的供应商，</w:t>
      </w:r>
      <w:r>
        <w:rPr>
          <w:rFonts w:ascii="仿宋" w:hAnsi="仿宋" w:eastAsia="仿宋" w:cs="仿宋"/>
          <w:color w:val="FF0000"/>
          <w:sz w:val="24"/>
        </w:rPr>
        <w:t>请登录“人保e采”外网门户（ec.picc.com）申请注册入库，审核通过后进行项目报名（相关详见“人保e采”外网门户的《人保e采管理系统供应商入库操作指南》）。</w:t>
      </w:r>
    </w:p>
    <w:p>
      <w:pPr>
        <w:pStyle w:val="13"/>
        <w:spacing w:line="360" w:lineRule="auto"/>
        <w:ind w:firstLine="480"/>
        <w:rPr>
          <w:rFonts w:ascii="仿宋" w:hAnsi="仿宋" w:eastAsia="仿宋" w:cs="仿宋_GB2312"/>
          <w:sz w:val="24"/>
          <w:szCs w:val="24"/>
        </w:rPr>
      </w:pPr>
      <w:r>
        <w:rPr>
          <w:rFonts w:ascii="仿宋" w:hAnsi="仿宋" w:eastAsia="仿宋" w:cs="宋体"/>
          <w:color w:val="000000"/>
          <w:sz w:val="24"/>
        </w:rPr>
        <w:t>4</w:t>
      </w:r>
      <w:r>
        <w:rPr>
          <w:rFonts w:hint="eastAsia" w:ascii="仿宋" w:hAnsi="仿宋" w:eastAsia="仿宋" w:cs="宋体"/>
          <w:color w:val="000000"/>
          <w:sz w:val="24"/>
        </w:rPr>
        <w:t>.2</w:t>
      </w:r>
      <w:r>
        <w:rPr>
          <w:rFonts w:ascii="仿宋" w:hAnsi="仿宋" w:eastAsia="仿宋" w:cs="仿宋"/>
          <w:color w:val="FF0000"/>
          <w:sz w:val="24"/>
        </w:rPr>
        <w:t>磋商文件获取时间：2025年6月14日至2025年6月1</w:t>
      </w:r>
      <w:r>
        <w:rPr>
          <w:rFonts w:hint="eastAsia" w:ascii="仿宋" w:hAnsi="仿宋" w:eastAsia="仿宋" w:cs="仿宋"/>
          <w:color w:val="FF0000"/>
          <w:sz w:val="24"/>
          <w:lang w:val="en-US" w:eastAsia="zh-CN"/>
        </w:rPr>
        <w:t>7日</w:t>
      </w:r>
      <w:bookmarkStart w:id="233" w:name="_GoBack"/>
      <w:bookmarkEnd w:id="233"/>
      <w:r>
        <w:rPr>
          <w:rFonts w:ascii="仿宋" w:hAnsi="仿宋" w:eastAsia="仿宋" w:cs="仿宋"/>
          <w:color w:val="FF0000"/>
          <w:sz w:val="24"/>
        </w:rPr>
        <w:t>（以采购进度为准）。请将营业执照复印件盖章+授权委托书打包以邮件方式发送给联系人。</w:t>
      </w:r>
    </w:p>
    <w:p>
      <w:pPr>
        <w:pStyle w:val="4"/>
        <w:ind w:firstLine="0"/>
        <w:jc w:val="left"/>
        <w:rPr>
          <w:rFonts w:ascii="仿宋" w:hAnsi="仿宋" w:eastAsia="仿宋" w:cs="仿宋"/>
          <w:color w:val="000000"/>
          <w:sz w:val="24"/>
          <w:szCs w:val="24"/>
        </w:rPr>
      </w:pPr>
      <w:bookmarkStart w:id="13" w:name="_Toc25628"/>
      <w:r>
        <w:rPr>
          <w:rFonts w:hint="eastAsia" w:ascii="仿宋" w:hAnsi="仿宋" w:eastAsia="仿宋" w:cs="仿宋"/>
          <w:color w:val="000000"/>
          <w:sz w:val="24"/>
          <w:szCs w:val="24"/>
        </w:rPr>
        <w:t>五、响应文件的递交</w:t>
      </w:r>
      <w:bookmarkEnd w:id="13"/>
    </w:p>
    <w:p>
      <w:pPr>
        <w:spacing w:line="360" w:lineRule="auto"/>
        <w:ind w:firstLine="480"/>
        <w:rPr>
          <w:rFonts w:ascii="仿宋" w:hAnsi="仿宋" w:eastAsia="仿宋" w:cs="宋体"/>
          <w:color w:val="000000"/>
          <w:sz w:val="24"/>
        </w:rPr>
      </w:pPr>
      <w:r>
        <w:rPr>
          <w:rFonts w:ascii="仿宋" w:hAnsi="仿宋" w:eastAsia="仿宋" w:cs="宋体"/>
          <w:color w:val="000000"/>
          <w:sz w:val="24"/>
        </w:rPr>
        <w:t>5</w:t>
      </w:r>
      <w:r>
        <w:rPr>
          <w:rFonts w:hint="eastAsia" w:ascii="仿宋" w:hAnsi="仿宋" w:eastAsia="仿宋" w:cs="宋体"/>
          <w:color w:val="000000"/>
          <w:sz w:val="24"/>
        </w:rPr>
        <w:t>.1响应文件递交截止时间：</w:t>
      </w:r>
      <w:r>
        <w:rPr>
          <w:rFonts w:hint="eastAsia" w:ascii="仿宋" w:hAnsi="仿宋" w:eastAsia="仿宋" w:cs="宋体"/>
          <w:color w:val="FF0000"/>
          <w:sz w:val="24"/>
          <w:u w:val="single"/>
        </w:rPr>
        <w:t>20</w:t>
      </w:r>
      <w:r>
        <w:rPr>
          <w:rFonts w:ascii="仿宋" w:hAnsi="仿宋" w:eastAsia="仿宋" w:cs="宋体"/>
          <w:color w:val="FF0000"/>
          <w:sz w:val="24"/>
          <w:u w:val="single"/>
        </w:rPr>
        <w:t>25</w:t>
      </w:r>
      <w:r>
        <w:rPr>
          <w:rFonts w:hint="eastAsia" w:ascii="仿宋" w:hAnsi="仿宋" w:eastAsia="仿宋" w:cs="宋体"/>
          <w:color w:val="FF0000"/>
          <w:sz w:val="24"/>
          <w:u w:val="single"/>
        </w:rPr>
        <w:t>年</w:t>
      </w:r>
      <w:r>
        <w:rPr>
          <w:rFonts w:ascii="仿宋" w:hAnsi="仿宋" w:eastAsia="仿宋" w:cs="宋体"/>
          <w:color w:val="FF0000"/>
          <w:sz w:val="24"/>
          <w:u w:val="single"/>
        </w:rPr>
        <w:t>6</w:t>
      </w:r>
      <w:r>
        <w:rPr>
          <w:rFonts w:hint="eastAsia" w:ascii="仿宋" w:hAnsi="仿宋" w:eastAsia="仿宋" w:cs="宋体"/>
          <w:color w:val="FF0000"/>
          <w:sz w:val="24"/>
          <w:u w:val="single"/>
        </w:rPr>
        <w:t>月2</w:t>
      </w:r>
      <w:r>
        <w:rPr>
          <w:rFonts w:hint="eastAsia" w:ascii="仿宋" w:hAnsi="仿宋" w:eastAsia="仿宋" w:cs="宋体"/>
          <w:color w:val="FF0000"/>
          <w:sz w:val="24"/>
          <w:u w:val="single"/>
          <w:lang w:val="en-US" w:eastAsia="zh-CN"/>
        </w:rPr>
        <w:t>3</w:t>
      </w:r>
      <w:r>
        <w:rPr>
          <w:rFonts w:hint="eastAsia" w:ascii="仿宋" w:hAnsi="仿宋" w:eastAsia="仿宋" w:cs="宋体"/>
          <w:color w:val="FF0000"/>
          <w:sz w:val="24"/>
          <w:u w:val="single"/>
        </w:rPr>
        <w:t>日</w:t>
      </w:r>
      <w:r>
        <w:rPr>
          <w:rFonts w:ascii="仿宋" w:hAnsi="仿宋" w:eastAsia="仿宋" w:cs="宋体"/>
          <w:color w:val="FF0000"/>
          <w:sz w:val="24"/>
          <w:u w:val="single"/>
        </w:rPr>
        <w:t>10</w:t>
      </w:r>
      <w:r>
        <w:rPr>
          <w:rFonts w:hint="eastAsia" w:ascii="仿宋" w:hAnsi="仿宋" w:eastAsia="仿宋" w:cs="宋体"/>
          <w:color w:val="FF0000"/>
          <w:sz w:val="24"/>
          <w:u w:val="single"/>
        </w:rPr>
        <w:t>时00分00秒（以采购进度为准，如有变更将另行通知）</w:t>
      </w:r>
      <w:r>
        <w:rPr>
          <w:rFonts w:hint="eastAsia" w:ascii="仿宋" w:hAnsi="仿宋" w:eastAsia="仿宋" w:cs="宋体"/>
          <w:color w:val="FF0000"/>
          <w:sz w:val="24"/>
        </w:rPr>
        <w:t>。</w:t>
      </w:r>
    </w:p>
    <w:p>
      <w:pPr>
        <w:spacing w:line="360" w:lineRule="auto"/>
        <w:ind w:firstLine="480"/>
        <w:jc w:val="left"/>
      </w:pPr>
      <w:r>
        <w:rPr>
          <w:rFonts w:hint="eastAsia" w:ascii="仿宋" w:hAnsi="仿宋" w:eastAsia="仿宋" w:cs="宋体"/>
          <w:color w:val="000000"/>
          <w:sz w:val="24"/>
        </w:rPr>
        <w:t>5.2响应文件的递交：</w:t>
      </w:r>
      <w:r>
        <w:rPr>
          <w:rFonts w:hint="eastAsia" w:ascii="仿宋" w:hAnsi="仿宋" w:eastAsia="仿宋" w:cs="宋体"/>
          <w:color w:val="FF0000"/>
          <w:sz w:val="24"/>
        </w:rPr>
        <w:t>须现场递交至</w:t>
      </w:r>
      <w:r>
        <w:rPr>
          <w:rFonts w:hint="eastAsia" w:ascii="仿宋" w:hAnsi="仿宋" w:eastAsia="仿宋" w:cs="宋体"/>
          <w:color w:val="FF0000"/>
          <w:sz w:val="24"/>
          <w:u w:val="single"/>
        </w:rPr>
        <w:t>广州市越秀区东风西路1</w:t>
      </w:r>
      <w:r>
        <w:rPr>
          <w:rFonts w:ascii="仿宋" w:hAnsi="仿宋" w:eastAsia="仿宋" w:cs="宋体"/>
          <w:color w:val="FF0000"/>
          <w:sz w:val="24"/>
          <w:u w:val="single"/>
        </w:rPr>
        <w:t>91号国际银行中心</w:t>
      </w:r>
      <w:r>
        <w:rPr>
          <w:rFonts w:hint="eastAsia" w:ascii="仿宋" w:hAnsi="仿宋" w:eastAsia="仿宋" w:cs="宋体"/>
          <w:color w:val="FF0000"/>
          <w:sz w:val="24"/>
          <w:u w:val="single"/>
        </w:rPr>
        <w:t>1</w:t>
      </w:r>
      <w:r>
        <w:rPr>
          <w:rFonts w:ascii="仿宋" w:hAnsi="仿宋" w:eastAsia="仿宋" w:cs="宋体"/>
          <w:color w:val="FF0000"/>
          <w:sz w:val="24"/>
          <w:u w:val="single"/>
        </w:rPr>
        <w:t>301房</w:t>
      </w:r>
      <w:r>
        <w:rPr>
          <w:rFonts w:hint="eastAsia" w:ascii="仿宋" w:hAnsi="仿宋" w:eastAsia="仿宋" w:cs="宋体"/>
          <w:color w:val="000000"/>
          <w:sz w:val="24"/>
        </w:rPr>
        <w:t>，</w:t>
      </w:r>
      <w:r>
        <w:rPr>
          <w:rFonts w:hint="eastAsia" w:ascii="仿宋" w:hAnsi="仿宋" w:eastAsia="仿宋" w:cs="宋体"/>
          <w:b/>
          <w:bCs/>
          <w:color w:val="000000"/>
          <w:sz w:val="24"/>
        </w:rPr>
        <w:t>逾期送达或者未送达指定地点或者未按照磋商文件要求封装的纸质响应文件不予接收。</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5.3本项目将于上述同一时间、地点进行磋商，</w:t>
      </w:r>
      <w:r>
        <w:rPr>
          <w:rFonts w:hint="eastAsia" w:ascii="仿宋" w:hAnsi="仿宋" w:eastAsia="仿宋" w:cs="宋体"/>
          <w:sz w:val="24"/>
        </w:rPr>
        <w:t>采购人邀</w:t>
      </w:r>
      <w:r>
        <w:rPr>
          <w:rFonts w:hint="eastAsia" w:ascii="仿宋" w:hAnsi="仿宋" w:eastAsia="仿宋" w:cs="宋体"/>
          <w:color w:val="000000"/>
          <w:sz w:val="24"/>
        </w:rPr>
        <w:t>请供应商代表准时参加。</w:t>
      </w:r>
    </w:p>
    <w:p>
      <w:pPr>
        <w:spacing w:line="360" w:lineRule="auto"/>
        <w:ind w:firstLine="480"/>
        <w:rPr>
          <w:rFonts w:ascii="仿宋" w:hAnsi="仿宋" w:eastAsia="仿宋" w:cs="宋体"/>
          <w:b/>
          <w:bCs/>
          <w:color w:val="000000"/>
          <w:sz w:val="24"/>
        </w:rPr>
      </w:pPr>
      <w:r>
        <w:rPr>
          <w:rFonts w:hint="eastAsia" w:ascii="仿宋" w:hAnsi="仿宋" w:eastAsia="仿宋" w:cs="宋体"/>
          <w:color w:val="000000"/>
          <w:sz w:val="24"/>
        </w:rPr>
        <w:t>5.4</w:t>
      </w:r>
      <w:r>
        <w:rPr>
          <w:rFonts w:hint="eastAsia" w:ascii="仿宋" w:hAnsi="仿宋" w:eastAsia="仿宋" w:cs="宋体"/>
          <w:b/>
          <w:bCs/>
          <w:color w:val="000000"/>
          <w:sz w:val="24"/>
        </w:rPr>
        <w:t>出现以下情形之一时，采购人不予接收投标文件：</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5.4.1  逾期送达或者未送达指定地点的；</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5.4.2  未按照响应文件要求密封的；</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5.4.3  未按照磋商公告要求获取磋商文件的。</w:t>
      </w:r>
    </w:p>
    <w:p>
      <w:pPr>
        <w:pStyle w:val="4"/>
        <w:ind w:firstLine="0"/>
        <w:jc w:val="left"/>
        <w:rPr>
          <w:rFonts w:ascii="仿宋" w:hAnsi="仿宋" w:eastAsia="仿宋" w:cs="仿宋"/>
          <w:color w:val="000000"/>
          <w:sz w:val="24"/>
          <w:szCs w:val="24"/>
        </w:rPr>
      </w:pPr>
      <w:bookmarkStart w:id="14" w:name="_Toc31862"/>
      <w:r>
        <w:rPr>
          <w:rFonts w:hint="eastAsia" w:ascii="仿宋" w:hAnsi="仿宋" w:eastAsia="仿宋" w:cs="仿宋"/>
          <w:color w:val="000000"/>
          <w:sz w:val="24"/>
          <w:szCs w:val="24"/>
        </w:rPr>
        <w:t>六、发布公告的媒介</w:t>
      </w:r>
      <w:bookmarkEnd w:id="14"/>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本项目磋商公告同时在</w:t>
      </w:r>
      <w:r>
        <w:rPr>
          <w:rFonts w:hint="eastAsia" w:ascii="仿宋" w:hAnsi="仿宋" w:eastAsia="仿宋" w:cs="宋体"/>
          <w:sz w:val="24"/>
          <w:u w:val="single"/>
        </w:rPr>
        <w:t>“人保e采”外网门户（https://ec.picc.com/）</w:t>
      </w:r>
      <w:r>
        <w:rPr>
          <w:rFonts w:hint="eastAsia" w:ascii="仿宋" w:hAnsi="仿宋" w:eastAsia="仿宋" w:cs="仿宋"/>
          <w:color w:val="000000"/>
          <w:sz w:val="24"/>
        </w:rPr>
        <w:t>上发布，</w:t>
      </w:r>
      <w:r>
        <w:rPr>
          <w:rFonts w:hint="eastAsia" w:ascii="仿宋" w:hAnsi="仿宋" w:eastAsia="仿宋" w:cs="宋体"/>
          <w:color w:val="000000"/>
          <w:sz w:val="24"/>
        </w:rPr>
        <w:t>除上述外，</w:t>
      </w:r>
      <w:r>
        <w:rPr>
          <w:rFonts w:hint="eastAsia" w:ascii="仿宋" w:hAnsi="仿宋" w:eastAsia="仿宋" w:cs="宋体"/>
          <w:sz w:val="24"/>
        </w:rPr>
        <w:t>采购人不在其他任何网站、论坛等媒介上发布任何采购信息，其他任何媒介上转载的、以采购人为采购主体的采购信息均为非法转载，均为无效</w:t>
      </w:r>
      <w:r>
        <w:rPr>
          <w:rFonts w:hint="eastAsia" w:ascii="仿宋" w:hAnsi="仿宋" w:eastAsia="仿宋" w:cs="仿宋"/>
          <w:sz w:val="24"/>
        </w:rPr>
        <w:t>。对于非法转载、篡改采购公告信息的组织或个人，采购人</w:t>
      </w:r>
      <w:r>
        <w:rPr>
          <w:rFonts w:hint="eastAsia" w:ascii="仿宋" w:hAnsi="仿宋" w:eastAsia="仿宋" w:cs="仿宋"/>
          <w:color w:val="000000"/>
          <w:sz w:val="24"/>
        </w:rPr>
        <w:t>保留追究其法律责任的权利。</w:t>
      </w:r>
    </w:p>
    <w:p>
      <w:pPr>
        <w:pStyle w:val="4"/>
        <w:ind w:firstLine="0"/>
        <w:jc w:val="left"/>
        <w:rPr>
          <w:rFonts w:ascii="仿宋" w:hAnsi="仿宋" w:eastAsia="仿宋" w:cs="仿宋"/>
          <w:color w:val="000000"/>
          <w:sz w:val="24"/>
          <w:szCs w:val="24"/>
        </w:rPr>
      </w:pPr>
      <w:bookmarkStart w:id="15" w:name="_Toc19589"/>
      <w:r>
        <w:rPr>
          <w:rFonts w:hint="eastAsia" w:ascii="仿宋" w:hAnsi="仿宋" w:eastAsia="仿宋" w:cs="仿宋"/>
          <w:color w:val="000000"/>
          <w:sz w:val="24"/>
          <w:szCs w:val="24"/>
        </w:rPr>
        <w:t>七、联系方式</w:t>
      </w:r>
      <w:bookmarkEnd w:id="15"/>
    </w:p>
    <w:p>
      <w:pPr>
        <w:tabs>
          <w:tab w:val="left" w:pos="-105"/>
          <w:tab w:val="left" w:pos="420"/>
          <w:tab w:val="left" w:pos="630"/>
          <w:tab w:val="left" w:pos="1155"/>
          <w:tab w:val="left" w:pos="1890"/>
          <w:tab w:val="left" w:pos="3150"/>
          <w:tab w:val="left" w:pos="3780"/>
        </w:tabs>
        <w:spacing w:line="360" w:lineRule="auto"/>
        <w:ind w:firstLine="422"/>
        <w:jc w:val="left"/>
        <w:rPr>
          <w:rFonts w:ascii="仿宋" w:hAnsi="仿宋" w:eastAsia="仿宋" w:cs="仿宋"/>
          <w:b/>
          <w:bCs/>
          <w:sz w:val="24"/>
        </w:rPr>
      </w:pPr>
      <w:r>
        <w:rPr>
          <w:rFonts w:hint="eastAsia" w:ascii="仿宋" w:hAnsi="仿宋" w:eastAsia="仿宋" w:cs="仿宋"/>
          <w:b/>
          <w:bCs/>
          <w:sz w:val="24"/>
        </w:rPr>
        <w:t>采购人：中国人民财产保险股份有限公司广州市分公司</w:t>
      </w:r>
    </w:p>
    <w:p>
      <w:pPr>
        <w:spacing w:line="360" w:lineRule="auto"/>
        <w:ind w:firstLine="420"/>
        <w:jc w:val="left"/>
        <w:rPr>
          <w:rFonts w:ascii="仿宋" w:hAnsi="仿宋" w:eastAsia="仿宋" w:cs="仿宋"/>
          <w:color w:val="FF0000"/>
          <w:sz w:val="24"/>
        </w:rPr>
      </w:pPr>
      <w:r>
        <w:rPr>
          <w:rFonts w:hint="eastAsia" w:ascii="仿宋" w:hAnsi="仿宋" w:eastAsia="仿宋" w:cs="仿宋"/>
          <w:color w:val="FF0000"/>
          <w:sz w:val="24"/>
        </w:rPr>
        <w:t>地址：</w:t>
      </w:r>
      <w:r>
        <w:rPr>
          <w:rFonts w:hint="eastAsia" w:ascii="仿宋" w:hAnsi="仿宋" w:eastAsia="仿宋" w:cs="宋体"/>
          <w:color w:val="FF0000"/>
          <w:sz w:val="24"/>
          <w:u w:val="single"/>
        </w:rPr>
        <w:t>广州市越秀区东风西路1</w:t>
      </w:r>
      <w:r>
        <w:rPr>
          <w:rFonts w:ascii="仿宋" w:hAnsi="仿宋" w:eastAsia="仿宋" w:cs="宋体"/>
          <w:color w:val="FF0000"/>
          <w:sz w:val="24"/>
          <w:u w:val="single"/>
        </w:rPr>
        <w:t>91号国际银行中心</w:t>
      </w:r>
      <w:r>
        <w:rPr>
          <w:rFonts w:hint="eastAsia" w:ascii="仿宋" w:hAnsi="仿宋" w:eastAsia="仿宋" w:cs="宋体"/>
          <w:color w:val="FF0000"/>
          <w:sz w:val="24"/>
          <w:u w:val="single"/>
        </w:rPr>
        <w:t>1</w:t>
      </w:r>
      <w:r>
        <w:rPr>
          <w:rFonts w:ascii="仿宋" w:hAnsi="仿宋" w:eastAsia="仿宋" w:cs="宋体"/>
          <w:color w:val="FF0000"/>
          <w:sz w:val="24"/>
          <w:u w:val="single"/>
        </w:rPr>
        <w:t>301房</w:t>
      </w:r>
    </w:p>
    <w:p>
      <w:pPr>
        <w:spacing w:line="360" w:lineRule="auto"/>
        <w:ind w:firstLine="420"/>
        <w:jc w:val="left"/>
        <w:rPr>
          <w:rFonts w:ascii="仿宋" w:hAnsi="仿宋" w:eastAsia="仿宋" w:cs="宋体"/>
          <w:color w:val="FF0000"/>
          <w:sz w:val="24"/>
        </w:rPr>
      </w:pPr>
      <w:r>
        <w:rPr>
          <w:rFonts w:hint="eastAsia" w:ascii="仿宋" w:hAnsi="仿宋" w:eastAsia="仿宋" w:cs="宋体"/>
          <w:color w:val="FF0000"/>
          <w:sz w:val="24"/>
        </w:rPr>
        <w:t>联系人：李颂华</w:t>
      </w:r>
    </w:p>
    <w:p>
      <w:pPr>
        <w:spacing w:line="360" w:lineRule="auto"/>
        <w:ind w:firstLine="420"/>
        <w:jc w:val="left"/>
        <w:rPr>
          <w:rFonts w:ascii="仿宋" w:hAnsi="仿宋" w:eastAsia="仿宋" w:cs="仿宋"/>
          <w:color w:val="FF0000"/>
          <w:sz w:val="24"/>
        </w:rPr>
      </w:pPr>
      <w:r>
        <w:rPr>
          <w:rFonts w:hint="eastAsia" w:ascii="仿宋" w:hAnsi="仿宋" w:eastAsia="仿宋" w:cs="宋体"/>
          <w:color w:val="FF0000"/>
          <w:sz w:val="24"/>
        </w:rPr>
        <w:t>电话：</w:t>
      </w:r>
      <w:r>
        <w:rPr>
          <w:rFonts w:ascii="仿宋" w:hAnsi="仿宋" w:eastAsia="仿宋" w:cs="宋体"/>
          <w:color w:val="FF0000"/>
          <w:sz w:val="24"/>
        </w:rPr>
        <w:t>83513690，13922313187</w:t>
      </w:r>
    </w:p>
    <w:p>
      <w:pPr>
        <w:spacing w:line="360" w:lineRule="auto"/>
        <w:ind w:firstLine="420"/>
        <w:jc w:val="left"/>
        <w:rPr>
          <w:rFonts w:ascii="仿宋" w:hAnsi="仿宋" w:eastAsia="仿宋" w:cs="仿宋"/>
          <w:color w:val="FF0000"/>
          <w:sz w:val="24"/>
        </w:rPr>
      </w:pPr>
      <w:r>
        <w:rPr>
          <w:rFonts w:hint="eastAsia" w:ascii="仿宋" w:hAnsi="仿宋" w:eastAsia="仿宋" w:cs="宋体"/>
          <w:color w:val="FF0000"/>
          <w:sz w:val="24"/>
        </w:rPr>
        <w:t>电子邮件：</w:t>
      </w:r>
      <w:r>
        <w:rPr>
          <w:rFonts w:ascii="仿宋" w:hAnsi="仿宋" w:eastAsia="仿宋" w:cs="宋体"/>
          <w:color w:val="FF0000"/>
          <w:sz w:val="24"/>
        </w:rPr>
        <w:t>lisonghua01@guangd.picc.com.cn</w:t>
      </w:r>
    </w:p>
    <w:p>
      <w:pPr>
        <w:spacing w:line="360" w:lineRule="auto"/>
        <w:ind w:firstLine="480"/>
        <w:jc w:val="right"/>
        <w:rPr>
          <w:rFonts w:ascii="仿宋" w:hAnsi="仿宋" w:eastAsia="仿宋" w:cs="宋体"/>
          <w:sz w:val="24"/>
        </w:rPr>
      </w:pPr>
      <w:r>
        <w:rPr>
          <w:rFonts w:hint="eastAsia" w:ascii="仿宋" w:hAnsi="仿宋" w:eastAsia="仿宋" w:cs="宋体"/>
          <w:sz w:val="24"/>
        </w:rPr>
        <w:t>采购人：中国人民财产保险股份有限公司广州市分公司</w:t>
      </w:r>
    </w:p>
    <w:p>
      <w:pPr>
        <w:spacing w:line="360" w:lineRule="auto"/>
        <w:ind w:firstLine="480"/>
        <w:jc w:val="right"/>
        <w:rPr>
          <w:rFonts w:ascii="仿宋" w:hAnsi="仿宋" w:eastAsia="仿宋" w:cs="宋体"/>
          <w:color w:val="FF0000"/>
          <w:sz w:val="24"/>
        </w:rPr>
      </w:pPr>
      <w:r>
        <w:rPr>
          <w:rFonts w:hint="eastAsia" w:ascii="仿宋" w:hAnsi="仿宋" w:eastAsia="仿宋" w:cs="宋体"/>
          <w:color w:val="FF0000"/>
          <w:sz w:val="24"/>
        </w:rPr>
        <w:t>202</w:t>
      </w:r>
      <w:r>
        <w:rPr>
          <w:rFonts w:ascii="仿宋" w:hAnsi="仿宋" w:eastAsia="仿宋" w:cs="宋体"/>
          <w:color w:val="FF0000"/>
          <w:sz w:val="24"/>
        </w:rPr>
        <w:t>5</w:t>
      </w:r>
      <w:r>
        <w:rPr>
          <w:rFonts w:hint="eastAsia" w:ascii="仿宋" w:hAnsi="仿宋" w:eastAsia="仿宋" w:cs="宋体"/>
          <w:color w:val="FF0000"/>
          <w:sz w:val="24"/>
        </w:rPr>
        <w:t>年</w:t>
      </w:r>
      <w:r>
        <w:rPr>
          <w:rFonts w:ascii="仿宋" w:hAnsi="仿宋" w:eastAsia="仿宋" w:cs="宋体"/>
          <w:color w:val="FF0000"/>
          <w:sz w:val="24"/>
        </w:rPr>
        <w:t>6</w:t>
      </w:r>
      <w:r>
        <w:rPr>
          <w:rFonts w:hint="eastAsia" w:ascii="仿宋" w:hAnsi="仿宋" w:eastAsia="仿宋" w:cs="宋体"/>
          <w:color w:val="FF0000"/>
          <w:sz w:val="24"/>
        </w:rPr>
        <w:t>月</w:t>
      </w:r>
      <w:r>
        <w:rPr>
          <w:rFonts w:ascii="仿宋" w:hAnsi="仿宋" w:eastAsia="仿宋" w:cs="宋体"/>
          <w:color w:val="FF0000"/>
          <w:sz w:val="24"/>
        </w:rPr>
        <w:t>3</w:t>
      </w:r>
      <w:r>
        <w:rPr>
          <w:rFonts w:hint="eastAsia" w:ascii="仿宋" w:hAnsi="仿宋" w:eastAsia="仿宋" w:cs="宋体"/>
          <w:color w:val="FF0000"/>
          <w:sz w:val="24"/>
        </w:rPr>
        <w:t>日</w:t>
      </w:r>
      <w:bookmarkEnd w:id="2"/>
      <w:bookmarkEnd w:id="3"/>
      <w:bookmarkEnd w:id="4"/>
      <w:bookmarkEnd w:id="5"/>
      <w:bookmarkEnd w:id="6"/>
      <w:bookmarkEnd w:id="7"/>
      <w:bookmarkEnd w:id="8"/>
    </w:p>
    <w:p>
      <w:pPr>
        <w:rPr>
          <w:rFonts w:ascii="仿宋" w:hAnsi="仿宋" w:eastAsia="仿宋" w:cs="仿宋"/>
          <w:color w:val="000000"/>
          <w:sz w:val="28"/>
          <w:szCs w:val="28"/>
        </w:rPr>
      </w:pPr>
      <w:bookmarkStart w:id="16" w:name="_Toc2797"/>
      <w:bookmarkStart w:id="17" w:name="_Toc17103"/>
      <w:bookmarkStart w:id="18" w:name="_Toc287600116"/>
      <w:bookmarkStart w:id="19" w:name="_Toc23165"/>
      <w:bookmarkStart w:id="20" w:name="_Toc444891334"/>
      <w:bookmarkStart w:id="21" w:name="_Toc517281814"/>
      <w:bookmarkStart w:id="22" w:name="_Toc1895"/>
      <w:r>
        <w:rPr>
          <w:rFonts w:hint="eastAsia" w:ascii="仿宋" w:hAnsi="仿宋" w:eastAsia="仿宋" w:cs="仿宋"/>
          <w:color w:val="000000"/>
          <w:sz w:val="28"/>
          <w:szCs w:val="28"/>
        </w:rPr>
        <w:br w:type="page" w:clear="all"/>
      </w:r>
      <w:bookmarkEnd w:id="16"/>
      <w:bookmarkEnd w:id="17"/>
      <w:bookmarkEnd w:id="18"/>
      <w:bookmarkEnd w:id="19"/>
      <w:bookmarkEnd w:id="20"/>
      <w:bookmarkEnd w:id="21"/>
      <w:bookmarkEnd w:id="22"/>
    </w:p>
    <w:p>
      <w:pPr>
        <w:pStyle w:val="3"/>
        <w:spacing w:before="0" w:after="0" w:line="360" w:lineRule="auto"/>
        <w:jc w:val="center"/>
        <w:rPr>
          <w:rFonts w:ascii="仿宋" w:hAnsi="仿宋" w:eastAsia="仿宋" w:cs="仿宋"/>
          <w:color w:val="000000"/>
          <w:sz w:val="28"/>
          <w:szCs w:val="28"/>
        </w:rPr>
      </w:pPr>
      <w:bookmarkStart w:id="23" w:name="_Toc1590"/>
      <w:r>
        <w:rPr>
          <w:rFonts w:hint="eastAsia" w:ascii="仿宋" w:hAnsi="仿宋" w:eastAsia="仿宋" w:cs="仿宋"/>
          <w:color w:val="000000"/>
          <w:sz w:val="28"/>
          <w:szCs w:val="28"/>
        </w:rPr>
        <w:t>第二章 供应商须知</w:t>
      </w:r>
      <w:bookmarkEnd w:id="23"/>
    </w:p>
    <w:p>
      <w:pPr>
        <w:pStyle w:val="4"/>
        <w:ind w:firstLine="0"/>
        <w:jc w:val="left"/>
        <w:rPr>
          <w:rFonts w:ascii="仿宋" w:hAnsi="仿宋" w:eastAsia="仿宋" w:cs="仿宋"/>
          <w:color w:val="000000"/>
          <w:sz w:val="24"/>
          <w:szCs w:val="24"/>
        </w:rPr>
      </w:pPr>
      <w:bookmarkStart w:id="24" w:name="_Toc32464"/>
      <w:bookmarkStart w:id="25" w:name="_Toc15354"/>
      <w:bookmarkStart w:id="26" w:name="_Toc444891335"/>
      <w:bookmarkStart w:id="27" w:name="_Toc517281815"/>
      <w:bookmarkStart w:id="28" w:name="_Toc17721"/>
      <w:bookmarkStart w:id="29" w:name="_Toc19783312"/>
      <w:bookmarkStart w:id="30" w:name="_Toc29571"/>
      <w:bookmarkStart w:id="31" w:name="_Toc287600117"/>
      <w:bookmarkStart w:id="32" w:name="_Toc8779"/>
      <w:bookmarkStart w:id="33" w:name="_Toc27353"/>
      <w:r>
        <w:rPr>
          <w:rFonts w:hint="eastAsia" w:ascii="仿宋" w:hAnsi="仿宋" w:eastAsia="仿宋" w:cs="仿宋"/>
          <w:color w:val="000000"/>
          <w:sz w:val="24"/>
          <w:szCs w:val="24"/>
        </w:rPr>
        <w:t>一、供应商须知前附表</w:t>
      </w:r>
      <w:bookmarkEnd w:id="24"/>
      <w:bookmarkEnd w:id="25"/>
      <w:bookmarkEnd w:id="26"/>
      <w:bookmarkEnd w:id="27"/>
      <w:bookmarkEnd w:id="28"/>
      <w:bookmarkEnd w:id="29"/>
      <w:bookmarkEnd w:id="30"/>
      <w:bookmarkEnd w:id="31"/>
      <w:bookmarkEnd w:id="32"/>
      <w:bookmarkEnd w:id="33"/>
    </w:p>
    <w:p>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本须知前附表是对供应商须知正文的具体补充和修改，如有矛盾，以本前附表为准。</w:t>
      </w:r>
    </w:p>
    <w:tbl>
      <w:tblPr>
        <w:tblStyle w:val="44"/>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8"/>
        <w:gridCol w:w="1819"/>
        <w:gridCol w:w="7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bCs/>
                <w:color w:val="000000"/>
                <w:szCs w:val="21"/>
              </w:rPr>
            </w:pPr>
            <w:r>
              <w:rPr>
                <w:rFonts w:hint="eastAsia" w:ascii="仿宋" w:hAnsi="仿宋" w:eastAsia="仿宋" w:cs="仿宋"/>
                <w:b/>
                <w:bCs/>
                <w:color w:val="000000"/>
                <w:szCs w:val="21"/>
              </w:rPr>
              <w:t>条款号</w:t>
            </w:r>
          </w:p>
        </w:tc>
        <w:tc>
          <w:tcPr>
            <w:tcW w:w="926"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bCs/>
                <w:color w:val="000000"/>
                <w:szCs w:val="21"/>
              </w:rPr>
            </w:pPr>
            <w:r>
              <w:rPr>
                <w:rFonts w:hint="eastAsia" w:ascii="仿宋" w:hAnsi="仿宋" w:eastAsia="仿宋" w:cs="仿宋"/>
                <w:b/>
                <w:bCs/>
                <w:color w:val="000000"/>
                <w:szCs w:val="21"/>
              </w:rPr>
              <w:t>条款名称</w:t>
            </w:r>
          </w:p>
        </w:tc>
        <w:tc>
          <w:tcPr>
            <w:tcW w:w="3590" w:type="pct"/>
            <w:noWrap w:val="0"/>
            <w:vAlign w:val="center"/>
          </w:tcPr>
          <w:p>
            <w:pPr>
              <w:keepNext w:val="0"/>
              <w:keepLines w:val="0"/>
              <w:suppressLineNumbers w:val="0"/>
              <w:tabs>
                <w:tab w:val="left" w:pos="1180"/>
              </w:tabs>
              <w:spacing w:before="0" w:beforeAutospacing="0" w:after="0" w:afterAutospacing="0" w:line="360" w:lineRule="auto"/>
              <w:ind w:left="0" w:right="0"/>
              <w:jc w:val="center"/>
              <w:rPr>
                <w:rFonts w:hint="default" w:ascii="仿宋" w:hAnsi="仿宋" w:eastAsia="仿宋" w:cs="仿宋"/>
                <w:b/>
                <w:bCs/>
                <w:color w:val="000000"/>
                <w:szCs w:val="21"/>
              </w:rPr>
            </w:pPr>
            <w:r>
              <w:rPr>
                <w:rFonts w:hint="eastAsia" w:ascii="仿宋" w:hAnsi="仿宋" w:eastAsia="仿宋" w:cs="仿宋"/>
                <w:b/>
                <w:bCs/>
                <w:color w:val="00000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采购范围</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竞争性磋商公告“一、项目概况与采购范围”</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3590" w:type="pct"/>
            <w:noWrap w:val="0"/>
            <w:vAlign w:val="center"/>
          </w:tcPr>
          <w:p>
            <w:pPr>
              <w:pStyle w:val="293"/>
              <w:keepNext w:val="0"/>
              <w:keepLines w:val="0"/>
              <w:suppressLineNumbers w:val="0"/>
              <w:spacing w:before="62" w:beforeAutospacing="0" w:after="62" w:afterAutospacing="0"/>
              <w:ind w:left="0" w:right="0"/>
              <w:rPr>
                <w:rFonts w:hint="default" w:ascii="仿宋" w:hAnsi="仿宋" w:eastAsia="仿宋" w:cs="宋体"/>
                <w:color w:val="FF0000"/>
                <w:sz w:val="21"/>
                <w:szCs w:val="21"/>
              </w:rPr>
            </w:pPr>
            <w:r>
              <w:rPr>
                <w:rFonts w:hint="eastAsia" w:ascii="仿宋" w:hAnsi="仿宋" w:eastAsia="仿宋" w:cs="宋体"/>
                <w:color w:val="FF0000"/>
                <w:sz w:val="21"/>
                <w:szCs w:val="21"/>
              </w:rPr>
              <w:t>□资格预审</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default" w:ascii="Wingdings 2" w:hAnsi="Wingdings 2" w:eastAsia="Wingdings 2" w:cs="Wingdings 2"/>
                <w:color w:val="FF0000"/>
              </w:rPr>
              <w:t>R</w:t>
            </w:r>
            <w:r>
              <w:rPr>
                <w:rFonts w:hint="eastAsia" w:ascii="仿宋" w:hAnsi="仿宋" w:eastAsia="仿宋" w:cs="宋体"/>
                <w:color w:val="FF0000"/>
              </w:rPr>
              <w:t>资格后审，</w:t>
            </w:r>
            <w:r>
              <w:rPr>
                <w:rFonts w:hint="eastAsia" w:ascii="仿宋" w:hAnsi="仿宋" w:eastAsia="仿宋" w:cs="仿宋"/>
                <w:color w:val="FF0000"/>
              </w:rPr>
              <w:t>详见</w:t>
            </w:r>
            <w:r>
              <w:rPr>
                <w:rFonts w:hint="eastAsia" w:ascii="仿宋" w:hAnsi="仿宋" w:eastAsia="仿宋" w:cs="仿宋"/>
                <w:color w:val="FF0000"/>
                <w:u w:val="single"/>
              </w:rPr>
              <w:t>第一章 竞争性磋商公告“二、供应商资格要求”</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3</w:t>
            </w:r>
          </w:p>
        </w:tc>
        <w:tc>
          <w:tcPr>
            <w:tcW w:w="926" w:type="pct"/>
            <w:noWrap w:val="0"/>
            <w:vAlign w:val="center"/>
          </w:tcPr>
          <w:p>
            <w:pPr>
              <w:keepNext w:val="0"/>
              <w:keepLines w:val="0"/>
              <w:suppressLineNumbers w:val="0"/>
              <w:spacing w:before="62" w:beforeAutospacing="0" w:after="62"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3590" w:type="pct"/>
            <w:noWrap w:val="0"/>
            <w:vAlign w:val="center"/>
          </w:tcPr>
          <w:p>
            <w:pPr>
              <w:pStyle w:val="293"/>
              <w:keepNext w:val="0"/>
              <w:keepLines w:val="0"/>
              <w:suppressLineNumbers w:val="0"/>
              <w:spacing w:before="62" w:beforeAutospacing="0" w:after="62" w:afterAutospacing="0" w:line="360" w:lineRule="auto"/>
              <w:ind w:left="0" w:right="0"/>
              <w:rPr>
                <w:rFonts w:hint="default" w:ascii="仿宋" w:hAnsi="仿宋" w:eastAsia="仿宋" w:cs="Cambria Math"/>
                <w:b/>
                <w:color w:val="000000"/>
                <w:sz w:val="21"/>
                <w:szCs w:val="21"/>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4</w:t>
            </w:r>
          </w:p>
        </w:tc>
        <w:tc>
          <w:tcPr>
            <w:tcW w:w="1820" w:type="dxa"/>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7052" w:type="dxa"/>
            <w:noWrap w:val="0"/>
            <w:vAlign w:val="center"/>
          </w:tcPr>
          <w:p>
            <w:pPr>
              <w:pStyle w:val="335"/>
              <w:keepNext w:val="0"/>
              <w:keepLines w:val="0"/>
              <w:suppressLineNumbers w:val="0"/>
              <w:spacing w:before="62" w:beforeAutospacing="0" w:after="62" w:afterAutospacing="0"/>
              <w:ind w:left="0" w:right="0"/>
              <w:rPr>
                <w:rFonts w:hint="default" w:ascii="仿宋" w:hAnsi="仿宋" w:eastAsia="仿宋" w:cs="宋体"/>
                <w:color w:val="FF0000"/>
                <w:sz w:val="21"/>
                <w:szCs w:val="21"/>
              </w:rPr>
            </w:pPr>
            <w:r>
              <w:rPr>
                <w:rFonts w:hint="eastAsia" w:ascii="仿宋" w:hAnsi="仿宋" w:eastAsia="仿宋" w:cs="宋体"/>
                <w:b/>
                <w:color w:val="FF0000"/>
                <w:sz w:val="21"/>
                <w:szCs w:val="21"/>
              </w:rPr>
              <w:t>截止时间：</w:t>
            </w:r>
            <w:r>
              <w:rPr>
                <w:rFonts w:hint="eastAsia" w:ascii="仿宋" w:hAnsi="仿宋" w:eastAsia="仿宋" w:cs="宋体"/>
                <w:b/>
                <w:color w:val="FF0000"/>
                <w:sz w:val="21"/>
                <w:szCs w:val="21"/>
                <w:u w:val="single"/>
              </w:rPr>
              <w:t>2025年</w:t>
            </w:r>
            <w:r>
              <w:rPr>
                <w:rFonts w:hint="default" w:ascii="仿宋" w:hAnsi="仿宋" w:eastAsia="仿宋" w:cs="宋体"/>
                <w:b/>
                <w:color w:val="FF0000"/>
                <w:sz w:val="21"/>
                <w:szCs w:val="21"/>
                <w:u w:val="single"/>
              </w:rPr>
              <w:t>6</w:t>
            </w:r>
            <w:r>
              <w:rPr>
                <w:rFonts w:hint="eastAsia" w:ascii="仿宋" w:hAnsi="仿宋" w:eastAsia="仿宋" w:cs="宋体"/>
                <w:b/>
                <w:color w:val="FF0000"/>
                <w:sz w:val="21"/>
                <w:szCs w:val="21"/>
                <w:u w:val="single"/>
              </w:rPr>
              <w:t>月</w:t>
            </w:r>
            <w:r>
              <w:rPr>
                <w:rFonts w:hint="default" w:ascii="仿宋" w:hAnsi="仿宋" w:eastAsia="仿宋" w:cs="宋体"/>
                <w:b/>
                <w:color w:val="FF0000"/>
                <w:sz w:val="21"/>
                <w:szCs w:val="21"/>
                <w:u w:val="single"/>
              </w:rPr>
              <w:t>1</w:t>
            </w:r>
            <w:r>
              <w:rPr>
                <w:rFonts w:hint="eastAsia" w:ascii="仿宋" w:hAnsi="仿宋" w:eastAsia="仿宋" w:cs="宋体"/>
                <w:b/>
                <w:color w:val="FF0000"/>
                <w:sz w:val="21"/>
                <w:szCs w:val="21"/>
                <w:u w:val="single"/>
                <w:lang w:val="en-US" w:eastAsia="zh-CN"/>
              </w:rPr>
              <w:t>8</w:t>
            </w:r>
            <w:r>
              <w:rPr>
                <w:rFonts w:hint="eastAsia" w:ascii="仿宋" w:hAnsi="仿宋" w:eastAsia="仿宋" w:cs="宋体"/>
                <w:b/>
                <w:color w:val="FF0000"/>
                <w:sz w:val="21"/>
                <w:szCs w:val="21"/>
                <w:u w:val="single"/>
              </w:rPr>
              <w:t xml:space="preserve">日 </w:t>
            </w:r>
            <w:r>
              <w:rPr>
                <w:rFonts w:hint="default" w:ascii="仿宋" w:hAnsi="仿宋" w:eastAsia="仿宋" w:cs="宋体"/>
                <w:b/>
                <w:color w:val="FF0000"/>
                <w:sz w:val="21"/>
                <w:szCs w:val="21"/>
                <w:u w:val="single"/>
              </w:rPr>
              <w:t>17</w:t>
            </w:r>
            <w:r>
              <w:rPr>
                <w:rFonts w:hint="eastAsia" w:ascii="仿宋" w:hAnsi="仿宋" w:eastAsia="仿宋" w:cs="宋体"/>
                <w:b/>
                <w:color w:val="FF0000"/>
                <w:sz w:val="21"/>
                <w:szCs w:val="21"/>
                <w:u w:val="single"/>
              </w:rPr>
              <w:t xml:space="preserve">时 </w:t>
            </w:r>
            <w:r>
              <w:rPr>
                <w:rFonts w:hint="default" w:ascii="仿宋" w:hAnsi="仿宋" w:eastAsia="仿宋" w:cs="宋体"/>
                <w:b/>
                <w:color w:val="FF0000"/>
                <w:sz w:val="21"/>
                <w:szCs w:val="21"/>
                <w:u w:val="single"/>
              </w:rPr>
              <w:t>00</w:t>
            </w:r>
            <w:r>
              <w:rPr>
                <w:rFonts w:hint="eastAsia" w:ascii="仿宋" w:hAnsi="仿宋" w:eastAsia="仿宋" w:cs="宋体"/>
                <w:b/>
                <w:color w:val="FF0000"/>
                <w:sz w:val="21"/>
                <w:szCs w:val="21"/>
                <w:u w:val="single"/>
              </w:rPr>
              <w:t>分</w:t>
            </w:r>
            <w:r>
              <w:rPr>
                <w:rFonts w:hint="eastAsia" w:ascii="仿宋" w:hAnsi="仿宋" w:eastAsia="仿宋" w:cs="宋体"/>
                <w:b/>
                <w:color w:val="FF0000"/>
                <w:sz w:val="21"/>
                <w:szCs w:val="21"/>
              </w:rPr>
              <w:t>（北京时间）（根据采购进度确定）。</w:t>
            </w:r>
          </w:p>
          <w:p>
            <w:pPr>
              <w:pStyle w:val="303"/>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宋体"/>
                <w:color w:val="FF0000"/>
                <w:sz w:val="21"/>
                <w:szCs w:val="21"/>
              </w:rPr>
              <w:t>提出澄清的方式：</w:t>
            </w:r>
            <w:r>
              <w:rPr>
                <w:rFonts w:hint="eastAsia" w:ascii="仿宋" w:hAnsi="仿宋" w:eastAsia="仿宋" w:cs="宋体"/>
                <w:color w:val="FF0000"/>
                <w:sz w:val="21"/>
                <w:szCs w:val="21"/>
                <w:u w:val="single"/>
              </w:rPr>
              <w:t>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5</w:t>
            </w:r>
          </w:p>
        </w:tc>
        <w:tc>
          <w:tcPr>
            <w:tcW w:w="1820" w:type="dxa"/>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宋体"/>
                <w:color w:val="000000"/>
                <w:szCs w:val="21"/>
              </w:rPr>
              <w:t>供应商确认收到澄清或修改的截止时间和方式</w:t>
            </w:r>
          </w:p>
        </w:tc>
        <w:tc>
          <w:tcPr>
            <w:tcW w:w="7052" w:type="dxa"/>
            <w:noWrap w:val="0"/>
            <w:vAlign w:val="center"/>
          </w:tcPr>
          <w:p>
            <w:pPr>
              <w:keepNext w:val="0"/>
              <w:keepLines w:val="0"/>
              <w:suppressLineNumbers w:val="0"/>
              <w:spacing w:before="0" w:beforeAutospacing="0" w:after="0" w:afterAutospacing="0" w:line="360" w:lineRule="auto"/>
              <w:ind w:left="0" w:right="0"/>
              <w:rPr>
                <w:rFonts w:hint="default" w:ascii="仿宋" w:hAnsi="仿宋" w:eastAsia="仿宋" w:cs="宋体"/>
                <w:bCs/>
                <w:color w:val="FF0000"/>
                <w:szCs w:val="21"/>
              </w:rPr>
            </w:pPr>
            <w:r>
              <w:rPr>
                <w:rFonts w:hint="eastAsia" w:ascii="仿宋" w:hAnsi="仿宋" w:eastAsia="仿宋" w:cs="宋体"/>
                <w:b/>
                <w:color w:val="FF0000"/>
                <w:szCs w:val="21"/>
              </w:rPr>
              <w:t>确认收到澄清或修改的时间：</w:t>
            </w:r>
            <w:r>
              <w:rPr>
                <w:rFonts w:hint="eastAsia" w:ascii="仿宋" w:hAnsi="仿宋" w:eastAsia="仿宋" w:cs="宋体"/>
                <w:bCs/>
                <w:color w:val="FF0000"/>
                <w:szCs w:val="21"/>
                <w:u w:val="single"/>
              </w:rPr>
              <w:t>收到谈判文件澄清或修改通知后1个工作日内。</w:t>
            </w:r>
          </w:p>
          <w:p>
            <w:pPr>
              <w:keepNext w:val="0"/>
              <w:keepLines w:val="0"/>
              <w:suppressLineNumbers w:val="0"/>
              <w:spacing w:before="0" w:beforeAutospacing="0" w:after="0" w:afterAutospacing="0" w:line="360" w:lineRule="auto"/>
              <w:ind w:left="0" w:right="0"/>
              <w:rPr>
                <w:rFonts w:hint="default" w:ascii="仿宋" w:hAnsi="仿宋" w:eastAsia="仿宋" w:cs="仿宋"/>
                <w:color w:val="000000"/>
              </w:rPr>
            </w:pPr>
            <w:r>
              <w:rPr>
                <w:rFonts w:hint="eastAsia" w:ascii="仿宋" w:hAnsi="仿宋" w:eastAsia="仿宋" w:cs="宋体"/>
                <w:color w:val="FF0000"/>
                <w:szCs w:val="21"/>
              </w:rPr>
              <w:t>确认收到澄清或修改文件的方式：</w:t>
            </w:r>
            <w:r>
              <w:rPr>
                <w:rFonts w:hint="eastAsia" w:ascii="仿宋" w:hAnsi="仿宋" w:eastAsia="仿宋" w:cs="宋体"/>
                <w:color w:val="FF0000"/>
                <w:szCs w:val="21"/>
                <w:u w:val="single"/>
              </w:rPr>
              <w:t>书面方式</w:t>
            </w:r>
            <w:r>
              <w:rPr>
                <w:rFonts w:hint="eastAsia" w:ascii="仿宋" w:hAnsi="仿宋" w:eastAsia="仿宋" w:cs="宋体"/>
                <w:color w:val="FF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6</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响应文件的组成</w:t>
            </w:r>
          </w:p>
        </w:tc>
        <w:tc>
          <w:tcPr>
            <w:tcW w:w="3590" w:type="pct"/>
            <w:noWrap w:val="0"/>
            <w:vAlign w:val="center"/>
          </w:tcPr>
          <w:p>
            <w:pPr>
              <w:pStyle w:val="303"/>
              <w:keepNext w:val="0"/>
              <w:keepLines w:val="0"/>
              <w:suppressLineNumbers w:val="0"/>
              <w:spacing w:before="62" w:beforeAutospacing="0" w:after="62" w:afterAutospacing="0" w:line="276" w:lineRule="auto"/>
              <w:ind w:left="0" w:right="0"/>
              <w:rPr>
                <w:rFonts w:hint="default" w:ascii="仿宋" w:hAnsi="仿宋" w:eastAsia="仿宋" w:cs="仿宋"/>
                <w:b/>
                <w:color w:val="000000"/>
                <w:sz w:val="21"/>
                <w:szCs w:val="21"/>
              </w:rPr>
            </w:pPr>
            <w:r>
              <w:rPr>
                <w:rFonts w:hint="eastAsia" w:ascii="仿宋" w:hAnsi="仿宋" w:eastAsia="仿宋" w:cs="仿宋"/>
                <w:b/>
                <w:color w:val="000000"/>
                <w:sz w:val="21"/>
                <w:szCs w:val="21"/>
              </w:rPr>
              <w:t>响应文件按照以下架构分成三册并顺序编制：</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b/>
                <w:color w:val="000000"/>
              </w:rPr>
            </w:pPr>
            <w:r>
              <w:rPr>
                <w:rFonts w:hint="eastAsia" w:ascii="仿宋" w:hAnsi="仿宋" w:eastAsia="仿宋" w:cs="仿宋"/>
                <w:b/>
                <w:color w:val="000000"/>
              </w:rPr>
              <w:t>一、商务文件</w:t>
            </w:r>
          </w:p>
          <w:p>
            <w:pPr>
              <w:keepNext w:val="0"/>
              <w:keepLines w:val="0"/>
              <w:suppressLineNumbers w:val="0"/>
              <w:spacing w:before="0" w:beforeAutospacing="0" w:after="0" w:afterAutospacing="0" w:line="276" w:lineRule="auto"/>
              <w:ind w:left="0" w:right="0"/>
              <w:rPr>
                <w:rFonts w:hint="default" w:ascii="仿宋" w:hAnsi="仿宋" w:eastAsia="仿宋" w:cs="仿宋"/>
                <w:b/>
                <w:color w:val="000000"/>
                <w:szCs w:val="21"/>
              </w:rPr>
            </w:pPr>
            <w:r>
              <w:rPr>
                <w:rFonts w:hint="eastAsia" w:ascii="仿宋" w:hAnsi="仿宋" w:eastAsia="仿宋" w:cs="仿宋"/>
                <w:b/>
                <w:color w:val="000000"/>
                <w:szCs w:val="21"/>
              </w:rPr>
              <w:t>初步评审索引表</w:t>
            </w:r>
          </w:p>
          <w:p>
            <w:pPr>
              <w:keepNext w:val="0"/>
              <w:keepLines w:val="0"/>
              <w:suppressLineNumbers w:val="0"/>
              <w:spacing w:before="0" w:beforeAutospacing="0" w:after="0" w:afterAutospacing="0" w:line="276" w:lineRule="auto"/>
              <w:ind w:left="0" w:right="0"/>
              <w:rPr>
                <w:rFonts w:hint="default"/>
              </w:rPr>
            </w:pPr>
            <w:r>
              <w:rPr>
                <w:rFonts w:hint="eastAsia" w:ascii="仿宋" w:hAnsi="仿宋" w:eastAsia="仿宋" w:cs="仿宋"/>
                <w:b/>
                <w:color w:val="000000"/>
                <w:szCs w:val="21"/>
              </w:rPr>
              <w:t>详细评审索引表</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（一）响应函</w:t>
            </w:r>
          </w:p>
          <w:p>
            <w:pPr>
              <w:pStyle w:val="303"/>
              <w:keepNext w:val="0"/>
              <w:keepLines w:val="0"/>
              <w:suppressLineNumbers w:val="0"/>
              <w:spacing w:before="62" w:beforeAutospacing="0" w:after="62"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303"/>
              <w:keepNext w:val="0"/>
              <w:keepLines w:val="0"/>
              <w:suppressLineNumbers w:val="0"/>
              <w:spacing w:before="62" w:beforeAutospacing="0" w:after="62"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（四）资格证明文件</w:t>
            </w:r>
          </w:p>
          <w:p>
            <w:pPr>
              <w:pStyle w:val="303"/>
              <w:keepNext w:val="0"/>
              <w:keepLines w:val="0"/>
              <w:suppressLineNumbers w:val="0"/>
              <w:spacing w:before="62" w:beforeAutospacing="0" w:after="62" w:afterAutospacing="0"/>
              <w:ind w:left="0" w:right="0"/>
              <w:rPr>
                <w:rFonts w:hint="default" w:ascii="仿宋" w:hAnsi="仿宋" w:eastAsia="仿宋" w:cs="仿宋"/>
                <w:color w:val="000000"/>
              </w:rPr>
            </w:pPr>
            <w:r>
              <w:rPr>
                <w:rFonts w:hint="eastAsia" w:ascii="仿宋" w:hAnsi="仿宋" w:eastAsia="仿宋" w:cs="宋体"/>
                <w:color w:val="000000"/>
                <w:sz w:val="21"/>
                <w:szCs w:val="21"/>
              </w:rPr>
              <w:t>（五）供应商须知应答偏离表</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（六）合同条款应答偏离表</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（七）供应商行为准则承诺书</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宋体"/>
                <w:color w:val="000000"/>
              </w:rPr>
              <w:t>（八）供应商廉洁诚信承诺书</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（九）同类项目实施经验</w:t>
            </w:r>
          </w:p>
          <w:p>
            <w:pPr>
              <w:keepNext w:val="0"/>
              <w:keepLines w:val="0"/>
              <w:suppressLineNumbers w:val="0"/>
              <w:spacing w:before="0" w:beforeAutospacing="0" w:after="0" w:afterAutospacing="0" w:line="276" w:lineRule="auto"/>
              <w:ind w:left="0" w:right="0"/>
              <w:rPr>
                <w:rFonts w:hint="default" w:ascii="仿宋" w:hAnsi="仿宋" w:eastAsia="仿宋" w:cs="仿宋"/>
                <w:b/>
                <w:color w:val="000000"/>
                <w:szCs w:val="21"/>
              </w:rPr>
            </w:pPr>
            <w:r>
              <w:rPr>
                <w:rFonts w:hint="eastAsia" w:ascii="仿宋" w:hAnsi="仿宋" w:eastAsia="仿宋" w:cs="仿宋"/>
                <w:b/>
                <w:color w:val="000000"/>
                <w:szCs w:val="21"/>
              </w:rPr>
              <w:t>二、技术文件</w:t>
            </w:r>
          </w:p>
          <w:p>
            <w:pPr>
              <w:keepNext w:val="0"/>
              <w:keepLines w:val="0"/>
              <w:suppressLineNumbers w:val="0"/>
              <w:spacing w:before="0" w:beforeAutospacing="0" w:after="0" w:afterAutospacing="0" w:line="276" w:lineRule="auto"/>
              <w:ind w:left="0" w:right="0"/>
              <w:rPr>
                <w:rFonts w:hint="default" w:ascii="仿宋" w:hAnsi="仿宋" w:eastAsia="仿宋" w:cs="仿宋"/>
                <w:b/>
                <w:color w:val="000000"/>
                <w:szCs w:val="21"/>
              </w:rPr>
            </w:pPr>
            <w:r>
              <w:rPr>
                <w:rFonts w:hint="eastAsia" w:ascii="仿宋" w:hAnsi="仿宋" w:eastAsia="仿宋" w:cs="仿宋"/>
                <w:b/>
                <w:color w:val="000000"/>
                <w:szCs w:val="21"/>
              </w:rPr>
              <w:t>详细评审索引表</w:t>
            </w:r>
          </w:p>
          <w:p>
            <w:pPr>
              <w:keepNext w:val="0"/>
              <w:keepLines w:val="0"/>
              <w:suppressLineNumbers w:val="0"/>
              <w:spacing w:before="0" w:beforeAutospacing="0" w:after="0" w:afterAutospacing="0" w:line="276" w:lineRule="auto"/>
              <w:ind w:left="0" w:right="0"/>
              <w:rPr>
                <w:rFonts w:hint="default"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（二）技术方案</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s="宋体"/>
                <w:color w:val="000000"/>
              </w:rPr>
              <w:t>（如有）</w:t>
            </w:r>
          </w:p>
          <w:p>
            <w:pPr>
              <w:keepNext w:val="0"/>
              <w:keepLines w:val="0"/>
              <w:suppressLineNumbers w:val="0"/>
              <w:spacing w:before="0" w:beforeAutospacing="0" w:after="0" w:afterAutospacing="0" w:line="276" w:lineRule="auto"/>
              <w:ind w:left="0" w:right="0"/>
              <w:rPr>
                <w:rFonts w:hint="default" w:ascii="仿宋" w:hAnsi="仿宋" w:eastAsia="仿宋" w:cs="仿宋"/>
                <w:b/>
                <w:color w:val="000000"/>
                <w:szCs w:val="21"/>
              </w:rPr>
            </w:pPr>
            <w:r>
              <w:rPr>
                <w:rFonts w:hint="eastAsia" w:ascii="仿宋" w:hAnsi="仿宋" w:eastAsia="仿宋" w:cs="仿宋"/>
                <w:b/>
                <w:color w:val="000000"/>
                <w:szCs w:val="21"/>
              </w:rPr>
              <w:t>三、报价文件</w:t>
            </w:r>
          </w:p>
          <w:p>
            <w:pPr>
              <w:pStyle w:val="310"/>
              <w:keepNext w:val="0"/>
              <w:keepLines w:val="0"/>
              <w:suppressLineNumbers w:val="0"/>
              <w:spacing w:before="62" w:beforeAutospacing="0" w:after="62" w:afterAutospacing="0" w:line="276" w:lineRule="auto"/>
              <w:ind w:left="0" w:right="0"/>
              <w:rPr>
                <w:rFonts w:hint="default" w:ascii="仿宋" w:hAnsi="仿宋" w:eastAsia="仿宋" w:cs="仿宋"/>
                <w:color w:val="000000"/>
              </w:rPr>
            </w:pPr>
            <w:r>
              <w:rPr>
                <w:rFonts w:hint="eastAsia" w:ascii="仿宋" w:hAnsi="仿宋" w:eastAsia="仿宋" w:cs="仿宋"/>
                <w:color w:val="000000"/>
              </w:rPr>
              <w:t>（一）报价一览表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7</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响应文件的递交</w:t>
            </w:r>
          </w:p>
        </w:tc>
        <w:tc>
          <w:tcPr>
            <w:tcW w:w="3590" w:type="pct"/>
            <w:noWrap w:val="0"/>
            <w:vAlign w:val="center"/>
          </w:tcPr>
          <w:p>
            <w:pPr>
              <w:keepNext w:val="0"/>
              <w:keepLines w:val="0"/>
              <w:suppressLineNumbers w:val="0"/>
              <w:spacing w:before="0" w:beforeAutospacing="0" w:after="0" w:afterAutospacing="0" w:line="360" w:lineRule="auto"/>
              <w:ind w:left="0" w:right="0"/>
              <w:rPr>
                <w:rFonts w:hint="default" w:ascii="仿宋" w:hAnsi="仿宋" w:eastAsia="仿宋" w:cs="宋体"/>
                <w:bCs/>
                <w:color w:val="000000"/>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8</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3590" w:type="pct"/>
            <w:noWrap w:val="0"/>
            <w:vAlign w:val="center"/>
          </w:tcPr>
          <w:p>
            <w:pPr>
              <w:pStyle w:val="293"/>
              <w:keepNext w:val="0"/>
              <w:keepLines w:val="0"/>
              <w:suppressLineNumbers w:val="0"/>
              <w:spacing w:before="62" w:beforeAutospacing="0" w:after="62" w:afterAutospacing="0" w:line="360" w:lineRule="auto"/>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293"/>
              <w:keepNext w:val="0"/>
              <w:keepLines w:val="0"/>
              <w:suppressLineNumbers w:val="0"/>
              <w:spacing w:before="62" w:beforeAutospacing="0" w:after="62" w:afterAutospacing="0" w:line="360" w:lineRule="auto"/>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293"/>
              <w:keepNext w:val="0"/>
              <w:keepLines w:val="0"/>
              <w:suppressLineNumbers w:val="0"/>
              <w:spacing w:before="62" w:beforeAutospacing="0" w:after="62" w:afterAutospacing="0" w:line="360" w:lineRule="auto"/>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293"/>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9</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磋商响应报价</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1）供应商应结合自身实力与经验、市场价格竞争及合同实施风险等因素进行综合考虑进行报价。</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2）磋商小组将视磋商情况决定是否进行多轮次报价，供应商</w:t>
            </w:r>
            <w:r>
              <w:rPr>
                <w:rFonts w:hint="eastAsia" w:ascii="仿宋" w:hAnsi="仿宋" w:eastAsia="仿宋" w:cs="仿宋"/>
                <w:color w:val="000000"/>
                <w:u w:val="single"/>
              </w:rPr>
              <w:t>最后一轮磋商提交的报价</w:t>
            </w:r>
            <w:r>
              <w:rPr>
                <w:rFonts w:hint="eastAsia" w:ascii="仿宋" w:hAnsi="仿宋" w:eastAsia="仿宋" w:cs="仿宋"/>
                <w:color w:val="000000"/>
              </w:rPr>
              <w:t>将作为该供应商的</w:t>
            </w:r>
            <w:r>
              <w:rPr>
                <w:rFonts w:hint="eastAsia" w:ascii="仿宋" w:hAnsi="仿宋" w:eastAsia="仿宋" w:cs="仿宋"/>
                <w:b/>
                <w:bCs/>
                <w:color w:val="000000"/>
              </w:rPr>
              <w:t>最终报价</w:t>
            </w:r>
            <w:r>
              <w:rPr>
                <w:rFonts w:hint="eastAsia" w:ascii="仿宋" w:hAnsi="仿宋" w:eastAsia="仿宋" w:cs="仿宋"/>
                <w:color w:val="000000"/>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10</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★磋商响应有效期</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宋体"/>
                <w:color w:val="000000"/>
              </w:rPr>
              <w:t>磋商响应有效期：</w:t>
            </w:r>
            <w:r>
              <w:rPr>
                <w:rFonts w:hint="eastAsia" w:ascii="仿宋" w:hAnsi="仿宋" w:eastAsia="仿宋" w:cs="仿宋"/>
                <w:color w:val="FF0000"/>
                <w:u w:val="single"/>
              </w:rPr>
              <w:t>90天</w:t>
            </w:r>
            <w:r>
              <w:rPr>
                <w:rFonts w:hint="eastAsia" w:ascii="仿宋" w:hAnsi="仿宋" w:eastAsia="仿宋" w:cs="仿宋"/>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11</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宋体"/>
                <w:color w:val="000000"/>
                <w:szCs w:val="21"/>
              </w:rPr>
              <w:t>★磋商保证金的金额</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u w:val="single"/>
              </w:rPr>
            </w:pPr>
            <w:r>
              <w:rPr>
                <w:rFonts w:hint="eastAsia" w:ascii="仿宋" w:hAnsi="仿宋" w:eastAsia="仿宋" w:cs="仿宋"/>
                <w:color w:val="000000"/>
              </w:rPr>
              <w:t>磋商保证金金额：</w:t>
            </w:r>
            <w:r>
              <w:rPr>
                <w:rFonts w:hint="eastAsia" w:ascii="仿宋" w:hAnsi="仿宋" w:eastAsia="仿宋" w:cs="仿宋"/>
                <w:color w:val="FF0000"/>
                <w:u w:val="single"/>
              </w:rPr>
              <w:t>人民币0元</w:t>
            </w:r>
            <w:r>
              <w:rPr>
                <w:rFonts w:hint="eastAsia" w:ascii="仿宋" w:hAnsi="仿宋" w:eastAsia="仿宋" w:cs="宋体"/>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12</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磋商保证金的形式</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（1）磋商保证金的形式：银行电汇/银行转账/在中国注册的银行出具的银行保函/电子保函。</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（2）缴纳方式：</w:t>
            </w:r>
            <w:r>
              <w:rPr>
                <w:rFonts w:hint="eastAsia" w:ascii="仿宋" w:hAnsi="仿宋" w:eastAsia="仿宋" w:cs="仿宋"/>
                <w:color w:val="FF0000"/>
              </w:rPr>
              <w:t>无需缴纳</w:t>
            </w:r>
            <w:r>
              <w:rPr>
                <w:rFonts w:hint="eastAsia" w:ascii="仿宋" w:hAnsi="仿宋" w:eastAsia="仿宋" w:cs="仿宋"/>
                <w:color w:val="000000"/>
              </w:rPr>
              <w:t>。</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（3）未在文件递交截止时间前提交磋商保证保险的或者提交的磋商保证保险有瑕疵的，响应将被否决。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pStyle w:val="310"/>
              <w:keepNext w:val="0"/>
              <w:keepLines w:val="0"/>
              <w:suppressLineNumbers w:val="0"/>
              <w:spacing w:before="62" w:beforeAutospacing="0" w:after="62" w:afterAutospacing="0" w:line="276" w:lineRule="auto"/>
              <w:ind w:left="0" w:right="0"/>
              <w:jc w:val="center"/>
              <w:rPr>
                <w:rFonts w:hint="default" w:ascii="仿宋" w:hAnsi="仿宋" w:eastAsia="仿宋" w:cs="仿宋"/>
                <w:color w:val="000000"/>
              </w:rPr>
            </w:pPr>
            <w:r>
              <w:rPr>
                <w:rFonts w:hint="eastAsia" w:ascii="仿宋" w:hAnsi="仿宋" w:eastAsia="仿宋" w:cs="仿宋"/>
                <w:color w:val="000000"/>
              </w:rPr>
              <w:t>13</w:t>
            </w:r>
          </w:p>
        </w:tc>
        <w:tc>
          <w:tcPr>
            <w:tcW w:w="926" w:type="pct"/>
            <w:noWrap w:val="0"/>
            <w:vAlign w:val="center"/>
          </w:tcPr>
          <w:p>
            <w:pPr>
              <w:pStyle w:val="310"/>
              <w:keepNext w:val="0"/>
              <w:keepLines w:val="0"/>
              <w:suppressLineNumbers w:val="0"/>
              <w:spacing w:before="62" w:beforeAutospacing="0" w:after="62" w:afterAutospacing="0" w:line="276" w:lineRule="auto"/>
              <w:ind w:left="0" w:right="0"/>
              <w:jc w:val="center"/>
              <w:rPr>
                <w:rFonts w:hint="default" w:ascii="仿宋" w:hAnsi="仿宋" w:eastAsia="仿宋" w:cs="仿宋"/>
                <w:color w:val="000000"/>
              </w:rPr>
            </w:pPr>
            <w:r>
              <w:rPr>
                <w:rFonts w:hint="eastAsia" w:ascii="仿宋" w:hAnsi="仿宋" w:eastAsia="仿宋" w:cs="宋体"/>
              </w:rPr>
              <w:t>★磋商保证金不予退还情形</w:t>
            </w:r>
          </w:p>
        </w:tc>
        <w:tc>
          <w:tcPr>
            <w:tcW w:w="3590" w:type="pct"/>
            <w:noWrap w:val="0"/>
            <w:vAlign w:val="center"/>
          </w:tcPr>
          <w:p>
            <w:pPr>
              <w:pStyle w:val="2"/>
              <w:keepNext w:val="0"/>
              <w:keepLines w:val="0"/>
              <w:suppressLineNumbers w:val="0"/>
              <w:spacing w:before="0" w:beforeAutospacing="0" w:after="0" w:afterAutospacing="0" w:line="360" w:lineRule="auto"/>
              <w:ind w:left="0" w:right="0"/>
              <w:jc w:val="left"/>
              <w:rPr>
                <w:rFonts w:hint="default" w:ascii="仿宋" w:hAnsi="仿宋" w:eastAsia="仿宋" w:cs="仿宋"/>
                <w:sz w:val="21"/>
                <w:szCs w:val="21"/>
                <w:lang w:bidi="ar"/>
              </w:rPr>
            </w:pPr>
            <w:r>
              <w:rPr>
                <w:rFonts w:hint="eastAsia" w:ascii="仿宋" w:hAnsi="仿宋" w:eastAsia="仿宋" w:cs="仿宋"/>
                <w:sz w:val="21"/>
                <w:szCs w:val="21"/>
                <w:lang w:bidi="ar"/>
              </w:rPr>
              <w:t>供应商或成交供应商出现下列行为之一，磋商保证金不予退还：</w:t>
            </w:r>
          </w:p>
          <w:p>
            <w:pPr>
              <w:pStyle w:val="2"/>
              <w:keepNext w:val="0"/>
              <w:keepLines w:val="0"/>
              <w:suppressLineNumbers w:val="0"/>
              <w:spacing w:before="0" w:beforeAutospacing="0" w:after="0" w:afterAutospacing="0" w:line="360" w:lineRule="auto"/>
              <w:ind w:left="0" w:right="0"/>
              <w:jc w:val="left"/>
              <w:rPr>
                <w:rFonts w:hint="default" w:ascii="仿宋" w:hAnsi="仿宋" w:eastAsia="仿宋" w:cs="仿宋"/>
                <w:sz w:val="21"/>
                <w:szCs w:val="21"/>
                <w:lang w:bidi="ar"/>
              </w:rPr>
            </w:pPr>
            <w:r>
              <w:rPr>
                <w:rFonts w:hint="eastAsia" w:ascii="仿宋" w:hAnsi="仿宋" w:eastAsia="仿宋" w:cs="仿宋"/>
                <w:sz w:val="21"/>
                <w:szCs w:val="21"/>
                <w:lang w:bidi="ar"/>
              </w:rPr>
              <w:t>（1）供应商在磋商截止后至磋商有效期期满前,要求撤回已递交的响应文件；</w:t>
            </w:r>
          </w:p>
          <w:p>
            <w:pPr>
              <w:pStyle w:val="2"/>
              <w:keepNext w:val="0"/>
              <w:keepLines w:val="0"/>
              <w:suppressLineNumbers w:val="0"/>
              <w:spacing w:before="0" w:beforeAutospacing="0" w:after="0" w:afterAutospacing="0" w:line="360" w:lineRule="auto"/>
              <w:ind w:left="0" w:right="0"/>
              <w:jc w:val="left"/>
              <w:rPr>
                <w:rFonts w:hint="default" w:ascii="仿宋" w:hAnsi="仿宋" w:eastAsia="仿宋" w:cs="仿宋"/>
                <w:sz w:val="21"/>
                <w:szCs w:val="21"/>
                <w:lang w:bidi="ar"/>
              </w:rPr>
            </w:pPr>
            <w:r>
              <w:rPr>
                <w:rFonts w:hint="eastAsia" w:ascii="仿宋" w:hAnsi="仿宋" w:eastAsia="仿宋" w:cs="仿宋"/>
                <w:sz w:val="21"/>
                <w:szCs w:val="21"/>
                <w:lang w:bidi="ar"/>
              </w:rPr>
              <w:t>（2）成交后放弃成交的；</w:t>
            </w:r>
          </w:p>
          <w:p>
            <w:pPr>
              <w:pStyle w:val="2"/>
              <w:keepNext w:val="0"/>
              <w:keepLines w:val="0"/>
              <w:suppressLineNumbers w:val="0"/>
              <w:spacing w:before="0" w:beforeAutospacing="0" w:after="0" w:afterAutospacing="0" w:line="360" w:lineRule="auto"/>
              <w:ind w:left="0" w:right="0"/>
              <w:jc w:val="left"/>
              <w:rPr>
                <w:rFonts w:hint="default" w:ascii="仿宋" w:hAnsi="仿宋" w:eastAsia="仿宋" w:cs="仿宋"/>
                <w:sz w:val="21"/>
                <w:szCs w:val="21"/>
                <w:lang w:bidi="ar"/>
              </w:rPr>
            </w:pPr>
            <w:r>
              <w:rPr>
                <w:rFonts w:hint="eastAsia" w:ascii="仿宋" w:hAnsi="仿宋" w:eastAsia="仿宋" w:cs="仿宋"/>
                <w:sz w:val="21"/>
                <w:szCs w:val="21"/>
                <w:lang w:bidi="ar"/>
              </w:rPr>
              <w:t>（3）成交后无正当理由不与采购人订立合同的；</w:t>
            </w:r>
          </w:p>
          <w:p>
            <w:pPr>
              <w:pStyle w:val="2"/>
              <w:keepNext w:val="0"/>
              <w:keepLines w:val="0"/>
              <w:suppressLineNumbers w:val="0"/>
              <w:spacing w:before="0" w:beforeAutospacing="0" w:after="0" w:afterAutospacing="0" w:line="360" w:lineRule="auto"/>
              <w:ind w:left="0" w:right="0"/>
              <w:jc w:val="left"/>
              <w:rPr>
                <w:rFonts w:hint="default" w:ascii="仿宋" w:hAnsi="仿宋" w:eastAsia="仿宋" w:cs="仿宋"/>
                <w:sz w:val="21"/>
                <w:szCs w:val="21"/>
                <w:lang w:bidi="ar"/>
              </w:rPr>
            </w:pPr>
            <w:r>
              <w:rPr>
                <w:rFonts w:hint="eastAsia" w:ascii="仿宋" w:hAnsi="仿宋" w:eastAsia="仿宋" w:cs="仿宋"/>
                <w:sz w:val="21"/>
                <w:szCs w:val="21"/>
                <w:lang w:bidi="ar"/>
              </w:rPr>
              <w:t>（4）成交供应商在签订合同时向采购人提出附加条件或要求变更实质性合同条款的；</w:t>
            </w:r>
          </w:p>
          <w:p>
            <w:pPr>
              <w:pStyle w:val="2"/>
              <w:keepNext w:val="0"/>
              <w:keepLines w:val="0"/>
              <w:suppressLineNumbers w:val="0"/>
              <w:spacing w:before="0" w:beforeAutospacing="0" w:after="0" w:afterAutospacing="0" w:line="360" w:lineRule="auto"/>
              <w:ind w:left="0" w:right="0"/>
              <w:jc w:val="left"/>
              <w:rPr>
                <w:rFonts w:hint="default" w:ascii="仿宋" w:hAnsi="仿宋" w:eastAsia="仿宋" w:cs="仿宋"/>
                <w:sz w:val="21"/>
                <w:szCs w:val="21"/>
                <w:lang w:bidi="ar"/>
              </w:rPr>
            </w:pPr>
            <w:r>
              <w:rPr>
                <w:rFonts w:hint="eastAsia" w:ascii="仿宋" w:hAnsi="仿宋" w:eastAsia="仿宋" w:cs="仿宋"/>
                <w:sz w:val="21"/>
                <w:szCs w:val="21"/>
                <w:lang w:bidi="ar"/>
              </w:rPr>
              <w:t>（5）成交供应商不按照磋商文件要求提交履约保证金的；</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lang w:bidi="ar"/>
              </w:rPr>
              <w:t>（6）供应商有恶意欺诈、弄虚作假、围标串标、哄抬标价、徇私行贿等法律法规中所列违规行为的。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pStyle w:val="310"/>
              <w:keepNext w:val="0"/>
              <w:keepLines w:val="0"/>
              <w:suppressLineNumbers w:val="0"/>
              <w:spacing w:before="62" w:beforeAutospacing="0" w:after="62" w:afterAutospacing="0" w:line="360" w:lineRule="auto"/>
              <w:ind w:left="0" w:right="0"/>
              <w:jc w:val="center"/>
              <w:rPr>
                <w:rFonts w:hint="default" w:ascii="仿宋" w:hAnsi="仿宋" w:eastAsia="仿宋" w:cs="仿宋"/>
                <w:color w:val="000000"/>
              </w:rPr>
            </w:pPr>
            <w:r>
              <w:rPr>
                <w:rFonts w:hint="eastAsia" w:ascii="仿宋" w:hAnsi="仿宋" w:eastAsia="仿宋" w:cs="仿宋"/>
                <w:color w:val="000000"/>
              </w:rPr>
              <w:t>14</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响应文件的份数</w:t>
            </w:r>
          </w:p>
        </w:tc>
        <w:tc>
          <w:tcPr>
            <w:tcW w:w="3590" w:type="pct"/>
            <w:noWrap w:val="0"/>
            <w:vAlign w:val="center"/>
          </w:tcPr>
          <w:p>
            <w:pPr>
              <w:pStyle w:val="16"/>
              <w:keepNext w:val="0"/>
              <w:keepLines w:val="0"/>
              <w:suppressLineNumbers w:val="0"/>
              <w:spacing w:before="0" w:beforeAutospacing="0" w:after="0" w:afterAutospacing="0"/>
              <w:ind w:left="0" w:right="0"/>
              <w:rPr>
                <w:rFonts w:hint="default" w:ascii="仿宋" w:hAnsi="仿宋" w:eastAsia="仿宋" w:cs="宋体"/>
                <w:color w:val="000000"/>
              </w:rPr>
            </w:pPr>
            <w:r>
              <w:rPr>
                <w:rFonts w:hint="eastAsia" w:ascii="仿宋" w:hAnsi="仿宋" w:eastAsia="仿宋" w:cs="宋体"/>
                <w:color w:val="000000"/>
                <w:sz w:val="21"/>
                <w:szCs w:val="21"/>
              </w:rPr>
              <w:t>电子文件</w:t>
            </w:r>
            <w:r>
              <w:rPr>
                <w:rFonts w:hint="eastAsia" w:ascii="仿宋" w:hAnsi="仿宋" w:eastAsia="仿宋" w:cs="宋体"/>
                <w:color w:val="FF0000"/>
                <w:sz w:val="21"/>
                <w:szCs w:val="21"/>
                <w:u w:val="single"/>
              </w:rPr>
              <w:t>1</w:t>
            </w:r>
            <w:r>
              <w:rPr>
                <w:rFonts w:hint="eastAsia" w:ascii="仿宋" w:hAnsi="仿宋" w:eastAsia="仿宋" w:cs="宋体"/>
                <w:color w:val="000000"/>
                <w:sz w:val="21"/>
                <w:szCs w:val="21"/>
              </w:rPr>
              <w:t>份（</w:t>
            </w:r>
            <w:r>
              <w:rPr>
                <w:rFonts w:hint="eastAsia" w:ascii="仿宋" w:hAnsi="仿宋" w:eastAsia="仿宋" w:cs="宋体"/>
                <w:color w:val="FF0000"/>
                <w:sz w:val="21"/>
                <w:szCs w:val="21"/>
              </w:rPr>
              <w:t>按邀请文件要求签署、盖章后的投标文件正本，扫描成PDF格式的电子文件</w:t>
            </w:r>
            <w:r>
              <w:rPr>
                <w:rFonts w:hint="eastAsia" w:ascii="仿宋" w:hAnsi="仿宋" w:eastAsia="仿宋" w:cs="宋体"/>
                <w:color w:val="000000"/>
                <w:sz w:val="21"/>
                <w:szCs w:val="21"/>
              </w:rPr>
              <w:t>）；纸质文件正本</w:t>
            </w:r>
            <w:r>
              <w:rPr>
                <w:rFonts w:hint="eastAsia" w:ascii="仿宋" w:hAnsi="仿宋" w:eastAsia="仿宋" w:cs="宋体"/>
                <w:color w:val="000000"/>
                <w:sz w:val="21"/>
                <w:szCs w:val="21"/>
                <w:u w:val="single"/>
              </w:rPr>
              <w:t xml:space="preserve"> 1 </w:t>
            </w:r>
            <w:r>
              <w:rPr>
                <w:rFonts w:hint="eastAsia" w:ascii="仿宋" w:hAnsi="仿宋" w:eastAsia="仿宋" w:cs="宋体"/>
                <w:color w:val="000000"/>
                <w:sz w:val="21"/>
                <w:szCs w:val="21"/>
              </w:rPr>
              <w:t>份，副本</w:t>
            </w:r>
            <w:r>
              <w:rPr>
                <w:rFonts w:hint="default" w:ascii="仿宋" w:hAnsi="仿宋" w:eastAsia="仿宋" w:cs="宋体"/>
                <w:color w:val="000000"/>
                <w:sz w:val="21"/>
                <w:szCs w:val="21"/>
                <w:u w:val="single"/>
              </w:rPr>
              <w:t xml:space="preserve"> </w:t>
            </w:r>
            <w:r>
              <w:rPr>
                <w:rFonts w:hint="eastAsia" w:ascii="仿宋" w:hAnsi="仿宋" w:eastAsia="仿宋" w:cs="宋体"/>
                <w:color w:val="FF0000"/>
                <w:sz w:val="21"/>
                <w:szCs w:val="21"/>
                <w:u w:val="single"/>
              </w:rPr>
              <w:t>2</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15</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宋体"/>
                <w:color w:val="000000"/>
                <w:szCs w:val="21"/>
              </w:rPr>
              <w:t>纸质</w:t>
            </w:r>
            <w:r>
              <w:rPr>
                <w:rFonts w:hint="eastAsia" w:ascii="仿宋" w:hAnsi="仿宋" w:eastAsia="仿宋" w:cs="仿宋"/>
                <w:color w:val="000000"/>
                <w:szCs w:val="21"/>
              </w:rPr>
              <w:t>响应文件的装订、密封和标记</w:t>
            </w:r>
          </w:p>
        </w:tc>
        <w:tc>
          <w:tcPr>
            <w:tcW w:w="3590" w:type="pct"/>
            <w:noWrap w:val="0"/>
            <w:vAlign w:val="center"/>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r>
              <w:rPr>
                <w:rFonts w:hint="eastAsia" w:ascii="仿宋" w:hAnsi="仿宋" w:eastAsia="仿宋" w:cs="Cambria Math"/>
                <w:color w:val="000000"/>
                <w:szCs w:val="21"/>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lang w:eastAsia="zh-Hans"/>
              </w:rPr>
              <w:t>纸质</w:t>
            </w:r>
            <w:r>
              <w:rPr>
                <w:rFonts w:hint="eastAsia" w:ascii="仿宋" w:hAnsi="仿宋" w:eastAsia="仿宋" w:cs="Cambria Math"/>
                <w:color w:val="000000"/>
                <w:szCs w:val="21"/>
              </w:rPr>
              <w:t>响应文件不予接收。</w:t>
            </w:r>
          </w:p>
          <w:p>
            <w:pPr>
              <w:keepNext w:val="0"/>
              <w:keepLines w:val="0"/>
              <w:suppressLineNumbers w:val="0"/>
              <w:spacing w:before="0" w:beforeAutospacing="0" w:after="0" w:afterAutospacing="0"/>
              <w:ind w:left="0" w:right="0"/>
              <w:rPr>
                <w:rFonts w:hint="default" w:ascii="仿宋" w:hAnsi="仿宋" w:eastAsia="仿宋"/>
                <w:color w:val="000000"/>
              </w:rPr>
            </w:pPr>
            <w:r>
              <w:rPr>
                <w:rFonts w:hint="eastAsia" w:ascii="仿宋" w:hAnsi="仿宋" w:eastAsia="仿宋" w:cs="Cambria Math"/>
                <w:color w:val="000000"/>
                <w:szCs w:val="21"/>
              </w:rPr>
              <w:t>（2）外层包封具体样式如下：</w:t>
            </w:r>
          </w:p>
          <w:p>
            <w:pPr>
              <w:pStyle w:val="310"/>
              <w:keepNext w:val="0"/>
              <w:keepLines w:val="0"/>
              <w:suppressLineNumbers w:val="0"/>
              <w:spacing w:before="62" w:beforeAutospacing="0" w:after="62" w:afterAutospacing="0" w:line="360" w:lineRule="auto"/>
              <w:ind w:left="0" w:right="0"/>
              <w:rPr>
                <w:rFonts w:hint="default" w:ascii="仿宋" w:hAnsi="仿宋" w:eastAsia="仿宋" w:cs="Cambria Math"/>
                <w:b/>
                <w:color w:val="000000"/>
              </w:rPr>
            </w:pPr>
            <w:r>
              <w:rPr>
                <w:rFonts w:hint="eastAsia" w:ascii="仿宋" w:hAnsi="仿宋" w:eastAsia="仿宋" w:cs="仿宋"/>
                <w:color w:val="000000"/>
              </w:rPr>
              <mc:AlternateContent>
                <mc:Choice Requires="wps">
                  <w:drawing>
                    <wp:inline distT="0" distB="0" distL="0" distR="0">
                      <wp:extent cx="4320540" cy="2775585"/>
                      <wp:effectExtent l="4445" t="4445" r="5715" b="13970"/>
                      <wp:docPr id="4"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pPr>
                                    <w:spacing w:line="360" w:lineRule="auto"/>
                                    <w:rPr>
                                      <w:rFonts w:ascii="仿宋" w:hAnsi="仿宋" w:eastAsia="仿宋" w:cs="仿宋"/>
                                      <w:szCs w:val="21"/>
                                      <w:u w:val="single"/>
                                    </w:rPr>
                                  </w:pPr>
                                  <w:r>
                                    <w:rPr>
                                      <w:rFonts w:hint="eastAsia" w:ascii="仿宋" w:hAnsi="仿宋" w:eastAsia="仿宋" w:cs="仿宋"/>
                                      <w:szCs w:val="21"/>
                                    </w:rPr>
                                    <w:t>采购人名称：</w:t>
                                  </w:r>
                                  <w:r>
                                    <w:rPr>
                                      <w:rFonts w:hint="eastAsia" w:ascii="仿宋" w:hAnsi="仿宋" w:eastAsia="仿宋" w:cs="仿宋"/>
                                      <w:szCs w:val="21"/>
                                      <w:u w:val="single"/>
                                    </w:rPr>
                                    <w:t xml:space="preserve">                 </w:t>
                                  </w:r>
                                </w:p>
                                <w:p>
                                  <w:pPr>
                                    <w:spacing w:line="360" w:lineRule="auto"/>
                                    <w:rPr>
                                      <w:rFonts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rPr>
                                    <w:t>XXXX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】（北京时间）前不得开封</w:t>
                                  </w:r>
                                </w:p>
                                <w:p>
                                  <w:pPr>
                                    <w:spacing w:line="360" w:lineRule="auto"/>
                                    <w:rPr>
                                      <w:rFonts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（公章）</w:t>
                                  </w:r>
                                </w:p>
                                <w:p>
                                  <w:pPr>
                                    <w:spacing w:line="360" w:lineRule="auto"/>
                                    <w:rPr>
                                      <w:rFonts w:ascii="仿宋" w:hAnsi="仿宋" w:eastAsia="仿宋" w:cs="仿宋"/>
                                      <w:szCs w:val="21"/>
                                      <w:u w:val="single"/>
                                    </w:rPr>
                                  </w:pPr>
                                  <w:r>
                                    <w:rPr>
                                      <w:rFonts w:hint="eastAsia" w:ascii="仿宋" w:hAnsi="仿宋" w:eastAsia="仿宋" w:cs="仿宋"/>
                                      <w:szCs w:val="21"/>
                                    </w:rPr>
                                    <w:t>供应商地址：</w:t>
                                  </w:r>
                                  <w:r>
                                    <w:rPr>
                                      <w:rFonts w:hint="eastAsia" w:ascii="仿宋" w:hAnsi="仿宋" w:eastAsia="仿宋" w:cs="仿宋"/>
                                      <w:szCs w:val="21"/>
                                      <w:u w:val="single"/>
                                    </w:rPr>
                                    <w:t xml:space="preserve">                 </w:t>
                                  </w:r>
                                </w:p>
                                <w:p>
                                  <w:pPr>
                                    <w:spacing w:line="360" w:lineRule="auto"/>
                                    <w:rPr>
                                      <w:rFonts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pPr>
                                    <w:spacing w:line="360" w:lineRule="auto"/>
                                    <w:rPr>
                                      <w:rFonts w:ascii="仿宋" w:hAnsi="仿宋" w:eastAsia="仿宋" w:cs="仿宋"/>
                                      <w:szCs w:val="21"/>
                                      <w:u w:val="single"/>
                                    </w:rPr>
                                  </w:pPr>
                                  <w:r>
                                    <w:rPr>
                                      <w:rFonts w:hint="eastAsia" w:ascii="仿宋" w:hAnsi="仿宋" w:eastAsia="仿宋" w:cs="仿宋"/>
                                      <w:szCs w:val="21"/>
                                    </w:rPr>
                                    <w:t>联系人及联系电话：</w:t>
                                  </w:r>
                                  <w:r>
                                    <w:rPr>
                                      <w:rFonts w:hint="eastAsia" w:ascii="仿宋" w:hAnsi="仿宋" w:eastAsia="仿宋" w:cs="仿宋"/>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LtX9GjsCAACQBAAADgAAAAAAAAABACAAAAAlAQAAZHJz&#10;L2Uyb0RvYy54bWxQSwUGAAAAAAYABgBZAQAA0gUAAAAA&#10;">
                      <v:fill on="t" focussize="0,0"/>
                      <v:stroke color="#000000" joinstyle="miter"/>
                      <v:imagedata o:title=""/>
                      <o:lock v:ext="edit" rotation="t" aspectratio="f"/>
                      <v:textbox style="mso-fit-shape-to-text:t;">
                        <w:txbxContent>
                          <w:p>
                            <w:pPr>
                              <w:spacing w:line="360" w:lineRule="auto"/>
                              <w:rPr>
                                <w:rFonts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pPr>
                              <w:spacing w:line="360" w:lineRule="auto"/>
                              <w:rPr>
                                <w:rFonts w:ascii="仿宋" w:hAnsi="仿宋" w:eastAsia="仿宋" w:cs="仿宋"/>
                                <w:szCs w:val="21"/>
                                <w:u w:val="single"/>
                              </w:rPr>
                            </w:pPr>
                            <w:r>
                              <w:rPr>
                                <w:rFonts w:hint="eastAsia" w:ascii="仿宋" w:hAnsi="仿宋" w:eastAsia="仿宋" w:cs="仿宋"/>
                                <w:szCs w:val="21"/>
                              </w:rPr>
                              <w:t>采购人名称：</w:t>
                            </w:r>
                            <w:r>
                              <w:rPr>
                                <w:rFonts w:hint="eastAsia" w:ascii="仿宋" w:hAnsi="仿宋" w:eastAsia="仿宋" w:cs="仿宋"/>
                                <w:szCs w:val="21"/>
                                <w:u w:val="single"/>
                              </w:rPr>
                              <w:t xml:space="preserve">                 </w:t>
                            </w:r>
                          </w:p>
                          <w:p>
                            <w:pPr>
                              <w:spacing w:line="360" w:lineRule="auto"/>
                              <w:rPr>
                                <w:rFonts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rPr>
                              <w:t>XXXX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】（北京时间）前不得开封</w:t>
                            </w:r>
                          </w:p>
                          <w:p>
                            <w:pPr>
                              <w:spacing w:line="360" w:lineRule="auto"/>
                              <w:rPr>
                                <w:rFonts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（公章）</w:t>
                            </w:r>
                          </w:p>
                          <w:p>
                            <w:pPr>
                              <w:spacing w:line="360" w:lineRule="auto"/>
                              <w:rPr>
                                <w:rFonts w:ascii="仿宋" w:hAnsi="仿宋" w:eastAsia="仿宋" w:cs="仿宋"/>
                                <w:szCs w:val="21"/>
                                <w:u w:val="single"/>
                              </w:rPr>
                            </w:pPr>
                            <w:r>
                              <w:rPr>
                                <w:rFonts w:hint="eastAsia" w:ascii="仿宋" w:hAnsi="仿宋" w:eastAsia="仿宋" w:cs="仿宋"/>
                                <w:szCs w:val="21"/>
                              </w:rPr>
                              <w:t>供应商地址：</w:t>
                            </w:r>
                            <w:r>
                              <w:rPr>
                                <w:rFonts w:hint="eastAsia" w:ascii="仿宋" w:hAnsi="仿宋" w:eastAsia="仿宋" w:cs="仿宋"/>
                                <w:szCs w:val="21"/>
                                <w:u w:val="single"/>
                              </w:rPr>
                              <w:t xml:space="preserve">                 </w:t>
                            </w:r>
                          </w:p>
                          <w:p>
                            <w:pPr>
                              <w:spacing w:line="360" w:lineRule="auto"/>
                              <w:rPr>
                                <w:rFonts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pPr>
                              <w:spacing w:line="360" w:lineRule="auto"/>
                              <w:rPr>
                                <w:rFonts w:ascii="仿宋" w:hAnsi="仿宋" w:eastAsia="仿宋" w:cs="仿宋"/>
                                <w:szCs w:val="21"/>
                                <w:u w:val="single"/>
                              </w:rPr>
                            </w:pPr>
                            <w:r>
                              <w:rPr>
                                <w:rFonts w:hint="eastAsia" w:ascii="仿宋" w:hAnsi="仿宋" w:eastAsia="仿宋" w:cs="仿宋"/>
                                <w:szCs w:val="21"/>
                              </w:rPr>
                              <w:t>联系人及联系电话：</w:t>
                            </w:r>
                            <w:r>
                              <w:rPr>
                                <w:rFonts w:hint="eastAsia" w:ascii="仿宋" w:hAnsi="仿宋" w:eastAsia="仿宋" w:cs="仿宋"/>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16</w:t>
            </w:r>
          </w:p>
        </w:tc>
        <w:tc>
          <w:tcPr>
            <w:tcW w:w="926" w:type="pct"/>
            <w:noWrap w:val="0"/>
            <w:vAlign w:val="center"/>
          </w:tcPr>
          <w:p>
            <w:pPr>
              <w:pStyle w:val="310"/>
              <w:keepNext w:val="0"/>
              <w:keepLines w:val="0"/>
              <w:suppressLineNumbers w:val="0"/>
              <w:spacing w:before="62" w:beforeAutospacing="0" w:after="62" w:afterAutospacing="0" w:line="360" w:lineRule="auto"/>
              <w:ind w:left="0" w:right="0"/>
              <w:jc w:val="center"/>
              <w:rPr>
                <w:rFonts w:hint="default" w:ascii="仿宋" w:hAnsi="仿宋" w:eastAsia="仿宋" w:cs="仿宋"/>
                <w:color w:val="000000"/>
              </w:rPr>
            </w:pPr>
            <w:r>
              <w:rPr>
                <w:rFonts w:hint="eastAsia" w:ascii="仿宋" w:hAnsi="仿宋" w:eastAsia="仿宋" w:cs="仿宋"/>
                <w:color w:val="000000"/>
              </w:rPr>
              <w:t>响应文件的递交</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竞争性磋商公告“五、响应文件的递交”</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17</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组建磋商小组</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本项目磋商小组成员人数为</w:t>
            </w:r>
            <w:r>
              <w:rPr>
                <w:rFonts w:hint="eastAsia" w:ascii="仿宋" w:hAnsi="仿宋" w:eastAsia="仿宋" w:cs="仿宋"/>
                <w:color w:val="000000"/>
                <w:u w:val="single"/>
              </w:rPr>
              <w:t>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18</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磋商程序及方式</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（1）磋商小组将与通过初步评审的有效供应商按照</w:t>
            </w:r>
            <w:r>
              <w:rPr>
                <w:rFonts w:hint="eastAsia" w:ascii="仿宋" w:hAnsi="仿宋" w:eastAsia="仿宋" w:cs="仿宋"/>
                <w:color w:val="FF0000"/>
                <w:u w:val="single"/>
              </w:rPr>
              <w:t>响应文件递交顺序</w:t>
            </w:r>
            <w:r>
              <w:rPr>
                <w:rFonts w:hint="eastAsia" w:ascii="仿宋" w:hAnsi="仿宋" w:eastAsia="仿宋" w:cs="仿宋"/>
                <w:color w:val="000000"/>
              </w:rPr>
              <w:t>逐一进行磋商，供应商至少应派法定代表人或其授权委托人准时参会。</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19</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磋商内容</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包含但不仅限于</w:t>
            </w:r>
            <w:r>
              <w:rPr>
                <w:rFonts w:hint="eastAsia" w:ascii="仿宋" w:hAnsi="仿宋" w:eastAsia="仿宋" w:cs="仿宋"/>
                <w:color w:val="FF0000"/>
                <w:u w:val="single"/>
              </w:rPr>
              <w:t>报价、企业综合实力、同类业绩、施工技术方案、施工进度计划、团队配备、安全管理</w:t>
            </w:r>
            <w:r>
              <w:rPr>
                <w:rFonts w:hint="eastAsia" w:ascii="仿宋" w:hAnsi="仿宋" w:eastAsia="仿宋" w:cs="仿宋"/>
                <w:color w:val="000000"/>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20</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rPr>
              <w:t>成交候选人推荐原则</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仿宋"/>
                <w:color w:val="000000"/>
              </w:rPr>
              <w:t>磋商小组根据有效供应商</w:t>
            </w:r>
            <w:r>
              <w:rPr>
                <w:rFonts w:hint="eastAsia" w:ascii="仿宋" w:hAnsi="仿宋" w:eastAsia="仿宋" w:cs="宋体"/>
                <w:color w:val="000000"/>
              </w:rPr>
              <w:t>综合得分由高至低排出的名次，顺序推荐</w:t>
            </w:r>
            <w:r>
              <w:rPr>
                <w:rFonts w:hint="eastAsia" w:ascii="仿宋" w:hAnsi="仿宋" w:eastAsia="仿宋" w:cs="宋体"/>
                <w:color w:val="000000"/>
                <w:u w:val="single"/>
              </w:rPr>
              <w:t>综合得分前</w:t>
            </w:r>
            <w:r>
              <w:rPr>
                <w:rFonts w:hint="eastAsia" w:ascii="仿宋" w:hAnsi="仿宋" w:eastAsia="仿宋" w:cs="宋体"/>
                <w:color w:val="FF0000"/>
                <w:u w:val="single"/>
              </w:rPr>
              <w:t>1</w:t>
            </w:r>
            <w:r>
              <w:rPr>
                <w:rFonts w:hint="eastAsia" w:ascii="仿宋" w:hAnsi="仿宋" w:eastAsia="仿宋" w:cs="宋体"/>
                <w:color w:val="000000"/>
                <w:u w:val="single"/>
              </w:rPr>
              <w:t>名</w:t>
            </w:r>
            <w:r>
              <w:rPr>
                <w:rFonts w:hint="eastAsia" w:ascii="仿宋" w:hAnsi="仿宋" w:eastAsia="仿宋" w:cs="宋体"/>
                <w:color w:val="000000"/>
              </w:rPr>
              <w:t>为成交候选人。</w:t>
            </w:r>
            <w:r>
              <w:rPr>
                <w:rFonts w:hint="eastAsia" w:ascii="仿宋" w:hAnsi="仿宋" w:eastAsia="仿宋" w:cs="仿宋"/>
                <w:color w:val="000000"/>
              </w:rPr>
              <w:t>综合得分相同时，价格得分高者排名优先；价格得分也相同时，</w:t>
            </w:r>
            <w:r>
              <w:rPr>
                <w:rFonts w:hint="eastAsia" w:ascii="仿宋" w:hAnsi="仿宋" w:eastAsia="仿宋" w:cs="仿宋"/>
                <w:color w:val="FF0000"/>
                <w:u w:val="single"/>
              </w:rPr>
              <w:t>技术</w:t>
            </w:r>
            <w:r>
              <w:rPr>
                <w:rFonts w:hint="eastAsia" w:ascii="仿宋" w:hAnsi="仿宋" w:eastAsia="仿宋" w:cs="仿宋"/>
                <w:color w:val="000000"/>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21</w:t>
            </w:r>
          </w:p>
        </w:tc>
        <w:tc>
          <w:tcPr>
            <w:tcW w:w="926" w:type="pct"/>
            <w:noWrap w:val="0"/>
            <w:vAlign w:val="center"/>
          </w:tcPr>
          <w:p>
            <w:pPr>
              <w:pStyle w:val="310"/>
              <w:keepNext w:val="0"/>
              <w:keepLines w:val="0"/>
              <w:suppressLineNumbers w:val="0"/>
              <w:spacing w:before="62" w:beforeAutospacing="0" w:after="62" w:afterAutospacing="0" w:line="360" w:lineRule="auto"/>
              <w:ind w:left="0" w:right="0"/>
              <w:jc w:val="center"/>
              <w:rPr>
                <w:rFonts w:hint="default" w:ascii="仿宋" w:hAnsi="仿宋" w:eastAsia="仿宋" w:cs="仿宋"/>
                <w:color w:val="000000"/>
              </w:rPr>
            </w:pPr>
            <w:r>
              <w:rPr>
                <w:rFonts w:hint="eastAsia" w:ascii="仿宋" w:hAnsi="仿宋" w:eastAsia="仿宋" w:cs="仿宋"/>
                <w:color w:val="000000"/>
              </w:rPr>
              <w:t>成交人数量</w:t>
            </w:r>
          </w:p>
        </w:tc>
        <w:tc>
          <w:tcPr>
            <w:tcW w:w="3590" w:type="pct"/>
            <w:noWrap w:val="0"/>
            <w:vAlign w:val="center"/>
          </w:tcPr>
          <w:p>
            <w:pPr>
              <w:pStyle w:val="310"/>
              <w:keepNext w:val="0"/>
              <w:keepLines w:val="0"/>
              <w:suppressLineNumbers w:val="0"/>
              <w:spacing w:before="62" w:beforeAutospacing="0" w:after="62" w:afterAutospacing="0"/>
              <w:ind w:left="0" w:right="0"/>
              <w:rPr>
                <w:rFonts w:hint="default" w:ascii="仿宋" w:hAnsi="仿宋" w:eastAsia="仿宋" w:cs="仿宋"/>
                <w:color w:val="000000"/>
                <w:u w:val="single"/>
              </w:rPr>
            </w:pPr>
            <w:r>
              <w:rPr>
                <w:rFonts w:hint="eastAsia" w:ascii="仿宋" w:hAnsi="仿宋" w:eastAsia="仿宋" w:cs="仿宋"/>
                <w:color w:val="000000"/>
              </w:rPr>
              <w:t>成交人数量：</w:t>
            </w:r>
            <w:r>
              <w:rPr>
                <w:rFonts w:hint="eastAsia" w:ascii="仿宋" w:hAnsi="仿宋" w:eastAsia="仿宋" w:cs="仿宋"/>
                <w:color w:val="FF0000"/>
                <w:u w:val="single"/>
              </w:rPr>
              <w:t>1家</w:t>
            </w:r>
          </w:p>
          <w:p>
            <w:pPr>
              <w:pStyle w:val="310"/>
              <w:keepNext w:val="0"/>
              <w:keepLines w:val="0"/>
              <w:suppressLineNumbers w:val="0"/>
              <w:spacing w:before="62" w:beforeAutospacing="0" w:after="62" w:afterAutospacing="0" w:line="360" w:lineRule="auto"/>
              <w:ind w:left="0" w:right="0"/>
              <w:rPr>
                <w:rFonts w:hint="default" w:ascii="仿宋" w:hAnsi="仿宋" w:eastAsia="仿宋" w:cs="仿宋"/>
                <w:color w:val="000000"/>
              </w:rPr>
            </w:pPr>
            <w:r>
              <w:rPr>
                <w:rFonts w:hint="eastAsia" w:ascii="仿宋" w:hAnsi="仿宋" w:eastAsia="仿宋" w:cs="宋体"/>
                <w:color w:val="FF0000"/>
                <w:u w:val="single"/>
              </w:rPr>
              <w:t>综合排名第一</w:t>
            </w:r>
            <w:r>
              <w:rPr>
                <w:rFonts w:hint="eastAsia" w:ascii="仿宋" w:hAnsi="仿宋" w:eastAsia="仿宋" w:cs="仿宋"/>
              </w:rPr>
              <w:t>成交候选人放弃成交、因不可抗力不能履行合同、</w:t>
            </w:r>
            <w:r>
              <w:rPr>
                <w:rFonts w:hint="eastAsia" w:ascii="仿宋" w:hAnsi="仿宋" w:eastAsia="仿宋" w:cs="宋体"/>
                <w:color w:val="000000"/>
              </w:rPr>
              <w:t>不按照磋商文件要求提交履约保证金</w:t>
            </w:r>
            <w:r>
              <w:rPr>
                <w:rFonts w:hint="eastAsia" w:ascii="仿宋" w:hAnsi="仿宋" w:eastAsia="仿宋" w:cs="仿宋"/>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2" w:type="pct"/>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22</w:t>
            </w:r>
          </w:p>
        </w:tc>
        <w:tc>
          <w:tcPr>
            <w:tcW w:w="926" w:type="pct"/>
            <w:noWrap w:val="0"/>
            <w:vAlign w:val="center"/>
          </w:tcPr>
          <w:p>
            <w:pPr>
              <w:keepNext w:val="0"/>
              <w:keepLines w:val="0"/>
              <w:suppressLineNumbers w:val="0"/>
              <w:spacing w:before="0" w:beforeAutospacing="0" w:after="0" w:afterAutospacing="0" w:line="360" w:lineRule="auto"/>
              <w:ind w:left="36" w:right="0"/>
              <w:jc w:val="center"/>
              <w:rPr>
                <w:rFonts w:hint="default" w:ascii="仿宋" w:hAnsi="仿宋" w:eastAsia="仿宋" w:cs="仿宋"/>
                <w:color w:val="000000"/>
                <w:szCs w:val="21"/>
              </w:rPr>
            </w:pPr>
            <w:r>
              <w:rPr>
                <w:rFonts w:hint="eastAsia" w:ascii="仿宋" w:hAnsi="仿宋" w:eastAsia="仿宋" w:cs="仿宋"/>
                <w:color w:val="000000"/>
                <w:szCs w:val="21"/>
              </w:rPr>
              <w:t>履约保证金</w:t>
            </w:r>
          </w:p>
        </w:tc>
        <w:tc>
          <w:tcPr>
            <w:tcW w:w="3590" w:type="pct"/>
            <w:noWrap w:val="0"/>
            <w:vAlign w:val="center"/>
          </w:tcPr>
          <w:p>
            <w:pPr>
              <w:pStyle w:val="310"/>
              <w:keepNext w:val="0"/>
              <w:keepLines w:val="0"/>
              <w:suppressLineNumbers w:val="0"/>
              <w:spacing w:before="62" w:beforeAutospacing="0" w:after="62" w:afterAutospacing="0" w:line="360" w:lineRule="auto"/>
              <w:ind w:left="0" w:right="0"/>
              <w:rPr>
                <w:rFonts w:hint="default" w:ascii="仿宋" w:hAnsi="仿宋" w:eastAsia="仿宋" w:cs="宋体"/>
                <w:color w:val="FF0000"/>
              </w:rPr>
            </w:pPr>
            <w:r>
              <w:rPr>
                <w:rFonts w:hint="eastAsia" w:ascii="仿宋" w:hAnsi="仿宋" w:eastAsia="仿宋" w:cs="宋体"/>
                <w:color w:val="FF0000"/>
              </w:rPr>
              <w:t>□收取，形式及比例：</w:t>
            </w:r>
          </w:p>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default" w:ascii="Wingdings 2" w:hAnsi="Wingdings 2" w:eastAsia="Wingdings 2" w:cs="Wingdings 2"/>
                <w:color w:val="FF0000"/>
                <w:szCs w:val="21"/>
              </w:rPr>
              <w:t>R</w:t>
            </w:r>
            <w:r>
              <w:rPr>
                <w:rFonts w:hint="eastAsia" w:ascii="仿宋" w:hAnsi="仿宋" w:eastAsia="仿宋" w:cs="宋体"/>
                <w:color w:val="FF0000"/>
                <w:szCs w:val="21"/>
              </w:rPr>
              <w:t>不收取</w:t>
            </w:r>
          </w:p>
        </w:tc>
      </w:tr>
    </w:tbl>
    <w:p>
      <w:pPr>
        <w:jc w:val="left"/>
        <w:rPr>
          <w:rFonts w:ascii="仿宋" w:hAnsi="仿宋" w:eastAsia="仿宋" w:cs="仿宋"/>
          <w:color w:val="000000"/>
        </w:rPr>
      </w:pPr>
    </w:p>
    <w:p>
      <w:pPr>
        <w:pStyle w:val="4"/>
        <w:ind w:firstLine="0"/>
        <w:jc w:val="left"/>
        <w:rPr>
          <w:rFonts w:ascii="仿宋" w:hAnsi="仿宋" w:eastAsia="仿宋" w:cs="仿宋"/>
          <w:color w:val="000000"/>
          <w:sz w:val="24"/>
          <w:szCs w:val="24"/>
        </w:rPr>
      </w:pPr>
      <w:r>
        <w:rPr>
          <w:rFonts w:hint="eastAsia"/>
        </w:rPr>
        <w:br w:type="page" w:clear="all"/>
      </w:r>
      <w:bookmarkStart w:id="34" w:name="_Toc517281816"/>
      <w:bookmarkStart w:id="35" w:name="_Toc19783313"/>
      <w:bookmarkStart w:id="36" w:name="_Toc6047"/>
      <w:bookmarkStart w:id="37" w:name="_Toc27232"/>
      <w:bookmarkStart w:id="38" w:name="_Toc11071"/>
      <w:bookmarkStart w:id="39" w:name="_Toc20514"/>
      <w:bookmarkStart w:id="40" w:name="_Toc444891336"/>
      <w:bookmarkStart w:id="41" w:name="_Toc287600118"/>
      <w:bookmarkStart w:id="42" w:name="_Toc4309"/>
      <w:bookmarkStart w:id="43" w:name="_Toc27220"/>
      <w:r>
        <w:rPr>
          <w:rFonts w:hint="eastAsia" w:ascii="仿宋" w:hAnsi="仿宋" w:eastAsia="仿宋" w:cs="仿宋"/>
          <w:color w:val="000000"/>
          <w:sz w:val="24"/>
          <w:szCs w:val="24"/>
        </w:rPr>
        <w:t>二、供应商须知</w:t>
      </w:r>
      <w:bookmarkEnd w:id="34"/>
      <w:bookmarkEnd w:id="35"/>
      <w:bookmarkEnd w:id="36"/>
      <w:bookmarkEnd w:id="37"/>
      <w:bookmarkEnd w:id="38"/>
      <w:bookmarkEnd w:id="39"/>
      <w:bookmarkEnd w:id="40"/>
      <w:bookmarkEnd w:id="41"/>
      <w:r>
        <w:rPr>
          <w:rFonts w:hint="eastAsia" w:ascii="仿宋" w:hAnsi="仿宋" w:eastAsia="仿宋" w:cs="仿宋"/>
          <w:color w:val="000000"/>
          <w:sz w:val="24"/>
          <w:szCs w:val="24"/>
        </w:rPr>
        <w:t>正文</w:t>
      </w:r>
      <w:bookmarkEnd w:id="42"/>
      <w:bookmarkEnd w:id="43"/>
    </w:p>
    <w:p>
      <w:pPr>
        <w:pStyle w:val="5"/>
        <w:spacing w:before="0" w:after="0" w:line="360" w:lineRule="auto"/>
        <w:ind w:firstLine="482"/>
        <w:rPr>
          <w:rFonts w:ascii="仿宋" w:hAnsi="仿宋" w:eastAsia="仿宋" w:cs="仿宋"/>
          <w:color w:val="000000"/>
          <w:sz w:val="24"/>
          <w:szCs w:val="24"/>
        </w:rPr>
      </w:pPr>
      <w:bookmarkStart w:id="44" w:name="_Toc19783314"/>
      <w:bookmarkStart w:id="45" w:name="_Toc22969"/>
      <w:bookmarkStart w:id="46" w:name="_Toc517281817"/>
      <w:bookmarkStart w:id="47" w:name="_Toc16441"/>
      <w:bookmarkStart w:id="48" w:name="_Toc431"/>
      <w:bookmarkStart w:id="49" w:name="_Toc287600119"/>
      <w:bookmarkStart w:id="50" w:name="_Toc6681"/>
      <w:bookmarkStart w:id="51" w:name="_Toc11851"/>
      <w:bookmarkStart w:id="52" w:name="_Toc3678"/>
      <w:bookmarkStart w:id="53" w:name="_Toc444891337"/>
      <w:bookmarkStart w:id="54" w:name="_Toc5053"/>
      <w:r>
        <w:rPr>
          <w:rFonts w:hint="eastAsia" w:ascii="仿宋" w:hAnsi="仿宋" w:eastAsia="仿宋" w:cs="仿宋"/>
          <w:color w:val="000000"/>
          <w:sz w:val="24"/>
          <w:szCs w:val="24"/>
        </w:rPr>
        <w:t>（一）总 则</w:t>
      </w:r>
      <w:bookmarkEnd w:id="44"/>
      <w:bookmarkEnd w:id="45"/>
      <w:bookmarkEnd w:id="46"/>
      <w:bookmarkEnd w:id="47"/>
      <w:bookmarkEnd w:id="48"/>
      <w:bookmarkEnd w:id="49"/>
      <w:bookmarkEnd w:id="50"/>
      <w:bookmarkEnd w:id="51"/>
      <w:bookmarkEnd w:id="52"/>
      <w:bookmarkEnd w:id="53"/>
      <w:bookmarkEnd w:id="54"/>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本项目按照中华人民共和国有关法律、行政法规和部门规章以及采购人的采购管理制度，通过竞争性磋商方式确定签约供应商。</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jc w:val="left"/>
        <w:rPr>
          <w:rFonts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jc w:val="left"/>
        <w:rPr>
          <w:rFonts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widowControl/>
        <w:spacing w:line="360" w:lineRule="auto"/>
        <w:rPr>
          <w:rFonts w:ascii="仿宋" w:hAnsi="仿宋" w:eastAsia="仿宋" w:cs="宋体"/>
          <w:color w:val="000000"/>
          <w:sz w:val="24"/>
        </w:rPr>
      </w:pPr>
      <w:r>
        <w:rPr>
          <w:rFonts w:ascii="仿宋" w:hAnsi="仿宋" w:eastAsia="仿宋" w:cs="宋体"/>
          <w:color w:val="000000"/>
          <w:sz w:val="24"/>
        </w:rPr>
        <w:t>4.1</w:t>
      </w:r>
      <w:r>
        <w:rPr>
          <w:rFonts w:hint="eastAsia" w:ascii="仿宋" w:hAnsi="仿宋" w:eastAsia="仿宋" w:cs="宋体"/>
          <w:color w:val="000000"/>
          <w:sz w:val="24"/>
        </w:rPr>
        <w:t>资格预审：是指在递交响应文件前对潜在供应商进行的资格审查。采用资格预审方式的，资格条件已经在磋商文件发出前的资格预审文件中作出规定。</w:t>
      </w:r>
    </w:p>
    <w:p>
      <w:pPr>
        <w:widowControl/>
        <w:spacing w:line="360" w:lineRule="auto"/>
        <w:rPr>
          <w:rFonts w:ascii="仿宋" w:hAnsi="仿宋" w:eastAsia="仿宋" w:cs="宋体"/>
          <w:color w:val="000000"/>
          <w:sz w:val="24"/>
        </w:rPr>
      </w:pPr>
      <w:r>
        <w:rPr>
          <w:rFonts w:ascii="仿宋" w:hAnsi="仿宋" w:eastAsia="仿宋" w:cs="宋体"/>
          <w:color w:val="000000"/>
          <w:sz w:val="24"/>
        </w:rPr>
        <w:t>4</w:t>
      </w:r>
      <w:r>
        <w:rPr>
          <w:rFonts w:hint="eastAsia" w:ascii="仿宋" w:hAnsi="仿宋" w:eastAsia="仿宋" w:cs="宋体"/>
          <w:color w:val="000000"/>
          <w:sz w:val="24"/>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sz w:val="24"/>
          <w:u w:val="single"/>
        </w:rPr>
        <w:t>详见本须知前附表。</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rPr>
          <w:rFonts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自行承担所有准备和参与本次磋商响应的有关费用。</w:t>
      </w:r>
    </w:p>
    <w:p>
      <w:pPr>
        <w:pStyle w:val="5"/>
        <w:spacing w:after="0" w:line="360" w:lineRule="auto"/>
        <w:ind w:firstLine="482"/>
        <w:rPr>
          <w:rFonts w:ascii="仿宋" w:hAnsi="仿宋" w:eastAsia="仿宋" w:cs="仿宋"/>
          <w:color w:val="000000"/>
          <w:sz w:val="24"/>
          <w:szCs w:val="24"/>
        </w:rPr>
      </w:pPr>
      <w:bookmarkStart w:id="55" w:name="_Toc3016"/>
      <w:bookmarkStart w:id="56" w:name="_Toc5255"/>
      <w:bookmarkStart w:id="57" w:name="_Toc19783315"/>
      <w:bookmarkStart w:id="58" w:name="_Toc6863"/>
      <w:bookmarkStart w:id="59" w:name="_Toc287600120"/>
      <w:bookmarkStart w:id="60" w:name="_Toc24246"/>
      <w:bookmarkStart w:id="61" w:name="_Toc517281818"/>
      <w:bookmarkStart w:id="62" w:name="_Toc25513"/>
      <w:bookmarkStart w:id="63" w:name="_Toc444891338"/>
      <w:bookmarkStart w:id="64" w:name="_Toc10975"/>
      <w:bookmarkStart w:id="65" w:name="_Toc14164"/>
      <w:r>
        <w:rPr>
          <w:rFonts w:hint="eastAsia" w:ascii="仿宋" w:hAnsi="仿宋" w:eastAsia="仿宋" w:cs="仿宋"/>
          <w:color w:val="000000"/>
          <w:sz w:val="24"/>
          <w:szCs w:val="24"/>
        </w:rPr>
        <w:t>（二）磋商文件</w:t>
      </w:r>
      <w:bookmarkEnd w:id="55"/>
      <w:bookmarkEnd w:id="56"/>
      <w:bookmarkEnd w:id="57"/>
      <w:bookmarkEnd w:id="58"/>
      <w:bookmarkEnd w:id="59"/>
      <w:bookmarkEnd w:id="60"/>
      <w:bookmarkEnd w:id="61"/>
      <w:bookmarkEnd w:id="62"/>
      <w:bookmarkEnd w:id="63"/>
      <w:bookmarkEnd w:id="64"/>
      <w:bookmarkEnd w:id="65"/>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6.1磋商文件包括下列内容：</w:t>
      </w:r>
    </w:p>
    <w:p>
      <w:pPr>
        <w:pStyle w:val="23"/>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第一章 竞争性磋商公告</w:t>
      </w:r>
    </w:p>
    <w:p>
      <w:pPr>
        <w:pStyle w:val="23"/>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23"/>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23"/>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jc w:val="left"/>
        <w:rPr>
          <w:rFonts w:ascii="仿宋" w:hAnsi="仿宋" w:eastAsia="仿宋" w:cs="仿宋"/>
          <w:color w:val="000000"/>
          <w:sz w:val="24"/>
        </w:rPr>
      </w:pPr>
      <w:r>
        <w:rPr>
          <w:rFonts w:hint="eastAsia" w:ascii="仿宋" w:hAnsi="仿宋" w:eastAsia="仿宋" w:cs="仿宋"/>
          <w:color w:val="000000"/>
          <w:sz w:val="24"/>
        </w:rPr>
        <w:t>第五章 采购需求</w:t>
      </w:r>
    </w:p>
    <w:p>
      <w:pPr>
        <w:tabs>
          <w:tab w:val="left" w:pos="540"/>
          <w:tab w:val="left" w:pos="720"/>
        </w:tabs>
        <w:spacing w:line="360" w:lineRule="auto"/>
        <w:ind w:firstLine="480"/>
        <w:jc w:val="left"/>
        <w:rPr>
          <w:rFonts w:ascii="仿宋" w:hAnsi="仿宋" w:eastAsia="仿宋" w:cs="仿宋"/>
          <w:color w:val="000000"/>
          <w:sz w:val="24"/>
        </w:rPr>
      </w:pPr>
      <w:r>
        <w:rPr>
          <w:rFonts w:hint="eastAsia" w:ascii="仿宋" w:hAnsi="仿宋" w:eastAsia="仿宋" w:cs="仿宋"/>
          <w:color w:val="000000"/>
          <w:sz w:val="24"/>
        </w:rPr>
        <w:t>第六章 响应文件格式</w:t>
      </w:r>
    </w:p>
    <w:p>
      <w:pPr>
        <w:widowControl/>
        <w:spacing w:line="360" w:lineRule="auto"/>
        <w:rPr>
          <w:rFonts w:ascii="仿宋" w:hAnsi="仿宋" w:eastAsia="仿宋" w:cs="仿宋"/>
          <w:color w:val="000000"/>
          <w:sz w:val="24"/>
        </w:rPr>
      </w:pPr>
      <w:r>
        <w:rPr>
          <w:rFonts w:hint="eastAsia" w:ascii="仿宋" w:hAnsi="仿宋" w:eastAsia="仿宋" w:cs="仿宋"/>
          <w:color w:val="000000"/>
          <w:sz w:val="24"/>
        </w:rPr>
        <w:t>6.</w:t>
      </w:r>
      <w:r>
        <w:rPr>
          <w:rFonts w:ascii="仿宋" w:hAnsi="仿宋" w:eastAsia="仿宋" w:cs="仿宋"/>
          <w:color w:val="000000"/>
          <w:sz w:val="24"/>
        </w:rPr>
        <w:t>2</w:t>
      </w:r>
      <w:r>
        <w:rPr>
          <w:rFonts w:hint="eastAsia" w:ascii="仿宋" w:hAnsi="仿宋" w:eastAsia="仿宋" w:cs="仿宋"/>
          <w:color w:val="000000"/>
          <w:sz w:val="24"/>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widowControl/>
        <w:spacing w:line="360" w:lineRule="auto"/>
        <w:rPr>
          <w:rFonts w:ascii="仿宋" w:hAnsi="仿宋" w:eastAsia="仿宋" w:cs="宋体"/>
          <w:color w:val="000000"/>
          <w:sz w:val="24"/>
        </w:rPr>
      </w:pPr>
      <w:r>
        <w:rPr>
          <w:rFonts w:hint="eastAsia" w:ascii="仿宋" w:hAnsi="仿宋" w:eastAsia="仿宋" w:cs="仿宋"/>
          <w:color w:val="000000"/>
          <w:sz w:val="24"/>
        </w:rPr>
        <w:t>7.1潜在</w:t>
      </w:r>
      <w:r>
        <w:rPr>
          <w:rFonts w:hint="eastAsia" w:ascii="仿宋" w:hAnsi="仿宋" w:eastAsia="仿宋" w:cs="宋体"/>
          <w:color w:val="000000"/>
          <w:sz w:val="24"/>
        </w:rPr>
        <w:t>供应商对</w:t>
      </w:r>
      <w:r>
        <w:rPr>
          <w:rFonts w:hint="eastAsia" w:ascii="仿宋" w:hAnsi="仿宋" w:eastAsia="仿宋" w:cs="仿宋"/>
          <w:color w:val="000000"/>
          <w:sz w:val="24"/>
        </w:rPr>
        <w:t>磋商文件</w:t>
      </w:r>
      <w:r>
        <w:rPr>
          <w:rFonts w:hint="eastAsia" w:ascii="仿宋" w:hAnsi="仿宋" w:eastAsia="仿宋" w:cs="宋体"/>
          <w:color w:val="000000"/>
          <w:sz w:val="24"/>
        </w:rPr>
        <w:t>有疑问的，应当按照</w:t>
      </w:r>
      <w:r>
        <w:rPr>
          <w:rFonts w:hint="eastAsia" w:ascii="仿宋" w:hAnsi="仿宋" w:eastAsia="仿宋" w:cs="宋体"/>
          <w:color w:val="000000"/>
          <w:sz w:val="24"/>
          <w:u w:val="single"/>
        </w:rPr>
        <w:t>本须知前附表</w:t>
      </w:r>
      <w:r>
        <w:rPr>
          <w:rFonts w:hint="eastAsia" w:ascii="仿宋" w:hAnsi="仿宋" w:eastAsia="仿宋" w:cs="宋体"/>
          <w:color w:val="000000"/>
          <w:sz w:val="24"/>
        </w:rPr>
        <w:t>规定的时间和方式，要求采购人对</w:t>
      </w:r>
      <w:r>
        <w:rPr>
          <w:rFonts w:hint="eastAsia" w:ascii="仿宋" w:hAnsi="仿宋" w:eastAsia="仿宋" w:cs="仿宋"/>
          <w:color w:val="000000"/>
          <w:sz w:val="24"/>
        </w:rPr>
        <w:t>磋商文件</w:t>
      </w:r>
      <w:r>
        <w:rPr>
          <w:rFonts w:hint="eastAsia" w:ascii="仿宋" w:hAnsi="仿宋" w:eastAsia="仿宋" w:cs="宋体"/>
          <w:color w:val="000000"/>
          <w:sz w:val="24"/>
        </w:rPr>
        <w:t>进行澄清。</w:t>
      </w:r>
    </w:p>
    <w:p>
      <w:pPr>
        <w:widowControl/>
        <w:spacing w:line="360" w:lineRule="auto"/>
        <w:rPr>
          <w:rFonts w:ascii="仿宋" w:hAnsi="仿宋" w:eastAsia="仿宋" w:cs="宋体"/>
          <w:color w:val="000000"/>
          <w:sz w:val="24"/>
        </w:rPr>
      </w:pPr>
      <w:r>
        <w:rPr>
          <w:rFonts w:ascii="仿宋" w:hAnsi="仿宋" w:eastAsia="仿宋" w:cs="宋体"/>
          <w:color w:val="000000"/>
          <w:sz w:val="24"/>
        </w:rPr>
        <w:t>7.2</w:t>
      </w:r>
      <w:r>
        <w:rPr>
          <w:rFonts w:hint="eastAsia" w:ascii="仿宋" w:hAnsi="仿宋" w:eastAsia="仿宋" w:cs="仿宋"/>
          <w:color w:val="000000"/>
          <w:sz w:val="24"/>
        </w:rPr>
        <w:t>采购人在响应文件递交截止时间前，可以书面形式发出的对磋商文件的澄清或修改内容，</w:t>
      </w:r>
      <w:r>
        <w:rPr>
          <w:rFonts w:hint="eastAsia" w:ascii="仿宋" w:hAnsi="仿宋" w:eastAsia="仿宋" w:cs="宋体"/>
          <w:color w:val="000000"/>
          <w:sz w:val="24"/>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rPr>
        <w:t>磋商文件</w:t>
      </w:r>
      <w:r>
        <w:rPr>
          <w:rFonts w:hint="eastAsia" w:ascii="仿宋" w:hAnsi="仿宋" w:eastAsia="仿宋" w:cs="宋体"/>
          <w:color w:val="000000"/>
          <w:sz w:val="24"/>
        </w:rPr>
        <w:t>的潜在供应商，不足3个工作日的，原则上应顺延响应文件递交截止时间。</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7.</w:t>
      </w:r>
      <w:r>
        <w:rPr>
          <w:rFonts w:ascii="仿宋" w:hAnsi="仿宋" w:eastAsia="仿宋" w:cs="宋体"/>
          <w:color w:val="000000"/>
          <w:sz w:val="24"/>
        </w:rPr>
        <w:t>3</w:t>
      </w:r>
      <w:r>
        <w:rPr>
          <w:rFonts w:hint="eastAsia" w:ascii="仿宋" w:hAnsi="仿宋" w:eastAsia="仿宋" w:cs="宋体"/>
          <w:color w:val="000000"/>
          <w:sz w:val="24"/>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rPr>
      </w:pPr>
      <w:r>
        <w:rPr>
          <w:rFonts w:hint="eastAsia" w:ascii="仿宋" w:hAnsi="仿宋" w:eastAsia="仿宋" w:cs="宋体"/>
          <w:color w:val="000000"/>
          <w:sz w:val="24"/>
        </w:rPr>
        <w:t>7</w:t>
      </w:r>
      <w:r>
        <w:rPr>
          <w:rFonts w:ascii="仿宋" w:hAnsi="仿宋" w:eastAsia="仿宋" w:cs="宋体"/>
          <w:color w:val="000000"/>
          <w:sz w:val="24"/>
        </w:rPr>
        <w:t>.</w:t>
      </w:r>
      <w:r>
        <w:rPr>
          <w:rFonts w:hint="eastAsia" w:ascii="仿宋" w:hAnsi="仿宋" w:eastAsia="仿宋" w:cs="宋体"/>
          <w:color w:val="000000"/>
          <w:sz w:val="24"/>
        </w:rPr>
        <w:t>4</w:t>
      </w:r>
      <w:r>
        <w:rPr>
          <w:rFonts w:hint="eastAsia" w:ascii="仿宋" w:hAnsi="仿宋" w:eastAsia="仿宋" w:cs="仿宋"/>
          <w:color w:val="000000"/>
          <w:sz w:val="24"/>
        </w:rPr>
        <w:t xml:space="preserve"> </w:t>
      </w:r>
      <w:r>
        <w:rPr>
          <w:rFonts w:hint="eastAsia" w:ascii="仿宋" w:hAnsi="仿宋" w:eastAsia="仿宋" w:cs="宋体"/>
          <w:color w:val="000000"/>
          <w:sz w:val="24"/>
        </w:rPr>
        <w:t>所有关于</w:t>
      </w:r>
      <w:r>
        <w:rPr>
          <w:rFonts w:hint="eastAsia" w:ascii="仿宋" w:hAnsi="仿宋" w:eastAsia="仿宋" w:cs="仿宋"/>
          <w:color w:val="000000"/>
          <w:sz w:val="24"/>
        </w:rPr>
        <w:t>磋商文件</w:t>
      </w:r>
      <w:r>
        <w:rPr>
          <w:rFonts w:hint="eastAsia" w:ascii="仿宋" w:hAnsi="仿宋" w:eastAsia="仿宋" w:cs="宋体"/>
          <w:color w:val="000000"/>
          <w:sz w:val="24"/>
        </w:rPr>
        <w:t>的澄清和修改均作为</w:t>
      </w:r>
      <w:r>
        <w:rPr>
          <w:rFonts w:hint="eastAsia" w:ascii="仿宋" w:hAnsi="仿宋" w:eastAsia="仿宋" w:cs="仿宋"/>
          <w:color w:val="000000"/>
          <w:sz w:val="24"/>
        </w:rPr>
        <w:t>磋商文件</w:t>
      </w:r>
      <w:r>
        <w:rPr>
          <w:rFonts w:hint="eastAsia" w:ascii="仿宋" w:hAnsi="仿宋" w:eastAsia="仿宋" w:cs="宋体"/>
          <w:color w:val="000000"/>
          <w:sz w:val="24"/>
        </w:rPr>
        <w:t>的补充部分。</w:t>
      </w:r>
      <w:r>
        <w:rPr>
          <w:rFonts w:hint="eastAsia" w:ascii="仿宋" w:hAnsi="仿宋" w:eastAsia="仿宋" w:cs="仿宋"/>
          <w:color w:val="000000"/>
          <w:sz w:val="24"/>
        </w:rPr>
        <w:t>当磋商文件、磋商文件的澄清或修改等在同一内容的表述上不一致时，以最后发出的书面文件为准。</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rPr>
          <w:rFonts w:ascii="仿宋" w:hAnsi="仿宋" w:eastAsia="仿宋" w:cs="宋体"/>
          <w:color w:val="000000"/>
          <w:sz w:val="24"/>
          <w:u w:val="single"/>
        </w:rPr>
      </w:pPr>
      <w:r>
        <w:rPr>
          <w:rFonts w:hint="eastAsia" w:ascii="仿宋" w:hAnsi="仿宋" w:eastAsia="仿宋" w:cs="宋体"/>
          <w:color w:val="000000"/>
          <w:sz w:val="24"/>
        </w:rPr>
        <w:t>采购人认为必要时，将召开磋商响应预备会(答疑会)，公开解答潜在供应商对磋商文件提出的疑问。</w:t>
      </w:r>
    </w:p>
    <w:p>
      <w:pPr>
        <w:pStyle w:val="5"/>
        <w:spacing w:after="0" w:line="360" w:lineRule="auto"/>
        <w:ind w:left="0" w:firstLine="0"/>
        <w:jc w:val="center"/>
        <w:rPr>
          <w:rFonts w:ascii="仿宋" w:hAnsi="仿宋" w:eastAsia="仿宋" w:cs="仿宋"/>
          <w:color w:val="000000"/>
          <w:sz w:val="24"/>
          <w:szCs w:val="24"/>
        </w:rPr>
      </w:pPr>
      <w:bookmarkStart w:id="66" w:name="_Toc31141"/>
      <w:bookmarkStart w:id="67" w:name="_Toc13691"/>
      <w:bookmarkStart w:id="68" w:name="_Toc22953"/>
      <w:bookmarkStart w:id="69" w:name="_Toc444891339"/>
      <w:bookmarkStart w:id="70" w:name="_Toc14308"/>
      <w:bookmarkStart w:id="71" w:name="_Toc287600121"/>
      <w:bookmarkStart w:id="72" w:name="_Toc27563"/>
      <w:bookmarkStart w:id="73" w:name="_Toc16985"/>
      <w:bookmarkStart w:id="74" w:name="_Toc27642"/>
      <w:bookmarkStart w:id="75" w:name="_Toc517281819"/>
      <w:bookmarkStart w:id="76" w:name="_Toc19783316"/>
      <w:r>
        <w:rPr>
          <w:rFonts w:hint="eastAsia" w:ascii="仿宋" w:hAnsi="仿宋" w:eastAsia="仿宋" w:cs="仿宋"/>
          <w:color w:val="000000"/>
          <w:sz w:val="24"/>
          <w:szCs w:val="24"/>
        </w:rPr>
        <w:t>（三）响应文件</w:t>
      </w:r>
      <w:bookmarkEnd w:id="66"/>
      <w:bookmarkEnd w:id="67"/>
      <w:bookmarkEnd w:id="68"/>
      <w:bookmarkEnd w:id="69"/>
      <w:bookmarkEnd w:id="70"/>
      <w:bookmarkEnd w:id="71"/>
      <w:bookmarkEnd w:id="72"/>
      <w:bookmarkEnd w:id="73"/>
      <w:bookmarkEnd w:id="74"/>
      <w:bookmarkEnd w:id="75"/>
      <w:bookmarkEnd w:id="76"/>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jc w:val="left"/>
        <w:rPr>
          <w:rFonts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widowControl/>
        <w:spacing w:line="360" w:lineRule="auto"/>
        <w:rPr>
          <w:rFonts w:ascii="仿宋" w:hAnsi="仿宋" w:eastAsia="仿宋" w:cs="宋体"/>
          <w:color w:val="000000"/>
          <w:sz w:val="24"/>
        </w:rPr>
      </w:pPr>
      <w:r>
        <w:rPr>
          <w:rFonts w:ascii="仿宋" w:hAnsi="仿宋" w:eastAsia="仿宋" w:cs="宋体"/>
          <w:color w:val="000000"/>
          <w:sz w:val="24"/>
        </w:rPr>
        <w:t>10</w:t>
      </w:r>
      <w:r>
        <w:rPr>
          <w:rFonts w:hint="eastAsia" w:ascii="仿宋" w:hAnsi="仿宋" w:eastAsia="仿宋" w:cs="宋体"/>
          <w:color w:val="000000"/>
          <w:sz w:val="24"/>
        </w:rPr>
        <w:t xml:space="preserve">.1 供应商应当按照磋商文件的要求编制响应文件，并对其提交的响应文件的真实性、合法性承担法律责任。响应文件应当对磋商文件提出的实质性要求和条件作出响应。 </w:t>
      </w:r>
    </w:p>
    <w:p>
      <w:pPr>
        <w:widowControl/>
        <w:spacing w:line="360" w:lineRule="auto"/>
        <w:rPr>
          <w:rFonts w:ascii="仿宋" w:hAnsi="仿宋" w:eastAsia="仿宋" w:cs="宋体"/>
          <w:color w:val="000000"/>
          <w:sz w:val="24"/>
        </w:rPr>
      </w:pPr>
      <w:r>
        <w:rPr>
          <w:rFonts w:ascii="仿宋" w:hAnsi="仿宋" w:eastAsia="仿宋" w:cs="宋体"/>
          <w:color w:val="000000"/>
          <w:sz w:val="24"/>
        </w:rPr>
        <w:t>10</w:t>
      </w:r>
      <w:r>
        <w:rPr>
          <w:rFonts w:hint="eastAsia" w:ascii="仿宋" w:hAnsi="仿宋" w:eastAsia="仿宋" w:cs="宋体"/>
          <w:color w:val="000000"/>
          <w:sz w:val="24"/>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 xml:space="preserve">0.3 </w:t>
      </w:r>
      <w:r>
        <w:rPr>
          <w:rFonts w:hint="eastAsia" w:ascii="仿宋" w:hAnsi="仿宋" w:eastAsia="仿宋" w:cs="宋体"/>
          <w:color w:val="00000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 xml:space="preserve">0.4 </w:t>
      </w:r>
      <w:r>
        <w:rPr>
          <w:rFonts w:hint="eastAsia" w:ascii="仿宋" w:hAnsi="仿宋" w:eastAsia="仿宋" w:cs="宋体"/>
          <w:color w:val="00000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spacing w:line="360" w:lineRule="auto"/>
        <w:rPr>
          <w:rFonts w:ascii="仿宋" w:hAnsi="仿宋" w:eastAsia="仿宋" w:cs="宋体"/>
          <w:color w:val="000000"/>
          <w:sz w:val="24"/>
        </w:rPr>
      </w:pPr>
      <w:r>
        <w:rPr>
          <w:rFonts w:ascii="仿宋" w:hAnsi="仿宋" w:eastAsia="仿宋" w:cs="宋体"/>
          <w:color w:val="000000"/>
          <w:sz w:val="24"/>
        </w:rPr>
        <w:t>10</w:t>
      </w:r>
      <w:r>
        <w:rPr>
          <w:rFonts w:hint="eastAsia" w:ascii="仿宋" w:hAnsi="仿宋" w:eastAsia="仿宋" w:cs="宋体"/>
          <w:color w:val="000000"/>
          <w:sz w:val="24"/>
        </w:rPr>
        <w:t>.</w:t>
      </w:r>
      <w:r>
        <w:rPr>
          <w:rFonts w:ascii="仿宋" w:hAnsi="仿宋" w:eastAsia="仿宋" w:cs="宋体"/>
          <w:color w:val="000000"/>
          <w:sz w:val="24"/>
        </w:rPr>
        <w:t>5</w:t>
      </w:r>
      <w:r>
        <w:rPr>
          <w:rFonts w:hint="eastAsia" w:ascii="仿宋" w:hAnsi="仿宋" w:eastAsia="仿宋" w:cs="宋体"/>
          <w:color w:val="000000"/>
          <w:sz w:val="24"/>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spacing w:line="360" w:lineRule="auto"/>
        <w:rPr>
          <w:rFonts w:ascii="仿宋" w:hAnsi="仿宋" w:eastAsia="仿宋" w:cs="宋体"/>
          <w:color w:val="000000"/>
          <w:sz w:val="24"/>
          <w:u w:val="single"/>
        </w:rPr>
      </w:pPr>
      <w:r>
        <w:rPr>
          <w:rFonts w:ascii="仿宋" w:hAnsi="仿宋" w:eastAsia="仿宋" w:cs="宋体"/>
          <w:color w:val="000000"/>
          <w:sz w:val="24"/>
        </w:rPr>
        <w:t>10</w:t>
      </w:r>
      <w:r>
        <w:rPr>
          <w:rFonts w:hint="eastAsia" w:ascii="仿宋" w:hAnsi="仿宋" w:eastAsia="仿宋" w:cs="宋体"/>
          <w:color w:val="000000"/>
          <w:sz w:val="24"/>
        </w:rPr>
        <w:t>.</w:t>
      </w:r>
      <w:r>
        <w:rPr>
          <w:rFonts w:ascii="仿宋" w:hAnsi="仿宋" w:eastAsia="仿宋" w:cs="宋体"/>
          <w:color w:val="000000"/>
          <w:sz w:val="24"/>
        </w:rPr>
        <w:t>6</w:t>
      </w:r>
      <w:r>
        <w:rPr>
          <w:rFonts w:hint="eastAsia" w:ascii="仿宋" w:hAnsi="仿宋" w:eastAsia="仿宋" w:cs="宋体"/>
          <w:color w:val="000000"/>
          <w:sz w:val="24"/>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7" w:name="_Hlk173250545"/>
      <w:r>
        <w:rPr>
          <w:rFonts w:hint="eastAsia" w:ascii="仿宋" w:hAnsi="仿宋" w:eastAsia="仿宋" w:cs="宋体"/>
          <w:color w:val="000000"/>
          <w:sz w:val="24"/>
        </w:rPr>
        <w:t>盖章或者签字另有要求的，</w:t>
      </w:r>
      <w:r>
        <w:rPr>
          <w:rFonts w:hint="eastAsia" w:ascii="仿宋" w:hAnsi="仿宋" w:eastAsia="仿宋" w:cs="宋体"/>
          <w:color w:val="000000"/>
          <w:sz w:val="24"/>
          <w:u w:val="single"/>
        </w:rPr>
        <w:t>见本须知前附表。</w:t>
      </w:r>
      <w:bookmarkEnd w:id="77"/>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rPr>
        <w:t>见</w:t>
      </w:r>
      <w:r>
        <w:rPr>
          <w:rFonts w:hint="eastAsia" w:ascii="仿宋" w:hAnsi="仿宋" w:eastAsia="仿宋" w:cs="仿宋"/>
          <w:color w:val="000000"/>
          <w:sz w:val="24"/>
          <w:u w:val="single"/>
        </w:rPr>
        <w:t>供应商须知前附表</w:t>
      </w:r>
      <w:r>
        <w:rPr>
          <w:rFonts w:hint="eastAsia" w:ascii="仿宋" w:hAnsi="仿宋" w:eastAsia="仿宋" w:cs="仿宋"/>
          <w:color w:val="000000"/>
          <w:sz w:val="24"/>
        </w:rPr>
        <w:t>。</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widowControl/>
        <w:spacing w:line="360" w:lineRule="auto"/>
        <w:rPr>
          <w:rFonts w:ascii="仿宋" w:hAnsi="仿宋" w:eastAsia="仿宋" w:cs="宋体"/>
          <w:color w:val="000000"/>
          <w:sz w:val="24"/>
        </w:rPr>
      </w:pPr>
      <w:r>
        <w:rPr>
          <w:rFonts w:ascii="仿宋" w:hAnsi="仿宋" w:eastAsia="仿宋" w:cs="宋体"/>
          <w:color w:val="000000"/>
          <w:sz w:val="24"/>
        </w:rPr>
        <w:t>12</w:t>
      </w:r>
      <w:r>
        <w:rPr>
          <w:rFonts w:hint="eastAsia" w:ascii="仿宋" w:hAnsi="仿宋" w:eastAsia="仿宋" w:cs="宋体"/>
          <w:color w:val="000000"/>
          <w:sz w:val="24"/>
        </w:rPr>
        <w:t>.1 磋商响应有效期从响应文件递交截止之日起算，具体时间</w:t>
      </w:r>
      <w:r>
        <w:rPr>
          <w:rFonts w:hint="eastAsia" w:ascii="仿宋" w:hAnsi="仿宋" w:eastAsia="仿宋" w:cs="宋体"/>
          <w:color w:val="000000"/>
          <w:sz w:val="24"/>
          <w:u w:val="single"/>
        </w:rPr>
        <w:t>见本须知前附表</w:t>
      </w:r>
      <w:r>
        <w:rPr>
          <w:rFonts w:hint="eastAsia" w:ascii="仿宋" w:hAnsi="仿宋" w:eastAsia="仿宋" w:cs="宋体"/>
          <w:color w:val="000000"/>
          <w:sz w:val="24"/>
        </w:rPr>
        <w:t>，在此期间，供应商不得要求撤销或修改其响应文件。供应商承诺的磋商响应有效期必须不短于磋商文件规定的磋商响应有效期，否则将构成对磋商文件的非实质性响应，磋商响应将被否决。</w:t>
      </w:r>
    </w:p>
    <w:p>
      <w:pPr>
        <w:widowControl/>
        <w:spacing w:line="360" w:lineRule="auto"/>
        <w:rPr>
          <w:rFonts w:ascii="仿宋" w:hAnsi="仿宋" w:eastAsia="仿宋" w:cs="宋体"/>
          <w:color w:val="000000"/>
          <w:sz w:val="24"/>
        </w:rPr>
      </w:pPr>
      <w:r>
        <w:rPr>
          <w:rFonts w:ascii="仿宋" w:hAnsi="仿宋" w:eastAsia="仿宋" w:cs="宋体"/>
          <w:color w:val="000000"/>
          <w:sz w:val="24"/>
        </w:rPr>
        <w:t>12</w:t>
      </w:r>
      <w:r>
        <w:rPr>
          <w:rFonts w:hint="eastAsia" w:ascii="仿宋" w:hAnsi="仿宋" w:eastAsia="仿宋" w:cs="宋体"/>
          <w:color w:val="000000"/>
          <w:sz w:val="24"/>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.磋商保证金</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3</w:t>
      </w:r>
      <w:r>
        <w:rPr>
          <w:rFonts w:hint="eastAsia" w:ascii="仿宋" w:hAnsi="仿宋" w:eastAsia="仿宋" w:cs="仿宋"/>
          <w:color w:val="000000"/>
          <w:sz w:val="24"/>
        </w:rPr>
        <w:t>.1</w:t>
      </w:r>
      <w:r>
        <w:rPr>
          <w:rFonts w:hint="eastAsia" w:ascii="仿宋" w:hAnsi="仿宋" w:eastAsia="仿宋" w:cs="宋体"/>
          <w:color w:val="000000"/>
          <w:sz w:val="24"/>
        </w:rPr>
        <w:t>采购人要求</w:t>
      </w:r>
      <w:r>
        <w:rPr>
          <w:rFonts w:hint="eastAsia" w:ascii="仿宋" w:hAnsi="仿宋" w:eastAsia="仿宋" w:cs="仿宋"/>
          <w:color w:val="000000"/>
          <w:sz w:val="24"/>
        </w:rPr>
        <w:t>供应商</w:t>
      </w:r>
      <w:r>
        <w:rPr>
          <w:rFonts w:hint="eastAsia" w:ascii="仿宋" w:hAnsi="仿宋" w:eastAsia="仿宋" w:cs="宋体"/>
          <w:color w:val="000000"/>
          <w:sz w:val="24"/>
        </w:rPr>
        <w:t>提交磋商保证金的，磋商</w:t>
      </w:r>
      <w:r>
        <w:rPr>
          <w:rFonts w:hint="eastAsia" w:ascii="仿宋" w:hAnsi="仿宋" w:eastAsia="仿宋" w:cs="仿宋"/>
          <w:color w:val="000000"/>
          <w:sz w:val="24"/>
        </w:rPr>
        <w:t>保证金数额应当不超过采购项目预算的2%，磋商保证金有效期与磋商响应有效期一致，本项目磋商保证金金额、形式见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widowControl/>
        <w:spacing w:line="360" w:lineRule="auto"/>
        <w:rPr>
          <w:rFonts w:ascii="仿宋" w:hAnsi="仿宋" w:eastAsia="仿宋" w:cs="仿宋"/>
          <w:sz w:val="24"/>
          <w:lang w:bidi="ar"/>
        </w:rPr>
      </w:pPr>
      <w:r>
        <w:rPr>
          <w:rFonts w:ascii="仿宋" w:hAnsi="仿宋" w:eastAsia="仿宋" w:cs="仿宋"/>
          <w:color w:val="000000"/>
          <w:sz w:val="24"/>
        </w:rPr>
        <w:t>13.2</w:t>
      </w:r>
      <w:r>
        <w:rPr>
          <w:rFonts w:hint="eastAsia" w:ascii="仿宋" w:hAnsi="仿宋" w:eastAsia="仿宋" w:cs="仿宋"/>
          <w:sz w:val="24"/>
          <w:lang w:bidi="ar"/>
        </w:rPr>
        <w:t>供应商或成交供应商出现下列行为之一，</w:t>
      </w:r>
      <w:r>
        <w:rPr>
          <w:rFonts w:hint="eastAsia" w:ascii="仿宋" w:hAnsi="仿宋" w:eastAsia="仿宋" w:cs="宋体"/>
          <w:sz w:val="24"/>
        </w:rPr>
        <w:t>磋商</w:t>
      </w:r>
      <w:r>
        <w:rPr>
          <w:rFonts w:hint="eastAsia" w:ascii="仿宋" w:hAnsi="仿宋" w:eastAsia="仿宋" w:cs="仿宋"/>
          <w:sz w:val="24"/>
          <w:lang w:bidi="ar"/>
        </w:rPr>
        <w:t>保证金不予退还：</w:t>
      </w:r>
    </w:p>
    <w:p>
      <w:pPr>
        <w:pStyle w:val="2"/>
        <w:spacing w:line="360" w:lineRule="auto"/>
        <w:jc w:val="left"/>
        <w:rPr>
          <w:rFonts w:ascii="仿宋" w:hAnsi="仿宋" w:eastAsia="仿宋" w:cs="仿宋"/>
          <w:sz w:val="24"/>
          <w:lang w:bidi="ar"/>
        </w:rPr>
      </w:pPr>
      <w:r>
        <w:rPr>
          <w:rFonts w:hint="eastAsia" w:ascii="仿宋" w:hAnsi="仿宋" w:eastAsia="仿宋" w:cs="仿宋"/>
          <w:sz w:val="24"/>
          <w:lang w:bidi="ar"/>
        </w:rPr>
        <w:t>（1）供应商在磋商截止后至磋商有效期期满前,要求撤回已递交的响应文件；</w:t>
      </w:r>
    </w:p>
    <w:p>
      <w:pPr>
        <w:pStyle w:val="2"/>
        <w:spacing w:line="360" w:lineRule="auto"/>
        <w:jc w:val="left"/>
        <w:rPr>
          <w:rFonts w:ascii="仿宋" w:hAnsi="仿宋" w:eastAsia="仿宋" w:cs="仿宋"/>
          <w:sz w:val="24"/>
          <w:lang w:bidi="ar"/>
        </w:rPr>
      </w:pPr>
      <w:r>
        <w:rPr>
          <w:rFonts w:hint="eastAsia" w:ascii="仿宋" w:hAnsi="仿宋" w:eastAsia="仿宋" w:cs="仿宋"/>
          <w:sz w:val="24"/>
          <w:lang w:bidi="ar"/>
        </w:rPr>
        <w:t>（2）成交后放弃成交的；</w:t>
      </w:r>
    </w:p>
    <w:p>
      <w:pPr>
        <w:pStyle w:val="2"/>
        <w:spacing w:line="360" w:lineRule="auto"/>
        <w:jc w:val="left"/>
        <w:rPr>
          <w:rFonts w:ascii="仿宋" w:hAnsi="仿宋" w:eastAsia="仿宋" w:cs="仿宋"/>
          <w:sz w:val="24"/>
          <w:lang w:bidi="ar"/>
        </w:rPr>
      </w:pPr>
      <w:r>
        <w:rPr>
          <w:rFonts w:hint="eastAsia" w:ascii="仿宋" w:hAnsi="仿宋" w:eastAsia="仿宋" w:cs="仿宋"/>
          <w:sz w:val="24"/>
          <w:lang w:bidi="ar"/>
        </w:rPr>
        <w:t>（3）成交后无正当理由不与采购人订立合同的；</w:t>
      </w:r>
    </w:p>
    <w:p>
      <w:pPr>
        <w:pStyle w:val="2"/>
        <w:spacing w:line="360" w:lineRule="auto"/>
        <w:jc w:val="left"/>
        <w:rPr>
          <w:rFonts w:ascii="仿宋" w:hAnsi="仿宋" w:eastAsia="仿宋" w:cs="仿宋"/>
          <w:sz w:val="24"/>
          <w:lang w:bidi="ar"/>
        </w:rPr>
      </w:pPr>
      <w:r>
        <w:rPr>
          <w:rFonts w:hint="eastAsia" w:ascii="仿宋" w:hAnsi="仿宋" w:eastAsia="仿宋" w:cs="仿宋"/>
          <w:sz w:val="24"/>
          <w:lang w:bidi="ar"/>
        </w:rPr>
        <w:t>（4）成交供应商在签订合同时向采购人提出附加条件或要求变更实质性合同条款的；</w:t>
      </w:r>
    </w:p>
    <w:p>
      <w:pPr>
        <w:pStyle w:val="2"/>
        <w:spacing w:line="360" w:lineRule="auto"/>
        <w:jc w:val="left"/>
        <w:rPr>
          <w:rFonts w:ascii="仿宋" w:hAnsi="仿宋" w:eastAsia="仿宋" w:cs="仿宋"/>
          <w:sz w:val="24"/>
          <w:lang w:bidi="ar"/>
        </w:rPr>
      </w:pPr>
      <w:r>
        <w:rPr>
          <w:rFonts w:hint="eastAsia" w:ascii="仿宋" w:hAnsi="仿宋" w:eastAsia="仿宋" w:cs="仿宋"/>
          <w:sz w:val="24"/>
          <w:lang w:bidi="ar"/>
        </w:rPr>
        <w:t>（5）成交供应商不按照磋商文件要求提交履约保证金的；</w:t>
      </w:r>
    </w:p>
    <w:p>
      <w:pPr>
        <w:pStyle w:val="2"/>
        <w:spacing w:line="360" w:lineRule="auto"/>
        <w:jc w:val="left"/>
        <w:rPr>
          <w:rStyle w:val="243"/>
          <w:rFonts w:hint="default"/>
        </w:rPr>
      </w:pPr>
      <w:r>
        <w:rPr>
          <w:rFonts w:hint="eastAsia" w:ascii="仿宋" w:hAnsi="仿宋" w:eastAsia="仿宋" w:cs="仿宋"/>
          <w:sz w:val="24"/>
          <w:lang w:bidi="ar"/>
        </w:rPr>
        <w:t>（6）供应商有恶意欺诈、弄虚作假、围标串标、哄抬标价、徇私行贿等法律法规中所列违规行为的</w:t>
      </w:r>
      <w:r>
        <w:rPr>
          <w:rStyle w:val="243"/>
          <w:rFonts w:hint="default"/>
        </w:rPr>
        <w:t>。</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.响应文件的式样、密封和标记</w:t>
      </w:r>
    </w:p>
    <w:p>
      <w:pPr>
        <w:widowControl/>
        <w:spacing w:line="360" w:lineRule="auto"/>
        <w:rPr>
          <w:rFonts w:ascii="仿宋" w:hAnsi="仿宋" w:eastAsia="仿宋" w:cs="宋体"/>
          <w:color w:val="000000"/>
          <w:sz w:val="24"/>
        </w:rPr>
      </w:pPr>
      <w:r>
        <w:rPr>
          <w:rFonts w:ascii="仿宋" w:hAnsi="仿宋" w:eastAsia="仿宋" w:cs="宋体"/>
          <w:color w:val="000000"/>
          <w:sz w:val="24"/>
        </w:rPr>
        <w:t>14</w:t>
      </w:r>
      <w:r>
        <w:rPr>
          <w:rFonts w:hint="eastAsia" w:ascii="仿宋" w:hAnsi="仿宋" w:eastAsia="仿宋" w:cs="宋体"/>
          <w:color w:val="000000"/>
          <w:sz w:val="24"/>
        </w:rPr>
        <w:t>.1 供应商应当编制一份响应文件“正本”和</w:t>
      </w:r>
      <w:r>
        <w:rPr>
          <w:rFonts w:hint="eastAsia" w:ascii="仿宋" w:hAnsi="仿宋" w:eastAsia="仿宋" w:cs="宋体"/>
          <w:color w:val="000000"/>
          <w:sz w:val="24"/>
          <w:u w:val="single"/>
        </w:rPr>
        <w:t>本须知前附表</w:t>
      </w:r>
      <w:r>
        <w:rPr>
          <w:rFonts w:hint="eastAsia" w:ascii="仿宋" w:hAnsi="仿宋" w:eastAsia="仿宋" w:cs="宋体"/>
          <w:color w:val="000000"/>
          <w:sz w:val="24"/>
        </w:rPr>
        <w:t>所述份数的“副本”和“电子版”，副本为正本复印件。纸质版文件与电子版文件不一致时，以</w:t>
      </w:r>
      <w:r>
        <w:rPr>
          <w:rFonts w:hint="eastAsia" w:ascii="仿宋" w:hAnsi="仿宋" w:eastAsia="仿宋" w:cs="宋体"/>
          <w:b/>
          <w:bCs/>
          <w:sz w:val="24"/>
          <w:lang w:eastAsia="zh-Hans"/>
        </w:rPr>
        <w:t>电子版</w:t>
      </w:r>
      <w:r>
        <w:rPr>
          <w:rFonts w:hint="eastAsia" w:ascii="仿宋" w:hAnsi="仿宋" w:eastAsia="仿宋" w:cs="宋体"/>
          <w:color w:val="000000"/>
          <w:sz w:val="24"/>
        </w:rPr>
        <w:t xml:space="preserve">文件为准;响应文件正本与副本不一致时，以正本为准。 </w:t>
      </w:r>
    </w:p>
    <w:p>
      <w:pPr>
        <w:widowControl/>
        <w:spacing w:line="360" w:lineRule="auto"/>
        <w:rPr>
          <w:rFonts w:ascii="仿宋" w:hAnsi="仿宋" w:eastAsia="仿宋" w:cs="宋体"/>
          <w:color w:val="000000"/>
          <w:sz w:val="24"/>
        </w:rPr>
      </w:pPr>
      <w:r>
        <w:rPr>
          <w:rFonts w:ascii="仿宋" w:hAnsi="仿宋" w:eastAsia="仿宋" w:cs="宋体"/>
          <w:color w:val="000000"/>
          <w:sz w:val="24"/>
        </w:rPr>
        <w:t>14</w:t>
      </w:r>
      <w:r>
        <w:rPr>
          <w:rFonts w:hint="eastAsia" w:ascii="仿宋" w:hAnsi="仿宋" w:eastAsia="仿宋" w:cs="宋体"/>
          <w:color w:val="000000"/>
          <w:sz w:val="24"/>
        </w:rPr>
        <w:t>.2 每份纸质文件响应文件的正本、副本应当分别装订，并于封面上明确标明“正本”“副本”字样。具体要求</w:t>
      </w:r>
      <w:r>
        <w:rPr>
          <w:rFonts w:hint="eastAsia" w:ascii="仿宋" w:hAnsi="仿宋" w:eastAsia="仿宋" w:cs="宋体"/>
          <w:color w:val="000000"/>
          <w:sz w:val="24"/>
          <w:u w:val="single"/>
        </w:rPr>
        <w:t>见本须知前附表</w:t>
      </w:r>
      <w:r>
        <w:rPr>
          <w:rFonts w:hint="eastAsia" w:ascii="仿宋" w:hAnsi="仿宋" w:eastAsia="仿宋" w:cs="宋体"/>
          <w:color w:val="000000"/>
          <w:sz w:val="24"/>
        </w:rPr>
        <w:t>。</w:t>
      </w:r>
    </w:p>
    <w:p>
      <w:pPr>
        <w:widowControl/>
        <w:spacing w:line="360" w:lineRule="auto"/>
        <w:rPr>
          <w:rFonts w:ascii="仿宋" w:hAnsi="仿宋" w:eastAsia="仿宋" w:cs="宋体"/>
          <w:color w:val="000000"/>
          <w:sz w:val="24"/>
        </w:rPr>
      </w:pPr>
      <w:r>
        <w:rPr>
          <w:rFonts w:ascii="仿宋" w:hAnsi="仿宋" w:eastAsia="仿宋" w:cs="宋体"/>
          <w:color w:val="000000"/>
          <w:sz w:val="24"/>
        </w:rPr>
        <w:t>14</w:t>
      </w:r>
      <w:r>
        <w:rPr>
          <w:rFonts w:hint="eastAsia" w:ascii="仿宋" w:hAnsi="仿宋" w:eastAsia="仿宋" w:cs="宋体"/>
          <w:color w:val="000000"/>
          <w:sz w:val="24"/>
        </w:rPr>
        <w:t>.</w:t>
      </w:r>
      <w:r>
        <w:rPr>
          <w:rFonts w:ascii="仿宋" w:hAnsi="仿宋" w:eastAsia="仿宋" w:cs="宋体"/>
          <w:color w:val="000000"/>
          <w:sz w:val="24"/>
        </w:rPr>
        <w:t>3</w:t>
      </w:r>
      <w:r>
        <w:rPr>
          <w:rFonts w:hint="eastAsia" w:ascii="仿宋" w:hAnsi="仿宋" w:eastAsia="仿宋" w:cs="宋体"/>
          <w:color w:val="000000"/>
          <w:sz w:val="24"/>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ascii="仿宋" w:hAnsi="仿宋" w:eastAsia="仿宋" w:cs="仿宋"/>
          <w:color w:val="000000"/>
          <w:sz w:val="24"/>
          <w:szCs w:val="24"/>
        </w:rPr>
      </w:pPr>
      <w:bookmarkStart w:id="78" w:name="_Toc21600"/>
      <w:bookmarkStart w:id="79" w:name="_Toc18673"/>
      <w:bookmarkStart w:id="80" w:name="_Toc4155"/>
      <w:bookmarkStart w:id="81" w:name="_Toc7129"/>
      <w:bookmarkStart w:id="82" w:name="_Toc517281820"/>
      <w:bookmarkStart w:id="83" w:name="_Toc287600122"/>
      <w:bookmarkStart w:id="84" w:name="_Toc14726"/>
      <w:bookmarkStart w:id="85" w:name="_Toc444891340"/>
      <w:bookmarkStart w:id="86" w:name="_Toc19783317"/>
      <w:bookmarkStart w:id="87" w:name="_Toc17865"/>
      <w:bookmarkStart w:id="88" w:name="_Toc22167"/>
      <w:r>
        <w:rPr>
          <w:rFonts w:hint="eastAsia" w:ascii="仿宋" w:hAnsi="仿宋" w:eastAsia="仿宋" w:cs="仿宋"/>
          <w:color w:val="000000"/>
          <w:sz w:val="24"/>
          <w:szCs w:val="24"/>
        </w:rPr>
        <w:t>（四）响应文件的</w:t>
      </w:r>
      <w:bookmarkEnd w:id="78"/>
      <w:bookmarkEnd w:id="79"/>
      <w:bookmarkEnd w:id="80"/>
      <w:bookmarkEnd w:id="81"/>
      <w:bookmarkEnd w:id="82"/>
      <w:bookmarkEnd w:id="83"/>
      <w:bookmarkEnd w:id="84"/>
      <w:bookmarkEnd w:id="85"/>
      <w:bookmarkEnd w:id="86"/>
      <w:r>
        <w:rPr>
          <w:rFonts w:hint="eastAsia" w:ascii="仿宋" w:hAnsi="仿宋" w:eastAsia="仿宋" w:cs="仿宋"/>
          <w:color w:val="000000"/>
          <w:sz w:val="24"/>
          <w:szCs w:val="24"/>
        </w:rPr>
        <w:t>递交</w:t>
      </w:r>
      <w:bookmarkEnd w:id="87"/>
      <w:bookmarkEnd w:id="88"/>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5</w:t>
      </w:r>
      <w:r>
        <w:rPr>
          <w:rFonts w:hint="eastAsia" w:ascii="仿宋" w:hAnsi="仿宋" w:eastAsia="仿宋" w:cs="仿宋"/>
          <w:color w:val="000000"/>
          <w:sz w:val="24"/>
          <w:szCs w:val="24"/>
        </w:rPr>
        <w:t>.响应文件的递交</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仿宋"/>
          <w:color w:val="000000"/>
          <w:sz w:val="24"/>
        </w:rPr>
        <w:t>.1供应商应按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规定的时间、方式递交响应文件。</w:t>
      </w:r>
    </w:p>
    <w:p>
      <w:pPr>
        <w:spacing w:line="360" w:lineRule="auto"/>
        <w:jc w:val="left"/>
        <w:rPr>
          <w:rFonts w:ascii="仿宋" w:hAnsi="仿宋" w:eastAsia="仿宋" w:cs="宋体"/>
          <w:b/>
          <w:bCs/>
          <w:color w:val="000000"/>
          <w:sz w:val="24"/>
        </w:rPr>
      </w:pPr>
      <w:r>
        <w:rPr>
          <w:rFonts w:hint="eastAsia" w:ascii="仿宋" w:hAnsi="仿宋" w:eastAsia="仿宋" w:cs="宋体"/>
          <w:color w:val="000000"/>
          <w:sz w:val="24"/>
        </w:rPr>
        <w:t>15.2出现下列情形之一时，</w:t>
      </w:r>
      <w:r>
        <w:rPr>
          <w:rFonts w:hint="eastAsia" w:ascii="仿宋" w:hAnsi="仿宋" w:eastAsia="仿宋" w:cs="宋体"/>
          <w:b/>
          <w:bCs/>
          <w:color w:val="000000"/>
          <w:sz w:val="24"/>
        </w:rPr>
        <w:t>响应文件不予接收或已经递交的响应文件无效；</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（1）电子响应文件逾期递交的；</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（2）纸质响应文件逾期递交或者未送达指定地点或者未按照磋商文件要求封装的；</w:t>
      </w:r>
    </w:p>
    <w:p>
      <w:pPr>
        <w:spacing w:line="360" w:lineRule="auto"/>
        <w:jc w:val="left"/>
        <w:rPr>
          <w:rFonts w:ascii="仿宋" w:hAnsi="仿宋" w:eastAsia="仿宋" w:cs="宋体"/>
          <w:sz w:val="24"/>
        </w:rPr>
      </w:pPr>
      <w:r>
        <w:rPr>
          <w:rFonts w:hint="eastAsia" w:ascii="仿宋" w:hAnsi="仿宋" w:eastAsia="仿宋" w:cs="宋体"/>
          <w:color w:val="000000"/>
          <w:sz w:val="24"/>
        </w:rPr>
        <w:t>（3）未通过资格预审的申请供应商递交的；</w:t>
      </w:r>
      <w:r>
        <w:rPr>
          <w:rFonts w:hint="eastAsia" w:ascii="仿宋" w:hAnsi="仿宋" w:eastAsia="仿宋" w:cs="宋体"/>
          <w:i/>
          <w:sz w:val="24"/>
        </w:rPr>
        <w:t>（资格预审项目适用）</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（4）未按磋商公告或者响应公告书要求获得本项目磋商文件的。</w:t>
      </w:r>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16</w:t>
      </w:r>
      <w:r>
        <w:rPr>
          <w:rFonts w:hint="eastAsia" w:ascii="仿宋" w:hAnsi="仿宋" w:eastAsia="仿宋" w:cs="仿宋"/>
          <w:color w:val="000000"/>
          <w:sz w:val="24"/>
          <w:szCs w:val="24"/>
        </w:rPr>
        <w:t>.响应文件的修改、撤回和撤销</w:t>
      </w:r>
    </w:p>
    <w:p>
      <w:pPr>
        <w:spacing w:line="360" w:lineRule="auto"/>
        <w:jc w:val="left"/>
        <w:rPr>
          <w:rFonts w:ascii="仿宋" w:hAnsi="仿宋" w:eastAsia="仿宋" w:cs="仿宋"/>
          <w:color w:val="000000"/>
          <w:sz w:val="24"/>
        </w:rPr>
      </w:pPr>
      <w:r>
        <w:rPr>
          <w:rFonts w:ascii="仿宋" w:hAnsi="仿宋" w:eastAsia="仿宋" w:cs="仿宋"/>
          <w:color w:val="000000"/>
          <w:sz w:val="24"/>
        </w:rPr>
        <w:t>16</w:t>
      </w:r>
      <w:r>
        <w:rPr>
          <w:rFonts w:hint="eastAsia" w:ascii="仿宋" w:hAnsi="仿宋" w:eastAsia="仿宋" w:cs="仿宋"/>
          <w:color w:val="000000"/>
          <w:sz w:val="24"/>
        </w:rPr>
        <w:t>.1</w:t>
      </w:r>
      <w:r>
        <w:rPr>
          <w:rFonts w:hint="eastAsia" w:ascii="仿宋" w:hAnsi="仿宋" w:eastAsia="仿宋" w:cs="宋体"/>
          <w:color w:val="000000"/>
          <w:spacing w:val="-4"/>
          <w:sz w:val="24"/>
        </w:rPr>
        <w:t>在</w:t>
      </w:r>
      <w:r>
        <w:rPr>
          <w:rFonts w:hint="eastAsia" w:ascii="仿宋" w:hAnsi="仿宋" w:eastAsia="仿宋" w:cs="宋体"/>
          <w:color w:val="000000"/>
          <w:sz w:val="24"/>
        </w:rPr>
        <w:t>磋商文件</w:t>
      </w:r>
      <w:r>
        <w:rPr>
          <w:rFonts w:hint="eastAsia" w:ascii="仿宋" w:hAnsi="仿宋" w:eastAsia="仿宋" w:cs="宋体"/>
          <w:color w:val="000000"/>
          <w:spacing w:val="-4"/>
          <w:sz w:val="24"/>
        </w:rPr>
        <w:t>规定的</w:t>
      </w:r>
      <w:r>
        <w:rPr>
          <w:rFonts w:hint="eastAsia" w:ascii="仿宋" w:hAnsi="仿宋" w:eastAsia="仿宋" w:cs="仿宋"/>
          <w:color w:val="000000"/>
          <w:sz w:val="24"/>
        </w:rPr>
        <w:t>响应文件</w:t>
      </w:r>
      <w:r>
        <w:rPr>
          <w:rFonts w:hint="eastAsia" w:ascii="仿宋" w:hAnsi="仿宋" w:eastAsia="仿宋" w:cs="宋体"/>
          <w:color w:val="000000"/>
          <w:spacing w:val="-4"/>
          <w:sz w:val="24"/>
        </w:rPr>
        <w:t>递交截止时间前，</w:t>
      </w:r>
      <w:r>
        <w:rPr>
          <w:rFonts w:hint="eastAsia" w:ascii="仿宋" w:hAnsi="仿宋" w:eastAsia="仿宋" w:cs="宋体"/>
          <w:color w:val="000000"/>
          <w:sz w:val="24"/>
        </w:rPr>
        <w:t>可以补充、修改或撤回已提交的响应文件。</w:t>
      </w:r>
      <w:r>
        <w:rPr>
          <w:rFonts w:ascii="仿宋" w:hAnsi="仿宋" w:eastAsia="仿宋" w:cs="宋体"/>
          <w:color w:val="000000"/>
          <w:sz w:val="24"/>
        </w:rPr>
        <w:t>补充、修改的内容为</w:t>
      </w:r>
      <w:r>
        <w:rPr>
          <w:rFonts w:hint="eastAsia" w:ascii="仿宋" w:hAnsi="仿宋" w:eastAsia="仿宋" w:cs="宋体"/>
          <w:color w:val="000000"/>
          <w:sz w:val="24"/>
        </w:rPr>
        <w:t>响应</w:t>
      </w:r>
      <w:r>
        <w:rPr>
          <w:rFonts w:ascii="仿宋" w:hAnsi="仿宋" w:eastAsia="仿宋" w:cs="宋体"/>
          <w:color w:val="000000"/>
          <w:sz w:val="24"/>
        </w:rPr>
        <w:t>文件的组成部分</w:t>
      </w:r>
      <w:r>
        <w:rPr>
          <w:rFonts w:hint="eastAsia" w:ascii="仿宋" w:hAnsi="仿宋" w:eastAsia="仿宋" w:cs="宋体"/>
          <w:color w:val="000000"/>
          <w:sz w:val="24"/>
        </w:rPr>
        <w:t>，应当在响应文件递交截止时间前按照磋商文件的规定进行递交。</w:t>
      </w:r>
    </w:p>
    <w:p>
      <w:pPr>
        <w:pStyle w:val="2"/>
        <w:spacing w:line="360" w:lineRule="auto"/>
        <w:jc w:val="left"/>
      </w:pPr>
      <w:bookmarkStart w:id="89" w:name="_Toc246996945"/>
      <w:bookmarkStart w:id="90" w:name="_Toc246996202"/>
      <w:bookmarkStart w:id="91" w:name="_Toc247085716"/>
      <w:bookmarkStart w:id="92" w:name="_Toc179632576"/>
      <w:bookmarkStart w:id="93" w:name="_Toc152042334"/>
      <w:bookmarkStart w:id="94" w:name="_Toc144974526"/>
      <w:bookmarkStart w:id="95" w:name="_Toc332188194"/>
      <w:bookmarkStart w:id="96" w:name="_Toc334766948"/>
      <w:bookmarkStart w:id="97" w:name="_Toc152045558"/>
      <w:bookmarkStart w:id="98" w:name="_Toc326223561"/>
      <w:r>
        <w:rPr>
          <w:rFonts w:ascii="仿宋" w:hAnsi="仿宋" w:eastAsia="仿宋" w:cs="仿宋"/>
          <w:color w:val="000000"/>
          <w:sz w:val="24"/>
        </w:rPr>
        <w:t>16.2</w:t>
      </w:r>
      <w:bookmarkEnd w:id="89"/>
      <w:bookmarkEnd w:id="90"/>
      <w:bookmarkEnd w:id="91"/>
      <w:bookmarkEnd w:id="92"/>
      <w:bookmarkEnd w:id="93"/>
      <w:bookmarkEnd w:id="94"/>
      <w:bookmarkEnd w:id="95"/>
      <w:bookmarkEnd w:id="96"/>
      <w:bookmarkEnd w:id="97"/>
      <w:bookmarkEnd w:id="98"/>
      <w:r>
        <w:rPr>
          <w:rFonts w:hint="eastAsia" w:ascii="仿宋" w:hAnsi="仿宋" w:eastAsia="仿宋" w:cs="仿宋"/>
          <w:color w:val="000000"/>
          <w:sz w:val="24"/>
        </w:rPr>
        <w:t xml:space="preserve"> </w:t>
      </w:r>
      <w:r>
        <w:rPr>
          <w:rFonts w:hint="eastAsia" w:ascii="仿宋" w:hAnsi="仿宋" w:eastAsia="仿宋" w:cs="宋体"/>
          <w:color w:val="000000"/>
          <w:sz w:val="24"/>
        </w:rPr>
        <w:t>响应文件递交截止时间后，供应商在响应有效期内撤销其响应文件，磋商保证金不予退还。</w:t>
      </w:r>
    </w:p>
    <w:p>
      <w:pPr>
        <w:pStyle w:val="5"/>
        <w:spacing w:before="0" w:after="0" w:line="360" w:lineRule="auto"/>
        <w:ind w:firstLine="482"/>
        <w:rPr>
          <w:rFonts w:ascii="仿宋" w:hAnsi="仿宋" w:eastAsia="仿宋" w:cs="仿宋"/>
          <w:color w:val="000000"/>
          <w:sz w:val="24"/>
          <w:szCs w:val="24"/>
        </w:rPr>
      </w:pPr>
      <w:bookmarkStart w:id="99" w:name="_Toc30466"/>
      <w:bookmarkStart w:id="100" w:name="_Toc444891341"/>
      <w:bookmarkStart w:id="101" w:name="_Toc517281821"/>
      <w:bookmarkStart w:id="102" w:name="_Toc2055"/>
      <w:bookmarkStart w:id="103" w:name="_Toc12797"/>
      <w:bookmarkStart w:id="104" w:name="_Toc2636"/>
      <w:bookmarkStart w:id="105" w:name="_Toc20741"/>
      <w:bookmarkStart w:id="106" w:name="_Toc11361"/>
      <w:bookmarkStart w:id="107" w:name="_Toc21069"/>
      <w:bookmarkStart w:id="108" w:name="_Toc287600123"/>
      <w:r>
        <w:rPr>
          <w:rFonts w:hint="eastAsia" w:ascii="仿宋" w:hAnsi="仿宋" w:eastAsia="仿宋" w:cs="仿宋"/>
          <w:color w:val="000000"/>
          <w:sz w:val="24"/>
          <w:szCs w:val="24"/>
        </w:rPr>
        <w:t>（五）竞争性磋商和评审</w:t>
      </w:r>
      <w:bookmarkEnd w:id="99"/>
      <w:bookmarkEnd w:id="100"/>
      <w:bookmarkEnd w:id="101"/>
      <w:bookmarkEnd w:id="102"/>
      <w:bookmarkEnd w:id="103"/>
      <w:bookmarkEnd w:id="104"/>
      <w:bookmarkEnd w:id="105"/>
      <w:bookmarkEnd w:id="106"/>
      <w:bookmarkEnd w:id="107"/>
      <w:bookmarkEnd w:id="108"/>
    </w:p>
    <w:p>
      <w:pPr>
        <w:pStyle w:val="6"/>
        <w:spacing w:before="0" w:after="0" w:line="360" w:lineRule="auto"/>
        <w:jc w:val="left"/>
        <w:rPr>
          <w:rFonts w:ascii="仿宋" w:hAnsi="仿宋" w:eastAsia="仿宋" w:cs="仿宋"/>
          <w:color w:val="000000"/>
          <w:sz w:val="24"/>
          <w:szCs w:val="24"/>
        </w:rPr>
      </w:pPr>
      <w:bookmarkStart w:id="109" w:name="_Toc234223229"/>
      <w:bookmarkStart w:id="110" w:name="_Toc234223227"/>
      <w:r>
        <w:rPr>
          <w:rFonts w:ascii="仿宋" w:hAnsi="仿宋" w:eastAsia="仿宋" w:cs="仿宋"/>
          <w:color w:val="000000"/>
          <w:sz w:val="24"/>
          <w:szCs w:val="24"/>
        </w:rPr>
        <w:t>17</w:t>
      </w:r>
      <w:r>
        <w:rPr>
          <w:rFonts w:hint="eastAsia" w:ascii="仿宋" w:hAnsi="仿宋" w:eastAsia="仿宋" w:cs="仿宋"/>
          <w:color w:val="000000"/>
          <w:sz w:val="24"/>
          <w:szCs w:val="24"/>
        </w:rPr>
        <w:t>.组建</w:t>
      </w:r>
      <w:bookmarkEnd w:id="109"/>
      <w:r>
        <w:rPr>
          <w:rFonts w:hint="eastAsia" w:ascii="仿宋" w:hAnsi="仿宋" w:eastAsia="仿宋" w:cs="仿宋"/>
          <w:color w:val="000000"/>
          <w:sz w:val="24"/>
          <w:szCs w:val="24"/>
        </w:rPr>
        <w:t>磋商小组</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7.1</w:t>
      </w:r>
      <w:r>
        <w:rPr>
          <w:rFonts w:hint="eastAsia" w:ascii="仿宋" w:hAnsi="仿宋" w:eastAsia="仿宋" w:cs="宋体"/>
          <w:color w:val="000000"/>
          <w:sz w:val="24"/>
        </w:rPr>
        <w:t>采购人依照企业采购管理制度的相关规定组建3人及以上单数的磋商小组，具体人数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sz w:val="24"/>
        </w:rPr>
        <w:t>，磋商小组成员名单在成交结果确定前保密。</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7.2</w:t>
      </w:r>
      <w:r>
        <w:rPr>
          <w:rFonts w:hint="eastAsia" w:ascii="仿宋" w:hAnsi="仿宋" w:eastAsia="仿宋" w:cs="宋体"/>
          <w:color w:val="000000"/>
          <w:sz w:val="24"/>
        </w:rPr>
        <w:t>磋商小组成员应当按照客观、公正、审慎的原则，根据磋商文件规定的评审程序、评审方法和评审标准进行独立评审。</w:t>
      </w:r>
    </w:p>
    <w:p>
      <w:pPr>
        <w:pStyle w:val="6"/>
        <w:spacing w:before="0" w:after="0" w:line="360" w:lineRule="auto"/>
        <w:jc w:val="left"/>
        <w:rPr>
          <w:rFonts w:ascii="仿宋" w:hAnsi="仿宋" w:eastAsia="仿宋" w:cs="仿宋"/>
          <w:color w:val="000000"/>
          <w:sz w:val="24"/>
          <w:szCs w:val="24"/>
        </w:rPr>
      </w:pPr>
      <w:bookmarkStart w:id="111" w:name="_Toc234223228"/>
      <w:r>
        <w:rPr>
          <w:rFonts w:ascii="仿宋" w:hAnsi="仿宋" w:eastAsia="仿宋" w:cs="仿宋"/>
          <w:color w:val="000000"/>
          <w:sz w:val="24"/>
          <w:szCs w:val="24"/>
        </w:rPr>
        <w:t>18</w:t>
      </w:r>
      <w:r>
        <w:rPr>
          <w:rFonts w:hint="eastAsia" w:ascii="仿宋" w:hAnsi="仿宋" w:eastAsia="仿宋" w:cs="仿宋"/>
          <w:color w:val="000000"/>
          <w:sz w:val="24"/>
          <w:szCs w:val="24"/>
        </w:rPr>
        <w:t>.初步评审</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8.1</w:t>
      </w:r>
      <w:r>
        <w:rPr>
          <w:rFonts w:hint="eastAsia" w:ascii="仿宋" w:hAnsi="仿宋" w:eastAsia="仿宋" w:cs="宋体"/>
          <w:color w:val="000000"/>
          <w:sz w:val="24"/>
        </w:rPr>
        <w:t>磋商小组按照第三章评审办法中初步评审的内容及要求，对响应文件进行初步评审。通过初步评审的供应商进入磋商环节，未通过初步评审的供应商，其磋商响应将被否决，不进入磋商、详细评审等后续环节。</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1</w:t>
      </w:r>
      <w:r>
        <w:rPr>
          <w:rFonts w:ascii="仿宋" w:hAnsi="仿宋" w:eastAsia="仿宋" w:cs="宋体"/>
          <w:color w:val="000000"/>
          <w:sz w:val="24"/>
        </w:rPr>
        <w:t>8.2</w:t>
      </w:r>
      <w:r>
        <w:rPr>
          <w:rFonts w:hint="eastAsia" w:ascii="仿宋" w:hAnsi="仿宋" w:eastAsia="仿宋" w:cs="宋体"/>
          <w:color w:val="000000"/>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spacing w:line="360" w:lineRule="auto"/>
        <w:rPr>
          <w:rFonts w:ascii="仿宋" w:hAnsi="仿宋" w:eastAsia="仿宋" w:cs="仿宋"/>
          <w:b/>
          <w:bCs/>
          <w:sz w:val="24"/>
        </w:rPr>
      </w:pPr>
      <w:r>
        <w:rPr>
          <w:rFonts w:hint="eastAsia" w:ascii="仿宋" w:hAnsi="仿宋" w:eastAsia="仿宋" w:cs="宋体"/>
          <w:color w:val="000000"/>
          <w:sz w:val="24"/>
        </w:rPr>
        <w:t>18</w:t>
      </w:r>
      <w:r>
        <w:rPr>
          <w:rFonts w:ascii="仿宋" w:hAnsi="仿宋" w:eastAsia="仿宋" w:cs="宋体"/>
          <w:color w:val="000000"/>
          <w:sz w:val="24"/>
        </w:rPr>
        <w:t>.3</w:t>
      </w:r>
      <w:r>
        <w:rPr>
          <w:rFonts w:hint="eastAsia" w:ascii="仿宋" w:hAnsi="仿宋" w:eastAsia="仿宋" w:cs="宋体"/>
          <w:color w:val="000000"/>
          <w:sz w:val="24"/>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rPr>
        <w:t>，磋商小组有权对其响应做否决处理。</w:t>
      </w:r>
    </w:p>
    <w:p>
      <w:pPr>
        <w:widowControl/>
        <w:spacing w:line="360" w:lineRule="auto"/>
      </w:pPr>
      <w:r>
        <w:rPr>
          <w:rFonts w:hint="eastAsia" w:ascii="仿宋" w:hAnsi="仿宋" w:eastAsia="仿宋" w:cs="宋体"/>
          <w:color w:val="000000"/>
          <w:sz w:val="24"/>
        </w:rPr>
        <w:t>18</w:t>
      </w:r>
      <w:r>
        <w:rPr>
          <w:rFonts w:ascii="仿宋" w:hAnsi="仿宋" w:eastAsia="仿宋" w:cs="宋体"/>
          <w:color w:val="000000"/>
          <w:sz w:val="24"/>
        </w:rPr>
        <w:t>.4</w:t>
      </w:r>
      <w:r>
        <w:rPr>
          <w:rFonts w:hint="eastAsia" w:ascii="仿宋" w:hAnsi="仿宋" w:eastAsia="仿宋" w:cs="宋体"/>
          <w:color w:val="000000"/>
          <w:sz w:val="24"/>
        </w:rPr>
        <w:t>磋商小组必要时可以要求供应商提交有关证明和证件的原件，以便核验。拒不按要求提供原件的供应商，</w:t>
      </w:r>
      <w:r>
        <w:rPr>
          <w:rFonts w:hint="eastAsia" w:ascii="仿宋" w:hAnsi="仿宋" w:eastAsia="仿宋" w:cs="仿宋"/>
          <w:b/>
          <w:bCs/>
          <w:sz w:val="24"/>
        </w:rPr>
        <w:t>磋商小组有权对其响应做否决处理。</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9.</w:t>
      </w:r>
      <w:r>
        <w:rPr>
          <w:rFonts w:hint="eastAsia" w:ascii="仿宋" w:hAnsi="仿宋" w:eastAsia="仿宋" w:cs="仿宋"/>
          <w:color w:val="000000"/>
          <w:sz w:val="24"/>
          <w:szCs w:val="24"/>
        </w:rPr>
        <w:t>磋商程序</w:t>
      </w:r>
    </w:p>
    <w:p>
      <w:pPr>
        <w:spacing w:line="360" w:lineRule="auto"/>
        <w:jc w:val="left"/>
        <w:rPr>
          <w:rFonts w:ascii="仿宋" w:hAnsi="仿宋" w:eastAsia="仿宋" w:cs="仿宋"/>
          <w:color w:val="000000"/>
          <w:sz w:val="24"/>
          <w:u w:val="single"/>
        </w:rPr>
      </w:pPr>
      <w:r>
        <w:rPr>
          <w:rFonts w:ascii="仿宋" w:hAnsi="仿宋" w:eastAsia="仿宋" w:cs="仿宋"/>
          <w:color w:val="000000"/>
          <w:sz w:val="24"/>
        </w:rPr>
        <w:t>19</w:t>
      </w:r>
      <w:r>
        <w:rPr>
          <w:rFonts w:hint="eastAsia" w:ascii="仿宋" w:hAnsi="仿宋" w:eastAsia="仿宋" w:cs="仿宋"/>
          <w:color w:val="000000"/>
          <w:sz w:val="24"/>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u w:val="single"/>
        </w:rPr>
        <w:t>详见本须知前附表。</w:t>
      </w:r>
    </w:p>
    <w:p>
      <w:pPr>
        <w:spacing w:line="360" w:lineRule="auto"/>
        <w:jc w:val="left"/>
        <w:rPr>
          <w:rFonts w:ascii="仿宋" w:hAnsi="仿宋" w:eastAsia="仿宋" w:cs="仿宋"/>
          <w:color w:val="000000"/>
          <w:sz w:val="24"/>
        </w:rPr>
      </w:pPr>
      <w:r>
        <w:rPr>
          <w:rFonts w:ascii="仿宋" w:hAnsi="仿宋" w:eastAsia="仿宋" w:cs="仿宋"/>
          <w:color w:val="000000"/>
          <w:sz w:val="24"/>
        </w:rPr>
        <w:t>19.2</w:t>
      </w:r>
      <w:r>
        <w:rPr>
          <w:rFonts w:hint="eastAsia" w:ascii="仿宋" w:hAnsi="仿宋" w:eastAsia="仿宋" w:cs="仿宋"/>
          <w:color w:val="000000"/>
          <w:sz w:val="24"/>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spacing w:line="360" w:lineRule="auto"/>
        <w:jc w:val="left"/>
        <w:rPr>
          <w:rFonts w:ascii="仿宋" w:hAnsi="仿宋" w:eastAsia="仿宋" w:cs="仿宋"/>
          <w:color w:val="000000"/>
          <w:sz w:val="24"/>
        </w:rPr>
      </w:pPr>
      <w:r>
        <w:rPr>
          <w:rFonts w:ascii="仿宋" w:hAnsi="仿宋" w:eastAsia="仿宋" w:cs="仿宋"/>
          <w:color w:val="000000"/>
          <w:sz w:val="24"/>
        </w:rPr>
        <w:t>19.3</w:t>
      </w:r>
      <w:r>
        <w:rPr>
          <w:rFonts w:hint="eastAsia" w:ascii="仿宋" w:hAnsi="仿宋" w:eastAsia="仿宋" w:cs="仿宋"/>
          <w:color w:val="000000"/>
          <w:sz w:val="24"/>
        </w:rPr>
        <w:t>磋商小组可视情况要求供应商进行多轮磋商及报价。磋商中，任何一方不得向第三方透露与磋商有关的任何信息。</w:t>
      </w:r>
      <w:bookmarkEnd w:id="111"/>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19.4各轮报价有算术错误的，磋商小组按照以下原则对报价进行修正，修正的价格经供应商书面确认后具有约束力。供应商不接受或不确认修正后价格的，磋商小组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rPr>
        <w:t>应当否决其响应</w:t>
      </w:r>
      <w:r>
        <w:rPr>
          <w:rFonts w:hint="eastAsia" w:ascii="仿宋" w:hAnsi="仿宋" w:eastAsia="仿宋" w:cs="仿宋"/>
          <w:color w:val="000000"/>
          <w:sz w:val="24"/>
        </w:rPr>
        <w:t>。</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（1）大写金额与小写金额不一致的，以大写金额为准；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（2）总价金额与根据单价计算出的结果不一致的，以单价金额为准修正总价，但单价金额小数点有明显错误的除外。</w:t>
      </w:r>
      <w:bookmarkEnd w:id="110"/>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.详细评审</w:t>
      </w:r>
    </w:p>
    <w:p>
      <w:pPr>
        <w:spacing w:line="360" w:lineRule="auto"/>
        <w:jc w:val="left"/>
        <w:rPr>
          <w:rFonts w:ascii="仿宋" w:hAnsi="仿宋" w:eastAsia="仿宋" w:cs="仿宋"/>
          <w:color w:val="000000"/>
          <w:sz w:val="24"/>
        </w:rPr>
      </w:pPr>
      <w:r>
        <w:rPr>
          <w:rFonts w:ascii="仿宋" w:hAnsi="仿宋" w:eastAsia="仿宋" w:cs="仿宋"/>
          <w:color w:val="000000"/>
          <w:sz w:val="24"/>
        </w:rPr>
        <w:t>20</w:t>
      </w:r>
      <w:r>
        <w:rPr>
          <w:rFonts w:hint="eastAsia" w:ascii="仿宋" w:hAnsi="仿宋" w:eastAsia="仿宋" w:cs="仿宋"/>
          <w:color w:val="000000"/>
          <w:sz w:val="24"/>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ascii="仿宋" w:hAnsi="仿宋" w:eastAsia="仿宋" w:cs="仿宋"/>
          <w:color w:val="000000"/>
          <w:sz w:val="24"/>
        </w:rPr>
      </w:pPr>
      <w:r>
        <w:rPr>
          <w:rFonts w:ascii="仿宋" w:hAnsi="仿宋" w:eastAsia="仿宋" w:cs="仿宋"/>
          <w:color w:val="000000"/>
          <w:sz w:val="24"/>
        </w:rPr>
        <w:t>20</w:t>
      </w:r>
      <w:r>
        <w:rPr>
          <w:rFonts w:hint="eastAsia" w:ascii="仿宋" w:hAnsi="仿宋" w:eastAsia="仿宋" w:cs="仿宋"/>
          <w:color w:val="000000"/>
          <w:sz w:val="24"/>
        </w:rPr>
        <w:t>.2发生以下情形之一的，原则上做终止采购处理：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（1）出现影响采购公正的违法、违规行为的；</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（3）成交人为N家（1＜N≤3）的项目，有效供应商少于2N家（不含本数）；成交人为N家（N＞3）的项目，有效供应商少于1.5N家（不含本数）。 </w:t>
      </w:r>
    </w:p>
    <w:p>
      <w:pPr>
        <w:widowControl/>
        <w:spacing w:line="360" w:lineRule="auto"/>
        <w:rPr>
          <w:rFonts w:ascii="仿宋" w:hAnsi="仿宋" w:eastAsia="仿宋" w:cs="仿宋"/>
          <w:color w:val="000000"/>
          <w:sz w:val="24"/>
        </w:rPr>
      </w:pPr>
      <w:r>
        <w:rPr>
          <w:rFonts w:ascii="仿宋" w:hAnsi="仿宋" w:eastAsia="仿宋" w:cs="仿宋"/>
          <w:color w:val="000000"/>
          <w:sz w:val="24"/>
        </w:rPr>
        <w:t>20</w:t>
      </w:r>
      <w:r>
        <w:rPr>
          <w:rFonts w:hint="eastAsia" w:ascii="仿宋" w:hAnsi="仿宋" w:eastAsia="仿宋" w:cs="仿宋"/>
          <w:color w:val="000000"/>
          <w:sz w:val="24"/>
        </w:rPr>
        <w:t>.</w:t>
      </w:r>
      <w:r>
        <w:rPr>
          <w:rFonts w:ascii="仿宋" w:hAnsi="仿宋" w:eastAsia="仿宋" w:cs="仿宋"/>
          <w:color w:val="000000"/>
          <w:sz w:val="24"/>
        </w:rPr>
        <w:t>3</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sz w:val="24"/>
        </w:rPr>
        <w:t>成交候选人的经营、财务状况发生较大变化或者存在违法行为，采购人认为可能影响其履约能力的，应当在发出成交通知书前由原磋商小组会按照磋商文件规定的标准和方法审查确认。</w:t>
      </w:r>
    </w:p>
    <w:p>
      <w:pPr>
        <w:pStyle w:val="5"/>
        <w:spacing w:before="0" w:after="0" w:line="360" w:lineRule="auto"/>
        <w:ind w:firstLine="482"/>
        <w:rPr>
          <w:rFonts w:ascii="仿宋" w:hAnsi="仿宋" w:eastAsia="仿宋" w:cs="仿宋"/>
          <w:color w:val="000000"/>
          <w:sz w:val="24"/>
          <w:szCs w:val="24"/>
        </w:rPr>
      </w:pPr>
      <w:bookmarkStart w:id="112" w:name="_Toc19451"/>
      <w:bookmarkStart w:id="113" w:name="_Toc517281822"/>
      <w:bookmarkStart w:id="114" w:name="_Toc234223231"/>
      <w:bookmarkStart w:id="115" w:name="_Toc16781"/>
      <w:bookmarkStart w:id="116" w:name="_Toc27357"/>
      <w:bookmarkStart w:id="117" w:name="_Toc2322"/>
      <w:bookmarkStart w:id="118" w:name="_Toc9911"/>
      <w:bookmarkStart w:id="119" w:name="_Toc444891342"/>
      <w:bookmarkStart w:id="120" w:name="_Toc13936"/>
      <w:bookmarkStart w:id="121" w:name="_Toc287600124"/>
      <w:bookmarkStart w:id="122" w:name="_Toc28031"/>
      <w:r>
        <w:rPr>
          <w:rFonts w:hint="eastAsia" w:ascii="仿宋" w:hAnsi="仿宋" w:eastAsia="仿宋" w:cs="仿宋"/>
          <w:color w:val="000000"/>
          <w:sz w:val="24"/>
          <w:szCs w:val="24"/>
        </w:rPr>
        <w:t>（六）授予合同</w:t>
      </w:r>
      <w:bookmarkEnd w:id="112"/>
      <w:bookmarkEnd w:id="113"/>
      <w:bookmarkEnd w:id="114"/>
      <w:bookmarkEnd w:id="115"/>
      <w:bookmarkEnd w:id="116"/>
      <w:bookmarkEnd w:id="117"/>
      <w:bookmarkEnd w:id="118"/>
      <w:bookmarkEnd w:id="119"/>
      <w:bookmarkEnd w:id="120"/>
      <w:bookmarkEnd w:id="121"/>
      <w:bookmarkEnd w:id="122"/>
    </w:p>
    <w:p>
      <w:pPr>
        <w:pStyle w:val="6"/>
        <w:spacing w:before="0" w:after="0" w:line="360" w:lineRule="auto"/>
        <w:jc w:val="left"/>
        <w:rPr>
          <w:rFonts w:ascii="仿宋" w:hAnsi="仿宋" w:eastAsia="仿宋" w:cs="仿宋"/>
          <w:color w:val="000000"/>
          <w:sz w:val="24"/>
          <w:szCs w:val="24"/>
        </w:rPr>
      </w:pPr>
      <w:bookmarkStart w:id="123" w:name="_Toc234223232"/>
      <w:r>
        <w:rPr>
          <w:rFonts w:hint="eastAsia" w:ascii="仿宋" w:hAnsi="仿宋" w:eastAsia="仿宋" w:cs="仿宋"/>
          <w:color w:val="000000"/>
          <w:sz w:val="24"/>
          <w:szCs w:val="24"/>
        </w:rPr>
        <w:t>2</w:t>
      </w:r>
      <w:r>
        <w:rPr>
          <w:rFonts w:ascii="仿宋" w:hAnsi="仿宋" w:eastAsia="仿宋" w:cs="仿宋"/>
          <w:color w:val="000000"/>
          <w:sz w:val="24"/>
          <w:szCs w:val="24"/>
        </w:rPr>
        <w:t>1</w:t>
      </w:r>
      <w:r>
        <w:rPr>
          <w:rFonts w:hint="eastAsia" w:ascii="仿宋" w:hAnsi="仿宋" w:eastAsia="仿宋" w:cs="仿宋"/>
          <w:color w:val="000000"/>
          <w:sz w:val="24"/>
          <w:szCs w:val="24"/>
        </w:rPr>
        <w:t>.确定</w:t>
      </w:r>
      <w:bookmarkEnd w:id="123"/>
      <w:r>
        <w:rPr>
          <w:rFonts w:hint="eastAsia" w:ascii="仿宋" w:hAnsi="仿宋" w:eastAsia="仿宋" w:cs="仿宋"/>
          <w:color w:val="000000"/>
          <w:sz w:val="24"/>
          <w:szCs w:val="24"/>
        </w:rPr>
        <w:t>成交人</w:t>
      </w:r>
    </w:p>
    <w:p>
      <w:pPr>
        <w:spacing w:line="360" w:lineRule="auto"/>
        <w:jc w:val="left"/>
        <w:rPr>
          <w:rFonts w:ascii="仿宋" w:hAnsi="仿宋" w:eastAsia="仿宋" w:cs="仿宋"/>
          <w:color w:val="000000"/>
          <w:sz w:val="24"/>
        </w:rPr>
      </w:pPr>
      <w:r>
        <w:rPr>
          <w:rFonts w:ascii="仿宋" w:hAnsi="仿宋" w:eastAsia="仿宋" w:cs="仿宋"/>
          <w:color w:val="000000"/>
          <w:sz w:val="24"/>
        </w:rPr>
        <w:t>21.1</w:t>
      </w:r>
      <w:r>
        <w:rPr>
          <w:rFonts w:hint="eastAsia" w:ascii="仿宋" w:hAnsi="仿宋" w:eastAsia="仿宋" w:cs="仿宋"/>
          <w:color w:val="000000"/>
          <w:sz w:val="24"/>
        </w:rPr>
        <w:t>采购人依据磋商小组推荐的成交候选人名单确定成交人，成交人数量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widowControl/>
        <w:spacing w:line="360" w:lineRule="auto"/>
        <w:rPr>
          <w:rFonts w:ascii="仿宋" w:hAnsi="仿宋" w:eastAsia="仿宋" w:cs="宋体"/>
          <w:color w:val="000000"/>
          <w:sz w:val="24"/>
        </w:rPr>
      </w:pPr>
      <w:r>
        <w:rPr>
          <w:rFonts w:ascii="仿宋" w:hAnsi="仿宋" w:eastAsia="仿宋" w:cs="宋体"/>
          <w:color w:val="000000"/>
          <w:sz w:val="24"/>
        </w:rPr>
        <w:t>21.</w:t>
      </w:r>
      <w:r>
        <w:rPr>
          <w:rFonts w:hint="eastAsia" w:ascii="仿宋" w:hAnsi="仿宋" w:eastAsia="仿宋" w:cs="宋体"/>
          <w:color w:val="000000"/>
          <w:sz w:val="24"/>
        </w:rPr>
        <w:t>2成交人确定后，采购人应当向成交人发出成交通知书，同时将成交结果通知所有未成交的供应商。成交通知书对采购人和成交人均具有法律效力。成交人收到成交通知书后放弃成交的，应当承担法律责任。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签订合同</w:t>
      </w:r>
    </w:p>
    <w:p>
      <w:pPr>
        <w:widowControl/>
        <w:spacing w:line="360" w:lineRule="auto"/>
        <w:rPr>
          <w:rFonts w:ascii="仿宋" w:hAnsi="仿宋" w:eastAsia="仿宋" w:cs="仿宋"/>
          <w:color w:val="000000"/>
          <w:sz w:val="24"/>
        </w:rPr>
      </w:pPr>
      <w:r>
        <w:rPr>
          <w:rFonts w:hint="eastAsia" w:ascii="仿宋" w:hAnsi="仿宋" w:eastAsia="仿宋" w:cs="仿宋"/>
          <w:color w:val="000000"/>
          <w:sz w:val="24"/>
        </w:rPr>
        <w:t>2</w:t>
      </w:r>
      <w:r>
        <w:rPr>
          <w:rFonts w:ascii="仿宋" w:hAnsi="仿宋" w:eastAsia="仿宋" w:cs="仿宋"/>
          <w:color w:val="000000"/>
          <w:sz w:val="24"/>
        </w:rPr>
        <w:t>2.1</w:t>
      </w:r>
      <w:r>
        <w:rPr>
          <w:rFonts w:hint="eastAsia" w:ascii="仿宋" w:hAnsi="仿宋" w:eastAsia="仿宋" w:cs="仿宋"/>
          <w:color w:val="000000"/>
          <w:sz w:val="24"/>
        </w:rPr>
        <w:t>采购人与成交人按照磋商文件和成交人的响应文件</w:t>
      </w:r>
      <w:r>
        <w:rPr>
          <w:rFonts w:hint="eastAsia" w:ascii="仿宋" w:hAnsi="仿宋" w:eastAsia="仿宋" w:cs="宋体"/>
          <w:color w:val="000000"/>
          <w:sz w:val="24"/>
        </w:rPr>
        <w:t>订立书面合同。合同的标的、价款、质量、履行期限等主要条款应当与</w:t>
      </w:r>
      <w:r>
        <w:rPr>
          <w:rFonts w:hint="eastAsia" w:ascii="仿宋" w:hAnsi="仿宋" w:eastAsia="仿宋" w:cs="仿宋"/>
          <w:color w:val="000000"/>
          <w:sz w:val="24"/>
        </w:rPr>
        <w:t>磋商</w:t>
      </w:r>
      <w:r>
        <w:rPr>
          <w:rFonts w:hint="eastAsia" w:ascii="仿宋" w:hAnsi="仿宋" w:eastAsia="仿宋" w:cs="宋体"/>
          <w:color w:val="000000"/>
          <w:sz w:val="24"/>
        </w:rPr>
        <w:t>文件和</w:t>
      </w:r>
      <w:r>
        <w:rPr>
          <w:rFonts w:hint="eastAsia" w:ascii="仿宋" w:hAnsi="仿宋" w:eastAsia="仿宋" w:cs="仿宋"/>
          <w:color w:val="000000"/>
          <w:sz w:val="24"/>
        </w:rPr>
        <w:t>成交</w:t>
      </w:r>
      <w:r>
        <w:rPr>
          <w:rFonts w:hint="eastAsia" w:ascii="仿宋" w:hAnsi="仿宋" w:eastAsia="仿宋" w:cs="宋体"/>
          <w:color w:val="000000"/>
          <w:sz w:val="24"/>
        </w:rPr>
        <w:t>人的</w:t>
      </w:r>
      <w:r>
        <w:rPr>
          <w:rFonts w:hint="eastAsia" w:ascii="仿宋" w:hAnsi="仿宋" w:eastAsia="仿宋" w:cs="仿宋"/>
          <w:color w:val="000000"/>
          <w:sz w:val="24"/>
        </w:rPr>
        <w:t>响应</w:t>
      </w:r>
      <w:r>
        <w:rPr>
          <w:rFonts w:hint="eastAsia" w:ascii="仿宋" w:hAnsi="仿宋" w:eastAsia="仿宋" w:cs="宋体"/>
          <w:color w:val="000000"/>
          <w:sz w:val="24"/>
        </w:rPr>
        <w:t>文件的内容一致。</w:t>
      </w:r>
    </w:p>
    <w:p>
      <w:pPr>
        <w:widowControl/>
        <w:spacing w:line="360" w:lineRule="auto"/>
        <w:rPr>
          <w:rFonts w:ascii="仿宋" w:hAnsi="仿宋" w:eastAsia="仿宋" w:cs="宋体"/>
          <w:color w:val="000000"/>
          <w:sz w:val="24"/>
        </w:rPr>
      </w:pPr>
      <w:r>
        <w:rPr>
          <w:rFonts w:hint="eastAsia" w:ascii="仿宋" w:hAnsi="仿宋" w:eastAsia="仿宋" w:cs="仿宋"/>
          <w:color w:val="000000"/>
          <w:sz w:val="24"/>
        </w:rPr>
        <w:t>2</w:t>
      </w:r>
      <w:r>
        <w:rPr>
          <w:rFonts w:ascii="仿宋" w:hAnsi="仿宋" w:eastAsia="仿宋" w:cs="仿宋"/>
          <w:color w:val="000000"/>
          <w:sz w:val="24"/>
        </w:rPr>
        <w:t>2.2</w:t>
      </w:r>
      <w:r>
        <w:rPr>
          <w:rFonts w:hint="eastAsia" w:ascii="仿宋" w:hAnsi="仿宋" w:eastAsia="仿宋" w:cs="仿宋"/>
          <w:color w:val="000000"/>
          <w:sz w:val="24"/>
        </w:rPr>
        <w:t xml:space="preserve"> </w:t>
      </w:r>
      <w:r>
        <w:rPr>
          <w:rFonts w:hint="eastAsia" w:ascii="仿宋" w:hAnsi="仿宋" w:eastAsia="仿宋" w:cs="宋体"/>
          <w:color w:val="000000"/>
          <w:sz w:val="24"/>
        </w:rPr>
        <w:t>成交人无正当理由不与采购人订立合同，在签订合同时向采购人提出附加条件，将取消其成交资格。给采购人造成损失的，成交人应当予以赔偿。</w:t>
      </w:r>
    </w:p>
    <w:p>
      <w:pPr>
        <w:widowControl/>
        <w:spacing w:line="360" w:lineRule="auto"/>
        <w:rPr>
          <w:rFonts w:ascii="仿宋" w:hAnsi="仿宋" w:eastAsia="仿宋" w:cs="宋体"/>
          <w:color w:val="000000"/>
          <w:sz w:val="24"/>
        </w:rPr>
      </w:pPr>
      <w:r>
        <w:rPr>
          <w:rFonts w:ascii="仿宋" w:hAnsi="仿宋" w:eastAsia="仿宋" w:cs="宋体"/>
          <w:color w:val="000000"/>
          <w:sz w:val="24"/>
        </w:rPr>
        <w:t>22.3</w:t>
      </w:r>
      <w:r>
        <w:rPr>
          <w:rFonts w:hint="eastAsia" w:ascii="仿宋" w:hAnsi="仿宋" w:eastAsia="仿宋" w:cs="宋体"/>
          <w:color w:val="000000"/>
          <w:sz w:val="24"/>
        </w:rPr>
        <w:t>磋商文件要求成交人提交履约保证金的，成交人应当按照</w:t>
      </w:r>
      <w:r>
        <w:rPr>
          <w:rFonts w:hint="eastAsia" w:ascii="仿宋" w:hAnsi="仿宋" w:eastAsia="仿宋" w:cs="宋体"/>
          <w:color w:val="000000"/>
          <w:sz w:val="24"/>
          <w:u w:val="single"/>
        </w:rPr>
        <w:t>本须知前附表</w:t>
      </w:r>
      <w:r>
        <w:rPr>
          <w:rFonts w:hint="eastAsia" w:ascii="仿宋" w:hAnsi="仿宋" w:eastAsia="仿宋" w:cs="宋体"/>
          <w:color w:val="000000"/>
          <w:sz w:val="24"/>
        </w:rPr>
        <w:t>要求的金额和方式递交。成交人如不按要求提交履约保证金，将取消其成交资格，磋商保证金不予退还。</w:t>
      </w:r>
    </w:p>
    <w:p>
      <w:pPr>
        <w:widowControl/>
        <w:spacing w:line="360" w:lineRule="auto"/>
        <w:rPr>
          <w:rFonts w:ascii="仿宋" w:hAnsi="仿宋" w:eastAsia="仿宋" w:cs="宋体"/>
          <w:color w:val="000000"/>
          <w:sz w:val="24"/>
        </w:rPr>
      </w:pPr>
      <w:r>
        <w:rPr>
          <w:rFonts w:hint="eastAsia" w:ascii="仿宋" w:hAnsi="仿宋" w:eastAsia="仿宋" w:cs="宋体"/>
          <w:color w:val="000000"/>
          <w:sz w:val="24"/>
        </w:rPr>
        <w:t>22.4成交供应商</w:t>
      </w:r>
      <w:r>
        <w:rPr>
          <w:rFonts w:ascii="仿宋" w:hAnsi="仿宋" w:eastAsia="仿宋" w:cs="宋体"/>
          <w:color w:val="000000"/>
          <w:sz w:val="24"/>
        </w:rPr>
        <w:t>不履行与</w:t>
      </w:r>
      <w:r>
        <w:rPr>
          <w:rFonts w:hint="eastAsia" w:ascii="仿宋" w:hAnsi="仿宋" w:eastAsia="仿宋" w:cs="宋体"/>
          <w:color w:val="000000"/>
          <w:sz w:val="24"/>
        </w:rPr>
        <w:t>采购</w:t>
      </w:r>
      <w:r>
        <w:rPr>
          <w:rFonts w:ascii="仿宋" w:hAnsi="仿宋" w:eastAsia="仿宋" w:cs="宋体"/>
          <w:color w:val="000000"/>
          <w:sz w:val="24"/>
        </w:rPr>
        <w:t>人订立的合同的，</w:t>
      </w:r>
      <w:r>
        <w:rPr>
          <w:rFonts w:hint="eastAsia" w:ascii="仿宋" w:hAnsi="仿宋" w:eastAsia="仿宋" w:cs="宋体"/>
          <w:color w:val="000000"/>
          <w:sz w:val="24"/>
        </w:rPr>
        <w:t>履约</w:t>
      </w:r>
      <w:r>
        <w:rPr>
          <w:rFonts w:ascii="仿宋" w:hAnsi="仿宋" w:eastAsia="仿宋" w:cs="宋体"/>
          <w:color w:val="000000"/>
          <w:sz w:val="24"/>
        </w:rPr>
        <w:t>保证金不予退还，给</w:t>
      </w:r>
      <w:r>
        <w:rPr>
          <w:rFonts w:hint="eastAsia" w:ascii="仿宋" w:hAnsi="仿宋" w:eastAsia="仿宋" w:cs="宋体"/>
          <w:color w:val="000000"/>
          <w:sz w:val="24"/>
        </w:rPr>
        <w:t>采购</w:t>
      </w:r>
      <w:r>
        <w:rPr>
          <w:rFonts w:ascii="仿宋" w:hAnsi="仿宋" w:eastAsia="仿宋" w:cs="宋体"/>
          <w:color w:val="000000"/>
          <w:sz w:val="24"/>
        </w:rPr>
        <w:t>人造成的损失超过履约保证金数额的，还应当对超过部分予以赔偿；没有提交履约保证金的，应当对</w:t>
      </w:r>
      <w:r>
        <w:rPr>
          <w:rFonts w:hint="eastAsia" w:ascii="仿宋" w:hAnsi="仿宋" w:eastAsia="仿宋" w:cs="宋体"/>
          <w:color w:val="000000"/>
          <w:sz w:val="24"/>
        </w:rPr>
        <w:t>采购</w:t>
      </w:r>
      <w:r>
        <w:rPr>
          <w:rFonts w:ascii="仿宋" w:hAnsi="仿宋" w:eastAsia="仿宋" w:cs="宋体"/>
          <w:color w:val="000000"/>
          <w:sz w:val="24"/>
        </w:rPr>
        <w:t>人的损失承担赔偿责任。</w:t>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p>
    <w:p>
      <w:pPr>
        <w:rPr>
          <w:color w:val="000000"/>
        </w:rPr>
        <w:sectPr>
          <w:footerReference r:id="rId10" w:type="default"/>
          <w:pgSz w:w="11906" w:h="16838"/>
          <w:pgMar w:top="1417" w:right="1134" w:bottom="1134" w:left="1134" w:header="851" w:footer="992" w:gutter="0"/>
          <w:cols w:space="720" w:num="1"/>
        </w:sectPr>
      </w:pPr>
    </w:p>
    <w:p>
      <w:pPr>
        <w:pStyle w:val="3"/>
        <w:spacing w:before="0" w:after="0" w:line="360" w:lineRule="auto"/>
        <w:jc w:val="center"/>
        <w:rPr>
          <w:rFonts w:ascii="仿宋" w:hAnsi="仿宋" w:eastAsia="仿宋" w:cs="仿宋"/>
          <w:color w:val="000000"/>
          <w:sz w:val="28"/>
          <w:szCs w:val="28"/>
        </w:rPr>
      </w:pPr>
      <w:bookmarkStart w:id="124" w:name="_Toc5252"/>
      <w:bookmarkStart w:id="125" w:name="_Toc517281824"/>
      <w:bookmarkStart w:id="126" w:name="_Toc444891343"/>
      <w:r>
        <w:rPr>
          <w:rFonts w:hint="eastAsia" w:ascii="仿宋" w:hAnsi="仿宋" w:eastAsia="仿宋" w:cs="仿宋"/>
          <w:color w:val="000000"/>
          <w:sz w:val="28"/>
          <w:szCs w:val="28"/>
        </w:rPr>
        <w:t>第三章 评审办法</w:t>
      </w:r>
      <w:bookmarkEnd w:id="124"/>
    </w:p>
    <w:p>
      <w:pPr>
        <w:pStyle w:val="4"/>
        <w:ind w:firstLine="0"/>
        <w:jc w:val="left"/>
        <w:rPr>
          <w:rFonts w:ascii="仿宋" w:hAnsi="仿宋" w:eastAsia="仿宋" w:cs="仿宋"/>
          <w:color w:val="000000"/>
          <w:sz w:val="24"/>
          <w:szCs w:val="24"/>
        </w:rPr>
      </w:pPr>
      <w:bookmarkStart w:id="127" w:name="_Toc14905"/>
      <w:bookmarkStart w:id="128" w:name="_Toc444891344"/>
      <w:bookmarkStart w:id="129" w:name="_Toc517281825"/>
      <w:bookmarkStart w:id="130" w:name="_Toc226969358"/>
      <w:bookmarkStart w:id="131" w:name="_Toc227057964"/>
      <w:r>
        <w:rPr>
          <w:rFonts w:hint="eastAsia" w:ascii="仿宋" w:hAnsi="仿宋" w:eastAsia="仿宋" w:cs="仿宋"/>
          <w:color w:val="000000"/>
          <w:sz w:val="24"/>
          <w:szCs w:val="24"/>
        </w:rPr>
        <w:t>一、评审程序</w:t>
      </w:r>
      <w:bookmarkEnd w:id="127"/>
      <w:bookmarkEnd w:id="128"/>
      <w:bookmarkEnd w:id="129"/>
    </w:p>
    <w:p>
      <w:pPr>
        <w:spacing w:line="360" w:lineRule="auto"/>
        <w:ind w:firstLine="480"/>
        <w:jc w:val="left"/>
        <w:rPr>
          <w:rFonts w:ascii="仿宋" w:hAnsi="仿宋" w:eastAsia="仿宋" w:cs="仿宋"/>
          <w:color w:val="000000"/>
          <w:sz w:val="24"/>
        </w:rPr>
      </w:pPr>
      <w:r>
        <w:rPr>
          <w:rFonts w:hint="eastAsia" w:ascii="仿宋" w:hAnsi="仿宋" w:eastAsia="仿宋" w:cs="仿宋"/>
          <w:color w:val="000000"/>
          <w:sz w:val="24"/>
        </w:rPr>
        <w:t>磋商小组对响应文件中的相关内容进行评审。评审按照以下程序进行：</w:t>
      </w:r>
    </w:p>
    <w:p>
      <w:pPr>
        <w:spacing w:line="360" w:lineRule="auto"/>
        <w:ind w:firstLine="420"/>
        <w:jc w:val="left"/>
        <w:rPr>
          <w:rFonts w:ascii="仿宋" w:hAnsi="仿宋" w:eastAsia="仿宋" w:cs="仿宋"/>
          <w:color w:val="000000"/>
          <w:sz w:val="24"/>
        </w:rPr>
      </w:pPr>
      <w:r>
        <w:rPr>
          <w:rFonts w:hint="eastAsia" w:ascii="仿宋" w:hAnsi="仿宋" w:eastAsia="仿宋" w:cs="仿宋"/>
          <w:color w:val="000000"/>
          <w:sz w:val="24"/>
        </w:rPr>
        <w:t>1.熟悉磋商文件；</w:t>
      </w:r>
    </w:p>
    <w:p>
      <w:pPr>
        <w:spacing w:line="360" w:lineRule="auto"/>
        <w:ind w:firstLine="420"/>
        <w:jc w:val="left"/>
        <w:rPr>
          <w:rFonts w:ascii="仿宋" w:hAnsi="仿宋" w:eastAsia="仿宋" w:cs="仿宋"/>
          <w:color w:val="000000"/>
          <w:sz w:val="24"/>
        </w:rPr>
      </w:pPr>
      <w:r>
        <w:rPr>
          <w:rFonts w:hint="eastAsia" w:ascii="仿宋" w:hAnsi="仿宋" w:eastAsia="仿宋" w:cs="仿宋"/>
          <w:color w:val="000000"/>
          <w:sz w:val="24"/>
        </w:rPr>
        <w:t>2.对响应文件进行初步评审，检查响应文件是否满足磋商文件的初审要求；初步评审中不符合评审标准的，将做否决磋商响应处理；</w:t>
      </w:r>
    </w:p>
    <w:p>
      <w:pPr>
        <w:spacing w:line="360" w:lineRule="auto"/>
        <w:ind w:firstLine="420"/>
        <w:jc w:val="left"/>
        <w:rPr>
          <w:rFonts w:ascii="仿宋" w:hAnsi="仿宋" w:eastAsia="仿宋" w:cs="仿宋"/>
          <w:color w:val="000000"/>
          <w:sz w:val="24"/>
        </w:rPr>
      </w:pPr>
      <w:r>
        <w:rPr>
          <w:rFonts w:hint="eastAsia" w:ascii="仿宋" w:hAnsi="仿宋" w:eastAsia="仿宋" w:cs="仿宋"/>
          <w:color w:val="000000"/>
          <w:sz w:val="24"/>
        </w:rPr>
        <w:t>3.供应商有以下情形之一的，磋商小组应当否决其磋商响应：</w:t>
      </w:r>
    </w:p>
    <w:p>
      <w:pPr>
        <w:spacing w:line="360" w:lineRule="auto"/>
        <w:ind w:firstLine="420"/>
        <w:jc w:val="left"/>
        <w:rPr>
          <w:rFonts w:ascii="仿宋" w:hAnsi="仿宋" w:eastAsia="仿宋" w:cs="仿宋"/>
          <w:sz w:val="24"/>
        </w:rPr>
      </w:pPr>
      <w:r>
        <w:rPr>
          <w:rFonts w:hint="eastAsia" w:ascii="仿宋" w:hAnsi="仿宋" w:eastAsia="仿宋" w:cs="仿宋"/>
          <w:sz w:val="24"/>
        </w:rPr>
        <w:t>（1）按照磋商公告要求已经递交电子响应文件，但未按要求递交纸质响应文件；</w:t>
      </w:r>
    </w:p>
    <w:p>
      <w:pPr>
        <w:spacing w:line="360" w:lineRule="auto"/>
        <w:ind w:firstLine="420"/>
        <w:jc w:val="left"/>
        <w:rPr>
          <w:rFonts w:ascii="仿宋" w:hAnsi="仿宋" w:eastAsia="仿宋" w:cs="仿宋"/>
          <w:sz w:val="24"/>
        </w:rPr>
      </w:pPr>
      <w:r>
        <w:rPr>
          <w:rFonts w:hint="eastAsia" w:ascii="仿宋" w:hAnsi="仿宋" w:eastAsia="仿宋" w:cs="仿宋"/>
          <w:sz w:val="24"/>
        </w:rPr>
        <w:t>（2）响应文件未经供应商盖章和单位负责人签字；</w:t>
      </w:r>
    </w:p>
    <w:p>
      <w:pPr>
        <w:spacing w:line="360" w:lineRule="auto"/>
        <w:ind w:firstLine="420"/>
        <w:jc w:val="left"/>
        <w:rPr>
          <w:rFonts w:ascii="仿宋" w:hAnsi="仿宋" w:eastAsia="仿宋" w:cs="仿宋"/>
          <w:sz w:val="24"/>
        </w:rPr>
      </w:pPr>
      <w:r>
        <w:rPr>
          <w:rFonts w:hint="eastAsia" w:ascii="仿宋" w:hAnsi="仿宋" w:eastAsia="仿宋" w:cs="仿宋"/>
          <w:sz w:val="24"/>
        </w:rPr>
        <w:t>（3）允许联合体响应的，联合体没有递交共同响应协议；</w:t>
      </w:r>
    </w:p>
    <w:p>
      <w:pPr>
        <w:spacing w:line="360" w:lineRule="auto"/>
        <w:ind w:firstLine="420"/>
        <w:jc w:val="left"/>
        <w:rPr>
          <w:rFonts w:ascii="仿宋" w:hAnsi="仿宋" w:eastAsia="仿宋" w:cs="仿宋"/>
          <w:sz w:val="24"/>
        </w:rPr>
      </w:pPr>
      <w:r>
        <w:rPr>
          <w:rFonts w:hint="eastAsia" w:ascii="仿宋" w:hAnsi="仿宋" w:eastAsia="仿宋" w:cs="仿宋"/>
          <w:sz w:val="24"/>
        </w:rPr>
        <w:t>（4）不符合国家或者磋商文件规定的资格条件；</w:t>
      </w:r>
    </w:p>
    <w:p>
      <w:pPr>
        <w:spacing w:line="360" w:lineRule="auto"/>
        <w:ind w:firstLine="420"/>
        <w:jc w:val="left"/>
        <w:rPr>
          <w:rFonts w:ascii="仿宋" w:hAnsi="仿宋" w:eastAsia="仿宋" w:cs="仿宋"/>
          <w:sz w:val="24"/>
        </w:rPr>
      </w:pPr>
      <w:r>
        <w:rPr>
          <w:rFonts w:hint="eastAsia" w:ascii="仿宋" w:hAnsi="仿宋" w:eastAsia="仿宋" w:cs="仿宋"/>
          <w:sz w:val="24"/>
        </w:rPr>
        <w:t>（5）同一供应商提交两个以上不同的响应文件或者响应报价，但磋商文件要求提交备选文件的除外；</w:t>
      </w:r>
    </w:p>
    <w:p>
      <w:pPr>
        <w:spacing w:line="360" w:lineRule="auto"/>
        <w:ind w:firstLine="420"/>
        <w:jc w:val="left"/>
        <w:rPr>
          <w:rFonts w:ascii="仿宋" w:hAnsi="仿宋" w:eastAsia="仿宋" w:cs="宋体"/>
          <w:color w:val="000000"/>
          <w:sz w:val="24"/>
        </w:rPr>
      </w:pPr>
      <w:r>
        <w:rPr>
          <w:rFonts w:hint="eastAsia" w:ascii="仿宋" w:hAnsi="仿宋" w:eastAsia="仿宋" w:cs="仿宋"/>
          <w:sz w:val="24"/>
        </w:rPr>
        <w:t>（6）</w:t>
      </w:r>
      <w:r>
        <w:rPr>
          <w:rFonts w:hint="eastAsia" w:ascii="仿宋" w:hAnsi="仿宋" w:eastAsia="仿宋" w:cs="宋体"/>
          <w:color w:val="000000"/>
          <w:sz w:val="24"/>
        </w:rPr>
        <w:t>最终报价低于成本或者高于磋商文件设定的最高投标限价；</w:t>
      </w:r>
    </w:p>
    <w:p>
      <w:pPr>
        <w:spacing w:line="360" w:lineRule="auto"/>
        <w:ind w:firstLine="420"/>
        <w:jc w:val="left"/>
        <w:rPr>
          <w:rFonts w:ascii="仿宋" w:hAnsi="仿宋" w:eastAsia="仿宋" w:cs="宋体"/>
          <w:color w:val="000000"/>
          <w:sz w:val="24"/>
        </w:rPr>
      </w:pPr>
      <w:r>
        <w:rPr>
          <w:rFonts w:hint="eastAsia" w:ascii="仿宋" w:hAnsi="仿宋" w:eastAsia="仿宋" w:cs="宋体"/>
          <w:color w:val="000000"/>
          <w:sz w:val="24"/>
        </w:rPr>
        <w:t xml:space="preserve">（7）响应文件未对磋商文件的实质性要求和条件作出响应； </w:t>
      </w:r>
    </w:p>
    <w:p>
      <w:pPr>
        <w:spacing w:line="360" w:lineRule="auto"/>
        <w:ind w:firstLine="420"/>
        <w:jc w:val="left"/>
        <w:rPr>
          <w:rFonts w:ascii="仿宋" w:hAnsi="仿宋" w:eastAsia="仿宋" w:cs="宋体"/>
          <w:color w:val="000000"/>
          <w:sz w:val="24"/>
        </w:rPr>
      </w:pPr>
      <w:r>
        <w:rPr>
          <w:rFonts w:hint="eastAsia" w:ascii="仿宋" w:hAnsi="仿宋" w:eastAsia="仿宋" w:cs="宋体"/>
          <w:color w:val="000000"/>
          <w:sz w:val="24"/>
        </w:rPr>
        <w:t>（8）供应商有串通投标、弄虚作假、行贿等违法行为；</w:t>
      </w:r>
    </w:p>
    <w:p>
      <w:pPr>
        <w:spacing w:line="360" w:lineRule="auto"/>
        <w:ind w:firstLine="420"/>
        <w:jc w:val="left"/>
        <w:rPr>
          <w:rFonts w:ascii="仿宋" w:hAnsi="仿宋" w:eastAsia="仿宋" w:cs="宋体"/>
          <w:color w:val="000000"/>
          <w:sz w:val="24"/>
        </w:rPr>
      </w:pPr>
      <w:r>
        <w:rPr>
          <w:rFonts w:hint="eastAsia" w:ascii="仿宋" w:hAnsi="仿宋" w:eastAsia="仿宋" w:cs="宋体"/>
          <w:color w:val="000000"/>
          <w:sz w:val="24"/>
        </w:rPr>
        <w:t>（9）不接受或不确认因算术性错误进行的价格修正；</w:t>
      </w:r>
    </w:p>
    <w:p>
      <w:pPr>
        <w:spacing w:line="360" w:lineRule="auto"/>
        <w:ind w:firstLine="420"/>
        <w:jc w:val="left"/>
        <w:rPr>
          <w:rFonts w:ascii="仿宋" w:hAnsi="仿宋" w:eastAsia="仿宋" w:cs="宋体"/>
          <w:color w:val="000000"/>
          <w:sz w:val="24"/>
        </w:rPr>
      </w:pPr>
      <w:r>
        <w:rPr>
          <w:rFonts w:hint="eastAsia" w:ascii="仿宋" w:hAnsi="仿宋" w:eastAsia="仿宋" w:cs="宋体"/>
          <w:color w:val="000000"/>
          <w:sz w:val="24"/>
        </w:rPr>
        <w:t>（10）响应文件附有采购人不能接受的条件；</w:t>
      </w:r>
    </w:p>
    <w:p>
      <w:pPr>
        <w:spacing w:line="360" w:lineRule="auto"/>
        <w:ind w:firstLine="420"/>
        <w:jc w:val="left"/>
        <w:rPr>
          <w:rFonts w:ascii="仿宋" w:hAnsi="仿宋" w:eastAsia="仿宋" w:cs="宋体"/>
          <w:color w:val="000000"/>
          <w:sz w:val="24"/>
        </w:rPr>
      </w:pPr>
      <w:r>
        <w:rPr>
          <w:rFonts w:hint="eastAsia" w:ascii="仿宋" w:hAnsi="仿宋" w:eastAsia="仿宋" w:cs="宋体"/>
          <w:color w:val="000000"/>
          <w:sz w:val="24"/>
        </w:rPr>
        <w:t>（11）不符合磋商文件中规定的其他实质性要求。</w:t>
      </w:r>
    </w:p>
    <w:p>
      <w:pPr>
        <w:spacing w:line="360" w:lineRule="auto"/>
        <w:ind w:firstLine="420"/>
        <w:jc w:val="left"/>
        <w:rPr>
          <w:rFonts w:ascii="仿宋" w:hAnsi="仿宋" w:eastAsia="仿宋" w:cs="仿宋"/>
          <w:sz w:val="24"/>
        </w:rPr>
      </w:pPr>
      <w:r>
        <w:rPr>
          <w:rFonts w:hint="eastAsia" w:ascii="仿宋" w:hAnsi="仿宋" w:eastAsia="仿宋" w:cs="仿宋"/>
          <w:color w:val="000000"/>
          <w:sz w:val="24"/>
        </w:rPr>
        <w:t>4.初步评审</w:t>
      </w:r>
      <w:r>
        <w:rPr>
          <w:rFonts w:hint="eastAsia" w:ascii="仿宋" w:hAnsi="仿宋" w:eastAsia="仿宋" w:cs="仿宋"/>
          <w:color w:val="000000"/>
          <w:sz w:val="24"/>
          <w:lang w:val="zh-CN"/>
        </w:rPr>
        <w:t>内容允许在磋商过程中按磋商小组规定的时间内补充，若未在规定时间内补充则将导致响应无效。</w:t>
      </w:r>
    </w:p>
    <w:p>
      <w:pPr>
        <w:spacing w:line="360" w:lineRule="auto"/>
        <w:ind w:firstLine="420"/>
        <w:jc w:val="left"/>
        <w:rPr>
          <w:rFonts w:ascii="仿宋" w:hAnsi="仿宋" w:eastAsia="仿宋" w:cs="仿宋"/>
          <w:sz w:val="24"/>
        </w:rPr>
      </w:pPr>
      <w:r>
        <w:rPr>
          <w:rFonts w:hint="eastAsia" w:ascii="仿宋" w:hAnsi="仿宋" w:eastAsia="仿宋" w:cs="仿宋"/>
          <w:sz w:val="24"/>
        </w:rPr>
        <w:t>5.通过初步评审的供应商分别进行磋商；</w:t>
      </w:r>
    </w:p>
    <w:p>
      <w:pPr>
        <w:spacing w:line="360" w:lineRule="auto"/>
        <w:ind w:firstLine="420"/>
        <w:jc w:val="left"/>
        <w:rPr>
          <w:rFonts w:ascii="仿宋" w:hAnsi="仿宋" w:eastAsia="仿宋" w:cs="仿宋"/>
          <w:sz w:val="24"/>
        </w:rPr>
      </w:pPr>
      <w:r>
        <w:rPr>
          <w:rFonts w:hint="eastAsia" w:ascii="仿宋" w:hAnsi="仿宋" w:eastAsia="仿宋" w:cs="仿宋"/>
          <w:sz w:val="24"/>
        </w:rPr>
        <w:t>6.通过初步评审的供应商进行最终报价；</w:t>
      </w:r>
    </w:p>
    <w:p>
      <w:pPr>
        <w:spacing w:line="360" w:lineRule="auto"/>
        <w:ind w:firstLine="420"/>
        <w:jc w:val="left"/>
        <w:rPr>
          <w:rFonts w:ascii="仿宋" w:hAnsi="仿宋" w:eastAsia="仿宋" w:cs="仿宋"/>
          <w:sz w:val="24"/>
        </w:rPr>
      </w:pPr>
      <w:r>
        <w:rPr>
          <w:rFonts w:hint="eastAsia" w:ascii="仿宋" w:hAnsi="仿宋" w:eastAsia="仿宋" w:cs="仿宋"/>
          <w:sz w:val="24"/>
        </w:rPr>
        <w:t>7.通过初步评审的响应文件进行详细评审及打分；</w:t>
      </w:r>
    </w:p>
    <w:p>
      <w:pPr>
        <w:spacing w:line="360" w:lineRule="auto"/>
        <w:ind w:firstLine="420"/>
        <w:jc w:val="left"/>
        <w:rPr>
          <w:rFonts w:ascii="仿宋" w:hAnsi="仿宋" w:eastAsia="仿宋" w:cs="仿宋"/>
          <w:color w:val="000000"/>
          <w:sz w:val="24"/>
        </w:rPr>
      </w:pPr>
      <w:r>
        <w:rPr>
          <w:rFonts w:hint="eastAsia" w:ascii="仿宋" w:hAnsi="仿宋" w:eastAsia="仿宋" w:cs="仿宋"/>
          <w:sz w:val="24"/>
        </w:rPr>
        <w:t>8.按照综合评分由高到低的次序推荐成交候选人，提交评审报告，评审报告应</w:t>
      </w:r>
      <w:r>
        <w:rPr>
          <w:rFonts w:hint="eastAsia" w:ascii="仿宋" w:hAnsi="仿宋" w:eastAsia="仿宋" w:cs="仿宋"/>
          <w:color w:val="000000"/>
          <w:sz w:val="24"/>
        </w:rPr>
        <w:t>包含评审情况说明、排名次序、推荐成交候选人名单及其他说明事项。</w:t>
      </w:r>
    </w:p>
    <w:p>
      <w:pPr>
        <w:pStyle w:val="4"/>
        <w:ind w:firstLine="0"/>
        <w:jc w:val="left"/>
        <w:rPr>
          <w:rFonts w:ascii="仿宋" w:hAnsi="仿宋" w:eastAsia="仿宋" w:cs="仿宋"/>
          <w:color w:val="000000"/>
          <w:sz w:val="24"/>
          <w:szCs w:val="24"/>
        </w:rPr>
      </w:pPr>
      <w:bookmarkStart w:id="132" w:name="_Toc517281826"/>
      <w:bookmarkStart w:id="133" w:name="_Toc444891345"/>
      <w:r>
        <w:rPr>
          <w:rFonts w:hint="eastAsia" w:ascii="仿宋" w:hAnsi="仿宋" w:eastAsia="仿宋" w:cs="仿宋"/>
          <w:color w:val="000000"/>
          <w:sz w:val="24"/>
          <w:szCs w:val="24"/>
        </w:rPr>
        <w:br w:type="page" w:clear="all"/>
      </w:r>
      <w:bookmarkStart w:id="134" w:name="_Toc11020"/>
      <w:r>
        <w:rPr>
          <w:rFonts w:hint="eastAsia" w:ascii="仿宋" w:hAnsi="仿宋" w:eastAsia="仿宋" w:cs="仿宋"/>
          <w:color w:val="000000"/>
          <w:sz w:val="24"/>
          <w:szCs w:val="24"/>
        </w:rPr>
        <w:t>二、初步评审</w:t>
      </w:r>
      <w:bookmarkEnd w:id="130"/>
      <w:bookmarkEnd w:id="131"/>
      <w:bookmarkEnd w:id="132"/>
      <w:bookmarkEnd w:id="133"/>
      <w:bookmarkEnd w:id="134"/>
    </w:p>
    <w:tbl>
      <w:tblPr>
        <w:tblStyle w:val="44"/>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0"/>
        <w:gridCol w:w="1167"/>
        <w:gridCol w:w="1952"/>
        <w:gridCol w:w="607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b/>
                <w:color w:val="000000"/>
                <w:szCs w:val="21"/>
              </w:rPr>
            </w:pPr>
            <w:bookmarkStart w:id="135" w:name="_Toc13468"/>
            <w:bookmarkStart w:id="136" w:name="_Toc4633"/>
            <w:bookmarkStart w:id="137" w:name="_Toc426620345"/>
            <w:bookmarkStart w:id="138" w:name="_Toc444891346"/>
            <w:bookmarkStart w:id="139" w:name="_Toc9003"/>
            <w:bookmarkStart w:id="140" w:name="_Toc517281827"/>
            <w:r>
              <w:rPr>
                <w:rFonts w:hint="eastAsia" w:ascii="仿宋" w:hAnsi="仿宋" w:eastAsia="仿宋" w:cs="仿宋"/>
                <w:b/>
                <w:color w:val="000000"/>
                <w:szCs w:val="21"/>
              </w:rPr>
              <w:t>序号</w:t>
            </w:r>
          </w:p>
        </w:tc>
        <w:tc>
          <w:tcPr>
            <w:tcW w:w="592" w:type="pct"/>
            <w:noWrap w:val="0"/>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评审环节</w:t>
            </w:r>
          </w:p>
        </w:tc>
        <w:tc>
          <w:tcPr>
            <w:tcW w:w="990" w:type="pct"/>
            <w:noWrap w:val="0"/>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评审因素</w:t>
            </w:r>
          </w:p>
        </w:tc>
        <w:tc>
          <w:tcPr>
            <w:tcW w:w="3081" w:type="pc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592" w:type="pct"/>
            <w:vMerge w:val="restart"/>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形式评审标准</w:t>
            </w: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供应商名称</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81" w:type="pct"/>
            <w:noWrap w:val="0"/>
            <w:vAlign w:val="center"/>
          </w:tcPr>
          <w:p>
            <w:pPr>
              <w:pStyle w:val="328"/>
              <w:keepNext w:val="0"/>
              <w:keepLines w:val="0"/>
              <w:suppressLineNumbers w:val="0"/>
              <w:spacing w:before="0" w:beforeAutospacing="0" w:after="0" w:afterAutospacing="0"/>
              <w:ind w:left="0" w:right="0"/>
              <w:jc w:val="left"/>
              <w:rPr>
                <w:rFonts w:hint="default"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291"/>
              <w:keepNext w:val="0"/>
              <w:keepLines w:val="0"/>
              <w:suppressLineNumbers w:val="0"/>
              <w:tabs>
                <w:tab w:val="left" w:pos="630"/>
              </w:tabs>
              <w:spacing w:before="48" w:beforeAutospacing="0" w:after="48" w:afterAutospacing="0" w:line="276" w:lineRule="auto"/>
              <w:ind w:left="0" w:right="0"/>
              <w:rPr>
                <w:rFonts w:hint="default"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81" w:type="pct"/>
            <w:noWrap w:val="0"/>
            <w:vAlign w:val="center"/>
          </w:tcPr>
          <w:p>
            <w:pPr>
              <w:pStyle w:val="328"/>
              <w:keepNext w:val="0"/>
              <w:keepLines w:val="0"/>
              <w:suppressLineNumbers w:val="0"/>
              <w:spacing w:before="0" w:beforeAutospacing="0" w:after="0" w:afterAutospacing="0" w:line="276" w:lineRule="auto"/>
              <w:ind w:left="0" w:right="0"/>
              <w:rPr>
                <w:rFonts w:hint="default"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328"/>
              <w:keepNext w:val="0"/>
              <w:keepLines w:val="0"/>
              <w:suppressLineNumbers w:val="0"/>
              <w:spacing w:before="0" w:beforeAutospacing="0" w:after="0" w:afterAutospacing="0" w:line="276" w:lineRule="auto"/>
              <w:ind w:left="0" w:right="0"/>
              <w:rPr>
                <w:rFonts w:hint="default"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响应文件签字或盖章</w:t>
            </w:r>
          </w:p>
        </w:tc>
        <w:tc>
          <w:tcPr>
            <w:tcW w:w="3081" w:type="pct"/>
            <w:noWrap w:val="0"/>
            <w:vAlign w:val="center"/>
          </w:tcPr>
          <w:p>
            <w:pPr>
              <w:keepNext w:val="0"/>
              <w:keepLines w:val="0"/>
              <w:suppressLineNumbers w:val="0"/>
              <w:spacing w:before="24" w:beforeAutospacing="0" w:after="24" w:afterAutospacing="0"/>
              <w:ind w:left="0" w:right="0"/>
              <w:jc w:val="left"/>
              <w:rPr>
                <w:rFonts w:hint="default"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310"/>
              <w:keepNext w:val="0"/>
              <w:keepLines w:val="0"/>
              <w:suppressLineNumbers w:val="0"/>
              <w:spacing w:before="48" w:beforeAutospacing="0" w:after="48" w:afterAutospacing="0" w:line="276" w:lineRule="auto"/>
              <w:ind w:left="0" w:right="0"/>
              <w:rPr>
                <w:rFonts w:hint="default" w:ascii="仿宋" w:hAnsi="仿宋" w:eastAsia="仿宋" w:cs="宋体"/>
                <w:color w:val="000000"/>
              </w:rPr>
            </w:pPr>
            <w:r>
              <w:rPr>
                <w:rFonts w:hint="eastAsia" w:ascii="仿宋" w:hAnsi="仿宋" w:eastAsia="仿宋" w:cs="宋体"/>
                <w:color w:val="000000"/>
              </w:rPr>
              <w:t>2、响应文件的所有签字处均指手写签字</w:t>
            </w:r>
            <w:r>
              <w:rPr>
                <w:rFonts w:hint="eastAsia" w:ascii="仿宋" w:hAnsi="仿宋" w:eastAsia="仿宋" w:cs="宋体"/>
                <w:b/>
                <w:color w:val="000000"/>
              </w:rPr>
              <w:t>或</w:t>
            </w:r>
            <w:r>
              <w:rPr>
                <w:rFonts w:hint="eastAsia" w:ascii="仿宋" w:hAnsi="仿宋" w:eastAsia="仿宋" w:cs="宋体"/>
                <w:color w:val="000000"/>
              </w:rPr>
              <w:t>签名章/印章</w:t>
            </w:r>
            <w:r>
              <w:rPr>
                <w:rFonts w:hint="eastAsia" w:ascii="仿宋" w:hAnsi="仿宋" w:eastAsia="仿宋" w:cs="宋体"/>
                <w:b/>
                <w:bCs/>
                <w:color w:val="000000"/>
              </w:rPr>
              <w:t>或</w:t>
            </w:r>
            <w:r>
              <w:rPr>
                <w:rFonts w:hint="eastAsia" w:ascii="仿宋" w:hAnsi="仿宋" w:eastAsia="仿宋" w:cs="宋体"/>
                <w:color w:val="000000"/>
              </w:rPr>
              <w:t>CA签名章，</w:t>
            </w:r>
            <w:r>
              <w:rPr>
                <w:rFonts w:hint="eastAsia" w:ascii="仿宋" w:hAnsi="仿宋" w:eastAsia="仿宋" w:cs="宋体"/>
                <w:b/>
                <w:color w:val="000000"/>
              </w:rPr>
              <w:t>不得</w:t>
            </w:r>
            <w:r>
              <w:rPr>
                <w:rFonts w:hint="eastAsia" w:ascii="仿宋" w:hAnsi="仿宋" w:eastAsia="仿宋" w:cs="宋体"/>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592" w:type="pct"/>
            <w:vMerge w:val="restart"/>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资格评审标准</w:t>
            </w: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FF0000"/>
                <w:szCs w:val="21"/>
              </w:rPr>
            </w:pPr>
            <w:r>
              <w:rPr>
                <w:rFonts w:hint="eastAsia" w:ascii="仿宋" w:hAnsi="仿宋" w:eastAsia="仿宋" w:cs="仿宋"/>
                <w:color w:val="000000"/>
                <w:szCs w:val="21"/>
              </w:rPr>
              <w:t>营业执照</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商业信誉和财务会计制度</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设备和专业技术能力</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依法缴纳税收和社会保障资金的良好</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无违法违规记录</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Monaco"/>
                <w:color w:val="000000"/>
                <w:szCs w:val="21"/>
              </w:rPr>
              <w:t>未被列入黑名单</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szCs w:val="21"/>
              </w:rPr>
            </w:pPr>
            <w:r>
              <w:rPr>
                <w:rFonts w:hint="eastAsia" w:ascii="仿宋" w:hAnsi="仿宋" w:eastAsia="仿宋" w:cs="Cambria Math"/>
                <w:szCs w:val="21"/>
              </w:rPr>
              <w:t>控股及管理关系</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符合第一章“竞争性磋商公告”</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szCs w:val="21"/>
              </w:rPr>
            </w:pPr>
            <w:r>
              <w:rPr>
                <w:rFonts w:hint="eastAsia" w:ascii="仿宋" w:hAnsi="仿宋" w:eastAsia="仿宋" w:cs="仿宋"/>
                <w:szCs w:val="21"/>
              </w:rPr>
              <w:t>非联合体响应</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szCs w:val="21"/>
              </w:rPr>
            </w:pPr>
            <w:r>
              <w:rPr>
                <w:rFonts w:hint="eastAsia" w:ascii="仿宋" w:hAnsi="仿宋" w:eastAsia="仿宋" w:cs="仿宋"/>
                <w:szCs w:val="21"/>
              </w:rPr>
              <w:t>符合第一章“竞争性磋商公告”</w:t>
            </w:r>
            <w:r>
              <w:rPr>
                <w:rFonts w:hint="eastAsia" w:ascii="仿宋" w:hAnsi="仿宋" w:eastAsia="仿宋" w:cs="Cambria Math"/>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default" w:ascii="仿宋" w:hAnsi="仿宋" w:eastAsia="仿宋" w:cs="仿宋"/>
                <w:color w:val="000000"/>
                <w:szCs w:val="21"/>
              </w:rPr>
              <w:t>3</w:t>
            </w:r>
          </w:p>
        </w:tc>
        <w:tc>
          <w:tcPr>
            <w:tcW w:w="592" w:type="pct"/>
            <w:vMerge w:val="restart"/>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响应性评审标准</w:t>
            </w: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szCs w:val="21"/>
              </w:rPr>
            </w:pPr>
            <w:r>
              <w:rPr>
                <w:rFonts w:hint="eastAsia" w:ascii="仿宋" w:hAnsi="仿宋" w:eastAsia="仿宋" w:cs="仿宋"/>
                <w:szCs w:val="21"/>
              </w:rPr>
              <w:t>响应函</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szCs w:val="21"/>
              </w:rPr>
            </w:pPr>
            <w:r>
              <w:rPr>
                <w:rFonts w:hint="eastAsia" w:ascii="仿宋" w:hAnsi="仿宋" w:eastAsia="仿宋"/>
                <w:szCs w:val="21"/>
              </w:rPr>
              <w:t>除填写双方名称、项目名称外，未修改原文内容</w:t>
            </w:r>
            <w:r>
              <w:rPr>
                <w:rFonts w:hint="eastAsia" w:ascii="仿宋" w:hAnsi="仿宋" w:eastAsia="仿宋" w:cs="Cambria Math"/>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szCs w:val="21"/>
              </w:rPr>
            </w:pPr>
            <w:r>
              <w:rPr>
                <w:rFonts w:hint="eastAsia" w:ascii="仿宋" w:hAnsi="仿宋" w:eastAsia="仿宋" w:cs="宋体"/>
                <w:szCs w:val="21"/>
              </w:rPr>
              <w:t>供应商行为准则承诺书</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Cambria Math"/>
                <w:szCs w:val="21"/>
              </w:rPr>
            </w:pPr>
            <w:r>
              <w:rPr>
                <w:rFonts w:hint="eastAsia" w:ascii="仿宋" w:hAnsi="仿宋" w:eastAsia="仿宋" w:cs="仿宋"/>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szCs w:val="21"/>
              </w:rPr>
            </w:pPr>
            <w:r>
              <w:rPr>
                <w:rFonts w:hint="eastAsia" w:ascii="仿宋" w:hAnsi="仿宋" w:eastAsia="仿宋" w:cs="宋体"/>
                <w:szCs w:val="21"/>
              </w:rPr>
              <w:t>供应商廉洁诚信承诺书</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Cambria Math"/>
                <w:szCs w:val="21"/>
              </w:rPr>
            </w:pPr>
            <w:r>
              <w:rPr>
                <w:rFonts w:hint="eastAsia" w:ascii="仿宋" w:hAnsi="仿宋" w:eastAsia="仿宋" w:cs="仿宋"/>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592" w:type="pct"/>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990" w:type="pct"/>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szCs w:val="21"/>
              </w:rPr>
            </w:pPr>
            <w:r>
              <w:rPr>
                <w:rFonts w:hint="eastAsia" w:ascii="仿宋" w:hAnsi="仿宋" w:eastAsia="仿宋" w:cs="Cambria Math"/>
                <w:szCs w:val="21"/>
              </w:rPr>
              <w:t>供应商偏离应答</w:t>
            </w:r>
          </w:p>
        </w:tc>
        <w:tc>
          <w:tcPr>
            <w:tcW w:w="3081" w:type="pct"/>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20"/>
        <w:jc w:val="left"/>
        <w:rPr>
          <w:rFonts w:ascii="仿宋" w:hAnsi="仿宋" w:eastAsia="仿宋" w:cs="仿宋"/>
          <w:color w:val="000000"/>
          <w:sz w:val="24"/>
          <w:szCs w:val="24"/>
        </w:rPr>
      </w:pPr>
      <w:r>
        <w:rPr>
          <w:rFonts w:hint="eastAsia" w:ascii="仿宋" w:hAnsi="仿宋" w:eastAsia="仿宋" w:cs="仿宋"/>
          <w:b w:val="0"/>
          <w:bCs w:val="0"/>
          <w:color w:val="000000"/>
          <w:sz w:val="21"/>
          <w:szCs w:val="21"/>
        </w:rPr>
        <w:br w:type="page" w:clear="all"/>
      </w:r>
      <w:bookmarkStart w:id="141" w:name="_Toc5356"/>
      <w:r>
        <w:rPr>
          <w:rFonts w:hint="eastAsia" w:ascii="仿宋" w:hAnsi="仿宋" w:eastAsia="仿宋" w:cs="仿宋"/>
          <w:color w:val="000000"/>
          <w:sz w:val="24"/>
          <w:szCs w:val="24"/>
        </w:rPr>
        <w:t>三、</w:t>
      </w:r>
      <w:bookmarkEnd w:id="135"/>
      <w:bookmarkEnd w:id="136"/>
      <w:bookmarkEnd w:id="137"/>
      <w:bookmarkEnd w:id="138"/>
      <w:bookmarkEnd w:id="139"/>
      <w:bookmarkEnd w:id="140"/>
      <w:r>
        <w:rPr>
          <w:rFonts w:hint="eastAsia" w:ascii="仿宋" w:hAnsi="仿宋" w:eastAsia="仿宋" w:cs="仿宋"/>
          <w:color w:val="000000"/>
          <w:sz w:val="24"/>
          <w:szCs w:val="24"/>
        </w:rPr>
        <w:t>详细评审</w:t>
      </w:r>
      <w:bookmarkEnd w:id="141"/>
    </w:p>
    <w:tbl>
      <w:tblPr>
        <w:tblStyle w:val="44"/>
        <w:tblW w:w="939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1200"/>
        <w:gridCol w:w="6095"/>
        <w:gridCol w:w="1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47" w:type="dxa"/>
            <w:shd w:val="clear" w:color="auto" w:fill="auto"/>
            <w:noWrap w:val="0"/>
            <w:vAlign w:val="bottom"/>
          </w:tcPr>
          <w:p>
            <w:pPr>
              <w:keepNext w:val="0"/>
              <w:keepLines w:val="0"/>
              <w:widowControl/>
              <w:suppressLineNumbers w:val="0"/>
              <w:spacing w:before="0" w:beforeAutospacing="0" w:after="0" w:afterAutospacing="0"/>
              <w:ind w:left="0" w:right="0"/>
              <w:jc w:val="center"/>
              <w:rPr>
                <w:rFonts w:hint="default" w:ascii="仿宋_GB2312" w:hAnsi="宋体" w:eastAsia="仿宋_GB2312" w:cs="仿宋_GB2312"/>
                <w:b/>
                <w:bCs/>
                <w:color w:val="000000"/>
                <w:szCs w:val="21"/>
              </w:rPr>
            </w:pPr>
            <w:r>
              <w:rPr>
                <w:rFonts w:hint="default" w:ascii="仿宋_GB2312" w:hAnsi="宋体" w:eastAsia="仿宋_GB2312" w:cs="仿宋_GB2312"/>
                <w:b/>
                <w:bCs/>
                <w:color w:val="000000"/>
                <w:szCs w:val="21"/>
                <w:lang w:bidi="ar"/>
              </w:rPr>
              <w:t>内容</w:t>
            </w:r>
          </w:p>
        </w:tc>
        <w:tc>
          <w:tcPr>
            <w:tcW w:w="1200"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_GB2312" w:hAnsi="宋体" w:eastAsia="仿宋_GB2312" w:cs="仿宋_GB2312"/>
                <w:b/>
                <w:bCs/>
                <w:color w:val="000000"/>
                <w:szCs w:val="21"/>
              </w:rPr>
            </w:pPr>
            <w:r>
              <w:rPr>
                <w:rFonts w:hint="default" w:ascii="仿宋_GB2312" w:hAnsi="宋体" w:eastAsia="仿宋_GB2312" w:cs="仿宋_GB2312"/>
                <w:b/>
                <w:bCs/>
                <w:color w:val="000000"/>
                <w:szCs w:val="21"/>
                <w:lang w:bidi="ar"/>
              </w:rPr>
              <w:t>评审因素</w:t>
            </w:r>
          </w:p>
        </w:tc>
        <w:tc>
          <w:tcPr>
            <w:tcW w:w="6095" w:type="dxa"/>
            <w:shd w:val="clear" w:color="auto" w:fill="auto"/>
            <w:noWrap w:val="0"/>
            <w:vAlign w:val="bottom"/>
          </w:tcPr>
          <w:p>
            <w:pPr>
              <w:keepNext w:val="0"/>
              <w:keepLines w:val="0"/>
              <w:widowControl/>
              <w:suppressLineNumbers w:val="0"/>
              <w:spacing w:before="0" w:beforeAutospacing="0" w:after="0" w:afterAutospacing="0"/>
              <w:ind w:left="0" w:right="0"/>
              <w:jc w:val="left"/>
              <w:rPr>
                <w:rFonts w:hint="default" w:ascii="仿宋_GB2312" w:hAnsi="宋体" w:eastAsia="仿宋_GB2312" w:cs="仿宋_GB2312"/>
                <w:b/>
                <w:bCs/>
                <w:color w:val="000000"/>
                <w:szCs w:val="21"/>
              </w:rPr>
            </w:pPr>
            <w:r>
              <w:rPr>
                <w:rFonts w:hint="default" w:ascii="仿宋_GB2312" w:hAnsi="宋体" w:eastAsia="仿宋_GB2312" w:cs="仿宋_GB2312"/>
                <w:b/>
                <w:bCs/>
                <w:color w:val="000000"/>
                <w:szCs w:val="21"/>
                <w:lang w:bidi="ar"/>
              </w:rPr>
              <w:t>评分说明</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_GB2312" w:hAnsi="宋体" w:eastAsia="仿宋_GB2312" w:cs="仿宋_GB2312"/>
                <w:b/>
                <w:bCs/>
                <w:color w:val="000000"/>
                <w:szCs w:val="21"/>
              </w:rPr>
            </w:pPr>
            <w:r>
              <w:rPr>
                <w:rFonts w:hint="default" w:ascii="仿宋_GB2312" w:hAnsi="宋体" w:eastAsia="仿宋_GB2312" w:cs="仿宋_GB2312"/>
                <w:b/>
                <w:bCs/>
                <w:color w:val="000000"/>
                <w:szCs w:val="21"/>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47"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价格部分(40分）</w:t>
            </w:r>
          </w:p>
        </w:tc>
        <w:tc>
          <w:tcPr>
            <w:tcW w:w="1200"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投标报价</w:t>
            </w:r>
          </w:p>
        </w:tc>
        <w:tc>
          <w:tcPr>
            <w:tcW w:w="6095" w:type="dxa"/>
            <w:shd w:val="clear" w:color="auto" w:fill="auto"/>
            <w:noWrap w:val="0"/>
            <w:vAlign w:val="bottom"/>
          </w:tcPr>
          <w:p>
            <w:pPr>
              <w:keepNext w:val="0"/>
              <w:keepLines w:val="0"/>
              <w:widowControl/>
              <w:suppressLineNumbers w:val="0"/>
              <w:spacing w:before="0" w:beforeAutospacing="0" w:after="0" w:afterAutospacing="0"/>
              <w:ind w:left="0" w:right="0"/>
              <w:jc w:val="left"/>
              <w:rPr>
                <w:rFonts w:hint="default" w:ascii="仿宋_GB2312" w:hAnsi="宋体" w:eastAsia="仿宋_GB2312" w:cs="仿宋_GB2312"/>
                <w:b/>
                <w:bCs/>
                <w:color w:val="000000"/>
                <w:szCs w:val="21"/>
                <w:lang w:bidi="ar"/>
              </w:rPr>
            </w:pPr>
            <w:r>
              <w:rPr>
                <w:rFonts w:hint="eastAsia" w:ascii="仿宋_GB2312" w:hAnsi="宋体" w:eastAsia="仿宋_GB2312" w:cs="仿宋_GB2312"/>
                <w:b/>
                <w:bCs/>
                <w:color w:val="000000"/>
                <w:szCs w:val="21"/>
                <w:lang w:bidi="ar"/>
              </w:rPr>
              <w:t>低价优先法</w:t>
            </w:r>
          </w:p>
          <w:p>
            <w:pPr>
              <w:keepNext w:val="0"/>
              <w:keepLines w:val="0"/>
              <w:numPr>
                <w:ilvl w:val="0"/>
                <w:numId w:val="4"/>
              </w:numPr>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cs="仿宋"/>
                <w:color w:val="000000"/>
                <w:szCs w:val="21"/>
                <w:lang w:bidi="ar"/>
              </w:rPr>
              <w:t>评标价：各有效投标人的</w:t>
            </w:r>
            <w:r>
              <w:rPr>
                <w:rFonts w:hint="eastAsia" w:ascii="仿宋" w:hAnsi="仿宋" w:eastAsia="仿宋" w:cs="仿宋"/>
                <w:color w:val="FF0000"/>
                <w:szCs w:val="21"/>
                <w:lang w:bidi="ar"/>
              </w:rPr>
              <w:t>含税投标总价</w:t>
            </w:r>
            <w:r>
              <w:rPr>
                <w:rFonts w:hint="eastAsia" w:ascii="仿宋" w:hAnsi="仿宋" w:eastAsia="仿宋" w:cs="仿宋"/>
                <w:color w:val="000000"/>
                <w:szCs w:val="21"/>
                <w:lang w:bidi="ar"/>
              </w:rPr>
              <w:t>。</w:t>
            </w:r>
          </w:p>
          <w:p>
            <w:pPr>
              <w:keepNext w:val="0"/>
              <w:keepLines w:val="0"/>
              <w:numPr>
                <w:ilvl w:val="0"/>
                <w:numId w:val="4"/>
              </w:numPr>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cs="仿宋"/>
                <w:color w:val="000000"/>
                <w:szCs w:val="21"/>
                <w:lang w:bidi="ar"/>
              </w:rPr>
              <w:t>评标基准价：满足招标文件要求且最低的有效评标价。</w:t>
            </w:r>
          </w:p>
          <w:p>
            <w:pPr>
              <w:keepNext w:val="0"/>
              <w:keepLines w:val="0"/>
              <w:numPr>
                <w:ilvl w:val="0"/>
                <w:numId w:val="4"/>
              </w:numPr>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cs="仿宋"/>
                <w:color w:val="000000"/>
                <w:szCs w:val="21"/>
                <w:lang w:bidi="ar"/>
              </w:rPr>
              <w:t>价格分计算：评标价=评标基准价的投标人，得价格分的满分；其他投标人的价格分按照以下公式计算，并精确到小数点后两位：</w:t>
            </w:r>
          </w:p>
          <w:p>
            <w:pPr>
              <w:pStyle w:val="2"/>
              <w:keepNext w:val="0"/>
              <w:keepLines w:val="0"/>
              <w:suppressLineNumbers w:val="0"/>
              <w:spacing w:before="0" w:beforeAutospacing="0" w:after="0" w:afterAutospacing="0"/>
              <w:ind w:left="0" w:right="0"/>
              <w:jc w:val="both"/>
              <w:rPr>
                <w:rFonts w:hint="default"/>
              </w:rPr>
            </w:pPr>
            <w:r>
              <w:rPr>
                <w:rFonts w:hint="eastAsia" w:ascii="仿宋" w:hAnsi="仿宋" w:eastAsia="仿宋" w:cs="仿宋"/>
                <w:color w:val="000000"/>
                <w:sz w:val="21"/>
                <w:szCs w:val="21"/>
                <w:lang w:bidi="ar"/>
              </w:rPr>
              <w:t>价格得分＝（评标基准价/该投标人的评标价）*40；</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1047" w:type="dxa"/>
            <w:vMerge w:val="restart"/>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商务部分（10分）</w:t>
            </w:r>
          </w:p>
        </w:tc>
        <w:tc>
          <w:tcPr>
            <w:tcW w:w="1200"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企业综合实力</w:t>
            </w:r>
          </w:p>
        </w:tc>
        <w:tc>
          <w:tcPr>
            <w:tcW w:w="6095" w:type="dxa"/>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cs="仿宋"/>
                <w:color w:val="000000"/>
                <w:szCs w:val="21"/>
                <w:lang w:bidi="ar"/>
              </w:rPr>
              <w:t>根据投标人财务状况（营业收入、净利润、资产负债率）、信誉状况、人员储备、管理体系认证（包括但不限于质量管理体系、环境管理体系、职业健康安全管理体系等）等情况进行横向比较评分（需提供相应证明材料），评标为优得4-5分，较优得2-3分，一般得0-1分。</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1047" w:type="dxa"/>
            <w:vMerge w:val="continue"/>
            <w:shd w:val="clear" w:color="auto" w:fill="auto"/>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szCs w:val="21"/>
              </w:rPr>
            </w:pPr>
          </w:p>
        </w:tc>
        <w:tc>
          <w:tcPr>
            <w:tcW w:w="1200"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Style w:val="331"/>
                <w:rFonts w:hint="default"/>
                <w:lang w:bidi="ar"/>
              </w:rPr>
              <w:t>同类业绩</w:t>
            </w:r>
          </w:p>
        </w:tc>
        <w:tc>
          <w:tcPr>
            <w:tcW w:w="6095" w:type="dxa"/>
            <w:shd w:val="clear" w:color="auto" w:fill="auto"/>
            <w:noWrap w:val="0"/>
            <w:vAlign w:val="center"/>
          </w:tcPr>
          <w:p>
            <w:pPr>
              <w:keepNext w:val="0"/>
              <w:keepLines w:val="0"/>
              <w:widowControl/>
              <w:suppressLineNumbers w:val="0"/>
              <w:spacing w:before="0" w:beforeAutospacing="0" w:after="0" w:afterAutospacing="0"/>
              <w:ind w:left="0" w:right="0"/>
              <w:rPr>
                <w:rFonts w:hint="default" w:ascii="仿宋" w:hAnsi="仿宋" w:eastAsia="仿宋" w:cs="仿宋"/>
                <w:color w:val="000000"/>
                <w:szCs w:val="21"/>
              </w:rPr>
            </w:pPr>
            <w:r>
              <w:rPr>
                <w:rFonts w:hint="eastAsia" w:ascii="仿宋" w:hAnsi="仿宋" w:eastAsia="仿宋" w:cs="仿宋"/>
                <w:color w:val="000000"/>
                <w:szCs w:val="21"/>
                <w:lang w:bidi="ar"/>
              </w:rPr>
              <w:t>投标人近三年（</w:t>
            </w:r>
            <w:r>
              <w:rPr>
                <w:rFonts w:hint="eastAsia" w:ascii="仿宋" w:hAnsi="仿宋" w:eastAsia="仿宋" w:cs="仿宋"/>
                <w:color w:val="FF0000"/>
                <w:szCs w:val="21"/>
                <w:lang w:bidi="ar"/>
              </w:rPr>
              <w:t>2022</w:t>
            </w:r>
            <w:r>
              <w:rPr>
                <w:rFonts w:hint="eastAsia" w:ascii="仿宋" w:hAnsi="仿宋" w:eastAsia="仿宋" w:cs="仿宋"/>
                <w:color w:val="000000"/>
                <w:szCs w:val="21"/>
                <w:lang w:bidi="ar"/>
              </w:rPr>
              <w:t>年1月1日至开标日）具有同类项目实施案例，并提供符合上述要求的合同/协议关键页作为有效的业绩证明材料。合同/协议关键页包含但不限于合同/协议首页、体现项目内容页、签署日期页及盖章页等。每个有效案例得1分，最多得5分。</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047" w:type="dxa"/>
            <w:vMerge w:val="restart"/>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cs="仿宋"/>
                <w:color w:val="000000"/>
                <w:szCs w:val="21"/>
                <w:lang w:bidi="ar"/>
              </w:rPr>
              <w:t>技术部分（50分）</w:t>
            </w:r>
          </w:p>
        </w:tc>
        <w:tc>
          <w:tcPr>
            <w:tcW w:w="1200"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lang w:bidi="ar"/>
              </w:rPr>
            </w:pPr>
            <w:r>
              <w:rPr>
                <w:rFonts w:hint="eastAsia" w:ascii="仿宋" w:hAnsi="仿宋" w:eastAsia="仿宋"/>
                <w:szCs w:val="21"/>
              </w:rPr>
              <w:t>施工技术方案</w:t>
            </w:r>
          </w:p>
        </w:tc>
        <w:tc>
          <w:tcPr>
            <w:tcW w:w="6095" w:type="dxa"/>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ascii="仿宋" w:hAnsi="仿宋" w:eastAsia="仿宋"/>
                <w:szCs w:val="21"/>
              </w:rPr>
            </w:pPr>
            <w:r>
              <w:rPr>
                <w:rFonts w:hint="eastAsia" w:ascii="仿宋" w:hAnsi="仿宋" w:eastAsia="仿宋"/>
                <w:szCs w:val="21"/>
              </w:rPr>
              <w:t>考察本项目的施工组织方案，简述质量、进度、安全、投资、档案等方面的管理。</w:t>
            </w:r>
          </w:p>
          <w:p>
            <w:pPr>
              <w:keepNext w:val="0"/>
              <w:keepLines w:val="0"/>
              <w:widowControl/>
              <w:suppressLineNumbers w:val="0"/>
              <w:spacing w:before="0" w:beforeAutospacing="0" w:after="0" w:afterAutospacing="0"/>
              <w:ind w:left="0" w:right="0"/>
              <w:jc w:val="left"/>
              <w:rPr>
                <w:rFonts w:hint="default" w:ascii="仿宋" w:hAnsi="仿宋" w:eastAsia="仿宋"/>
                <w:szCs w:val="21"/>
              </w:rPr>
            </w:pPr>
            <w:r>
              <w:rPr>
                <w:rFonts w:hint="eastAsia" w:ascii="仿宋" w:hAnsi="仿宋" w:eastAsia="仿宋"/>
                <w:szCs w:val="21"/>
              </w:rPr>
              <w:t>优：施工组织方案严谨、合理、科学、结合本地情况，对工程施工管理、文件管理的完整性及采购项目的施工难点的预见及处理办法提供了详细实用的解决方案，且具备本地施工力量快速组织能力、与施工相关的社会资源协调能力，得8-10分；</w:t>
            </w:r>
          </w:p>
          <w:p>
            <w:pPr>
              <w:keepNext w:val="0"/>
              <w:keepLines w:val="0"/>
              <w:widowControl/>
              <w:suppressLineNumbers w:val="0"/>
              <w:spacing w:before="0" w:beforeAutospacing="0" w:after="0" w:afterAutospacing="0"/>
              <w:ind w:left="0" w:right="0"/>
              <w:jc w:val="left"/>
              <w:rPr>
                <w:rFonts w:hint="default" w:ascii="仿宋" w:hAnsi="仿宋" w:eastAsia="仿宋"/>
                <w:szCs w:val="21"/>
              </w:rPr>
            </w:pPr>
            <w:r>
              <w:rPr>
                <w:rFonts w:hint="eastAsia" w:ascii="仿宋" w:hAnsi="仿宋" w:eastAsia="仿宋"/>
                <w:szCs w:val="21"/>
              </w:rPr>
              <w:t>良：施工组织方案较为严谨、合理、科学，对工程施工管理、文件管理的完整性及采购项目的施工难点的预见及处理办法提供了较为详细实用的解决方案，得5-7分；</w:t>
            </w:r>
          </w:p>
          <w:p>
            <w:pPr>
              <w:keepNext w:val="0"/>
              <w:keepLines w:val="0"/>
              <w:widowControl/>
              <w:suppressLineNumbers w:val="0"/>
              <w:spacing w:before="0" w:beforeAutospacing="0" w:after="0" w:afterAutospacing="0"/>
              <w:ind w:left="0" w:right="0"/>
              <w:jc w:val="left"/>
              <w:rPr>
                <w:rFonts w:hint="default" w:ascii="仿宋" w:hAnsi="仿宋" w:eastAsia="仿宋"/>
                <w:szCs w:val="21"/>
              </w:rPr>
            </w:pPr>
            <w:r>
              <w:rPr>
                <w:rFonts w:hint="eastAsia" w:ascii="仿宋" w:hAnsi="仿宋" w:eastAsia="仿宋"/>
                <w:szCs w:val="21"/>
              </w:rPr>
              <w:t>一般：施工组织方案的严谨、合理、科学性一般，对工程施工管理、文件管理的完整性及采购项目的施工难点的预见及处理办法提供的解决方案实用性一般，得1-4分。</w:t>
            </w:r>
          </w:p>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szCs w:val="21"/>
              </w:rPr>
              <w:t>需提供对施工组织方案，不提供不得分。</w:t>
            </w:r>
          </w:p>
        </w:tc>
        <w:tc>
          <w:tcPr>
            <w:tcW w:w="1048" w:type="dxa"/>
            <w:shd w:val="clear" w:color="auto" w:fill="auto"/>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szCs w:val="21"/>
                <w:lang w:bidi="ar"/>
              </w:rPr>
            </w:pPr>
            <w:r>
              <w:rPr>
                <w:rFonts w:hint="default" w:ascii="仿宋" w:hAnsi="仿宋" w:eastAsia="仿宋"/>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047" w:type="dxa"/>
            <w:vMerge w:val="continue"/>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p>
        </w:tc>
        <w:tc>
          <w:tcPr>
            <w:tcW w:w="1200" w:type="dxa"/>
            <w:vMerge w:val="restart"/>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szCs w:val="21"/>
              </w:rPr>
              <w:t>施工进度计划</w:t>
            </w:r>
          </w:p>
        </w:tc>
        <w:tc>
          <w:tcPr>
            <w:tcW w:w="6095" w:type="dxa"/>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ascii="仿宋" w:hAnsi="仿宋" w:eastAsia="仿宋"/>
                <w:szCs w:val="21"/>
              </w:rPr>
            </w:pPr>
            <w:r>
              <w:rPr>
                <w:rFonts w:hint="eastAsia" w:ascii="仿宋" w:hAnsi="仿宋" w:eastAsia="仿宋"/>
                <w:szCs w:val="21"/>
              </w:rPr>
              <w:t>自合同签订之日起，须在</w:t>
            </w:r>
            <w:r>
              <w:rPr>
                <w:rFonts w:hint="eastAsia" w:ascii="仿宋" w:hAnsi="仿宋" w:eastAsia="仿宋"/>
                <w:color w:val="FF0000"/>
                <w:szCs w:val="21"/>
              </w:rPr>
              <w:t>20</w:t>
            </w:r>
            <w:r>
              <w:rPr>
                <w:rFonts w:hint="eastAsia" w:ascii="仿宋" w:hAnsi="仿宋" w:eastAsia="仿宋"/>
                <w:szCs w:val="21"/>
              </w:rPr>
              <w:t>日内完成本工程所有内容及验收完毕，在此基础上承诺每提前</w:t>
            </w:r>
            <w:r>
              <w:rPr>
                <w:rFonts w:hint="eastAsia" w:ascii="仿宋" w:hAnsi="仿宋" w:eastAsia="仿宋"/>
                <w:color w:val="FF0000"/>
                <w:szCs w:val="21"/>
              </w:rPr>
              <w:t>2</w:t>
            </w:r>
            <w:r>
              <w:rPr>
                <w:rFonts w:hint="eastAsia" w:ascii="仿宋" w:hAnsi="仿宋" w:eastAsia="仿宋"/>
                <w:szCs w:val="21"/>
              </w:rPr>
              <w:t>天加2分，最高得满分10分，分值以2分取整，提前不足</w:t>
            </w:r>
            <w:r>
              <w:rPr>
                <w:rFonts w:hint="eastAsia" w:ascii="仿宋" w:hAnsi="仿宋" w:eastAsia="仿宋"/>
                <w:color w:val="FF0000"/>
                <w:szCs w:val="21"/>
              </w:rPr>
              <w:t>2</w:t>
            </w:r>
            <w:r>
              <w:rPr>
                <w:rFonts w:hint="eastAsia" w:ascii="仿宋" w:hAnsi="仿宋" w:eastAsia="仿宋"/>
                <w:szCs w:val="21"/>
              </w:rPr>
              <w:t>天不加分。</w:t>
            </w:r>
          </w:p>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szCs w:val="21"/>
              </w:rPr>
              <w:t>须提供承诺函，未提供不得分（承诺函格式自拟）。</w:t>
            </w:r>
          </w:p>
        </w:tc>
        <w:tc>
          <w:tcPr>
            <w:tcW w:w="1048" w:type="dxa"/>
            <w:shd w:val="clear" w:color="auto" w:fill="auto"/>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047" w:type="dxa"/>
            <w:vMerge w:val="continue"/>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rPr>
            </w:pPr>
          </w:p>
        </w:tc>
        <w:tc>
          <w:tcPr>
            <w:tcW w:w="1200" w:type="dxa"/>
            <w:vMerge w:val="continue"/>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rPr>
            </w:pPr>
          </w:p>
        </w:tc>
        <w:tc>
          <w:tcPr>
            <w:tcW w:w="6095" w:type="dxa"/>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szCs w:val="21"/>
              </w:rPr>
              <w:t>工期合理，进度计划可行、合理、先进，保证措施具体得6-10分；工期较合理，进度计划可行、较合理、较先进，有保证措施得1-5分；不可行不得分。</w:t>
            </w:r>
          </w:p>
        </w:tc>
        <w:tc>
          <w:tcPr>
            <w:tcW w:w="1048" w:type="dxa"/>
            <w:shd w:val="clear" w:color="auto" w:fill="auto"/>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szCs w:val="21"/>
                <w:lang w:bidi="ar"/>
              </w:rPr>
            </w:pPr>
            <w:r>
              <w:rPr>
                <w:rFonts w:hint="eastAsia" w:ascii="仿宋" w:hAnsi="仿宋" w:eastAsia="仿宋"/>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7" w:type="dxa"/>
            <w:vMerge w:val="continue"/>
            <w:shd w:val="clear" w:color="auto" w:fill="auto"/>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szCs w:val="21"/>
              </w:rPr>
            </w:pPr>
          </w:p>
        </w:tc>
        <w:tc>
          <w:tcPr>
            <w:tcW w:w="1200" w:type="dxa"/>
            <w:vMerge w:val="restart"/>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szCs w:val="21"/>
              </w:rPr>
              <w:t>团队配备</w:t>
            </w:r>
          </w:p>
        </w:tc>
        <w:tc>
          <w:tcPr>
            <w:tcW w:w="6095" w:type="dxa"/>
            <w:shd w:val="clear" w:color="auto" w:fill="auto"/>
            <w:noWrap w:val="0"/>
          </w:tcPr>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cs="仿宋"/>
                <w:color w:val="000000"/>
                <w:szCs w:val="21"/>
                <w:lang w:bidi="ar"/>
              </w:rPr>
              <w:t>投标人需对本项目配置一名项目负责人，项目负责人具备大学本科及以上学历得3分，行业工作年限在5年及以上得3分。</w:t>
            </w:r>
          </w:p>
          <w:p>
            <w:pPr>
              <w:keepNext w:val="0"/>
              <w:keepLines w:val="0"/>
              <w:widowControl/>
              <w:suppressLineNumbers w:val="0"/>
              <w:spacing w:before="0" w:beforeAutospacing="0" w:after="0" w:afterAutospacing="0"/>
              <w:ind w:left="0" w:right="0"/>
              <w:jc w:val="left"/>
              <w:rPr>
                <w:rFonts w:hint="default"/>
              </w:rPr>
            </w:pPr>
            <w:r>
              <w:rPr>
                <w:rFonts w:hint="eastAsia" w:ascii="仿宋" w:hAnsi="仿宋" w:eastAsia="仿宋" w:cs="仿宋"/>
                <w:color w:val="000000"/>
                <w:szCs w:val="21"/>
                <w:lang w:bidi="ar"/>
              </w:rPr>
              <w:t>需提供项目负责人毕业证书，工作年限从毕业证书日期起算。</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7" w:type="dxa"/>
            <w:vMerge w:val="continue"/>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rPr>
            </w:pPr>
          </w:p>
        </w:tc>
        <w:tc>
          <w:tcPr>
            <w:tcW w:w="1200" w:type="dxa"/>
            <w:vMerge w:val="continue"/>
            <w:shd w:val="clear" w:color="auto" w:fill="auto"/>
            <w:noWrap w:val="0"/>
            <w:vAlign w:val="center"/>
          </w:tcPr>
          <w:p>
            <w:pPr>
              <w:keepNext w:val="0"/>
              <w:keepLines w:val="0"/>
              <w:widowControl/>
              <w:suppressLineNumbers w:val="0"/>
              <w:spacing w:before="0" w:beforeAutospacing="0" w:after="0" w:afterAutospacing="0"/>
              <w:ind w:left="0" w:right="0"/>
              <w:jc w:val="left"/>
              <w:rPr>
                <w:rFonts w:hint="default"/>
              </w:rPr>
            </w:pPr>
          </w:p>
        </w:tc>
        <w:tc>
          <w:tcPr>
            <w:tcW w:w="6095" w:type="dxa"/>
            <w:shd w:val="clear" w:color="auto" w:fill="auto"/>
            <w:noWrap w:val="0"/>
          </w:tcPr>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lang w:bidi="ar"/>
              </w:rPr>
            </w:pPr>
            <w:r>
              <w:rPr>
                <w:rFonts w:hint="eastAsia" w:ascii="仿宋" w:hAnsi="仿宋" w:eastAsia="仿宋"/>
                <w:szCs w:val="21"/>
              </w:rPr>
              <w:t>根据投标人所提供项目团队人员配备，职责分工，教育背景、工作经验、技术能力进行评分，评价为优得5-6分，较好3-4分，一般得0-2分。</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lang w:bidi="ar"/>
              </w:rPr>
            </w:pPr>
            <w:r>
              <w:rPr>
                <w:rFonts w:hint="eastAsia" w:ascii="仿宋" w:hAnsi="仿宋" w:eastAsia="仿宋"/>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047" w:type="dxa"/>
            <w:vMerge w:val="continue"/>
            <w:shd w:val="clear" w:color="auto" w:fill="auto"/>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000000"/>
                <w:szCs w:val="21"/>
              </w:rPr>
            </w:pPr>
          </w:p>
        </w:tc>
        <w:tc>
          <w:tcPr>
            <w:tcW w:w="1200"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szCs w:val="21"/>
              </w:rPr>
              <w:t>安全管理</w:t>
            </w:r>
          </w:p>
        </w:tc>
        <w:tc>
          <w:tcPr>
            <w:tcW w:w="6095" w:type="dxa"/>
            <w:shd w:val="clear" w:color="auto" w:fill="auto"/>
            <w:noWrap w:val="0"/>
          </w:tcPr>
          <w:p>
            <w:pPr>
              <w:keepNext w:val="0"/>
              <w:keepLines w:val="0"/>
              <w:widowControl/>
              <w:suppressLineNumbers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szCs w:val="21"/>
              </w:rPr>
              <w:t>安全保证措施明确、具体、可行、各项措施落实得5-8分；安全保证措施一般化、但对安全保证措施有认识得1-4分；不可行得0分。</w:t>
            </w:r>
          </w:p>
        </w:tc>
        <w:tc>
          <w:tcPr>
            <w:tcW w:w="104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szCs w:val="21"/>
              </w:rPr>
            </w:pPr>
            <w:r>
              <w:rPr>
                <w:rFonts w:hint="eastAsia" w:ascii="仿宋" w:hAnsi="仿宋" w:eastAsia="仿宋"/>
                <w:szCs w:val="21"/>
              </w:rPr>
              <w:t>8</w:t>
            </w: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p>
    <w:p>
      <w:pPr>
        <w:pStyle w:val="3"/>
        <w:spacing w:before="0" w:after="0" w:line="360" w:lineRule="auto"/>
        <w:jc w:val="center"/>
        <w:rPr>
          <w:rFonts w:ascii="仿宋" w:hAnsi="仿宋" w:eastAsia="仿宋" w:cs="仿宋"/>
          <w:sz w:val="28"/>
          <w:szCs w:val="28"/>
        </w:rPr>
      </w:pPr>
      <w:bookmarkStart w:id="142" w:name="_Toc15285"/>
      <w:r>
        <w:rPr>
          <w:rFonts w:hint="eastAsia" w:ascii="仿宋" w:hAnsi="仿宋" w:eastAsia="仿宋" w:cs="仿宋"/>
          <w:sz w:val="28"/>
          <w:szCs w:val="28"/>
        </w:rPr>
        <w:t>第四章 合同条款</w:t>
      </w:r>
      <w:bookmarkEnd w:id="125"/>
      <w:bookmarkEnd w:id="126"/>
      <w:bookmarkEnd w:id="142"/>
    </w:p>
    <w:p>
      <w:pPr>
        <w:keepNext w:val="0"/>
        <w:keepLines w:val="0"/>
        <w:widowControl/>
        <w:suppressLineNumbers w:val="0"/>
        <w:spacing w:before="0" w:beforeAutospacing="0" w:after="0" w:afterAutospacing="0" w:line="600" w:lineRule="atLeast"/>
        <w:ind w:left="0" w:right="0"/>
        <w:jc w:val="center"/>
        <w:rPr>
          <w:lang w:val="en-US"/>
        </w:rPr>
      </w:pPr>
      <w:bookmarkStart w:id="143" w:name="_Toc24143"/>
      <w:bookmarkStart w:id="144" w:name="_Toc16424"/>
      <w:bookmarkStart w:id="145" w:name="_Toc28349"/>
      <w:bookmarkStart w:id="146" w:name="_Toc444891347"/>
      <w:bookmarkStart w:id="147" w:name="_Toc24217"/>
      <w:bookmarkStart w:id="148" w:name="_Toc517281828"/>
      <w:r>
        <w:rPr>
          <w:rFonts w:hint="eastAsia" w:ascii="宋体" w:hAnsi="宋体" w:eastAsia="宋体" w:cs="宋体"/>
          <w:b/>
          <w:bCs/>
          <w:sz w:val="44"/>
          <w:szCs w:val="44"/>
          <w:lang w:val="en-US" w:eastAsia="zh-CN" w:bidi="ar"/>
        </w:rPr>
        <w:t>建设工程施工合同 (金融街营业部国银中心9楼职场装修工程采购</w:t>
      </w:r>
    </w:p>
    <w:p>
      <w:pPr>
        <w:keepNext w:val="0"/>
        <w:keepLines w:val="0"/>
        <w:widowControl/>
        <w:suppressLineNumbers w:val="0"/>
        <w:spacing w:before="0" w:beforeAutospacing="0" w:after="240" w:afterAutospacing="0"/>
        <w:ind w:left="0" w:right="0"/>
        <w:jc w:val="left"/>
        <w:rPr>
          <w:lang w:val="en-US"/>
        </w:rPr>
      </w:pPr>
      <w:r>
        <w:rPr>
          <w:rFonts w:hint="eastAsia" w:ascii="宋体" w:hAnsi="宋体" w:eastAsia="宋体" w:cs="宋体"/>
          <w:sz w:val="24"/>
          <w:szCs w:val="24"/>
          <w:lang w:val="en-US" w:eastAsia="zh-CN" w:bidi="ar"/>
        </w:rPr>
        <w:br w:type="textWrapping"/>
      </w:r>
      <w:r>
        <w:rPr>
          <w:rFonts w:hint="eastAsia" w:ascii="宋体" w:hAnsi="宋体" w:eastAsia="宋体" w:cs="宋体"/>
          <w:sz w:val="24"/>
          <w:szCs w:val="24"/>
          <w:lang w:val="en-US" w:eastAsia="zh-CN" w:bidi="ar"/>
        </w:rPr>
        <w:br w:type="textWrapping"/>
      </w:r>
    </w:p>
    <w:p>
      <w:pPr>
        <w:keepNext w:val="0"/>
        <w:keepLines w:val="0"/>
        <w:widowControl/>
        <w:suppressLineNumbers w:val="0"/>
        <w:spacing w:before="0" w:beforeAutospacing="0" w:after="0" w:afterAutospacing="0" w:line="600" w:lineRule="atLeast"/>
        <w:ind w:left="0" w:right="0"/>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甲方：中国人民财产保险股份有限公司广州市分公司</w:t>
      </w:r>
    </w:p>
    <w:p>
      <w:pPr>
        <w:keepNext w:val="0"/>
        <w:keepLines w:val="0"/>
        <w:widowControl/>
        <w:suppressLineNumbers w:val="0"/>
        <w:spacing w:before="0" w:beforeAutospacing="0" w:after="0" w:afterAutospacing="0" w:line="600" w:lineRule="atLeast"/>
        <w:ind w:left="0" w:right="0"/>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地址：广州市越秀区广州大道中303，305号101房、201房、301房、601房、701房、801房、1401房、2201房</w:t>
      </w:r>
    </w:p>
    <w:p>
      <w:pPr>
        <w:keepNext w:val="0"/>
        <w:keepLines w:val="0"/>
        <w:widowControl/>
        <w:suppressLineNumbers w:val="0"/>
        <w:spacing w:before="0" w:beforeAutospacing="0" w:after="0" w:afterAutospacing="0"/>
        <w:ind w:left="0" w:right="0"/>
        <w:jc w:val="left"/>
        <w:rPr>
          <w:lang w:val="en-US"/>
        </w:rPr>
      </w:pPr>
    </w:p>
    <w:p>
      <w:pPr>
        <w:keepNext w:val="0"/>
        <w:keepLines w:val="0"/>
        <w:widowControl/>
        <w:suppressLineNumbers w:val="0"/>
        <w:spacing w:before="0" w:beforeAutospacing="0" w:after="0" w:afterAutospacing="0" w:line="600" w:lineRule="atLeast"/>
        <w:ind w:left="0" w:right="0"/>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乙方：xxxxxxxxx</w:t>
      </w:r>
    </w:p>
    <w:p>
      <w:pPr>
        <w:keepNext w:val="0"/>
        <w:keepLines w:val="0"/>
        <w:widowControl/>
        <w:suppressLineNumbers w:val="0"/>
        <w:spacing w:before="0" w:beforeAutospacing="0" w:after="0" w:afterAutospacing="0" w:line="600" w:lineRule="atLeast"/>
        <w:ind w:left="0" w:right="0"/>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地址：xxxxxxxxx</w:t>
      </w:r>
    </w:p>
    <w:p>
      <w:pPr>
        <w:keepNext w:val="0"/>
        <w:keepLines w:val="0"/>
        <w:widowControl/>
        <w:suppressLineNumbers w:val="0"/>
        <w:spacing w:before="0" w:beforeAutospacing="0" w:after="0" w:afterAutospacing="0"/>
        <w:ind w:left="0" w:right="0"/>
        <w:jc w:val="left"/>
        <w:rPr>
          <w:lang w:val="en-US"/>
        </w:rPr>
      </w:pPr>
    </w:p>
    <w:p>
      <w:pPr>
        <w:keepNext w:val="0"/>
        <w:keepLines w:val="0"/>
        <w:widowControl/>
        <w:suppressLineNumbers w:val="0"/>
        <w:spacing w:before="0" w:beforeAutospacing="0" w:after="240" w:afterAutospacing="0"/>
        <w:ind w:left="0" w:right="0"/>
        <w:jc w:val="left"/>
        <w:rPr>
          <w:lang w:val="en-US"/>
        </w:rPr>
      </w:pPr>
      <w:r>
        <w:rPr>
          <w:rFonts w:hint="eastAsia" w:ascii="宋体" w:hAnsi="宋体" w:eastAsia="宋体" w:cs="宋体"/>
          <w:sz w:val="24"/>
          <w:szCs w:val="24"/>
          <w:lang w:val="en-US" w:eastAsia="zh-CN" w:bidi="ar"/>
        </w:rPr>
        <w:br w:type="textWrapping"/>
      </w:r>
      <w:r>
        <w:rPr>
          <w:rFonts w:hint="eastAsia" w:ascii="宋体" w:hAnsi="宋体" w:eastAsia="宋体" w:cs="宋体"/>
          <w:sz w:val="28"/>
          <w:szCs w:val="28"/>
          <w:lang w:val="en-US" w:eastAsia="zh-CN" w:bidi="ar"/>
        </w:rPr>
        <w:t>鉴于：</w:t>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t>   本合同双方当事人(1)均为依照中华人民共和国法律成立并有效存续的独立法人或其分支机构，(2)并且已经获得签署本合同的相应授权，(3)具备履行本合同所必须的资质和条件。为保障双方的合法权益，根据《中华人民共和国民法典》及相关法律法规的规定，甲、乙双方在平等互利、协商一致的基础上，达成协议如下:</w:t>
      </w:r>
      <w:r>
        <w:rPr>
          <w:rFonts w:hint="eastAsia" w:ascii="宋体" w:hAnsi="宋体" w:eastAsia="宋体" w:cs="宋体"/>
          <w:sz w:val="28"/>
          <w:szCs w:val="28"/>
          <w:lang w:val="en-US" w:eastAsia="zh-CN" w:bidi="ar"/>
        </w:rPr>
        <w:br w:type="textWrapping"/>
      </w:r>
    </w:p>
    <w:p>
      <w:pPr>
        <w:keepNext w:val="0"/>
        <w:keepLines w:val="0"/>
        <w:widowControl/>
        <w:suppressLineNumbers w:val="0"/>
        <w:spacing w:before="0" w:beforeAutospacing="0" w:after="0" w:afterAutospacing="0" w:line="600" w:lineRule="exact"/>
        <w:ind w:left="0" w:right="0"/>
        <w:jc w:val="center"/>
        <w:rPr>
          <w:lang w:val="en-US"/>
        </w:rPr>
      </w:pPr>
      <w:r>
        <w:rPr>
          <w:rFonts w:hint="eastAsia" w:ascii="宋体" w:hAnsi="宋体" w:eastAsia="宋体" w:cs="宋体"/>
          <w:b/>
          <w:bCs/>
          <w:sz w:val="28"/>
          <w:szCs w:val="28"/>
          <w:lang w:val="en-US" w:eastAsia="zh-CN" w:bidi="ar"/>
        </w:rPr>
        <w:t>合同正文</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第一条 </w:t>
      </w:r>
      <w:r>
        <w:rPr>
          <w:rFonts w:hint="eastAsia" w:ascii="宋体" w:hAnsi="宋体" w:eastAsia="宋体" w:cs="宋体"/>
          <w:b/>
          <w:bCs/>
          <w:sz w:val="28"/>
          <w:szCs w:val="28"/>
          <w:lang w:val="en-US" w:eastAsia="zh-CN" w:bidi="ar"/>
        </w:rPr>
        <w:t>工程概况</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本合同项下甲乙双方约定的工程项目的概况见本合同【附件】。</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第二条 </w:t>
      </w:r>
      <w:r>
        <w:rPr>
          <w:rFonts w:hint="eastAsia" w:ascii="宋体" w:hAnsi="宋体" w:eastAsia="宋体" w:cs="宋体"/>
          <w:b/>
          <w:bCs/>
          <w:sz w:val="28"/>
          <w:szCs w:val="28"/>
          <w:lang w:val="en-US" w:eastAsia="zh-CN" w:bidi="ar"/>
        </w:rPr>
        <w:t>合同工期及质量标准</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本合同项下甲乙双方约定的工程期限及质量标准见本合同【附件】。</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第三条 </w:t>
      </w:r>
      <w:r>
        <w:rPr>
          <w:rFonts w:hint="eastAsia" w:ascii="宋体" w:hAnsi="宋体" w:eastAsia="宋体" w:cs="宋体"/>
          <w:b/>
          <w:bCs/>
          <w:sz w:val="28"/>
          <w:szCs w:val="28"/>
          <w:lang w:val="en-US" w:eastAsia="zh-CN" w:bidi="ar"/>
        </w:rPr>
        <w:t>合同价格</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合同价格（含税）总计为RMB97,300元（大写：玖万柒仟叁佰元整）。</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本合同付款安排见【附件】。</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第四条 </w:t>
      </w:r>
      <w:r>
        <w:rPr>
          <w:rFonts w:hint="eastAsia" w:ascii="宋体" w:hAnsi="宋体" w:eastAsia="宋体" w:cs="宋体"/>
          <w:b/>
          <w:bCs/>
          <w:sz w:val="28"/>
          <w:szCs w:val="28"/>
          <w:lang w:val="en-US" w:eastAsia="zh-CN" w:bidi="ar"/>
        </w:rPr>
        <w:t>双方的权利和义务</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 发包人的权利和义务</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（1）发包人为承包人的施工提供协助和配合；</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（2）施工场地具备开工条件后，发包人应按约定及时向承包人交付施工现场；</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（3）开工前向承包人提供施工图纸；</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（4）协调物业公司及有关部门做好通道、电梯等设施的使用；</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（5）指派驻工地代表，负责对工程质量、进度进行监督检查，办理验收、变更洽商手续及其他事宜；</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（6）开工时向承包人提供原始水、电、燃气、暖气管道等管道线路图纸，如经发包人认可确实需要拆改原建筑物结构或设备管线，由发包人负责协调到有关部门办理相应审批手续；</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（7）知会邻里在施工期限间产生的灰尘和噪音可能对其生活和工作环境造成的影响，协调邻里关系；</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（8）发包人享有其他双方约定的权利、承担其他双方约定的义务。</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（二） 承包人的权利和义务</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（1）承包人在开工前应按照政府及相关部门、物业公司的要求办理一切施工所需手续，并缴纳有关的费用和装修押金；</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（2）拟定施工方案和进度计划，开工前交发包人审定后执行；</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（3）开工前，应将施工主要负责人员名单报发包人确认、备案，如承包人更换施工主要负责人时，必须事先征得发包人书面同意；</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（4）指派驻工地代表，并将其姓名、简历及联系方式书面告知发包人，负责履行合同，组织施工，按期限保质保量完成施工任务，解决由承包人负责的各项事宜；</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（5）严格执行施工规范、安全操作规程、防火安全和环境保护规定。严格按照图纸或作法说明进行施工，做好各项事宜；</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（6）遵守政府有关主管部门及物业公司对施工场地交通及通道、施工噪音以及环境保护、安全生产、施工时间等的管理规定，按规定办理有关手续，并以书面形式通知发包人；</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（7）已竣工工程未交付发包人之前，承包人负责成品的保护工作，保护期间发生损坏，承包人自费予以修复；</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（8）妥善保管发包人堆放在现场的财产和物品，做好施工所涉设备设施及管线和邻近建筑物、构筑物的保护工作，并承担相关费用，造成损失的由承包人承担责任；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（9）保证施工场地清洁符合环境卫生管理的有关规定，交工前清理现场达到规定要求，承担因自身原因违反有关规定造成的损失和罚款；</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（10）遵守国家或地方政府及有关部门对施工现场管理的规定，做好施工现场保卫和垃圾清运等工作，处理好由于施工带来的扰民问题及与周围单位的关系；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（12）承包人有义务事先告知发包人未知的与本工程质量相关的事项，如承包人知道或根据经验应该知道的有关质量问题而未告知发包人，则造成的损失由承包人承担；</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（13）承包人负责工程的消防验收通过。验收不通过，承包人承担一切损失和责任。但如在消防验收未通过之前发包人擅自使用而造成的验收不通过，发包人承担相应的损失；</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（14）负责编制竣工验收报告及工程结算报告，并提交发包人审核；</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（15）承包人享有其他双方约定的权利、承担其他双方约定的义务。</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第五条 </w:t>
      </w:r>
      <w:r>
        <w:rPr>
          <w:rFonts w:hint="eastAsia" w:ascii="宋体" w:hAnsi="宋体" w:eastAsia="宋体" w:cs="宋体"/>
          <w:b/>
          <w:bCs/>
          <w:sz w:val="28"/>
          <w:szCs w:val="28"/>
          <w:lang w:val="en-US" w:eastAsia="zh-CN" w:bidi="ar"/>
        </w:rPr>
        <w:t>材料设备供应</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 材料设备供应</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（1）承包人提供的材料设备清单见本合同【附件】。</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（2）如有发包人供应材料，承包人有义务事先告知发包人准确的材料用量及符合施工条件的材料，否则造成的损失由承包人承担。若发包人不予采纳而造成工程质量问题及材料的浪费，由发包人负责。</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（二） 设备材料质量要求</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（1）承包人应就其材料设备向发包人提供产品合格证明、使用说明书等文件；若材料设备不符合质量要求，由承包人承担由此发生的责任和费用。</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（2）凡由承包人采购的材料、设备，如不符合质量要求或规格有差异，应禁止使用。若已使用，对工程造成质量问题及由此发生的损失由承包人承担。</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（3）凡由承包人供应的材料致使室内甲醛等有害物质浓度含量超标，造成环境污染的，承包人应承担相应责任并赔偿损失。</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如有发包人供应的材料交由承包人保管的，承包人应妥善保管，如因保管不当造成损失或丢失，由承包人赔偿。</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第六条 </w:t>
      </w:r>
      <w:r>
        <w:rPr>
          <w:rFonts w:hint="eastAsia" w:ascii="宋体" w:hAnsi="宋体" w:eastAsia="宋体" w:cs="宋体"/>
          <w:b/>
          <w:bCs/>
          <w:sz w:val="28"/>
          <w:szCs w:val="28"/>
          <w:lang w:val="en-US" w:eastAsia="zh-CN" w:bidi="ar"/>
        </w:rPr>
        <w:t>工程变更</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施工中如发包人对原设计提出的变更未实质影响工程量的（单项子目在合同总价的5%以内的变更视为未实质影响工程量），应视为合理变更，承包人应按照发包人的要求进行施工，合同价款不变。如发包人对原设计进行重大变更，应在变更前3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（五） 对以下原因造成竣工日期推迟的，经发包人书面确认，工期相应顺延，除此以外的其他原因导致竣工日期延误的，由承包人承担违约责任：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（1）政府机关或发包人要求承包人暂停施工的；</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（2）不可抗力；</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（3）发包人设计变更导致关键线路上的工作延误的。</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（六） 承包人负责设计工作的，因施工图设计错误或缺陷造成的所有损失均由承包人承担。</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第七条 </w:t>
      </w:r>
      <w:r>
        <w:rPr>
          <w:rFonts w:hint="eastAsia" w:ascii="宋体" w:hAnsi="宋体" w:eastAsia="宋体" w:cs="宋体"/>
          <w:b/>
          <w:bCs/>
          <w:sz w:val="28"/>
          <w:szCs w:val="28"/>
          <w:lang w:val="en-US" w:eastAsia="zh-CN" w:bidi="ar"/>
        </w:rPr>
        <w:t>检查与返工</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承包人应认真按照标准、规范、设计的要求和合同的约定进行施工和自检。</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第八条 </w:t>
      </w:r>
      <w:r>
        <w:rPr>
          <w:rFonts w:hint="eastAsia" w:ascii="宋体" w:hAnsi="宋体" w:eastAsia="宋体" w:cs="宋体"/>
          <w:b/>
          <w:bCs/>
          <w:sz w:val="28"/>
          <w:szCs w:val="28"/>
          <w:lang w:val="en-US" w:eastAsia="zh-CN" w:bidi="ar"/>
        </w:rPr>
        <w:t>安全施工</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（二）承包人应对其在施工场地的工作人员进行安全教育，并对他们的安全负责。发包人不得要求承包人违反安全管理的规定进行施工。</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（三）发生重大伤亡事故，承包人应按照有关规定立即上报有关部门并通知发包人，同时按政府有关部门要求处理。发包人为抢救提供必要条件，发生的费用由事故责任方承担。</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第九条 </w:t>
      </w:r>
      <w:r>
        <w:rPr>
          <w:rFonts w:hint="eastAsia" w:ascii="宋体" w:hAnsi="宋体" w:eastAsia="宋体" w:cs="宋体"/>
          <w:b/>
          <w:bCs/>
          <w:sz w:val="28"/>
          <w:szCs w:val="28"/>
          <w:lang w:val="en-US" w:eastAsia="zh-CN" w:bidi="ar"/>
        </w:rPr>
        <w:t>工程验收</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 工程验收</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（1）工程完工后，承包人应书面通知发包人验收，并向发包人提交竣工验收报告和完整的竣工验收资料，发包人收到竣工资料和竣工验收报告应及时组织验收。验收合格，由发包人书面确认。</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（二） 验收标准</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本工程质量评定验收标准的依据：</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（1）施工图纸、作法说明、设计变更、施工技术文件等；</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（2）有关工程质量的相关法律法规的规定，以及国家有关施工验收规范、室内环境污染控制规范；</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（3）招标文件、本合同对工程的具体要求。</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第十条 </w:t>
      </w:r>
      <w:r>
        <w:rPr>
          <w:rFonts w:hint="eastAsia" w:ascii="宋体" w:hAnsi="宋体" w:eastAsia="宋体" w:cs="宋体"/>
          <w:b/>
          <w:bCs/>
          <w:sz w:val="28"/>
          <w:szCs w:val="28"/>
          <w:lang w:val="en-US" w:eastAsia="zh-CN" w:bidi="ar"/>
        </w:rPr>
        <w:t>工程结算</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工程验收合格后，承包人应向发包人提交工程结算报告和完整的结算资料，发包人收到工程结算报告和完整的结算资料后应及时进行结算。</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按本合同约定的固定包干价，以及双方书面签署确认的变更价款洽商文件进行结算。</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第十一条 </w:t>
      </w:r>
      <w:r>
        <w:rPr>
          <w:rFonts w:hint="eastAsia" w:ascii="宋体" w:hAnsi="宋体" w:eastAsia="宋体" w:cs="宋体"/>
          <w:b/>
          <w:bCs/>
          <w:sz w:val="28"/>
          <w:szCs w:val="28"/>
          <w:lang w:val="en-US" w:eastAsia="zh-CN" w:bidi="ar"/>
        </w:rPr>
        <w:t>保修</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保修期内乙方对工程项目提供保修维护服务，具体内容及方式见【附件】，甲方不再就此支付任何费用。</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第十二条 </w:t>
      </w:r>
      <w:r>
        <w:rPr>
          <w:rFonts w:hint="eastAsia" w:ascii="宋体" w:hAnsi="宋体" w:eastAsia="宋体" w:cs="宋体"/>
          <w:b/>
          <w:bCs/>
          <w:sz w:val="28"/>
          <w:szCs w:val="28"/>
          <w:lang w:val="en-US" w:eastAsia="zh-CN" w:bidi="ar"/>
        </w:rPr>
        <w:t>禁止分包与转让</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非经发包人事先书面同意，承包人不得将承包工程的任何部分分包。</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承包人不得将其承包的全部工程转包给他人，也不得将其承包的全部工程肢解以后以分包的名义分别转包给他人。</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承包人将其承包的全部工程转包给他人或者肢解以后以分包的名义分别转包给他人，发包人有权解除合同，本合同自解除通知送达承包人之日或发包人指定日期届至时解除。</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（四） 未经发包人书面同意，承包人不得将其本合同项下之全部义务或其中一部分义务转让给第三方执行。</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第十三条 </w:t>
      </w:r>
      <w:r>
        <w:rPr>
          <w:rFonts w:hint="eastAsia" w:ascii="宋体" w:hAnsi="宋体" w:eastAsia="宋体" w:cs="宋体"/>
          <w:b/>
          <w:bCs/>
          <w:sz w:val="28"/>
          <w:szCs w:val="28"/>
          <w:lang w:val="en-US" w:eastAsia="zh-CN" w:bidi="ar"/>
        </w:rPr>
        <w:t>权利保证</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第十四条 </w:t>
      </w:r>
      <w:r>
        <w:rPr>
          <w:rFonts w:hint="eastAsia" w:ascii="宋体" w:hAnsi="宋体" w:eastAsia="宋体" w:cs="宋体"/>
          <w:b/>
          <w:bCs/>
          <w:sz w:val="28"/>
          <w:szCs w:val="28"/>
          <w:lang w:val="en-US" w:eastAsia="zh-CN" w:bidi="ar"/>
        </w:rPr>
        <w:t>违约责任</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发包人或承包人不能按本合同条款约定内容履行自己的各项义务及发生使合同无法履行的行为，应承担相应的违约责任，包括支付违约金、赔偿因其违约给对方造成的全部经济损失。</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发包人未按本合同的约定支付合同价款，经承包人书面催告后7日内仍未支付的，每逾期一日，按应付款金额0.05%向承包人支付违约金。</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除发包人批准的工期顺延外，因承包人原因不能按本合同约定的工期完成本工程的，每逾期一日，向发包人支付本合同约定的合同总价款0.05%的逾期违约金。</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 xml:space="preserve">（四） </w:t>
      </w:r>
      <w:r>
        <w:rPr>
          <w:rFonts w:hint="eastAsia" w:ascii="宋体" w:hAnsi="宋体" w:eastAsia="宋体" w:cs="宋体"/>
          <w:b/>
          <w:bCs/>
          <w:sz w:val="28"/>
          <w:szCs w:val="28"/>
          <w:lang w:val="en-US" w:eastAsia="zh-CN" w:bidi="ar"/>
        </w:rPr>
        <w:t>承包人瑕疵履行的违约责任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30%的质量违约金。</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2）因承包人施工质量不合格又拒绝进行修复或返工，或者工期拖延达10日以上的，发包人有权解除合同。合同解除后的10日内双方就已完工且合格部分办理结算，发包人有权从结算金额中扣除因承包人违约给发包人造成的损失及违约金。承包人应在发包人通知合同解除后3日内撤离现场，不得以任何理由占住施工现场。承包人迟延撤离现场的，每逾期一日，按照本合同规定的逾期违约金的2倍计算迟延撤场违约金。</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（五） 工程竣工验收合格并交付发包人使用后，在承包人承诺的合理使用年限内，承包人不履行修理或维护义务给发包人造成经济损失的，承包人承担赔偿责任。</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（六） 如果乙方违反本合同约定的保密义务，乙方应向甲方支付相当于本合同总价款30%的违约金，甲方受到的损失超出违约金的部分，由乙方继续承担赔偿责任。</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（七） 除本合同的约定外，因承包人的违约行为给发包人造成损失的，承包人应向发包人支付相当于本合同总价款30%的违约金，如发包人受到的损失超过违约金的，超出部分由承包人继续承担赔偿责任。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第十五条 </w:t>
      </w:r>
      <w:r>
        <w:rPr>
          <w:rFonts w:hint="eastAsia" w:ascii="宋体" w:hAnsi="宋体" w:eastAsia="宋体" w:cs="宋体"/>
          <w:b/>
          <w:bCs/>
          <w:sz w:val="28"/>
          <w:szCs w:val="28"/>
          <w:lang w:val="en-US" w:eastAsia="zh-CN" w:bidi="ar"/>
        </w:rPr>
        <w:t>保密义务</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无论本合同因何种原因终止，本保密条款依然有效。</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第十六条 </w:t>
      </w:r>
      <w:r>
        <w:rPr>
          <w:rFonts w:hint="eastAsia" w:ascii="宋体" w:hAnsi="宋体" w:eastAsia="宋体" w:cs="宋体"/>
          <w:b/>
          <w:bCs/>
          <w:sz w:val="28"/>
          <w:szCs w:val="28"/>
          <w:lang w:val="en-US" w:eastAsia="zh-CN" w:bidi="ar"/>
        </w:rPr>
        <w:t>消费者权益保护条款</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等。具体如下：</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甲乙双方应重视消费者权益保护工作，依法合规建立合作机构准入和退出机制。乙方近两年内不得存在侵害消费者权益的行为或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包括但不限于解除合同等方式，并将其列入公司合作机构管理负面清单。</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（二）双方应严格按照相关法律法规要求履行合规及风险管理、信息安全管控、服务价格管理、服务连续性、信息披露、纠纷解决机制、违约责任承担和应急处置等方面的责任。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三）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合作协议要求情形时采取措施予以制止和督促纠正，并依法追究乙方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四）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（五）甲乙双方应根据消费者投诉反映出的问题积极进行溯源改进，查找服务薄弱环节和风险隐患，从源头上减少消费投诉的发生，提高服务水平，加强保险消费者权益保护。</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（六）对于客户投诉较多、设计上存在缺陷的保险产品或服务，乙方及时通知甲方，并按照甲方要求妥善处理相关事宜，包括停止销售或提供服务等。</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七）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第十七条 </w:t>
      </w:r>
      <w:r>
        <w:rPr>
          <w:rFonts w:hint="eastAsia" w:ascii="宋体" w:hAnsi="宋体" w:eastAsia="宋体" w:cs="宋体"/>
          <w:b/>
          <w:bCs/>
          <w:sz w:val="28"/>
          <w:szCs w:val="28"/>
          <w:lang w:val="en-US" w:eastAsia="zh-CN" w:bidi="ar"/>
        </w:rPr>
        <w:t>客户信息保护条款</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（一）收集、使用及处理客户个人信息必须是依据法定义务或履行本协议所必要的行为，并在履行本协议必要范围内收集客户信息。未经客户授权同意，不得将客户个人信息公开披露，不得转移、出售给第三方。</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（三）涉及客户敏感信息处理的，应具有特定的目的和充分的必要性，取得客户的单独同意，符合个人信息保护相关法律法规规定和管理要求。</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四）乙方应对客户个人信息严格保密，采取技术措施和其他必要措施，确保客户信息安全。若乙方发生或者可能发生客户个人信息泄露、篡改、丢失的，应当立即采取补救措施，并同步通知甲方，减轻对客户及甲方的危害。</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第十八条 </w:t>
      </w:r>
      <w:r>
        <w:rPr>
          <w:rFonts w:hint="eastAsia" w:ascii="宋体" w:hAnsi="宋体" w:eastAsia="宋体" w:cs="宋体"/>
          <w:b/>
          <w:bCs/>
          <w:sz w:val="28"/>
          <w:szCs w:val="28"/>
          <w:lang w:val="en-US" w:eastAsia="zh-CN" w:bidi="ar"/>
        </w:rPr>
        <w:t>不可抗力</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合同一方迟延履行后发生不可抗力的，不能免除其责任。</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第十九条 </w:t>
      </w:r>
      <w:r>
        <w:rPr>
          <w:rFonts w:hint="eastAsia" w:ascii="宋体" w:hAnsi="宋体" w:eastAsia="宋体" w:cs="宋体"/>
          <w:b/>
          <w:bCs/>
          <w:sz w:val="28"/>
          <w:szCs w:val="28"/>
          <w:lang w:val="en-US" w:eastAsia="zh-CN" w:bidi="ar"/>
        </w:rPr>
        <w:t>合同变更</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对本合同的任何变更或补充，须经甲乙双方协商一致，并另行签订书面补充协议。</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第二十条 </w:t>
      </w:r>
      <w:r>
        <w:rPr>
          <w:rFonts w:hint="eastAsia" w:ascii="宋体" w:hAnsi="宋体" w:eastAsia="宋体" w:cs="宋体"/>
          <w:b/>
          <w:bCs/>
          <w:sz w:val="28"/>
          <w:szCs w:val="28"/>
          <w:lang w:val="en-US" w:eastAsia="zh-CN" w:bidi="ar"/>
        </w:rPr>
        <w:t>合同特别终止</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（一） 甲乙双方同意在乙方出现下列情形时，甲方可以书面形式通知乙方（或者乙方的破产清算组或相关管理人）提出终止合同而不向其提供任何补偿：</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（1）乙方破产、解散（包括但不限于乙方股东会决议解散、乙方被吊销营业执照、被责令关闭、被撤销、被司法机关裁决解散等情形）；</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如果因上述原因导致本合同终止，甲方已经采取或者将要采取任何补救措施的权利不受任何影响。</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第二十一条 </w:t>
      </w:r>
      <w:r>
        <w:rPr>
          <w:rFonts w:hint="eastAsia" w:ascii="宋体" w:hAnsi="宋体" w:eastAsia="宋体" w:cs="宋体"/>
          <w:b/>
          <w:bCs/>
          <w:sz w:val="28"/>
          <w:szCs w:val="28"/>
          <w:lang w:val="en-US" w:eastAsia="zh-CN" w:bidi="ar"/>
        </w:rPr>
        <w:t>法律适用与争议解决</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本合同的订立、效力、解释、履行和争议的解决均适用中华人民共和国法律（不包括港澳台地区法律）。</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凡因本合同引起的或与本合同有关的任何争议，双方首先应友好协商解决。协商不成的，任何一方均可向工程所在地有管辖权的法院提起诉讼。</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第二十二条 </w:t>
      </w:r>
      <w:r>
        <w:rPr>
          <w:rFonts w:hint="eastAsia" w:ascii="宋体" w:hAnsi="宋体" w:eastAsia="宋体" w:cs="宋体"/>
          <w:b/>
          <w:bCs/>
          <w:sz w:val="28"/>
          <w:szCs w:val="28"/>
          <w:lang w:val="en-US" w:eastAsia="zh-CN" w:bidi="ar"/>
        </w:rPr>
        <w:t>合同生效及其他</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本合同经甲乙双方法定代表人或授权代表签字并加盖公章后生效，在竣工结算、发包人支付完毕，工程验收合格并交付给发包人后，除有关保修条款、违约责任条款、争议解决条款仍然生效外，其他条款即告终止。</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本合同一式四份，其中正本二份，副本二份。甲方执一份正本，一份副本；乙方执一份正本，一份副本。</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第二十三条 </w:t>
      </w:r>
      <w:r>
        <w:rPr>
          <w:rFonts w:hint="eastAsia" w:ascii="宋体" w:hAnsi="宋体" w:eastAsia="宋体" w:cs="宋体"/>
          <w:b/>
          <w:bCs/>
          <w:sz w:val="28"/>
          <w:szCs w:val="28"/>
          <w:lang w:val="en-US" w:eastAsia="zh-CN" w:bidi="ar"/>
        </w:rPr>
        <w:t>合同效力</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0" w:after="0" w:afterAutospacing="0" w:line="600" w:lineRule="exact"/>
        <w:ind w:left="0" w:right="0" w:firstLine="578"/>
        <w:jc w:val="both"/>
        <w:rPr>
          <w:rFonts w:hint="eastAsia" w:ascii="宋体" w:hAnsi="宋体" w:eastAsia="宋体" w:cs="宋体"/>
          <w:sz w:val="28"/>
          <w:szCs w:val="28"/>
          <w:lang w:val="en-US"/>
        </w:rPr>
      </w:pPr>
      <w:r>
        <w:rPr>
          <w:rFonts w:hint="eastAsia" w:ascii="宋体" w:hAnsi="宋体" w:eastAsia="宋体" w:cs="宋体"/>
          <w:sz w:val="28"/>
          <w:szCs w:val="28"/>
          <w:lang w:val="en-US" w:eastAsia="zh-CN" w:bidi="ar"/>
        </w:rPr>
        <w:t>（三） 由于法律和法规、政策而导致本合同任何条款无效或无法执行，则该条款无效，但不影响剩余其他条款的效力。</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b/>
          <w:bCs w:val="0"/>
          <w:sz w:val="28"/>
          <w:szCs w:val="28"/>
          <w:lang w:val="en-US" w:eastAsia="zh-CN" w:bidi="ar"/>
        </w:rPr>
        <w:t xml:space="preserve">第二十四条 </w:t>
      </w:r>
      <w:r>
        <w:rPr>
          <w:rFonts w:hint="eastAsia" w:ascii="宋体" w:hAnsi="宋体" w:eastAsia="宋体" w:cs="宋体"/>
          <w:sz w:val="28"/>
          <w:szCs w:val="28"/>
          <w:lang w:val="en-US" w:eastAsia="zh-CN" w:bidi="ar"/>
        </w:rPr>
        <w:t>附件的组成</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附件一、工程概况</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附件二、合同工期及质量标准</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附件三、付款</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附件四、材料设备供应</w:t>
      </w:r>
    </w:p>
    <w:p>
      <w:pPr>
        <w:keepNext w:val="0"/>
        <w:keepLines w:val="0"/>
        <w:widowControl/>
        <w:suppressLineNumbers w:val="0"/>
        <w:spacing w:before="0" w:beforeAutospacing="0" w:after="0" w:afterAutospacing="0" w:line="600" w:lineRule="exact"/>
        <w:ind w:left="0" w:right="0" w:firstLine="578"/>
        <w:jc w:val="both"/>
        <w:rPr>
          <w:lang w:val="en-US"/>
        </w:rPr>
      </w:pPr>
      <w:r>
        <w:rPr>
          <w:rFonts w:hint="eastAsia" w:ascii="宋体" w:hAnsi="宋体" w:eastAsia="宋体" w:cs="宋体"/>
          <w:sz w:val="28"/>
          <w:szCs w:val="28"/>
          <w:lang w:val="en-US" w:eastAsia="zh-CN" w:bidi="ar"/>
        </w:rPr>
        <w:t>附件五、保修</w:t>
      </w:r>
    </w:p>
    <w:p>
      <w:pPr>
        <w:keepNext w:val="0"/>
        <w:keepLines w:val="0"/>
        <w:widowControl/>
        <w:suppressLineNumbers w:val="0"/>
        <w:spacing w:before="0" w:beforeAutospacing="0" w:after="240" w:afterAutospacing="0"/>
        <w:ind w:left="0" w:right="0"/>
        <w:jc w:val="left"/>
        <w:rPr>
          <w:rFonts w:hint="eastAsia" w:ascii="宋体" w:hAnsi="宋体" w:eastAsia="宋体" w:cs="宋体"/>
          <w:sz w:val="28"/>
          <w:szCs w:val="28"/>
          <w:lang w:val="en-US"/>
        </w:rPr>
      </w:pPr>
      <w:r>
        <w:rPr>
          <w:rFonts w:hint="eastAsia" w:ascii="宋体" w:hAnsi="宋体" w:eastAsia="宋体" w:cs="宋体"/>
          <w:sz w:val="24"/>
          <w:szCs w:val="24"/>
          <w:lang w:val="en-US" w:eastAsia="zh-CN" w:bidi="ar"/>
        </w:rPr>
        <w:br w:type="page" w:clear="all"/>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t>兹证明，各方于</w:t>
      </w:r>
      <w:r>
        <w:rPr>
          <w:rFonts w:hint="eastAsia" w:ascii="宋体" w:hAnsi="宋体" w:eastAsia="宋体" w:cs="宋体"/>
          <w:sz w:val="28"/>
          <w:szCs w:val="28"/>
          <w:u w:val="single"/>
          <w:lang w:val="en-US" w:eastAsia="zh-CN" w:bidi="ar"/>
        </w:rPr>
        <w:t>      </w:t>
      </w:r>
      <w:r>
        <w:rPr>
          <w:rFonts w:hint="eastAsia" w:ascii="宋体" w:hAnsi="宋体" w:eastAsia="宋体" w:cs="宋体"/>
          <w:sz w:val="28"/>
          <w:szCs w:val="28"/>
          <w:lang w:val="en-US" w:eastAsia="zh-CN" w:bidi="ar"/>
        </w:rPr>
        <w:t xml:space="preserve">年 </w:t>
      </w:r>
      <w:r>
        <w:rPr>
          <w:rFonts w:hint="eastAsia" w:ascii="宋体" w:hAnsi="宋体" w:eastAsia="宋体" w:cs="宋体"/>
          <w:sz w:val="28"/>
          <w:szCs w:val="28"/>
          <w:u w:val="single"/>
          <w:lang w:val="en-US" w:eastAsia="zh-CN" w:bidi="ar"/>
        </w:rPr>
        <w:t>      </w:t>
      </w:r>
      <w:r>
        <w:rPr>
          <w:rFonts w:hint="eastAsia" w:ascii="宋体" w:hAnsi="宋体" w:eastAsia="宋体" w:cs="宋体"/>
          <w:sz w:val="28"/>
          <w:szCs w:val="28"/>
          <w:lang w:val="en-US" w:eastAsia="zh-CN" w:bidi="ar"/>
        </w:rPr>
        <w:t xml:space="preserve">月 </w:t>
      </w:r>
      <w:r>
        <w:rPr>
          <w:rFonts w:hint="eastAsia" w:ascii="宋体" w:hAnsi="宋体" w:eastAsia="宋体" w:cs="宋体"/>
          <w:sz w:val="28"/>
          <w:szCs w:val="28"/>
          <w:u w:val="single"/>
          <w:lang w:val="en-US" w:eastAsia="zh-CN" w:bidi="ar"/>
        </w:rPr>
        <w:t>      </w:t>
      </w:r>
      <w:r>
        <w:rPr>
          <w:rFonts w:hint="eastAsia" w:ascii="宋体" w:hAnsi="宋体" w:eastAsia="宋体" w:cs="宋体"/>
          <w:sz w:val="28"/>
          <w:szCs w:val="28"/>
          <w:lang w:val="en-US" w:eastAsia="zh-CN" w:bidi="ar"/>
        </w:rPr>
        <w:t xml:space="preserve">日签订本合同 </w:t>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t>甲方（盖章）：中国人民财产保险股份有限公司广州市分公司</w:t>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t xml:space="preserve">法定代表人/授权代表（签字）： </w:t>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t>乙方（盖章）：</w:t>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t xml:space="preserve">法定代表人/授权代表（签字）： </w:t>
      </w: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p>
    <w:p>
      <w:pPr>
        <w:keepNext w:val="0"/>
        <w:keepLines w:val="0"/>
        <w:widowControl/>
        <w:suppressLineNumbers w:val="0"/>
        <w:spacing w:before="0" w:beforeAutospacing="0" w:after="240" w:afterAutospacing="0"/>
        <w:ind w:left="0" w:right="0"/>
        <w:jc w:val="left"/>
        <w:rPr>
          <w:rFonts w:hint="eastAsia" w:ascii="宋体" w:hAnsi="宋体" w:eastAsia="宋体" w:cs="宋体"/>
          <w:sz w:val="28"/>
          <w:szCs w:val="28"/>
          <w:lang w:val="en-US"/>
        </w:rPr>
      </w:pPr>
    </w:p>
    <w:p>
      <w:pPr>
        <w:keepNext w:val="0"/>
        <w:keepLines w:val="0"/>
        <w:widowControl/>
        <w:suppressLineNumbers w:val="0"/>
        <w:spacing w:before="0" w:beforeAutospacing="0" w:after="240" w:afterAutospacing="0"/>
        <w:ind w:left="0" w:right="0"/>
        <w:jc w:val="left"/>
        <w:rPr>
          <w:rFonts w:hint="eastAsia" w:ascii="宋体" w:hAnsi="宋体" w:eastAsia="宋体" w:cs="宋体"/>
          <w:sz w:val="28"/>
          <w:szCs w:val="28"/>
          <w:lang w:val="en-US"/>
        </w:rPr>
      </w:pPr>
    </w:p>
    <w:p>
      <w:pPr>
        <w:keepNext w:val="0"/>
        <w:keepLines w:val="0"/>
        <w:widowControl/>
        <w:suppressLineNumbers w:val="0"/>
        <w:spacing w:before="0" w:beforeAutospacing="0" w:after="240" w:afterAutospacing="0"/>
        <w:ind w:left="0" w:right="0"/>
        <w:jc w:val="left"/>
        <w:rPr>
          <w:rFonts w:hint="eastAsia" w:ascii="宋体" w:hAnsi="宋体" w:eastAsia="宋体" w:cs="宋体"/>
          <w:sz w:val="28"/>
          <w:szCs w:val="28"/>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b/>
          <w:bCs w:val="0"/>
          <w:lang w:val="en-US"/>
        </w:rPr>
      </w:pPr>
      <w:r>
        <w:rPr>
          <w:rFonts w:hint="eastAsia" w:ascii="楷体" w:hAnsi="楷体" w:eastAsia="楷体" w:cs="楷体"/>
          <w:b/>
          <w:bCs w:val="0"/>
          <w:sz w:val="21"/>
          <w:szCs w:val="21"/>
          <w:lang w:val="en-US" w:eastAsia="zh-CN" w:bidi="ar"/>
        </w:rPr>
        <w:t>附件一：</w:t>
      </w:r>
    </w:p>
    <w:p>
      <w:pPr>
        <w:keepNext w:val="0"/>
        <w:keepLines w:val="0"/>
        <w:widowControl/>
        <w:suppressLineNumbers w:val="0"/>
        <w:spacing w:before="0" w:beforeAutospacing="0" w:after="0" w:afterAutospacing="0" w:line="360" w:lineRule="auto"/>
        <w:ind w:left="482" w:right="0" w:firstLine="2424"/>
        <w:jc w:val="both"/>
        <w:rPr>
          <w:rFonts w:hint="eastAsia" w:ascii="楷体" w:hAnsi="楷体" w:eastAsia="楷体" w:cs="宋体"/>
          <w:b/>
          <w:bCs w:val="0"/>
          <w:color w:val="000000"/>
          <w:lang w:val="en-US"/>
        </w:rPr>
      </w:pPr>
      <w:r>
        <w:rPr>
          <w:rFonts w:hint="eastAsia" w:ascii="楷体" w:hAnsi="楷体" w:eastAsia="楷体" w:cs="宋体"/>
          <w:b/>
          <w:bCs w:val="0"/>
          <w:color w:val="000000"/>
          <w:sz w:val="21"/>
          <w:szCs w:val="21"/>
          <w:lang w:val="en-US" w:eastAsia="zh-CN" w:bidi="ar"/>
        </w:rPr>
        <w:t>工程概况</w:t>
      </w:r>
    </w:p>
    <w:p>
      <w:pPr>
        <w:keepNext w:val="0"/>
        <w:keepLines w:val="0"/>
        <w:widowControl/>
        <w:suppressLineNumbers w:val="0"/>
        <w:spacing w:before="0" w:beforeAutospacing="0" w:after="0" w:afterAutospacing="0" w:line="360" w:lineRule="auto"/>
        <w:ind w:left="482" w:right="0" w:firstLine="2424"/>
        <w:jc w:val="both"/>
        <w:rPr>
          <w:rFonts w:hint="eastAsia" w:ascii="楷体" w:hAnsi="楷体" w:eastAsia="楷体" w:cs="宋体"/>
          <w:b/>
          <w:bCs w:val="0"/>
          <w:color w:val="000000"/>
          <w:lang w:val="en-US"/>
        </w:rPr>
      </w:pP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 xml:space="preserve">1. 工程名称：人保财险广东广州金融街营业部国银中心9楼职场装修工程采购项目 </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2．工程地点：</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广州市越秀区东风西路191号国际银行中心9楼自编910-911室</w:t>
      </w:r>
    </w:p>
    <w:p>
      <w:pPr>
        <w:keepNext w:val="0"/>
        <w:keepLines w:val="0"/>
        <w:widowControl/>
        <w:numPr>
          <w:ilvl w:val="0"/>
          <w:numId w:val="5"/>
        </w:numPr>
        <w:suppressLineNumbers w:val="0"/>
        <w:spacing w:before="0" w:beforeAutospacing="0" w:after="0" w:afterAutospacing="0" w:line="360" w:lineRule="auto"/>
        <w:ind w:left="0" w:right="0" w:firstLine="48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工程承包范围：</w:t>
      </w:r>
    </w:p>
    <w:p>
      <w:pPr>
        <w:keepNext w:val="0"/>
        <w:keepLines w:val="0"/>
        <w:widowControl/>
        <w:suppressLineNumbers w:val="0"/>
        <w:spacing w:before="0" w:beforeAutospacing="0" w:after="0" w:afterAutospacing="0" w:line="360" w:lineRule="auto"/>
        <w:ind w:left="0" w:right="0" w:firstLine="21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（1）办公区包含员工公共办公区、会议培训室、开放式经理办公间；</w:t>
      </w:r>
    </w:p>
    <w:p>
      <w:pPr>
        <w:keepNext w:val="0"/>
        <w:keepLines w:val="0"/>
        <w:widowControl/>
        <w:suppressLineNumbers w:val="0"/>
        <w:spacing w:before="0" w:beforeAutospacing="0" w:after="0" w:afterAutospacing="0" w:line="360" w:lineRule="auto"/>
        <w:ind w:left="0" w:right="0" w:firstLine="21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（2）电线电路、网络设备。</w:t>
      </w:r>
    </w:p>
    <w:p>
      <w:pPr>
        <w:keepNext w:val="0"/>
        <w:keepLines w:val="0"/>
        <w:widowControl/>
        <w:numPr>
          <w:ilvl w:val="0"/>
          <w:numId w:val="5"/>
        </w:numPr>
        <w:suppressLineNumbers w:val="0"/>
        <w:spacing w:before="0" w:beforeAutospacing="0" w:after="0" w:afterAutospacing="0" w:line="360" w:lineRule="auto"/>
        <w:ind w:left="0" w:right="0" w:firstLine="48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工程量清单：</w:t>
      </w:r>
    </w:p>
    <w:tbl>
      <w:tblPr>
        <w:tblStyle w:val="44"/>
        <w:tblW w:w="0"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4"/>
        <w:gridCol w:w="2439"/>
        <w:gridCol w:w="3128"/>
        <w:gridCol w:w="754"/>
        <w:gridCol w:w="1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序号</w:t>
            </w:r>
          </w:p>
        </w:tc>
        <w:tc>
          <w:tcPr>
            <w:tcW w:w="2439"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工程项目</w:t>
            </w:r>
          </w:p>
        </w:tc>
        <w:tc>
          <w:tcPr>
            <w:tcW w:w="3128"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项目特征描述</w:t>
            </w:r>
          </w:p>
        </w:tc>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单位</w:t>
            </w:r>
          </w:p>
        </w:tc>
        <w:tc>
          <w:tcPr>
            <w:tcW w:w="1556"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 w:hRule="atLeast"/>
        </w:trPr>
        <w:tc>
          <w:tcPr>
            <w:tcW w:w="754" w:type="dxa"/>
            <w:tcBorders>
              <w:top w:val="single" w:color="auto" w:sz="6" w:space="0"/>
              <w:left w:val="single" w:color="auto" w:sz="6" w:space="0"/>
              <w:bottom w:val="single" w:color="auto" w:sz="6" w:space="0"/>
              <w:right w:val="single" w:color="auto" w:sz="6" w:space="0"/>
            </w:tcBorders>
            <w:shd w:val="solid" w:color="C0C0C0"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0"/>
                <w:szCs w:val="21"/>
                <w:lang w:val="en-US"/>
              </w:rPr>
            </w:pPr>
            <w:r>
              <w:rPr>
                <w:rFonts w:hint="eastAsia" w:ascii="宋体" w:hAnsi="宋体" w:eastAsia="宋体" w:cs="宋体"/>
                <w:color w:val="000000"/>
                <w:sz w:val="20"/>
                <w:szCs w:val="21"/>
                <w:lang w:val="en-US" w:eastAsia="zh-CN" w:bidi="ar"/>
              </w:rPr>
              <w:t>一、</w:t>
            </w:r>
          </w:p>
        </w:tc>
        <w:tc>
          <w:tcPr>
            <w:tcW w:w="2439" w:type="dxa"/>
            <w:tcBorders>
              <w:top w:val="single" w:color="auto" w:sz="6" w:space="0"/>
              <w:left w:val="single" w:color="auto" w:sz="6" w:space="0"/>
              <w:bottom w:val="single" w:color="auto" w:sz="6" w:space="0"/>
              <w:right w:val="single" w:color="auto" w:sz="6" w:space="0"/>
            </w:tcBorders>
            <w:shd w:val="solid" w:color="C0C0C0"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0"/>
                <w:szCs w:val="21"/>
                <w:lang w:val="en-US"/>
              </w:rPr>
            </w:pPr>
            <w:r>
              <w:rPr>
                <w:rFonts w:hint="eastAsia" w:ascii="宋体" w:hAnsi="宋体" w:eastAsia="宋体" w:cs="宋体"/>
                <w:color w:val="000000"/>
                <w:sz w:val="20"/>
                <w:szCs w:val="21"/>
                <w:lang w:val="en-US" w:eastAsia="zh-CN" w:bidi="ar"/>
              </w:rPr>
              <w:t>拆除部分</w:t>
            </w:r>
          </w:p>
        </w:tc>
        <w:tc>
          <w:tcPr>
            <w:tcW w:w="3128" w:type="dxa"/>
            <w:tcBorders>
              <w:top w:val="single" w:color="auto" w:sz="6" w:space="0"/>
              <w:left w:val="single" w:color="auto" w:sz="6" w:space="0"/>
              <w:bottom w:val="single" w:color="auto" w:sz="6" w:space="0"/>
              <w:right w:val="single" w:color="auto" w:sz="6" w:space="0"/>
            </w:tcBorders>
            <w:shd w:val="solid" w:color="C0C0C0"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0"/>
                <w:szCs w:val="21"/>
                <w:lang w:val="en-US"/>
              </w:rPr>
            </w:pPr>
          </w:p>
        </w:tc>
        <w:tc>
          <w:tcPr>
            <w:tcW w:w="754" w:type="dxa"/>
            <w:tcBorders>
              <w:top w:val="single" w:color="auto" w:sz="6" w:space="0"/>
              <w:left w:val="single" w:color="auto" w:sz="6" w:space="0"/>
              <w:bottom w:val="single" w:color="auto" w:sz="6" w:space="0"/>
              <w:right w:val="single" w:color="auto" w:sz="6" w:space="0"/>
            </w:tcBorders>
            <w:shd w:val="solid" w:color="C0C0C0"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1"/>
                <w:lang w:val="en-US"/>
              </w:rPr>
            </w:pPr>
          </w:p>
        </w:tc>
        <w:tc>
          <w:tcPr>
            <w:tcW w:w="1556" w:type="dxa"/>
            <w:tcBorders>
              <w:top w:val="single" w:color="auto" w:sz="6" w:space="0"/>
              <w:left w:val="single" w:color="auto" w:sz="6" w:space="0"/>
              <w:bottom w:val="single" w:color="auto" w:sz="6" w:space="0"/>
              <w:right w:val="single" w:color="auto" w:sz="6" w:space="0"/>
            </w:tcBorders>
            <w:shd w:val="solid" w:color="C0C0C0"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隔断隔墙拆除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 拆除隔墙的骨架种类:轻钢龙骨 2. 拆除隔墙的饰而种类:石膏板饰面 3. 拆除隔墙的饰面种类:玻璃门</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72.48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2</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墙柱面龙骨及饰面拆除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 拆除的基层类型:水泥砂浆找平层 2. 饰面材料种类:拆除面砖/石材/金属 龙骨</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72.48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天棚面龙骨及饰面拆除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 拆除的基层类型:轻钢龙骨 2. 龙骨及饰面种类:硅钙板/铝扣板</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72.48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4</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管线拆除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 管道种类、材质:电路线管</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72.48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5</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地板胶拆除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原胶地板拆除</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62.29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6</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卡座拆除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原有旧卡座（可重复使用）</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7</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卡座搬迁</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原有旧卡座（可重复使用）</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8</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卡座安装</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原有旧卡座（可重复使用）</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9</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运输</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 岩石类别:拆除废料 2. 运距:20km</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68.48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二、</w:t>
            </w:r>
          </w:p>
        </w:tc>
        <w:tc>
          <w:tcPr>
            <w:tcW w:w="2439"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装饰装修部分</w:t>
            </w:r>
          </w:p>
        </w:tc>
        <w:tc>
          <w:tcPr>
            <w:tcW w:w="3128"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p>
        </w:tc>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p>
        </w:tc>
        <w:tc>
          <w:tcPr>
            <w:tcW w:w="1556"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经理室玻璃隔断</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12厘钢化玻璃</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91.83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2</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经理室玻璃门</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12厘钢化玻璃含五金</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墙身水泥沙修复</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拆除后墙身地面修复平整</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项</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4</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天花、墙面修补扇夾</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墙面修补、防开裂粘贴网袋、满刮腻子 粉灰3遍,打磨至平整</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106.30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5</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天花、墙面涂刷乳胶漆</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墙面涂刷界面剂,油乳胶漆3遍,多乐 士环保净味乳胶漆</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62.00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6</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地面地毯安装</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按原有地毯款式补充</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66.31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7</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办公室搬迁</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配合旧办公室搬迁至新办公室</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项</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8</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公区，施工区域成品保护</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保护膜铺贴</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176.18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9</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废料处理，开荒保洁</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打包规整，搬运清理，工完场清</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176.18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三、</w:t>
            </w:r>
          </w:p>
        </w:tc>
        <w:tc>
          <w:tcPr>
            <w:tcW w:w="2439"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电气安装</w:t>
            </w:r>
          </w:p>
        </w:tc>
        <w:tc>
          <w:tcPr>
            <w:tcW w:w="3128"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p>
        </w:tc>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p>
        </w:tc>
        <w:tc>
          <w:tcPr>
            <w:tcW w:w="1556"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卡座电路安装（含材料）</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包工包料</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个</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2</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公区插座</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3</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经理室线路安装</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含网线1条开关2个插座3个</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4</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会议室线路安装</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套</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四、</w:t>
            </w:r>
          </w:p>
        </w:tc>
        <w:tc>
          <w:tcPr>
            <w:tcW w:w="2439"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弱电</w:t>
            </w:r>
          </w:p>
        </w:tc>
        <w:tc>
          <w:tcPr>
            <w:tcW w:w="3128"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p>
        </w:tc>
        <w:tc>
          <w:tcPr>
            <w:tcW w:w="754"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p>
        </w:tc>
        <w:tc>
          <w:tcPr>
            <w:tcW w:w="1556" w:type="dxa"/>
            <w:tcBorders>
              <w:top w:val="single" w:color="auto" w:sz="6" w:space="0"/>
              <w:left w:val="single" w:color="auto" w:sz="6" w:space="0"/>
              <w:bottom w:val="single" w:color="auto" w:sz="6" w:space="0"/>
              <w:right w:val="single" w:color="auto" w:sz="6" w:space="0"/>
            </w:tcBorders>
            <w:shd w:val="solid" w:color="FFFFCC"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1</w:t>
            </w:r>
          </w:p>
        </w:tc>
        <w:tc>
          <w:tcPr>
            <w:tcW w:w="2439"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卡座网络安装（含材料）</w:t>
            </w:r>
          </w:p>
        </w:tc>
        <w:tc>
          <w:tcPr>
            <w:tcW w:w="3128"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包工包料</w:t>
            </w:r>
          </w:p>
        </w:tc>
        <w:tc>
          <w:tcPr>
            <w:tcW w:w="754"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个</w:t>
            </w:r>
          </w:p>
        </w:tc>
        <w:tc>
          <w:tcPr>
            <w:tcW w:w="1556" w:type="dxa"/>
            <w:tcBorders>
              <w:top w:val="single" w:color="auto" w:sz="6" w:space="0"/>
              <w:left w:val="single" w:color="auto" w:sz="6" w:space="0"/>
              <w:bottom w:val="single" w:color="auto" w:sz="6" w:space="0"/>
              <w:right w:val="single" w:color="auto" w:sz="6" w:space="0"/>
            </w:tcBorders>
            <w:shd w:val="clear" w:color="auto" w:fill="auto"/>
            <w:noWrap w:val="0"/>
            <w:vAlign w:val="top"/>
          </w:tcPr>
          <w:p>
            <w:pPr>
              <w:keepNext w:val="0"/>
              <w:keepLines w:val="0"/>
              <w:widowControl/>
              <w:suppressLineNumbers w:val="0"/>
              <w:spacing w:before="0" w:beforeAutospacing="0" w:after="0" w:afterAutospacing="0"/>
              <w:ind w:left="0" w:right="0"/>
              <w:jc w:val="right"/>
              <w:rPr>
                <w:rFonts w:hint="eastAsia" w:ascii="宋体" w:hAnsi="宋体" w:eastAsia="宋体" w:cs="宋体"/>
                <w:color w:val="000000"/>
                <w:sz w:val="22"/>
                <w:szCs w:val="21"/>
                <w:lang w:val="en-US"/>
              </w:rPr>
            </w:pPr>
            <w:r>
              <w:rPr>
                <w:rFonts w:hint="eastAsia" w:ascii="宋体" w:hAnsi="宋体" w:eastAsia="宋体" w:cs="宋体"/>
                <w:color w:val="000000"/>
                <w:sz w:val="22"/>
                <w:szCs w:val="21"/>
                <w:lang w:val="en-US" w:eastAsia="zh-CN" w:bidi="ar"/>
              </w:rPr>
              <w:t>24</w:t>
            </w:r>
          </w:p>
        </w:tc>
      </w:tr>
    </w:tbl>
    <w:p>
      <w:pPr>
        <w:keepNext w:val="0"/>
        <w:keepLines w:val="0"/>
        <w:widowControl/>
        <w:suppressLineNumbers w:val="0"/>
        <w:spacing w:before="0" w:beforeAutospacing="0" w:after="0" w:afterAutospacing="0" w:line="360" w:lineRule="auto"/>
        <w:ind w:left="0" w:right="0" w:firstLine="480"/>
        <w:jc w:val="both"/>
        <w:rPr>
          <w:rFonts w:hint="eastAsia" w:ascii="楷体" w:hAnsi="楷体" w:eastAsia="楷体" w:cs="宋体"/>
          <w:color w:val="000000"/>
          <w:lang w:val="en-US"/>
        </w:rPr>
      </w:pPr>
    </w:p>
    <w:p>
      <w:pPr>
        <w:keepNext w:val="0"/>
        <w:keepLines w:val="0"/>
        <w:widowControl/>
        <w:numPr>
          <w:ilvl w:val="0"/>
          <w:numId w:val="6"/>
        </w:numPr>
        <w:suppressLineNumbers w:val="0"/>
        <w:spacing w:before="0" w:beforeAutospacing="0" w:after="0" w:afterAutospacing="0" w:line="360" w:lineRule="auto"/>
        <w:ind w:left="0" w:right="0" w:firstLine="420"/>
        <w:jc w:val="both"/>
        <w:rPr>
          <w:rFonts w:hint="eastAsia" w:ascii="楷体" w:hAnsi="楷体" w:eastAsia="楷体" w:cs="宋体"/>
          <w:b/>
          <w:bCs/>
          <w:color w:val="000000"/>
          <w:lang w:val="en-US"/>
        </w:rPr>
      </w:pPr>
      <w:r>
        <w:rPr>
          <w:rFonts w:hint="eastAsia" w:ascii="楷体" w:hAnsi="楷体" w:eastAsia="楷体" w:cs="宋体"/>
          <w:color w:val="000000"/>
          <w:sz w:val="21"/>
          <w:szCs w:val="21"/>
          <w:lang w:val="en-US" w:eastAsia="zh-CN" w:bidi="ar"/>
        </w:rPr>
        <w:t>工程承包方式：</w:t>
      </w:r>
      <w:r>
        <w:rPr>
          <w:rFonts w:hint="eastAsia" w:ascii="楷体" w:hAnsi="楷体" w:eastAsia="楷体" w:cs="宋体"/>
          <w:b/>
          <w:bCs/>
          <w:color w:val="000000"/>
          <w:sz w:val="21"/>
          <w:szCs w:val="21"/>
          <w:lang w:val="en-US" w:eastAsia="zh-CN" w:bidi="ar"/>
        </w:rPr>
        <w:t>包工包料</w:t>
      </w: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宋体"/>
          <w:b/>
          <w:bCs/>
          <w:color w:val="000000"/>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宋体"/>
          <w:b/>
          <w:bCs/>
          <w:color w:val="000000"/>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宋体"/>
          <w:b/>
          <w:bCs w:val="0"/>
          <w:color w:val="000000"/>
          <w:lang w:val="en-US"/>
        </w:rPr>
      </w:pPr>
      <w:r>
        <w:rPr>
          <w:rFonts w:hint="eastAsia" w:ascii="楷体" w:hAnsi="楷体" w:eastAsia="楷体" w:cs="楷体"/>
          <w:b/>
          <w:bCs w:val="0"/>
          <w:sz w:val="21"/>
          <w:szCs w:val="21"/>
          <w:lang w:val="en-US" w:eastAsia="zh-CN" w:bidi="ar"/>
        </w:rPr>
        <w:t>附件二：</w:t>
      </w:r>
    </w:p>
    <w:p>
      <w:pPr>
        <w:keepNext w:val="0"/>
        <w:keepLines w:val="0"/>
        <w:widowControl/>
        <w:suppressLineNumbers w:val="0"/>
        <w:spacing w:before="0" w:beforeAutospacing="0" w:after="0" w:afterAutospacing="0" w:line="360" w:lineRule="auto"/>
        <w:ind w:left="793" w:right="0" w:hanging="316"/>
        <w:jc w:val="center"/>
        <w:rPr>
          <w:rFonts w:hint="eastAsia" w:ascii="楷体" w:hAnsi="楷体" w:eastAsia="楷体" w:cs="宋体"/>
          <w:b/>
          <w:bCs w:val="0"/>
          <w:color w:val="000000"/>
          <w:lang w:val="en-US"/>
        </w:rPr>
      </w:pPr>
      <w:r>
        <w:rPr>
          <w:rFonts w:hint="eastAsia" w:ascii="楷体" w:hAnsi="楷体" w:eastAsia="楷体" w:cs="宋体"/>
          <w:b/>
          <w:bCs w:val="0"/>
          <w:color w:val="000000"/>
          <w:sz w:val="21"/>
          <w:szCs w:val="21"/>
          <w:lang w:val="en-US" w:eastAsia="zh-CN" w:bidi="ar"/>
        </w:rPr>
        <w:t>合同工期及质量标准</w:t>
      </w:r>
    </w:p>
    <w:p>
      <w:pPr>
        <w:keepNext w:val="0"/>
        <w:keepLines w:val="0"/>
        <w:widowControl/>
        <w:suppressLineNumbers w:val="0"/>
        <w:spacing w:before="0" w:beforeAutospacing="0" w:after="0" w:afterAutospacing="0" w:line="360" w:lineRule="auto"/>
        <w:ind w:left="793" w:right="0" w:hanging="316"/>
        <w:jc w:val="center"/>
        <w:rPr>
          <w:rFonts w:hint="eastAsia" w:ascii="楷体" w:hAnsi="楷体" w:eastAsia="楷体" w:cs="宋体"/>
          <w:b/>
          <w:bCs w:val="0"/>
          <w:color w:val="000000"/>
          <w:lang w:val="en-US"/>
        </w:rPr>
      </w:pP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1. 合同工期</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u w:val="single"/>
          <w:lang w:val="en-US"/>
        </w:rPr>
      </w:pPr>
      <w:r>
        <w:rPr>
          <w:rFonts w:hint="eastAsia" w:ascii="楷体" w:hAnsi="楷体" w:eastAsia="楷体" w:cs="宋体"/>
          <w:color w:val="000000"/>
          <w:sz w:val="21"/>
          <w:szCs w:val="21"/>
          <w:lang w:val="en-US" w:eastAsia="zh-CN" w:bidi="ar"/>
        </w:rPr>
        <w:t>开工日期：</w:t>
      </w:r>
      <w:r>
        <w:rPr>
          <w:rFonts w:hint="eastAsia" w:ascii="楷体" w:hAnsi="楷体" w:eastAsia="楷体" w:cs="宋体"/>
          <w:color w:val="000000"/>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u w:val="single"/>
          <w:lang w:val="en-US"/>
        </w:rPr>
      </w:pPr>
      <w:r>
        <w:rPr>
          <w:rFonts w:hint="eastAsia" w:ascii="楷体" w:hAnsi="楷体" w:eastAsia="楷体" w:cs="宋体"/>
          <w:color w:val="000000"/>
          <w:sz w:val="21"/>
          <w:szCs w:val="21"/>
          <w:lang w:val="en-US" w:eastAsia="zh-CN" w:bidi="ar"/>
        </w:rPr>
        <w:t>竣工日期：</w:t>
      </w:r>
      <w:r>
        <w:rPr>
          <w:rFonts w:hint="eastAsia" w:ascii="楷体" w:hAnsi="楷体" w:eastAsia="楷体" w:cs="宋体"/>
          <w:color w:val="000000"/>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合同工期20天。</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2. 质量标准：</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本工程质量应达到国家、地方或专业的质量检验标准、设计标准。</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lang w:val="en-US"/>
        </w:rPr>
      </w:pPr>
    </w:p>
    <w:p>
      <w:pPr>
        <w:keepNext w:val="0"/>
        <w:keepLines w:val="0"/>
        <w:widowControl/>
        <w:suppressLineNumbers w:val="0"/>
        <w:spacing w:before="0" w:beforeAutospacing="0" w:after="0" w:afterAutospacing="0"/>
        <w:ind w:left="0" w:right="0"/>
        <w:jc w:val="both"/>
        <w:rPr>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b/>
          <w:bCs w:val="0"/>
          <w:lang w:val="en-US"/>
        </w:rPr>
      </w:pPr>
      <w:r>
        <w:rPr>
          <w:rFonts w:hint="eastAsia" w:ascii="楷体" w:hAnsi="楷体" w:eastAsia="楷体" w:cs="楷体"/>
          <w:b/>
          <w:bCs w:val="0"/>
          <w:sz w:val="21"/>
          <w:szCs w:val="21"/>
          <w:lang w:val="en-US" w:eastAsia="zh-CN" w:bidi="ar"/>
        </w:rPr>
        <w:t>附件三：</w:t>
      </w:r>
    </w:p>
    <w:p>
      <w:pPr>
        <w:keepNext w:val="0"/>
        <w:keepLines w:val="0"/>
        <w:widowControl/>
        <w:suppressLineNumbers w:val="0"/>
        <w:spacing w:before="0" w:beforeAutospacing="0" w:after="0" w:afterAutospacing="0" w:line="360" w:lineRule="auto"/>
        <w:ind w:left="482" w:right="0" w:firstLine="480"/>
        <w:jc w:val="both"/>
        <w:rPr>
          <w:rFonts w:hint="eastAsia" w:ascii="楷体" w:hAnsi="楷体" w:eastAsia="楷体" w:cs="宋体"/>
          <w:b/>
          <w:bCs w:val="0"/>
          <w:color w:val="000000"/>
          <w:lang w:val="en-US"/>
        </w:rPr>
      </w:pPr>
    </w:p>
    <w:p>
      <w:pPr>
        <w:keepNext w:val="0"/>
        <w:keepLines w:val="0"/>
        <w:widowControl/>
        <w:suppressLineNumbers w:val="0"/>
        <w:spacing w:before="0" w:beforeAutospacing="0" w:after="0" w:afterAutospacing="0" w:line="360" w:lineRule="auto"/>
        <w:ind w:left="793" w:right="0" w:hanging="316"/>
        <w:jc w:val="center"/>
        <w:rPr>
          <w:rFonts w:hint="eastAsia" w:ascii="楷体" w:hAnsi="楷体" w:eastAsia="楷体" w:cs="宋体"/>
          <w:b/>
          <w:bCs w:val="0"/>
          <w:color w:val="000000"/>
          <w:lang w:val="en-US"/>
        </w:rPr>
      </w:pPr>
      <w:r>
        <w:rPr>
          <w:rFonts w:hint="eastAsia" w:ascii="楷体" w:hAnsi="楷体" w:eastAsia="楷体" w:cs="宋体"/>
          <w:b/>
          <w:bCs w:val="0"/>
          <w:color w:val="000000"/>
          <w:sz w:val="21"/>
          <w:szCs w:val="21"/>
          <w:lang w:val="en-US" w:eastAsia="zh-CN" w:bidi="ar"/>
        </w:rPr>
        <w:t>付款</w:t>
      </w:r>
    </w:p>
    <w:p>
      <w:pPr>
        <w:keepNext w:val="0"/>
        <w:keepLines w:val="0"/>
        <w:widowControl/>
        <w:suppressLineNumbers w:val="0"/>
        <w:spacing w:before="0" w:beforeAutospacing="0" w:after="0" w:afterAutospacing="0" w:line="360" w:lineRule="auto"/>
        <w:ind w:left="793" w:right="0" w:hanging="316"/>
        <w:jc w:val="center"/>
        <w:rPr>
          <w:rFonts w:hint="eastAsia" w:ascii="楷体" w:hAnsi="楷体" w:eastAsia="楷体" w:cs="宋体"/>
          <w:b/>
          <w:bCs w:val="0"/>
          <w:color w:val="000000"/>
          <w:lang w:val="en-US"/>
        </w:rPr>
      </w:pP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lang w:val="en-US"/>
        </w:rPr>
      </w:pPr>
      <w:r>
        <w:rPr>
          <w:rFonts w:hint="eastAsia" w:ascii="楷体" w:hAnsi="楷体" w:eastAsia="楷体" w:cs="楷体"/>
          <w:sz w:val="21"/>
          <w:szCs w:val="21"/>
          <w:lang w:val="en-US" w:eastAsia="zh-CN" w:bidi="ar"/>
        </w:rPr>
        <w:t>1. 本合同使用货币种类为人民币。</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lang w:val="en-US"/>
        </w:rPr>
      </w:pPr>
      <w:r>
        <w:rPr>
          <w:rFonts w:hint="eastAsia" w:ascii="楷体" w:hAnsi="楷体" w:eastAsia="楷体" w:cs="楷体"/>
          <w:sz w:val="21"/>
          <w:szCs w:val="21"/>
          <w:lang w:val="en-US" w:eastAsia="zh-CN" w:bidi="ar"/>
        </w:rPr>
        <w:t>2. 付款方式：转账。双方采用转账方式付款的，发包人应向承包人以下账户进行付费：</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u w:val="single"/>
          <w:lang w:val="en-US"/>
        </w:rPr>
      </w:pPr>
      <w:r>
        <w:rPr>
          <w:rFonts w:hint="eastAsia" w:ascii="楷体" w:hAnsi="楷体" w:eastAsia="楷体" w:cs="楷体"/>
          <w:sz w:val="21"/>
          <w:szCs w:val="21"/>
          <w:lang w:val="en-US" w:eastAsia="zh-CN" w:bidi="ar"/>
        </w:rPr>
        <w:tab/>
      </w:r>
      <w:r>
        <w:rPr>
          <w:rFonts w:hint="eastAsia" w:ascii="楷体" w:hAnsi="楷体" w:eastAsia="楷体" w:cs="楷体"/>
          <w:sz w:val="21"/>
          <w:szCs w:val="21"/>
          <w:lang w:val="en-US" w:eastAsia="zh-CN" w:bidi="ar"/>
        </w:rPr>
        <w:t>承包人：</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u w:val="single"/>
          <w:lang w:val="en-US"/>
        </w:rPr>
      </w:pPr>
      <w:r>
        <w:rPr>
          <w:rFonts w:hint="eastAsia" w:ascii="楷体" w:hAnsi="楷体" w:eastAsia="楷体" w:cs="楷体"/>
          <w:sz w:val="21"/>
          <w:szCs w:val="21"/>
          <w:lang w:val="en-US" w:eastAsia="zh-CN" w:bidi="ar"/>
        </w:rPr>
        <w:tab/>
      </w:r>
      <w:r>
        <w:rPr>
          <w:rFonts w:hint="eastAsia" w:ascii="楷体" w:hAnsi="楷体" w:eastAsia="楷体" w:cs="楷体"/>
          <w:sz w:val="21"/>
          <w:szCs w:val="21"/>
          <w:lang w:val="en-US" w:eastAsia="zh-CN" w:bidi="ar"/>
        </w:rPr>
        <w:t>开户行：</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u w:val="single"/>
          <w:lang w:val="en-US"/>
        </w:rPr>
      </w:pPr>
      <w:r>
        <w:rPr>
          <w:rFonts w:hint="eastAsia" w:ascii="楷体" w:hAnsi="楷体" w:eastAsia="楷体" w:cs="楷体"/>
          <w:sz w:val="21"/>
          <w:szCs w:val="21"/>
          <w:lang w:val="en-US" w:eastAsia="zh-CN" w:bidi="ar"/>
        </w:rPr>
        <w:tab/>
      </w:r>
      <w:r>
        <w:rPr>
          <w:rFonts w:hint="eastAsia" w:ascii="楷体" w:hAnsi="楷体" w:eastAsia="楷体" w:cs="楷体"/>
          <w:sz w:val="21"/>
          <w:szCs w:val="21"/>
          <w:lang w:val="en-US" w:eastAsia="zh-CN" w:bidi="ar"/>
        </w:rPr>
        <w:t>账户名称：</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u w:val="single"/>
          <w:lang w:val="en-US"/>
        </w:rPr>
      </w:pPr>
      <w:r>
        <w:rPr>
          <w:rFonts w:hint="eastAsia" w:ascii="楷体" w:hAnsi="楷体" w:eastAsia="楷体" w:cs="楷体"/>
          <w:sz w:val="21"/>
          <w:szCs w:val="21"/>
          <w:lang w:val="en-US" w:eastAsia="zh-CN" w:bidi="ar"/>
        </w:rPr>
        <w:tab/>
      </w:r>
      <w:r>
        <w:rPr>
          <w:rFonts w:hint="eastAsia" w:ascii="楷体" w:hAnsi="楷体" w:eastAsia="楷体" w:cs="楷体"/>
          <w:sz w:val="21"/>
          <w:szCs w:val="21"/>
          <w:lang w:val="en-US" w:eastAsia="zh-CN" w:bidi="ar"/>
        </w:rPr>
        <w:t>账号：</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楷体"/>
          <w:lang w:val="en-US"/>
        </w:rPr>
      </w:pPr>
      <w:r>
        <w:rPr>
          <w:rFonts w:hint="eastAsia" w:ascii="楷体" w:hAnsi="楷体" w:eastAsia="楷体" w:cs="楷体"/>
          <w:sz w:val="21"/>
          <w:szCs w:val="21"/>
          <w:lang w:val="en-US" w:eastAsia="zh-CN" w:bidi="ar"/>
        </w:rPr>
        <w:t>承包人如需改变上述账户，应提前10日以书面通知发包人。</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3．付款安排：</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（1）工程竣工验收合格并完成结算后，发包人在收到承包人相应金额的合法有效的增值税专用发票后</w:t>
      </w:r>
      <w:r>
        <w:rPr>
          <w:rFonts w:hint="eastAsia" w:ascii="楷体" w:hAnsi="楷体" w:eastAsia="楷体" w:cs="宋体"/>
          <w:iCs/>
          <w:color w:val="000000"/>
          <w:sz w:val="21"/>
          <w:szCs w:val="21"/>
          <w:u w:val="single"/>
          <w:lang w:val="en-US" w:eastAsia="zh-CN" w:bidi="ar"/>
        </w:rPr>
        <w:t>15</w:t>
      </w:r>
      <w:r>
        <w:rPr>
          <w:rFonts w:hint="eastAsia" w:ascii="楷体" w:hAnsi="楷体" w:eastAsia="楷体" w:cs="宋体"/>
          <w:iCs/>
          <w:color w:val="000000"/>
          <w:sz w:val="21"/>
          <w:szCs w:val="21"/>
          <w:lang w:val="en-US" w:eastAsia="zh-CN" w:bidi="ar"/>
        </w:rPr>
        <w:t>个工作日内向承包人支付到最终工程结算总价款的</w:t>
      </w:r>
      <w:r>
        <w:rPr>
          <w:rFonts w:hint="eastAsia" w:ascii="楷体" w:hAnsi="楷体" w:eastAsia="楷体" w:cs="宋体"/>
          <w:iCs/>
          <w:color w:val="000000"/>
          <w:sz w:val="21"/>
          <w:szCs w:val="21"/>
          <w:u w:val="single"/>
          <w:lang w:val="en-US" w:eastAsia="zh-CN" w:bidi="ar"/>
        </w:rPr>
        <w:t>97</w:t>
      </w:r>
      <w:r>
        <w:rPr>
          <w:rFonts w:hint="eastAsia" w:ascii="楷体" w:hAnsi="楷体" w:eastAsia="楷体" w:cs="宋体"/>
          <w:iCs/>
          <w:color w:val="000000"/>
          <w:sz w:val="21"/>
          <w:szCs w:val="21"/>
          <w:lang w:val="en-US" w:eastAsia="zh-CN" w:bidi="ar"/>
        </w:rPr>
        <w:t>%；</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iCs/>
          <w:color w:val="000000"/>
          <w:sz w:val="21"/>
          <w:szCs w:val="21"/>
          <w:lang w:val="en-US" w:eastAsia="zh-CN" w:bidi="ar"/>
        </w:rPr>
        <w:t>（2）保修金支付：双方最终工程结算总价款</w:t>
      </w:r>
      <w:r>
        <w:rPr>
          <w:rFonts w:hint="eastAsia" w:ascii="楷体" w:hAnsi="楷体" w:eastAsia="楷体" w:cs="宋体"/>
          <w:iCs/>
          <w:sz w:val="21"/>
          <w:szCs w:val="21"/>
          <w:u w:val="single"/>
          <w:lang w:val="en-US" w:eastAsia="zh-CN" w:bidi="ar"/>
        </w:rPr>
        <w:t>3</w:t>
      </w:r>
      <w:r>
        <w:rPr>
          <w:rFonts w:hint="eastAsia" w:ascii="楷体" w:hAnsi="楷体" w:eastAsia="楷体" w:cs="宋体"/>
          <w:iCs/>
          <w:color w:val="000000"/>
          <w:sz w:val="21"/>
          <w:szCs w:val="21"/>
          <w:u w:val="single"/>
          <w:lang w:val="en-US" w:eastAsia="zh-CN" w:bidi="ar"/>
        </w:rPr>
        <w:t>%</w:t>
      </w:r>
      <w:r>
        <w:rPr>
          <w:rFonts w:hint="eastAsia" w:ascii="楷体" w:hAnsi="楷体" w:eastAsia="楷体" w:cs="宋体"/>
          <w:iCs/>
          <w:color w:val="000000"/>
          <w:sz w:val="21"/>
          <w:szCs w:val="21"/>
          <w:lang w:val="en-US" w:eastAsia="zh-CN" w:bidi="ar"/>
        </w:rPr>
        <w:t>作为工程保修金，在工程验收合格且年保修期限届满后，发包人在收到承包人相应金额的增值税专用发票后</w:t>
      </w:r>
      <w:r>
        <w:rPr>
          <w:rFonts w:hint="eastAsia" w:ascii="楷体" w:hAnsi="楷体" w:eastAsia="楷体" w:cs="宋体"/>
          <w:iCs/>
          <w:sz w:val="21"/>
          <w:szCs w:val="21"/>
          <w:u w:val="single"/>
          <w:lang w:val="en-US" w:eastAsia="zh-CN" w:bidi="ar"/>
        </w:rPr>
        <w:t>15</w:t>
      </w:r>
      <w:r>
        <w:rPr>
          <w:rFonts w:hint="eastAsia" w:ascii="楷体" w:hAnsi="楷体" w:eastAsia="楷体" w:cs="宋体"/>
          <w:iCs/>
          <w:color w:val="000000"/>
          <w:sz w:val="21"/>
          <w:szCs w:val="21"/>
          <w:lang w:val="en-US" w:eastAsia="zh-CN" w:bidi="ar"/>
        </w:rPr>
        <w:t>个工作日内付清。</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4. 接通施工所需的水、电，水电费由甲方承担。</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5. 增值税专用发票的相关约定</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 xml:space="preserve">（1）乙方应向甲方开具增值税专用发票，甲方开票信息如下： </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公司名称：中国人民财产保险股份有限公司广州市分公司</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纳税识别号：91440101712412249C</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银行账号：3602000109001050402</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开户银行： 中国工商银行广州市第一支行</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开票地址：广东省广州市越秀区广州大道中303，305号101房、201房、301房、601房、701房、801房、1401房、2201房</w:t>
      </w:r>
    </w:p>
    <w:p>
      <w:pPr>
        <w:keepNext w:val="0"/>
        <w:keepLines w:val="0"/>
        <w:widowControl/>
        <w:suppressLineNumbers w:val="0"/>
        <w:spacing w:before="0" w:beforeAutospacing="0" w:after="0" w:afterAutospacing="0" w:line="360" w:lineRule="auto"/>
        <w:ind w:left="2" w:right="0" w:firstLine="420"/>
        <w:jc w:val="both"/>
        <w:rPr>
          <w:rFonts w:hint="eastAsia" w:ascii="楷体" w:hAnsi="楷体" w:eastAsia="楷体" w:cs="宋体"/>
          <w:iCs/>
          <w:color w:val="000000"/>
          <w:lang w:val="en-US"/>
        </w:rPr>
      </w:pPr>
      <w:r>
        <w:rPr>
          <w:rFonts w:hint="eastAsia" w:ascii="楷体" w:hAnsi="楷体" w:eastAsia="楷体" w:cs="宋体"/>
          <w:iCs/>
          <w:color w:val="000000"/>
          <w:sz w:val="21"/>
          <w:szCs w:val="21"/>
          <w:lang w:val="en-US" w:eastAsia="zh-CN" w:bidi="ar"/>
        </w:rPr>
        <w:t>开票电话： 020-87355255</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widowControl/>
        <w:suppressLineNumbers w:val="0"/>
        <w:spacing w:before="0" w:beforeAutospacing="0" w:after="0" w:afterAutospacing="0" w:line="360" w:lineRule="auto"/>
        <w:ind w:left="0" w:right="0"/>
        <w:jc w:val="both"/>
        <w:rPr>
          <w:rFonts w:hint="eastAsia" w:ascii="楷体_GB2312" w:hAnsi="宋体" w:eastAsia="楷体_GB2312" w:cs="楷体_GB2312"/>
          <w:lang w:val="en-US"/>
        </w:rPr>
      </w:pPr>
      <w:r>
        <w:rPr>
          <w:rFonts w:hint="eastAsia" w:ascii="楷体_GB2312" w:hAnsi="宋体" w:eastAsia="楷体_GB2312" w:cs="楷体_GB2312"/>
          <w:sz w:val="21"/>
          <w:szCs w:val="21"/>
          <w:lang w:val="en-US" w:eastAsia="zh-CN" w:bidi="ar"/>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宋体"/>
          <w:b/>
          <w:bCs w:val="0"/>
          <w:color w:val="000000"/>
          <w:lang w:val="en-US"/>
        </w:rPr>
      </w:pPr>
      <w:r>
        <w:rPr>
          <w:rFonts w:hint="eastAsia" w:ascii="楷体" w:hAnsi="楷体" w:eastAsia="楷体" w:cs="楷体"/>
          <w:b/>
          <w:bCs w:val="0"/>
          <w:sz w:val="21"/>
          <w:szCs w:val="21"/>
          <w:lang w:val="en-US" w:eastAsia="zh-CN" w:bidi="ar"/>
        </w:rPr>
        <w:t>附件四：</w:t>
      </w: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宋体"/>
          <w:b/>
          <w:bCs w:val="0"/>
          <w:color w:val="000000"/>
          <w:lang w:val="en-US"/>
        </w:rPr>
      </w:pPr>
    </w:p>
    <w:p>
      <w:pPr>
        <w:keepNext w:val="0"/>
        <w:keepLines w:val="0"/>
        <w:widowControl/>
        <w:suppressLineNumbers w:val="0"/>
        <w:spacing w:before="0" w:beforeAutospacing="0" w:after="0" w:afterAutospacing="0" w:line="360" w:lineRule="auto"/>
        <w:ind w:left="793" w:right="0" w:hanging="316"/>
        <w:jc w:val="center"/>
        <w:rPr>
          <w:rFonts w:hint="eastAsia" w:ascii="楷体" w:hAnsi="楷体" w:eastAsia="楷体" w:cs="宋体"/>
          <w:b/>
          <w:bCs w:val="0"/>
          <w:color w:val="000000"/>
          <w:lang w:val="en-US"/>
        </w:rPr>
      </w:pPr>
      <w:r>
        <w:rPr>
          <w:rFonts w:hint="eastAsia" w:ascii="楷体" w:hAnsi="楷体" w:eastAsia="楷体" w:cs="宋体"/>
          <w:b/>
          <w:bCs w:val="0"/>
          <w:color w:val="000000"/>
          <w:sz w:val="21"/>
          <w:szCs w:val="21"/>
          <w:lang w:val="en-US" w:eastAsia="zh-CN" w:bidi="ar"/>
        </w:rPr>
        <w:t>材料设备供应</w:t>
      </w:r>
    </w:p>
    <w:p>
      <w:pPr>
        <w:keepNext w:val="0"/>
        <w:keepLines w:val="0"/>
        <w:widowControl/>
        <w:suppressLineNumbers w:val="0"/>
        <w:spacing w:before="0" w:beforeAutospacing="0" w:after="0" w:afterAutospacing="0" w:line="360" w:lineRule="auto"/>
        <w:ind w:left="793" w:right="0" w:hanging="316"/>
        <w:jc w:val="center"/>
        <w:rPr>
          <w:rFonts w:hint="eastAsia" w:ascii="楷体" w:hAnsi="楷体" w:eastAsia="楷体" w:cs="宋体"/>
          <w:b/>
          <w:bCs w:val="0"/>
          <w:color w:val="000000"/>
          <w:lang w:val="en-US"/>
        </w:rPr>
      </w:pP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本工程提供的材料设备将根据施工进度计划及材料进场时间计划,及时提出材料需用计划，然后根据计划货比三家优选购置,从质量上、单价上把关,必要时通过甲方及有关部门审批。</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原材料和半成品组织上,材料质量至关重要,在采购前需先进行考察，选择信誉好、质量高、货源充足的厂家,然后向甲方进行申报，经甲方确认,进场的材料均需提供材料的质量保证书,然后在现场进行见证取样做试验,试验合格后才能用于工程施工，不合格产品须立即退货。</w:t>
      </w: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b/>
          <w:bCs w:val="0"/>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楷体"/>
          <w:b/>
          <w:bCs w:val="0"/>
          <w:lang w:val="en-US"/>
        </w:rPr>
      </w:pPr>
    </w:p>
    <w:p>
      <w:pPr>
        <w:keepNext w:val="0"/>
        <w:keepLines w:val="0"/>
        <w:widowControl/>
        <w:suppressLineNumbers w:val="0"/>
        <w:spacing w:before="0" w:beforeAutospacing="0" w:after="0" w:afterAutospacing="0" w:line="360" w:lineRule="auto"/>
        <w:ind w:left="0" w:right="0"/>
        <w:jc w:val="both"/>
        <w:rPr>
          <w:rFonts w:hint="eastAsia" w:ascii="楷体" w:hAnsi="楷体" w:eastAsia="楷体" w:cs="宋体"/>
          <w:b/>
          <w:bCs w:val="0"/>
          <w:color w:val="000000"/>
          <w:lang w:val="en-US"/>
        </w:rPr>
      </w:pPr>
      <w:r>
        <w:rPr>
          <w:rFonts w:hint="eastAsia" w:ascii="楷体" w:hAnsi="楷体" w:eastAsia="楷体" w:cs="楷体"/>
          <w:b/>
          <w:bCs w:val="0"/>
          <w:sz w:val="21"/>
          <w:szCs w:val="21"/>
          <w:lang w:val="en-US" w:eastAsia="zh-CN" w:bidi="ar"/>
        </w:rPr>
        <w:t>附件五：</w:t>
      </w:r>
    </w:p>
    <w:p>
      <w:pPr>
        <w:keepNext w:val="0"/>
        <w:keepLines w:val="0"/>
        <w:widowControl/>
        <w:suppressLineNumbers w:val="0"/>
        <w:spacing w:before="0" w:beforeAutospacing="0" w:after="0" w:afterAutospacing="0" w:line="360" w:lineRule="auto"/>
        <w:ind w:left="0" w:right="0"/>
        <w:jc w:val="center"/>
        <w:rPr>
          <w:rFonts w:hint="eastAsia" w:ascii="楷体" w:hAnsi="楷体" w:eastAsia="楷体" w:cs="宋体"/>
          <w:b/>
          <w:bCs w:val="0"/>
          <w:color w:val="000000"/>
          <w:lang w:val="en-US"/>
        </w:rPr>
      </w:pPr>
      <w:r>
        <w:rPr>
          <w:rFonts w:hint="eastAsia" w:ascii="楷体" w:hAnsi="楷体" w:eastAsia="楷体" w:cs="宋体"/>
          <w:b/>
          <w:bCs w:val="0"/>
          <w:color w:val="000000"/>
          <w:sz w:val="21"/>
          <w:szCs w:val="21"/>
          <w:lang w:val="en-US" w:eastAsia="zh-CN" w:bidi="ar"/>
        </w:rPr>
        <w:t>保修</w:t>
      </w:r>
    </w:p>
    <w:p>
      <w:pPr>
        <w:keepNext w:val="0"/>
        <w:keepLines w:val="0"/>
        <w:widowControl/>
        <w:suppressLineNumbers w:val="0"/>
        <w:spacing w:before="0" w:beforeAutospacing="0" w:after="0" w:afterAutospacing="0" w:line="360" w:lineRule="auto"/>
        <w:ind w:left="0" w:right="0"/>
        <w:jc w:val="center"/>
        <w:rPr>
          <w:rFonts w:hint="eastAsia" w:ascii="楷体" w:hAnsi="楷体" w:eastAsia="楷体" w:cs="楷体"/>
          <w:lang w:val="en-US"/>
        </w:rPr>
      </w:pP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1. 本合同工程保修期限为</w:t>
      </w:r>
      <w:r>
        <w:rPr>
          <w:rFonts w:hint="eastAsia" w:ascii="楷体" w:hAnsi="楷体" w:eastAsia="楷体" w:cs="宋体"/>
          <w:b/>
          <w:bCs w:val="0"/>
          <w:color w:val="000000"/>
          <w:sz w:val="21"/>
          <w:szCs w:val="21"/>
          <w:lang w:val="en-US" w:eastAsia="zh-CN" w:bidi="ar"/>
        </w:rPr>
        <w:t>2</w:t>
      </w:r>
      <w:r>
        <w:rPr>
          <w:rFonts w:hint="eastAsia" w:ascii="楷体" w:hAnsi="楷体" w:eastAsia="楷体" w:cs="宋体"/>
          <w:color w:val="000000"/>
          <w:sz w:val="21"/>
          <w:szCs w:val="21"/>
          <w:lang w:val="en-US" w:eastAsia="zh-CN" w:bidi="ar"/>
        </w:rPr>
        <w:t>年，自工程竣工验收合格之日起计算。</w:t>
      </w:r>
    </w:p>
    <w:p>
      <w:pPr>
        <w:keepNext w:val="0"/>
        <w:keepLines w:val="0"/>
        <w:widowControl/>
        <w:suppressLineNumbers w:val="0"/>
        <w:spacing w:before="0" w:beforeAutospacing="0" w:after="0" w:afterAutospacing="0" w:line="360" w:lineRule="auto"/>
        <w:ind w:left="0" w:right="0" w:firstLine="420"/>
        <w:jc w:val="both"/>
        <w:rPr>
          <w:rFonts w:hint="eastAsia" w:ascii="楷体" w:hAnsi="楷体" w:eastAsia="楷体" w:cs="宋体"/>
          <w:color w:val="000000"/>
          <w:lang w:val="en-US"/>
        </w:rPr>
      </w:pPr>
      <w:r>
        <w:rPr>
          <w:rFonts w:hint="eastAsia" w:ascii="楷体" w:hAnsi="楷体" w:eastAsia="楷体" w:cs="宋体"/>
          <w:color w:val="000000"/>
          <w:sz w:val="21"/>
          <w:szCs w:val="21"/>
          <w:lang w:val="en-US" w:eastAsia="zh-CN" w:bidi="ar"/>
        </w:rPr>
        <w:t>2. 保修期内承包人应在接到发包人修理或维护通知后在发包人指定的合理时间内派人修理维护，承包人不能在指定时间内进行修理或维护的，发包人可以自行或另行委托第三方进行修复，所发生的费用从保修金内扣除，不足部分由承包人向发包人另行支付。承包人不按本合同约定履行修理或维护义务的，应承担违约责任。</w:t>
      </w:r>
    </w:p>
    <w:p>
      <w:pPr>
        <w:keepNext w:val="0"/>
        <w:keepLines w:val="0"/>
        <w:widowControl/>
        <w:suppressLineNumbers w:val="0"/>
        <w:spacing w:before="0" w:beforeAutospacing="0" w:after="0" w:afterAutospacing="0"/>
        <w:ind w:left="0" w:right="0"/>
        <w:jc w:val="both"/>
        <w:rPr>
          <w:lang w:val="en-US"/>
        </w:rPr>
      </w:pPr>
    </w:p>
    <w:p>
      <w:pPr>
        <w:keepNext w:val="0"/>
        <w:keepLines w:val="0"/>
        <w:widowControl/>
        <w:suppressLineNumbers w:val="0"/>
        <w:spacing w:before="0" w:beforeAutospacing="0" w:after="240" w:afterAutospacing="0"/>
        <w:ind w:left="0" w:right="0"/>
        <w:jc w:val="left"/>
        <w:rPr>
          <w:lang w:val="en-US"/>
        </w:rPr>
      </w:pPr>
      <w:r>
        <w:rPr>
          <w:rFonts w:hint="eastAsia" w:ascii="宋体" w:hAnsi="宋体" w:eastAsia="宋体" w:cs="宋体"/>
          <w:sz w:val="28"/>
          <w:szCs w:val="28"/>
          <w:lang w:val="en-US" w:eastAsia="zh-CN" w:bidi="ar"/>
        </w:rPr>
        <w:br w:type="textWrapping"/>
      </w:r>
      <w:r>
        <w:rPr>
          <w:rFonts w:hint="eastAsia" w:ascii="宋体" w:hAnsi="宋体" w:eastAsia="宋体" w:cs="宋体"/>
          <w:sz w:val="28"/>
          <w:szCs w:val="28"/>
          <w:lang w:val="en-US" w:eastAsia="zh-CN" w:bidi="ar"/>
        </w:rPr>
        <w:br w:type="textWrapping"/>
      </w:r>
    </w:p>
    <w:p>
      <w:pPr>
        <w:rPr>
          <w:rFonts w:ascii="仿宋" w:hAnsi="仿宋" w:eastAsia="仿宋" w:cs="仿宋"/>
          <w:sz w:val="28"/>
          <w:szCs w:val="28"/>
        </w:rPr>
      </w:pPr>
      <w:r>
        <w:rPr>
          <w:rFonts w:hint="eastAsia" w:ascii="仿宋" w:hAnsi="仿宋" w:eastAsia="仿宋" w:cs="仿宋"/>
          <w:sz w:val="28"/>
          <w:szCs w:val="28"/>
        </w:rPr>
        <w:br w:type="page" w:clear="all"/>
      </w:r>
    </w:p>
    <w:p>
      <w:pPr>
        <w:pStyle w:val="3"/>
        <w:spacing w:before="0" w:after="0" w:line="360" w:lineRule="auto"/>
        <w:jc w:val="center"/>
        <w:rPr>
          <w:rFonts w:ascii="仿宋" w:hAnsi="仿宋" w:eastAsia="仿宋" w:cs="仿宋"/>
          <w:color w:val="000000"/>
          <w:sz w:val="28"/>
          <w:szCs w:val="28"/>
        </w:rPr>
      </w:pPr>
      <w:bookmarkStart w:id="149" w:name="_Toc3533"/>
      <w:r>
        <w:rPr>
          <w:rFonts w:hint="eastAsia" w:ascii="仿宋" w:hAnsi="仿宋" w:eastAsia="仿宋" w:cs="仿宋"/>
          <w:color w:val="000000"/>
          <w:sz w:val="28"/>
          <w:szCs w:val="28"/>
        </w:rPr>
        <w:t xml:space="preserve">第五章 </w:t>
      </w:r>
      <w:bookmarkEnd w:id="143"/>
      <w:bookmarkEnd w:id="144"/>
      <w:bookmarkEnd w:id="145"/>
      <w:bookmarkEnd w:id="146"/>
      <w:bookmarkEnd w:id="147"/>
      <w:r>
        <w:rPr>
          <w:rFonts w:hint="eastAsia" w:ascii="仿宋" w:hAnsi="仿宋" w:eastAsia="仿宋" w:cs="仿宋"/>
          <w:color w:val="000000"/>
          <w:sz w:val="28"/>
          <w:szCs w:val="28"/>
        </w:rPr>
        <w:t>采购需求</w:t>
      </w:r>
      <w:bookmarkEnd w:id="148"/>
      <w:bookmarkEnd w:id="149"/>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1"/>
        <w:rPr>
          <w:rFonts w:ascii="Calibri" w:hAnsi="Calibri" w:eastAsia="Calibri" w:cs="Calibri"/>
          <w:sz w:val="21"/>
        </w:rPr>
      </w:pPr>
      <w:r>
        <w:rPr>
          <w:rFonts w:ascii="黑体" w:hAnsi="黑体" w:eastAsia="黑体" w:cs="黑体"/>
          <w:color w:val="000000"/>
          <w:sz w:val="28"/>
        </w:rPr>
        <w:t>一、项目背景</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（一）建设工程项目概况</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由于支公司业务正处于快速发展阶段，自有职场国际银行中心1301-1308房仅588平方米无法满足支公司六十余人办公需求，缺少会议室、储物室、活动室等基础功能区域。为加快支公司高质量发展步伐，满足多个业务团队在同一职场合署办公及职场优化的需求，为员工创造更加便捷的工作环境，优化调整室内布局，经上报省公司批复同意，金融街营业部新租入国际银行中心9楼905-911/911-1/911-2房（自编910-911室）作为营业职场。新租入职场间隔断较多，颜色风格不一、地板磨损陈旧，天花板残缺、墙体剥落等情况，不适合销售团队正常办公。为了更加有利于工作开展，同时也给员工创造一个舒适、高效的办公环境，金融街营业部拟对该职场进行一系列必要的基础性局部修缮与改造工作，包括但不限于室内布局优化调整、墙面修复、天花修补、照明修缮、网络安全与信息化建设等。</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质量目标：符合设计要求；确保材料质量符合国家标准；满足使用需求；设备安装牢固且功能正常；确保装修材料及施工工艺具有良好的耐用性，降低后期维护成本。</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工期目标：合理规划并根据实际情况及时调整，确保20天内完成。</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安全目标：确保装修工程不破坏原有建筑结构的安全性，包括承重结构、墙体、地面等的稳定性；严格遵守施工安全规范，采取必要的安全防护措施，确保施工人员的人身安全；装修材料应符合国家防火标准，确保工程具备良好的防火性能。</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环保目标：选择符合国家环保标准的装修材料，避免使用有害物质，确保室内空气质量；在施工过程中采取环保措施，减少噪音、扬尘等污染，降低对环境的影响；鼓励使用节能材料和技术，降低能耗，减少污染物排放。</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1"/>
        <w:rPr>
          <w:rFonts w:ascii="Calibri" w:hAnsi="Calibri" w:eastAsia="Calibri" w:cs="Calibri"/>
          <w:sz w:val="21"/>
        </w:rPr>
      </w:pPr>
      <w:r>
        <w:rPr>
          <w:rFonts w:hint="eastAsia" w:ascii="黑体" w:hAnsi="黑体" w:eastAsia="黑体" w:cs="黑体"/>
          <w:color w:val="000000"/>
          <w:sz w:val="28"/>
          <w:lang w:val="en-US" w:eastAsia="zh-CN"/>
        </w:rPr>
        <w:t>二</w:t>
      </w:r>
      <w:r>
        <w:rPr>
          <w:rFonts w:ascii="黑体" w:hAnsi="黑体" w:eastAsia="黑体" w:cs="黑体"/>
          <w:color w:val="000000"/>
          <w:sz w:val="28"/>
        </w:rPr>
        <w:t>、采购施工项目需求</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（一）施工范围</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拟装修区域包含：办公区、会议区、经理办公间。具体如下：</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1.办公区包含员工公共办公区、会议培训室、开放式经理办公间；</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2.电线电路、网络设备。</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装修工程包含以下专业工程：</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土建工程：涉及进场后的拆墙、砌墙，以及开凿线槽等基础改造工作 。</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水电工程：包含强电和弱电线路的铺设，以及冷热水管的安装，还涉及到相关电器设备和插座的安装调试等。</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墙顶工程：有墙面顶面的刮灰找平打磨、墙面粉刷乳胶漆等，还包括一些墙面的装饰工程，如壁纸铺贴、软包等。</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木作工程：包括局部吊顶、各类木质柜体的设计制作，如一些木饰面板的粘贴和线条制作安装等。</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泥水工程：主要是墙地砖的安装，墙顶地的找平，还有厨卫等区域的防水防潮处理，以及包下水道等工程。</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门窗工程：涵盖门窗的选择、安装，以及门框、门扇、窗框、窗户等的装饰，需考虑隔音、隔热、防盗等功能。</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弱电工程：涉及网络布线、电话线路铺设、监控系统安装、门禁系统等，满足职场的通讯、安全监控和人员出入管理等需求。</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照明工程：包含灯具的选择、安装和照明系统的设计，营造舒适、明亮且符合工作需求的光环境，同时兼顾节能和美观。</w:t>
      </w:r>
    </w:p>
    <w:p>
      <w:pPr>
        <w:numPr>
          <w:ilvl w:val="0"/>
          <w:numId w:val="7"/>
        </w:numPr>
        <w:pBdr>
          <w:top w:val="none" w:color="000000" w:sz="0" w:space="0"/>
          <w:left w:val="none" w:color="000000" w:sz="0" w:space="0"/>
          <w:bottom w:val="none" w:color="000000" w:sz="0" w:space="0"/>
          <w:right w:val="none" w:color="000000" w:sz="0" w:space="0"/>
        </w:pBdr>
        <w:spacing w:line="600" w:lineRule="atLeast"/>
        <w:jc w:val="both"/>
        <w:rPr>
          <w:rFonts w:ascii="Calibri" w:hAnsi="Calibri" w:eastAsia="Calibri" w:cs="Calibri"/>
          <w:sz w:val="21"/>
        </w:rPr>
      </w:pPr>
      <w:r>
        <w:rPr>
          <w:rFonts w:ascii="FangSong_GB2312" w:hAnsi="FangSong_GB2312" w:eastAsia="FangSong_GB2312" w:cs="FangSong_GB2312"/>
          <w:color w:val="000000"/>
          <w:sz w:val="28"/>
        </w:rPr>
        <w:t>工期及关键施工节点计划要求</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工期20天（开工、竣工日期最终以采购进度为准）。</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关键施工节点计划要求：确保20天内完成对金融街营业部国银中心9楼职场的装修改造。</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（三）施工合同条件</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装修合同详见附件1：建设工程施工合同 (金融街营业部国银中心9楼职场装修工程采购）。分公司法律部同意此采购方案中的合同条款，审核意见详见附件2：装修合同模板法审意见。</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（四）招标控制价</w:t>
      </w:r>
      <w:r>
        <w:rPr>
          <w:rFonts w:ascii="FangSong_GB2312" w:hAnsi="FangSong_GB2312" w:eastAsia="FangSong_GB2312" w:cs="FangSong_GB2312"/>
          <w:color w:val="000000"/>
          <w:sz w:val="28"/>
          <w:u w:val="single"/>
        </w:rPr>
        <w:t>9.73</w:t>
      </w:r>
      <w:r>
        <w:rPr>
          <w:rFonts w:ascii="FangSong_GB2312" w:hAnsi="FangSong_GB2312" w:eastAsia="FangSong_GB2312" w:cs="FangSong_GB2312"/>
          <w:color w:val="000000"/>
          <w:sz w:val="28"/>
        </w:rPr>
        <w:t>万元</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造价咨询单位：广州市筑觉装饰工程有限公司；造价工程师：张宏超</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编制依据：施工图纸</w:t>
      </w:r>
      <w:r>
        <w:rPr>
          <w:rFonts w:ascii="FangSong_GB2312" w:hAnsi="FangSong_GB2312" w:eastAsia="FangSong_GB2312" w:cs="FangSong_GB2312"/>
          <w:color w:val="FF0000"/>
          <w:sz w:val="28"/>
        </w:rPr>
        <w:t>、《广东省建设工程计价依据（2018）》</w:t>
      </w:r>
      <w:r>
        <w:rPr>
          <w:rFonts w:ascii="FangSong_GB2312" w:hAnsi="FangSong_GB2312" w:eastAsia="FangSong_GB2312" w:cs="FangSong_GB2312"/>
          <w:color w:val="000000"/>
          <w:sz w:val="28"/>
        </w:rPr>
        <w:t>、施工方案、市场价格等。</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组成明细详见附件3：金融街营业部国际银行中心9F办公场地装修工程（综合预算书）。需求归口部门金融街营业部综合部已审核同意，并经省地上级归口部门终审，同意按此方案实施，审核意见详见附件</w:t>
      </w:r>
      <w:r>
        <w:rPr>
          <w:rFonts w:ascii="FangSong_GB2312" w:hAnsi="FangSong_GB2312" w:eastAsia="FangSong_GB2312" w:cs="FangSong_GB2312"/>
          <w:color w:val="FF0000"/>
          <w:sz w:val="28"/>
        </w:rPr>
        <w:t>4：</w:t>
      </w:r>
      <w:r>
        <w:rPr>
          <w:rFonts w:hint="eastAsia" w:ascii="仿宋_GB2312" w:hAnsi="仿宋_GB2312" w:eastAsia="仿宋_GB2312" w:cs="仿宋_GB2312"/>
          <w:color w:val="FF0000"/>
          <w:sz w:val="28"/>
          <w:szCs w:val="24"/>
        </w:rPr>
        <w:t>国银中心9楼职场装修项目批复意见</w:t>
      </w:r>
      <w:r>
        <w:rPr>
          <w:rFonts w:ascii="FangSong_GB2312" w:hAnsi="FangSong_GB2312" w:eastAsia="FangSong_GB2312" w:cs="FangSong_GB2312"/>
          <w:color w:val="000000"/>
          <w:sz w:val="28"/>
        </w:rPr>
        <w:t>。</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（五）合同价款形式和付款安排</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合同价款形式为总价合同。</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（1）工程竣工验收合格并完成结算后，发包人在收到承包人相应金额的合法有效的增值税专用发票后</w:t>
      </w:r>
      <w:r>
        <w:rPr>
          <w:rFonts w:ascii="FangSong_GB2312" w:hAnsi="FangSong_GB2312" w:eastAsia="FangSong_GB2312" w:cs="FangSong_GB2312"/>
          <w:color w:val="000000"/>
          <w:sz w:val="28"/>
          <w:u w:val="single"/>
        </w:rPr>
        <w:t xml:space="preserve"> 15 </w:t>
      </w:r>
      <w:r>
        <w:rPr>
          <w:rFonts w:ascii="FangSong_GB2312" w:hAnsi="FangSong_GB2312" w:eastAsia="FangSong_GB2312" w:cs="FangSong_GB2312"/>
          <w:color w:val="000000"/>
          <w:sz w:val="28"/>
        </w:rPr>
        <w:t>个工作日内向承包人支付到最终工程结算总价款的</w:t>
      </w:r>
      <w:r>
        <w:rPr>
          <w:rFonts w:ascii="FangSong_GB2312" w:hAnsi="FangSong_GB2312" w:eastAsia="FangSong_GB2312" w:cs="FangSong_GB2312"/>
          <w:color w:val="000000"/>
          <w:sz w:val="28"/>
          <w:u w:val="single"/>
        </w:rPr>
        <w:t xml:space="preserve"> 97</w:t>
      </w:r>
      <w:r>
        <w:rPr>
          <w:rFonts w:ascii="FangSong_GB2312" w:hAnsi="FangSong_GB2312" w:eastAsia="FangSong_GB2312" w:cs="FangSong_GB2312"/>
          <w:color w:val="000000"/>
          <w:sz w:val="28"/>
        </w:rPr>
        <w:t xml:space="preserve"> %；</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（2）保修金支付：双方最终工程结算总价款的</w:t>
      </w:r>
      <w:r>
        <w:rPr>
          <w:rFonts w:ascii="FangSong_GB2312" w:hAnsi="FangSong_GB2312" w:eastAsia="FangSong_GB2312" w:cs="FangSong_GB2312"/>
          <w:color w:val="000000"/>
          <w:sz w:val="28"/>
          <w:u w:val="single"/>
        </w:rPr>
        <w:t xml:space="preserve"> 3 </w:t>
      </w:r>
      <w:r>
        <w:rPr>
          <w:rFonts w:ascii="FangSong_GB2312" w:hAnsi="FangSong_GB2312" w:eastAsia="FangSong_GB2312" w:cs="FangSong_GB2312"/>
          <w:color w:val="000000"/>
          <w:sz w:val="28"/>
        </w:rPr>
        <w:t>%作为工程保修金，在工程验收合格且年保修期限届满后，发包人在收到承包人相应金额的增值税专用发票后</w:t>
      </w:r>
      <w:r>
        <w:rPr>
          <w:rFonts w:ascii="FangSong_GB2312" w:hAnsi="FangSong_GB2312" w:eastAsia="FangSong_GB2312" w:cs="FangSong_GB2312"/>
          <w:color w:val="000000"/>
          <w:sz w:val="28"/>
          <w:u w:val="single"/>
        </w:rPr>
        <w:t xml:space="preserve"> 15 </w:t>
      </w:r>
      <w:r>
        <w:rPr>
          <w:rFonts w:ascii="FangSong_GB2312" w:hAnsi="FangSong_GB2312" w:eastAsia="FangSong_GB2312" w:cs="FangSong_GB2312"/>
          <w:color w:val="000000"/>
          <w:sz w:val="28"/>
        </w:rPr>
        <w:t>个工作日内付清。</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（六）工程量清单和投标报价要求</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造价咨询单位：广州市筑觉装饰工程有限公司；造价工程师：张宏超</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本工程量清单根据施工图设计编制并符合《建设工程工程量清单计价规范》(GB50500-2013)的要求。</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工程量清单详见附件3：金融街营业部国际银行中心9F办公场地装修工程（综合预算书）。需求归口部门广州市分公司金融街营业部综合部已审核同意，并经省地上级归口部门终审，同意按此方案实施，审核意见详见附件</w:t>
      </w:r>
      <w:r>
        <w:rPr>
          <w:rFonts w:ascii="FangSong_GB2312" w:hAnsi="FangSong_GB2312" w:eastAsia="FangSong_GB2312" w:cs="FangSong_GB2312"/>
          <w:color w:val="FF0000"/>
          <w:sz w:val="28"/>
        </w:rPr>
        <w:t>4：</w:t>
      </w:r>
      <w:r>
        <w:rPr>
          <w:rFonts w:hint="eastAsia" w:ascii="仿宋_GB2312" w:hAnsi="仿宋_GB2312" w:eastAsia="仿宋_GB2312" w:cs="仿宋_GB2312"/>
          <w:color w:val="FF0000"/>
          <w:sz w:val="28"/>
          <w:szCs w:val="24"/>
        </w:rPr>
        <w:t>国银中心9楼职场装修项目批复意见</w:t>
      </w:r>
      <w:r>
        <w:rPr>
          <w:rFonts w:ascii="FangSong_GB2312" w:hAnsi="FangSong_GB2312" w:eastAsia="FangSong_GB2312" w:cs="FangSong_GB2312"/>
          <w:color w:val="000000"/>
          <w:sz w:val="28"/>
        </w:rPr>
        <w:t>。</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投标报价要求：投标报价不得超过招标控制价。</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（七）设计文件</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设计文件详见附件5：国银中心9楼职场装修平面图及效果图；需求归口部门金融街营业部综合部已审核同意，并经省地上级归口部门终审，同意按此方案实施，审核意见详见附件</w:t>
      </w:r>
      <w:r>
        <w:rPr>
          <w:rFonts w:ascii="FangSong_GB2312" w:hAnsi="FangSong_GB2312" w:eastAsia="FangSong_GB2312" w:cs="FangSong_GB2312"/>
          <w:color w:val="FF0000"/>
          <w:sz w:val="28"/>
        </w:rPr>
        <w:t>4：</w:t>
      </w:r>
      <w:r>
        <w:rPr>
          <w:rFonts w:hint="eastAsia" w:ascii="仿宋_GB2312" w:hAnsi="仿宋_GB2312" w:eastAsia="仿宋_GB2312" w:cs="仿宋_GB2312"/>
          <w:color w:val="FF0000"/>
          <w:sz w:val="28"/>
          <w:szCs w:val="24"/>
        </w:rPr>
        <w:t>国银中心9楼职场装修项目批复意见</w:t>
      </w:r>
      <w:r>
        <w:rPr>
          <w:rFonts w:ascii="FangSong_GB2312" w:hAnsi="FangSong_GB2312" w:eastAsia="FangSong_GB2312" w:cs="FangSong_GB2312"/>
          <w:color w:val="000000"/>
          <w:sz w:val="28"/>
        </w:rPr>
        <w:t>。</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2"/>
        <w:rPr>
          <w:rFonts w:ascii="Calibri" w:hAnsi="Calibri" w:eastAsia="Calibri" w:cs="Calibri"/>
          <w:sz w:val="21"/>
        </w:rPr>
      </w:pPr>
      <w:r>
        <w:rPr>
          <w:rFonts w:ascii="FangSong_GB2312" w:hAnsi="FangSong_GB2312" w:eastAsia="FangSong_GB2312" w:cs="FangSong_GB2312"/>
          <w:color w:val="000000"/>
          <w:sz w:val="28"/>
        </w:rPr>
        <w:t>（八）工程技术标准和要求</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质量要求：符合设计要求；确保材料质量符合国家标准；满足使用需求；设备安装牢固且功能正常；确保装修材料及施工工艺具有良好的耐用性，降低后期维护成本。</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工期要求：合理规划并根据实际情况及时调整，确保20天内完成。</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安全要求：确保装修工程不破坏原有建筑结构的安全性，包括承重结构、墙体、地面等的稳定性；严格遵守施工安全规范，采取必要的安全防护措施，确保施工人员的人身安全；装修材料应符合国家防火标准，确保工程具备良好的防火性能。</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环保要求：选择符合国家环保标准的装修材料，避免使用有害物质，确保室内空气质量；在施工过程中采取环保措施，减少噪音、扬尘等污染，降低对环境的影响；鼓励使用节能材料和技术，降低能耗，减少污染物排放。</w:t>
      </w:r>
    </w:p>
    <w:p>
      <w:pPr>
        <w:pBdr>
          <w:top w:val="none" w:color="000000" w:sz="0" w:space="0"/>
          <w:left w:val="none" w:color="000000" w:sz="0" w:space="0"/>
          <w:bottom w:val="none" w:color="000000" w:sz="0" w:space="0"/>
          <w:right w:val="none" w:color="000000" w:sz="0" w:space="0"/>
        </w:pBdr>
        <w:spacing w:line="600" w:lineRule="atLeast"/>
        <w:ind w:left="0" w:right="0" w:firstLine="560"/>
        <w:jc w:val="both"/>
        <w:outlineLvl w:val="1"/>
        <w:rPr>
          <w:rFonts w:ascii="Calibri" w:hAnsi="Calibri" w:eastAsia="Calibri" w:cs="Calibri"/>
          <w:sz w:val="21"/>
        </w:rPr>
      </w:pPr>
      <w:r>
        <w:rPr>
          <w:rFonts w:hint="eastAsia" w:ascii="黑体" w:hAnsi="黑体" w:eastAsia="黑体" w:cs="黑体"/>
          <w:color w:val="000000"/>
          <w:sz w:val="28"/>
          <w:lang w:val="en-US" w:eastAsia="zh-CN"/>
        </w:rPr>
        <w:t>三</w:t>
      </w:r>
      <w:r>
        <w:rPr>
          <w:rFonts w:ascii="黑体" w:hAnsi="黑体" w:eastAsia="黑体" w:cs="黑体"/>
          <w:color w:val="000000"/>
          <w:sz w:val="28"/>
        </w:rPr>
        <w:t>、资质要求</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一）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（二）具有良好的商业信誉和健全的财务会计制度，需提供《资格声明函》。</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（三）供应商应具有履行合同所必需的设备和专业技术能力，需提供《资格声明函》。</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（四）具有依法缴纳税收和社会保障资金的良好记录，需提供《资格声明函》。</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五）供应商应经营状况良好，且近三年内（2022年1月1日至今）无违法违规记录。违法违规记录是指被“信用中国”列入失信被执行人、重大税收违法失信主体、政府采购严重违法失信行为记录名单。供应商需提供自谈判邀请发布之日至响应文件递交截止之日期间对以上三项内容的查询截图并加盖公章。信用中国查询网址：https://www.creditchina.gov.cn/xinyongfuwu/?navPage=5</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（六）严禁列入采购人及其所隶属的中国人民保险各级机构的供应商黑名单且在禁入期内的供应商参与采购活动，需提供《未被列入供应商黑名单承诺函》。</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（七）单位负责人为同一人或存在控股、管理关系的不同单位，不得参加同一标段/标包磋商响应或未划分标段/标包的同一采购项目的磋商响应，需填写《供应商控股及管理关系情况申报表》。</w:t>
      </w:r>
    </w:p>
    <w:p>
      <w:pPr>
        <w:pBdr>
          <w:top w:val="none" w:color="000000" w:sz="0" w:space="0"/>
          <w:left w:val="none" w:color="000000" w:sz="0" w:space="0"/>
          <w:bottom w:val="none" w:color="000000" w:sz="0" w:space="0"/>
          <w:right w:val="none" w:color="000000" w:sz="0" w:space="0"/>
        </w:pBdr>
        <w:spacing w:line="360" w:lineRule="auto"/>
        <w:ind w:left="0" w:right="0" w:firstLine="560"/>
        <w:jc w:val="both"/>
        <w:rPr>
          <w:rFonts w:ascii="Calibri" w:hAnsi="Calibri" w:eastAsia="Calibri" w:cs="Calibri"/>
          <w:sz w:val="21"/>
        </w:rPr>
      </w:pPr>
      <w:r>
        <w:rPr>
          <w:rFonts w:ascii="FangSong_GB2312" w:hAnsi="FangSong_GB2312" w:eastAsia="FangSong_GB2312" w:cs="FangSong_GB2312"/>
          <w:color w:val="000000"/>
          <w:sz w:val="28"/>
        </w:rPr>
        <w:t>（八）本项目不接受联合体谈判响应，需提供《非联合体谈判响应声明》。</w:t>
      </w:r>
    </w:p>
    <w:p>
      <w:pPr>
        <w:pBdr>
          <w:top w:val="none" w:color="000000" w:sz="0" w:space="0"/>
          <w:left w:val="none" w:color="000000" w:sz="0" w:space="0"/>
          <w:bottom w:val="none" w:color="000000" w:sz="0" w:space="0"/>
          <w:right w:val="none" w:color="000000" w:sz="0" w:space="0"/>
        </w:pBdr>
        <w:spacing w:line="600" w:lineRule="atLeast"/>
        <w:ind w:left="0" w:right="0" w:firstLine="560"/>
        <w:outlineLvl w:val="1"/>
        <w:rPr>
          <w:rFonts w:ascii="Calibri" w:hAnsi="Calibri" w:eastAsia="Calibri" w:cs="Calibri"/>
          <w:sz w:val="24"/>
        </w:rPr>
      </w:pPr>
      <w:r>
        <w:rPr>
          <w:rFonts w:hint="eastAsia" w:ascii="黑体" w:hAnsi="黑体" w:eastAsia="黑体" w:cs="黑体"/>
          <w:color w:val="000000"/>
          <w:sz w:val="28"/>
          <w:lang w:val="en-US" w:eastAsia="zh-CN"/>
        </w:rPr>
        <w:t>四</w:t>
      </w:r>
      <w:r>
        <w:rPr>
          <w:rFonts w:ascii="黑体" w:hAnsi="黑体" w:eastAsia="黑体" w:cs="黑体"/>
          <w:color w:val="000000"/>
          <w:sz w:val="28"/>
        </w:rPr>
        <w:t>、采购方式及评标建议</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因项目不属于招标投标法及其实施条例必须进行招标的工程建设项目，符合采用竞争性磋商适用情形“按照招标投标法及其实施条例必须进行招标的工程建设项目以外的工程建设项目”的规定，建议采用竞争性磋商采购方式。</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FangSong_GB2312" w:hAnsi="FangSong_GB2312" w:eastAsia="FangSong_GB2312" w:cs="FangSong_GB2312"/>
          <w:color w:val="000000"/>
          <w:sz w:val="28"/>
        </w:rPr>
        <w:t>评审方法采用综合评分法，拟采用评审标准见邀请文件。评审内容包括报价、企业综合实力、同类业绩、施工技术方案、施工进度计划、团队配备、安全管理。</w:t>
      </w:r>
    </w:p>
    <w:p>
      <w:pPr>
        <w:pBdr>
          <w:top w:val="none" w:color="000000" w:sz="0" w:space="0"/>
          <w:left w:val="none" w:color="000000" w:sz="0" w:space="0"/>
          <w:bottom w:val="none" w:color="000000" w:sz="0" w:space="0"/>
          <w:right w:val="none" w:color="000000" w:sz="0" w:space="0"/>
        </w:pBdr>
        <w:spacing w:line="600" w:lineRule="atLeast"/>
        <w:ind w:left="0" w:right="0" w:firstLine="560"/>
        <w:outlineLvl w:val="1"/>
        <w:rPr>
          <w:rFonts w:ascii="Calibri" w:hAnsi="Calibri" w:eastAsia="Calibri" w:cs="Calibri"/>
          <w:sz w:val="24"/>
        </w:rPr>
      </w:pPr>
      <w:r>
        <w:rPr>
          <w:rFonts w:hint="eastAsia" w:ascii="黑体" w:hAnsi="黑体" w:eastAsia="黑体" w:cs="黑体"/>
          <w:color w:val="000000"/>
          <w:sz w:val="28"/>
          <w:lang w:val="en-US" w:eastAsia="zh-CN"/>
        </w:rPr>
        <w:t>五</w:t>
      </w:r>
      <w:r>
        <w:rPr>
          <w:rFonts w:ascii="黑体" w:hAnsi="黑体" w:eastAsia="黑体" w:cs="黑体"/>
          <w:color w:val="000000"/>
          <w:sz w:val="28"/>
        </w:rPr>
        <w:t>、其他事项</w:t>
      </w:r>
    </w:p>
    <w:p>
      <w:pPr>
        <w:pBdr>
          <w:top w:val="none" w:color="000000" w:sz="0" w:space="0"/>
          <w:left w:val="none" w:color="000000" w:sz="0" w:space="0"/>
          <w:bottom w:val="none" w:color="000000" w:sz="0" w:space="0"/>
          <w:right w:val="none" w:color="000000" w:sz="0" w:space="0"/>
        </w:pBdr>
        <w:spacing w:line="600" w:lineRule="atLeast"/>
        <w:ind w:left="0" w:right="0" w:firstLine="560"/>
        <w:jc w:val="both"/>
        <w:rPr>
          <w:rFonts w:ascii="Calibri" w:hAnsi="Calibri" w:eastAsia="Calibri" w:cs="Calibri"/>
          <w:sz w:val="21"/>
        </w:rPr>
      </w:pPr>
      <w:r>
        <w:rPr>
          <w:rFonts w:ascii="黑体" w:hAnsi="黑体" w:eastAsia="黑体" w:cs="黑体"/>
          <w:color w:val="000000"/>
          <w:sz w:val="28"/>
        </w:rPr>
        <w:t>禁止转包、分包。</w:t>
      </w:r>
      <w:r>
        <w:rPr>
          <w:rFonts w:ascii="FangSong_GB2312" w:hAnsi="FangSong_GB2312" w:eastAsia="FangSong_GB2312" w:cs="FangSong_GB2312"/>
          <w:color w:val="000000"/>
          <w:sz w:val="28"/>
        </w:rPr>
        <w:t>本次采购项目不允许转包、分包。未经我方事先书面同意，若供应商将本项目全部或部分工作分包或转包第三方承担，将导致违约。</w:t>
      </w:r>
    </w:p>
    <w:p>
      <w:pPr>
        <w:pBdr>
          <w:top w:val="none" w:color="000000" w:sz="0" w:space="0"/>
          <w:left w:val="none" w:color="000000" w:sz="0" w:space="0"/>
          <w:bottom w:val="none" w:color="000000" w:sz="0" w:space="0"/>
          <w:right w:val="none" w:color="000000" w:sz="0" w:space="0"/>
        </w:pBdr>
        <w:spacing w:line="600" w:lineRule="atLeast"/>
        <w:ind w:left="0" w:right="0" w:firstLine="0"/>
        <w:jc w:val="both"/>
        <w:rPr>
          <w:rFonts w:ascii="Calibri" w:hAnsi="Calibri" w:eastAsia="Calibri" w:cs="Calibri"/>
          <w:sz w:val="21"/>
        </w:rPr>
      </w:pPr>
      <w:r>
        <w:rPr>
          <w:rFonts w:ascii="FangSong_GB2312" w:hAnsi="FangSong_GB2312" w:eastAsia="FangSong_GB2312" w:cs="FangSong_GB2312"/>
          <w:b/>
          <w:color w:val="000000"/>
          <w:sz w:val="28"/>
        </w:rPr>
        <w:t> </w:t>
      </w:r>
    </w:p>
    <w:p>
      <w:pPr>
        <w:pBdr>
          <w:top w:val="none" w:color="000000" w:sz="0" w:space="0"/>
          <w:left w:val="none" w:color="000000" w:sz="0" w:space="0"/>
          <w:bottom w:val="none" w:color="000000" w:sz="0" w:space="0"/>
          <w:right w:val="none" w:color="000000" w:sz="0" w:space="0"/>
        </w:pBdr>
        <w:spacing w:line="600" w:lineRule="atLeast"/>
        <w:ind w:left="0" w:right="0" w:firstLine="0"/>
        <w:jc w:val="both"/>
        <w:rPr>
          <w:rFonts w:ascii="Calibri" w:hAnsi="Calibri" w:eastAsia="Calibri" w:cs="Calibri"/>
          <w:sz w:val="21"/>
        </w:rPr>
      </w:pPr>
      <w:r>
        <w:rPr>
          <w:rFonts w:ascii="楷体" w:hAnsi="楷体" w:eastAsia="楷体" w:cs="楷体"/>
          <w:color w:val="0000FF"/>
          <w:sz w:val="28"/>
        </w:rPr>
        <w:t>参考资料：</w:t>
      </w:r>
    </w:p>
    <w:p>
      <w:pPr>
        <w:pBdr>
          <w:top w:val="none" w:color="000000" w:sz="0" w:space="0"/>
          <w:left w:val="none" w:color="000000" w:sz="0" w:space="0"/>
          <w:bottom w:val="none" w:color="000000" w:sz="0" w:space="0"/>
          <w:right w:val="none" w:color="000000" w:sz="0" w:space="0"/>
        </w:pBdr>
        <w:spacing w:line="600" w:lineRule="atLeast"/>
        <w:ind w:left="0" w:right="0" w:firstLine="0"/>
        <w:jc w:val="both"/>
        <w:rPr>
          <w:rFonts w:ascii="Calibri" w:hAnsi="Calibri" w:eastAsia="Calibri" w:cs="Calibri"/>
          <w:sz w:val="21"/>
        </w:rPr>
      </w:pPr>
      <w:r>
        <w:rPr>
          <w:rFonts w:ascii="楷体" w:hAnsi="楷体" w:eastAsia="楷体" w:cs="楷体"/>
          <w:color w:val="0000FF"/>
          <w:sz w:val="28"/>
        </w:rPr>
        <w:t>《建设工程工程量清单计价规范》(GB50500-2013)</w:t>
      </w:r>
    </w:p>
    <w:p>
      <w:pPr>
        <w:pBdr>
          <w:top w:val="none" w:color="000000" w:sz="0" w:space="0"/>
          <w:left w:val="none" w:color="000000" w:sz="0" w:space="0"/>
          <w:bottom w:val="none" w:color="000000" w:sz="0" w:space="0"/>
          <w:right w:val="none" w:color="000000" w:sz="0" w:space="0"/>
        </w:pBdr>
        <w:spacing w:line="600" w:lineRule="atLeast"/>
        <w:ind w:left="0" w:right="0" w:firstLine="0"/>
        <w:jc w:val="both"/>
        <w:rPr>
          <w:rFonts w:ascii="Calibri" w:hAnsi="Calibri" w:eastAsia="Calibri" w:cs="Calibri"/>
          <w:sz w:val="21"/>
        </w:rPr>
      </w:pPr>
      <w:r>
        <w:rPr>
          <w:rFonts w:ascii="楷体" w:hAnsi="楷体" w:eastAsia="楷体" w:cs="楷体"/>
          <w:color w:val="0000FF"/>
          <w:sz w:val="28"/>
        </w:rPr>
        <w:t>《建设工程施工合同（示范文本）》（GF-2017-0201）</w:t>
      </w:r>
    </w:p>
    <w:p>
      <w:pPr>
        <w:pBdr>
          <w:top w:val="none" w:color="000000" w:sz="0" w:space="0"/>
          <w:left w:val="none" w:color="000000" w:sz="0" w:space="0"/>
          <w:bottom w:val="none" w:color="000000" w:sz="0" w:space="0"/>
          <w:right w:val="none" w:color="000000" w:sz="0" w:space="0"/>
        </w:pBdr>
        <w:spacing w:line="600" w:lineRule="atLeast"/>
        <w:ind w:left="0" w:right="0" w:firstLine="0"/>
        <w:jc w:val="both"/>
        <w:outlineLvl w:val="3"/>
        <w:rPr>
          <w:rFonts w:ascii="Calibri" w:hAnsi="Calibri" w:eastAsia="Calibri" w:cs="Calibri"/>
          <w:sz w:val="21"/>
        </w:rPr>
      </w:pPr>
      <w:r>
        <w:rPr>
          <w:rFonts w:ascii="FangSong_GB2312" w:hAnsi="FangSong_GB2312" w:eastAsia="FangSong_GB2312" w:cs="FangSong_GB2312"/>
          <w:color w:val="000000"/>
          <w:sz w:val="28"/>
        </w:rPr>
        <w:t>工程量清单：</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1"/>
        <w:gridCol w:w="1984"/>
        <w:gridCol w:w="3686"/>
        <w:gridCol w:w="850"/>
        <w:gridCol w:w="993"/>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7" w:hRule="atLeast"/>
        </w:trPr>
        <w:tc>
          <w:tcPr>
            <w:tcW w:w="8364" w:type="dxa"/>
            <w:gridSpan w:val="5"/>
            <w:tcBorders>
              <w:top w:val="nil"/>
              <w:left w:val="nil"/>
              <w:bottom w:val="nil"/>
              <w:right w:val="nil"/>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b/>
                <w:color w:val="000000"/>
                <w:sz w:val="32"/>
              </w:rPr>
              <w:t>工程量清单</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序号</w:t>
            </w:r>
          </w:p>
        </w:tc>
        <w:tc>
          <w:tcPr>
            <w:tcW w:w="1984"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工程项目</w:t>
            </w:r>
          </w:p>
        </w:tc>
        <w:tc>
          <w:tcPr>
            <w:tcW w:w="3686" w:type="dxa"/>
            <w:tcBorders>
              <w:top w:val="nil"/>
              <w:left w:val="nil"/>
              <w:bottom w:val="single" w:color="000000" w:sz="8" w:space="0"/>
              <w:right w:val="single" w:color="000000" w:sz="8" w:space="0"/>
            </w:tcBorders>
            <w:shd w:val="clear" w:color="EEECE1" w:fill="EEECE1"/>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项目特征描述</w:t>
            </w:r>
          </w:p>
        </w:tc>
        <w:tc>
          <w:tcPr>
            <w:tcW w:w="850"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单位</w:t>
            </w:r>
          </w:p>
        </w:tc>
        <w:tc>
          <w:tcPr>
            <w:tcW w:w="993"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数量</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shd w:val="clear" w:color="D9D9D9" w:fill="D9D9D9"/>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D9D9D9" w:fill="D9D9D9"/>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0"/>
              </w:rPr>
              <w:t>一、</w:t>
            </w:r>
          </w:p>
        </w:tc>
        <w:tc>
          <w:tcPr>
            <w:tcW w:w="1984" w:type="dxa"/>
            <w:tcBorders>
              <w:top w:val="nil"/>
              <w:left w:val="nil"/>
              <w:bottom w:val="single" w:color="000000" w:sz="8" w:space="0"/>
              <w:right w:val="single" w:color="000000" w:sz="8" w:space="0"/>
            </w:tcBorders>
            <w:shd w:val="clear" w:color="D9D9D9" w:fill="D9D9D9"/>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D9D9D9" w:fill="D9D9D9"/>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0"/>
              </w:rPr>
              <w:t>拆除部分</w:t>
            </w:r>
          </w:p>
        </w:tc>
        <w:tc>
          <w:tcPr>
            <w:tcW w:w="3686" w:type="dxa"/>
            <w:tcBorders>
              <w:top w:val="nil"/>
              <w:left w:val="nil"/>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D9D9D9" w:fill="D9D9D9"/>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0"/>
              </w:rPr>
              <w:t> </w:t>
            </w:r>
          </w:p>
        </w:tc>
        <w:tc>
          <w:tcPr>
            <w:tcW w:w="850" w:type="dxa"/>
            <w:tcBorders>
              <w:top w:val="nil"/>
              <w:left w:val="nil"/>
              <w:bottom w:val="single" w:color="000000" w:sz="8" w:space="0"/>
              <w:right w:val="single" w:color="000000" w:sz="8" w:space="0"/>
            </w:tcBorders>
            <w:shd w:val="clear" w:color="D9D9D9" w:fill="D9D9D9"/>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D9D9D9" w:fill="D9D9D9"/>
              <w:spacing w:before="0" w:beforeAutospacing="0" w:after="0" w:afterAutospacing="0"/>
              <w:ind w:left="0" w:right="0" w:firstLine="0"/>
              <w:rPr>
                <w:rFonts w:hint="default" w:ascii="Calibri" w:hAnsi="Calibri" w:eastAsia="Calibri" w:cs="Calibri"/>
                <w:sz w:val="21"/>
              </w:rPr>
            </w:pPr>
            <w:r>
              <w:rPr>
                <w:rFonts w:hint="default" w:ascii="Times New Roman" w:hAnsi="Times New Roman" w:eastAsia="Times New Roman" w:cs="Times New Roman"/>
                <w:color w:val="000000"/>
                <w:sz w:val="20"/>
              </w:rPr>
              <w:t> </w:t>
            </w:r>
          </w:p>
        </w:tc>
        <w:tc>
          <w:tcPr>
            <w:tcW w:w="993" w:type="dxa"/>
            <w:tcBorders>
              <w:top w:val="nil"/>
              <w:left w:val="nil"/>
              <w:bottom w:val="single" w:color="000000" w:sz="8" w:space="0"/>
              <w:right w:val="single" w:color="000000" w:sz="8" w:space="0"/>
            </w:tcBorders>
            <w:shd w:val="clear" w:color="D9D9D9" w:fill="D9D9D9"/>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D9D9D9" w:fill="D9D9D9"/>
              <w:spacing w:before="0" w:beforeAutospacing="0" w:after="0" w:afterAutospacing="0"/>
              <w:ind w:left="0" w:right="0" w:firstLine="0"/>
              <w:jc w:val="center"/>
              <w:rPr>
                <w:rFonts w:hint="default" w:ascii="Calibri" w:hAnsi="Calibri" w:eastAsia="Calibri" w:cs="Calibri"/>
                <w:sz w:val="21"/>
              </w:rPr>
            </w:pPr>
            <w:r>
              <w:rPr>
                <w:rFonts w:hint="default" w:ascii="Times New Roman" w:hAnsi="Times New Roman" w:eastAsia="Times New Roman" w:cs="Times New Roman"/>
                <w:color w:val="000000"/>
                <w:sz w:val="20"/>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隔断隔墙拆除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 拆除隔墙的骨架种类:轻钢龙骨 2. 拆除隔墙的饰而种类:石膏板饰面 3. 拆除隔墙的饰面种类:玻璃门</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72.48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2</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墙柱面龙骨及饰面拆除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 拆除的基层类型:水泥砂浆找平层 2. 饰面材料种类:拆除面砖/石材/金属 龙骨</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72.48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天棚面龙骨及饰面拆除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 拆除的基层类型:轻钢龙骨 2. 龙骨及饰面种类:硅钙板/铝扣板</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72.48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4</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管线拆除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 管道种类、材质:电路线管</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72.48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5</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地板胶拆除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原胶地板拆除</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62.29</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6</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卡座拆除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原有旧卡座（可重复使用）</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7</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卡座搬迁</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原有旧卡座（可重复使用）</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8</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卡座安装</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原有旧卡座（可重复使用）</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9</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运输</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 岩石类别:拆除废料 2. 运距:20km</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68.48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二、</w:t>
            </w:r>
          </w:p>
        </w:tc>
        <w:tc>
          <w:tcPr>
            <w:tcW w:w="1984"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装饰装修部分</w:t>
            </w:r>
          </w:p>
        </w:tc>
        <w:tc>
          <w:tcPr>
            <w:tcW w:w="3686" w:type="dxa"/>
            <w:tcBorders>
              <w:top w:val="nil"/>
              <w:left w:val="nil"/>
              <w:bottom w:val="single" w:color="000000" w:sz="8" w:space="0"/>
              <w:right w:val="single" w:color="000000" w:sz="8" w:space="0"/>
            </w:tcBorders>
            <w:shd w:val="clear" w:color="EEECE1" w:fill="EEECE1"/>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 </w:t>
            </w:r>
          </w:p>
        </w:tc>
        <w:tc>
          <w:tcPr>
            <w:tcW w:w="850"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Times New Roman" w:hAnsi="Times New Roman" w:eastAsia="Times New Roman" w:cs="Times New Roman"/>
                <w:color w:val="000000"/>
                <w:sz w:val="20"/>
              </w:rPr>
              <w:t> </w:t>
            </w:r>
          </w:p>
        </w:tc>
        <w:tc>
          <w:tcPr>
            <w:tcW w:w="993"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Times New Roman" w:hAnsi="Times New Roman" w:eastAsia="Times New Roman" w:cs="Times New Roman"/>
                <w:color w:val="000000"/>
                <w:sz w:val="20"/>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经理室玻璃隔断</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12厘钢化玻璃</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91.83</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2</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经理室玻璃门</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12厘钢化玻璃含五金</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4</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墙身水泥沙修复</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拆除后墙身地面修复平整</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项</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4</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天花、墙面修补扇夾</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墙面修补、防开裂粘贴网袋、满刮腻子 粉灰3遍,打磨至平整</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106.30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5</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天花、墙面涂刷乳胶漆</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墙面涂刷界面剂,油乳胶漆3遍,多乐 士环保净味乳胶漆</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62.00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6</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地面地毯安装</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按原有地毯款式补充</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66.31</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7</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办公室搬迁</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配合旧办公室搬迁至新办公室</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项</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8</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公区，施工区域成品保护</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保护膜铺贴</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176.18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9</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废料处理，开荒保洁</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打包规整，搬运清理，工完场清</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176.18</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三、</w:t>
            </w:r>
          </w:p>
        </w:tc>
        <w:tc>
          <w:tcPr>
            <w:tcW w:w="1984"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电气安装</w:t>
            </w:r>
          </w:p>
        </w:tc>
        <w:tc>
          <w:tcPr>
            <w:tcW w:w="3686" w:type="dxa"/>
            <w:tcBorders>
              <w:top w:val="nil"/>
              <w:left w:val="nil"/>
              <w:bottom w:val="single" w:color="000000" w:sz="8" w:space="0"/>
              <w:right w:val="single" w:color="000000" w:sz="8" w:space="0"/>
            </w:tcBorders>
            <w:shd w:val="clear" w:color="EEECE1" w:fill="EEECE1"/>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 </w:t>
            </w:r>
          </w:p>
        </w:tc>
        <w:tc>
          <w:tcPr>
            <w:tcW w:w="850"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Times New Roman" w:hAnsi="Times New Roman" w:eastAsia="Times New Roman" w:cs="Times New Roman"/>
                <w:color w:val="000000"/>
                <w:sz w:val="20"/>
              </w:rPr>
              <w:t> </w:t>
            </w:r>
          </w:p>
        </w:tc>
        <w:tc>
          <w:tcPr>
            <w:tcW w:w="993"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Times New Roman" w:hAnsi="Times New Roman" w:eastAsia="Times New Roman" w:cs="Times New Roman"/>
                <w:color w:val="000000"/>
                <w:sz w:val="20"/>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卡座电路安装（含材料）</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包工包料</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个</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2</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公区插座</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 </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17</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3</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经理室线路安装</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含网线1条开关2个插座3个</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4</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4</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会议室线路安装</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 </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套</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四、</w:t>
            </w:r>
          </w:p>
        </w:tc>
        <w:tc>
          <w:tcPr>
            <w:tcW w:w="1984"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弱电</w:t>
            </w:r>
          </w:p>
        </w:tc>
        <w:tc>
          <w:tcPr>
            <w:tcW w:w="3686" w:type="dxa"/>
            <w:tcBorders>
              <w:top w:val="nil"/>
              <w:left w:val="nil"/>
              <w:bottom w:val="single" w:color="000000" w:sz="8" w:space="0"/>
              <w:right w:val="single" w:color="000000" w:sz="8" w:space="0"/>
            </w:tcBorders>
            <w:shd w:val="clear" w:color="EEECE1" w:fill="EEECE1"/>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 </w:t>
            </w:r>
          </w:p>
        </w:tc>
        <w:tc>
          <w:tcPr>
            <w:tcW w:w="850"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rPr>
                <w:rFonts w:hint="default" w:ascii="Calibri" w:hAnsi="Calibri" w:eastAsia="Calibri" w:cs="Calibri"/>
                <w:sz w:val="21"/>
              </w:rPr>
            </w:pPr>
            <w:r>
              <w:rPr>
                <w:rFonts w:hint="default" w:ascii="Times New Roman" w:hAnsi="Times New Roman" w:eastAsia="Times New Roman" w:cs="Times New Roman"/>
                <w:color w:val="000000"/>
                <w:sz w:val="20"/>
              </w:rPr>
              <w:t> </w:t>
            </w:r>
          </w:p>
        </w:tc>
        <w:tc>
          <w:tcPr>
            <w:tcW w:w="993" w:type="dxa"/>
            <w:tcBorders>
              <w:top w:val="nil"/>
              <w:left w:val="nil"/>
              <w:bottom w:val="single" w:color="000000" w:sz="8" w:space="0"/>
              <w:right w:val="single" w:color="000000" w:sz="8" w:space="0"/>
            </w:tcBorders>
            <w:shd w:val="clear" w:color="EEECE1" w:fill="EEECE1"/>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hd w:val="clear" w:color="EEECE1" w:fill="EEECE1"/>
              <w:spacing w:before="0" w:beforeAutospacing="0" w:after="0" w:afterAutospacing="0"/>
              <w:ind w:left="0" w:right="0" w:firstLine="0"/>
              <w:jc w:val="center"/>
              <w:rPr>
                <w:rFonts w:hint="default" w:ascii="Calibri" w:hAnsi="Calibri" w:eastAsia="Calibri" w:cs="Calibri"/>
                <w:sz w:val="21"/>
              </w:rPr>
            </w:pPr>
            <w:r>
              <w:rPr>
                <w:rFonts w:hint="default" w:ascii="Times New Roman" w:hAnsi="Times New Roman" w:eastAsia="Times New Roman" w:cs="Times New Roman"/>
                <w:color w:val="000000"/>
                <w:sz w:val="20"/>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1</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卡座网络安装（含材料）</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宋体" w:hAnsi="宋体" w:eastAsia="宋体" w:cs="宋体"/>
                <w:color w:val="000000"/>
                <w:sz w:val="22"/>
              </w:rPr>
              <w:t>包工包料</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个</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24</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8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 </w:t>
            </w:r>
          </w:p>
        </w:tc>
        <w:tc>
          <w:tcPr>
            <w:tcW w:w="19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小计</w:t>
            </w:r>
          </w:p>
        </w:tc>
        <w:tc>
          <w:tcPr>
            <w:tcW w:w="36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宋体" w:hAnsi="宋体" w:eastAsia="宋体" w:cs="宋体"/>
                <w:color w:val="000000"/>
                <w:sz w:val="22"/>
              </w:rPr>
              <w:t> </w:t>
            </w:r>
          </w:p>
        </w:tc>
        <w:tc>
          <w:tcPr>
            <w:tcW w:w="85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rPr>
                <w:rFonts w:hint="default" w:ascii="Calibri" w:hAnsi="Calibri" w:eastAsia="Calibri" w:cs="Calibri"/>
                <w:sz w:val="21"/>
              </w:rPr>
            </w:pPr>
            <w:r>
              <w:rPr>
                <w:rFonts w:hint="default" w:ascii="Times New Roman" w:hAnsi="Times New Roman" w:eastAsia="Times New Roman" w:cs="Times New Roman"/>
                <w:color w:val="000000"/>
                <w:sz w:val="20"/>
              </w:rPr>
              <w:t> </w:t>
            </w: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rFonts w:hint="default" w:ascii="Calibri" w:hAnsi="Calibri" w:eastAsia="Calibri" w:cs="Calibri"/>
                <w:sz w:val="21"/>
              </w:rPr>
            </w:pPr>
            <w:r>
              <w:rPr>
                <w:rFonts w:hint="default" w:ascii="Times New Roman" w:hAnsi="Times New Roman" w:eastAsia="Times New Roman" w:cs="Times New Roman"/>
                <w:color w:val="000000"/>
                <w:sz w:val="20"/>
              </w:rPr>
              <w:t> </w:t>
            </w:r>
          </w:p>
        </w:tc>
      </w:tr>
    </w:tbl>
    <w:p>
      <w:pPr>
        <w:pBdr>
          <w:top w:val="none" w:color="000000" w:sz="0" w:space="0"/>
          <w:left w:val="none" w:color="000000" w:sz="0" w:space="0"/>
          <w:bottom w:val="none" w:color="000000" w:sz="0" w:space="0"/>
          <w:right w:val="none" w:color="000000" w:sz="0" w:space="0"/>
        </w:pBdr>
        <w:spacing w:line="600" w:lineRule="atLeast"/>
        <w:ind w:left="0" w:right="0" w:firstLine="0"/>
        <w:jc w:val="both"/>
        <w:rPr>
          <w:rFonts w:ascii="Calibri" w:hAnsi="Calibri" w:eastAsia="Calibri" w:cs="Calibri"/>
          <w:sz w:val="21"/>
        </w:rPr>
      </w:pPr>
      <w:r>
        <w:rPr>
          <w:rFonts w:ascii="FangSong_GB2312" w:hAnsi="FangSong_GB2312" w:eastAsia="FangSong_GB2312" w:cs="FangSong_GB2312"/>
          <w:color w:val="000000"/>
          <w:sz w:val="28"/>
        </w:rPr>
        <w:t> </w:t>
      </w:r>
    </w:p>
    <w:p>
      <w:pPr>
        <w:pBdr>
          <w:top w:val="none" w:color="000000" w:sz="0" w:space="0"/>
          <w:left w:val="none" w:color="000000" w:sz="0" w:space="0"/>
          <w:bottom w:val="none" w:color="000000" w:sz="0" w:space="0"/>
          <w:right w:val="none" w:color="000000" w:sz="0" w:space="0"/>
        </w:pBdr>
        <w:spacing w:line="600" w:lineRule="atLeast"/>
        <w:ind w:left="0" w:right="0" w:firstLine="0"/>
        <w:jc w:val="both"/>
        <w:outlineLvl w:val="3"/>
        <w:rPr>
          <w:rFonts w:ascii="Calibri" w:hAnsi="Calibri" w:eastAsia="Calibri" w:cs="Calibri"/>
          <w:sz w:val="21"/>
        </w:rPr>
      </w:pPr>
      <w:r>
        <w:rPr>
          <w:rFonts w:ascii="FangSong_GB2312" w:hAnsi="FangSong_GB2312" w:eastAsia="FangSong_GB2312" w:cs="FangSong_GB2312"/>
          <w:color w:val="000000"/>
          <w:sz w:val="28"/>
        </w:rPr>
        <w:t>设计文件：</w:t>
      </w:r>
    </w:p>
    <w:p>
      <w:pPr>
        <w:pBdr>
          <w:top w:val="none" w:color="000000" w:sz="0" w:space="0"/>
          <w:left w:val="none" w:color="000000" w:sz="0" w:space="0"/>
          <w:bottom w:val="none" w:color="000000" w:sz="0" w:space="0"/>
          <w:right w:val="none" w:color="000000" w:sz="0" w:space="0"/>
        </w:pBdr>
        <w:spacing w:line="600" w:lineRule="atLeast"/>
        <w:ind w:left="0" w:right="0" w:firstLine="0"/>
        <w:jc w:val="both"/>
        <w:rPr>
          <w:rFonts w:ascii="Calibri" w:hAnsi="Calibri" w:eastAsia="Calibri" w:cs="Calibri"/>
          <w:sz w:val="21"/>
        </w:rPr>
      </w:pPr>
      <w:r>
        <w:rPr>
          <w:rFonts w:ascii="Calibri" w:hAnsi="Calibri" w:eastAsia="Calibri" w:cs="Calibri"/>
          <w:color w:val="000000"/>
          <w:sz w:val="21"/>
        </w:rPr>
        <w:t xml:space="preserve"> </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90"/>
        <w:gridCol w:w="831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gridAfter w:val="1"/>
          <w:wAfter w:w="8310" w:type="dxa"/>
        </w:trPr>
        <w:tc>
          <w:tcPr>
            <w:tcW w:w="390" w:type="dxa"/>
            <w:tcBorders>
              <w:top w:val="nil"/>
              <w:left w:val="nil"/>
              <w:bottom w:val="nil"/>
              <w:right w:val="nil"/>
            </w:tcBorders>
            <w:noWrap w:val="0"/>
            <w:tcMar>
              <w:top w:w="0" w:type="dxa"/>
              <w:left w:w="0" w:type="dxa"/>
              <w:bottom w:w="0" w:type="dxa"/>
              <w:right w:w="0" w:type="dxa"/>
            </w:tcMar>
            <w:vAlign w:val="center"/>
          </w:tcPr>
          <w:p>
            <w:pPr>
              <w:keepNext w:val="0"/>
              <w:keepLines w:val="0"/>
              <w:suppressLineNumbers w:val="0"/>
              <w:spacing w:before="0" w:beforeAutospacing="0" w:after="0" w:afterAutospacing="0" w:line="240" w:lineRule="auto"/>
              <w:ind w:left="0" w:right="0"/>
              <w:rPr>
                <w:rFonts w:hint="default"/>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90" w:type="dxa"/>
            <w:tcBorders>
              <w:top w:val="nil"/>
              <w:left w:val="nil"/>
              <w:bottom w:val="nil"/>
              <w:right w:val="nil"/>
            </w:tcBorders>
            <w:noWrap w:val="0"/>
            <w:tcMar>
              <w:top w:w="0" w:type="dxa"/>
              <w:left w:w="0" w:type="dxa"/>
              <w:bottom w:w="0" w:type="dxa"/>
              <w:right w:w="0" w:type="dxa"/>
            </w:tcMar>
            <w:vAlign w:val="center"/>
          </w:tcPr>
          <w:p>
            <w:pPr>
              <w:keepNext w:val="0"/>
              <w:keepLines w:val="0"/>
              <w:suppressLineNumbers w:val="0"/>
              <w:spacing w:before="0" w:beforeAutospacing="0" w:after="0" w:afterAutospacing="0" w:line="240" w:lineRule="auto"/>
              <w:ind w:left="0" w:right="0"/>
              <w:rPr>
                <w:rFonts w:hint="default"/>
              </w:rPr>
            </w:pPr>
          </w:p>
        </w:tc>
        <w:tc>
          <w:tcPr>
            <w:tcW w:w="-390" w:type="dxa"/>
            <w:tcBorders>
              <w:top w:val="nil"/>
              <w:left w:val="nil"/>
              <w:bottom w:val="nil"/>
              <w:right w:val="nil"/>
            </w:tcBorders>
            <w:noWrap w:val="0"/>
            <w:tcMar>
              <w:top w:w="0" w:type="dxa"/>
              <w:left w:w="0" w:type="dxa"/>
              <w:bottom w:w="0" w:type="dxa"/>
              <w:right w:w="0" w:type="dxa"/>
            </w:tcMar>
            <w:vAlign w:val="center"/>
          </w:tcPr>
          <w:p>
            <w:pPr>
              <w:keepNext w:val="0"/>
              <w:keepLines w:val="0"/>
              <w:suppressLineNumbers w:val="0"/>
              <w:spacing w:before="0" w:beforeAutospacing="0" w:after="0" w:afterAutospacing="0" w:line="240" w:lineRule="auto"/>
              <w:ind w:left="0" w:right="0"/>
              <w:rPr>
                <w:rFonts w:hint="default"/>
              </w:rPr>
            </w:pPr>
            <w:r>
              <w:rPr>
                <w:rFonts w:ascii="仿宋_GB2312" w:hAnsi="Calibri" w:eastAsia="仿宋_GB2312" w:cs="Times New Roman"/>
                <w:sz w:val="28"/>
                <w:szCs w:val="28"/>
              </w:rPr>
              <w:drawing>
                <wp:anchor distT="0" distB="0" distL="114300" distR="114300" simplePos="0" relativeHeight="251665408" behindDoc="0" locked="0" layoutInCell="1" allowOverlap="1">
                  <wp:simplePos x="0" y="0"/>
                  <wp:positionH relativeFrom="column">
                    <wp:posOffset>327660</wp:posOffset>
                  </wp:positionH>
                  <wp:positionV relativeFrom="paragraph">
                    <wp:posOffset>166370</wp:posOffset>
                  </wp:positionV>
                  <wp:extent cx="5274310" cy="5986780"/>
                  <wp:effectExtent l="0" t="0" r="13970" b="2540"/>
                  <wp:wrapTopAndBottom/>
                  <wp:docPr id="5" name="图片 3" descr="I:\金融街\采购\2025租赁\2025年装修\9楼平面装修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金融街\采购\2025租赁\2025年装修\9楼平面装修图.png"/>
                          <pic:cNvPicPr>
                            <a:picLocks noChangeAspect="1"/>
                          </pic:cNvPicPr>
                        </pic:nvPicPr>
                        <pic:blipFill>
                          <a:blip r:embed="rId13"/>
                          <a:stretch>
                            <a:fillRect/>
                          </a:stretch>
                        </pic:blipFill>
                        <pic:spPr>
                          <a:xfrm>
                            <a:off x="0" y="0"/>
                            <a:ext cx="5274310" cy="5986780"/>
                          </a:xfrm>
                          <a:prstGeom prst="rect">
                            <a:avLst/>
                          </a:prstGeom>
                          <a:noFill/>
                          <a:ln>
                            <a:noFill/>
                          </a:ln>
                        </pic:spPr>
                      </pic:pic>
                    </a:graphicData>
                  </a:graphic>
                </wp:anchor>
              </w:drawing>
            </w:r>
          </w:p>
        </w:tc>
      </w:tr>
    </w:tbl>
    <w:p>
      <w:pPr>
        <w:pStyle w:val="3"/>
        <w:spacing w:before="0" w:after="0" w:line="360" w:lineRule="auto"/>
        <w:jc w:val="center"/>
        <w:rPr>
          <w:rFonts w:ascii="仿宋" w:hAnsi="仿宋" w:eastAsia="仿宋" w:cs="仿宋"/>
          <w:color w:val="000000"/>
          <w:sz w:val="28"/>
          <w:szCs w:val="28"/>
        </w:rPr>
      </w:pPr>
    </w:p>
    <w:p>
      <w:pPr>
        <w:pStyle w:val="3"/>
        <w:spacing w:before="0" w:after="0" w:line="360" w:lineRule="auto"/>
        <w:jc w:val="center"/>
        <w:rPr>
          <w:rFonts w:ascii="仿宋" w:hAnsi="仿宋" w:eastAsia="仿宋" w:cs="仿宋"/>
          <w:color w:val="000000"/>
          <w:sz w:val="28"/>
          <w:szCs w:val="28"/>
          <w:highlight w:val="none"/>
        </w:rPr>
      </w:pPr>
    </w:p>
    <w:p>
      <w:pPr>
        <w:pStyle w:val="3"/>
        <w:spacing w:before="0" w:after="0" w:line="360" w:lineRule="auto"/>
        <w:jc w:val="center"/>
        <w:rPr>
          <w:rFonts w:ascii="仿宋" w:hAnsi="仿宋" w:eastAsia="仿宋" w:cs="仿宋"/>
          <w:color w:val="000000"/>
          <w:sz w:val="28"/>
          <w:szCs w:val="28"/>
          <w:highlight w:val="none"/>
        </w:rPr>
      </w:pPr>
    </w:p>
    <w:p>
      <w:pPr>
        <w:pStyle w:val="3"/>
        <w:spacing w:before="0" w:after="0" w:line="360" w:lineRule="auto"/>
        <w:jc w:val="center"/>
        <w:rPr>
          <w:rFonts w:ascii="仿宋" w:hAnsi="仿宋" w:eastAsia="仿宋" w:cs="仿宋"/>
          <w:color w:val="000000"/>
          <w:sz w:val="28"/>
          <w:szCs w:val="28"/>
          <w:highlight w:val="none"/>
        </w:rPr>
      </w:pPr>
    </w:p>
    <w:p>
      <w:pPr>
        <w:pStyle w:val="3"/>
        <w:spacing w:before="0" w:after="0" w:line="360" w:lineRule="auto"/>
        <w:jc w:val="center"/>
        <w:rPr>
          <w:rFonts w:ascii="仿宋" w:hAnsi="仿宋" w:eastAsia="仿宋" w:cs="仿宋"/>
          <w:color w:val="000000"/>
          <w:sz w:val="28"/>
          <w:szCs w:val="28"/>
          <w:highlight w:val="none"/>
        </w:rPr>
      </w:pPr>
    </w:p>
    <w:p>
      <w:pPr>
        <w:pStyle w:val="3"/>
        <w:spacing w:before="0" w:after="0" w:line="360" w:lineRule="auto"/>
        <w:jc w:val="center"/>
        <w:rPr>
          <w:rFonts w:ascii="仿宋" w:hAnsi="仿宋" w:eastAsia="仿宋" w:cs="仿宋"/>
          <w:color w:val="000000"/>
          <w:sz w:val="28"/>
          <w:szCs w:val="28"/>
          <w:highlight w:val="none"/>
        </w:rPr>
      </w:pPr>
    </w:p>
    <w:p>
      <w:pPr>
        <w:pStyle w:val="3"/>
        <w:spacing w:before="0" w:after="0" w:line="360" w:lineRule="auto"/>
        <w:jc w:val="center"/>
        <w:rPr>
          <w:rFonts w:ascii="仿宋" w:hAnsi="仿宋" w:eastAsia="仿宋" w:cs="仿宋"/>
          <w:color w:val="000000"/>
          <w:sz w:val="28"/>
          <w:szCs w:val="28"/>
          <w:highlight w:val="none"/>
        </w:rPr>
      </w:pPr>
    </w:p>
    <w:p>
      <w:pPr>
        <w:pStyle w:val="3"/>
        <w:spacing w:before="0" w:after="0" w:line="360" w:lineRule="auto"/>
        <w:jc w:val="center"/>
        <w:rPr>
          <w:rFonts w:ascii="仿宋" w:hAnsi="仿宋" w:eastAsia="仿宋" w:cs="仿宋"/>
          <w:color w:val="000000"/>
          <w:sz w:val="28"/>
          <w:szCs w:val="28"/>
          <w:highlight w:val="none"/>
        </w:rPr>
      </w:pPr>
      <w:bookmarkStart w:id="150" w:name="_Toc10521"/>
      <w:r>
        <w:rPr>
          <w:rFonts w:hint="eastAsia" w:ascii="仿宋" w:hAnsi="仿宋" w:eastAsia="仿宋" w:cs="仿宋"/>
          <w:color w:val="000000"/>
          <w:sz w:val="28"/>
          <w:szCs w:val="28"/>
        </w:rPr>
        <w:t>第六章 响应文件格式</w:t>
      </w:r>
      <w:bookmarkEnd w:id="150"/>
    </w:p>
    <w:p>
      <w:pPr>
        <w:spacing w:line="360" w:lineRule="auto"/>
        <w:rPr>
          <w:rFonts w:ascii="仿宋" w:hAnsi="仿宋" w:eastAsia="仿宋" w:cs="仿宋"/>
          <w:b/>
          <w:color w:val="000000"/>
        </w:rPr>
      </w:pPr>
      <w:r>
        <w:rPr>
          <w:rFonts w:hint="eastAsia" w:ascii="仿宋" w:hAnsi="仿宋" w:eastAsia="仿宋" w:cs="宋体"/>
          <w:b/>
          <w:color w:val="000000"/>
          <w:sz w:val="24"/>
        </w:rPr>
        <w:t>封面格式</w:t>
      </w:r>
    </w:p>
    <w:tbl>
      <w:tblPr>
        <w:tblStyle w:val="44"/>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pPr>
              <w:pStyle w:val="310"/>
              <w:keepNext w:val="0"/>
              <w:keepLines w:val="0"/>
              <w:suppressLineNumbers w:val="0"/>
              <w:spacing w:before="156" w:beforeAutospacing="0" w:after="312" w:afterAutospacing="0"/>
              <w:ind w:left="0" w:right="508"/>
              <w:jc w:val="right"/>
              <w:rPr>
                <w:rFonts w:hint="default" w:ascii="仿宋" w:hAnsi="仿宋" w:eastAsia="仿宋" w:cs="仿宋"/>
                <w:color w:val="000000"/>
                <w:sz w:val="32"/>
              </w:rPr>
            </w:pPr>
            <w:r>
              <w:rPr>
                <w:rFonts w:hint="eastAsia" w:ascii="仿宋" w:hAnsi="仿宋" w:eastAsia="仿宋" w:cs="仿宋"/>
                <w:color w:val="000000"/>
                <w:sz w:val="32"/>
              </w:rPr>
              <w:t>正本/副本</w:t>
            </w:r>
          </w:p>
          <w:p>
            <w:pPr>
              <w:pStyle w:val="310"/>
              <w:keepNext w:val="0"/>
              <w:keepLines w:val="0"/>
              <w:suppressLineNumbers w:val="0"/>
              <w:spacing w:before="156" w:beforeAutospacing="0" w:after="312" w:afterAutospacing="0"/>
              <w:ind w:left="0" w:right="-284"/>
              <w:jc w:val="center"/>
              <w:rPr>
                <w:rFonts w:hint="default" w:ascii="仿宋" w:hAnsi="仿宋" w:eastAsia="仿宋" w:cs="仿宋"/>
                <w:color w:val="FF0000"/>
                <w:sz w:val="32"/>
              </w:rPr>
            </w:pPr>
            <w:r>
              <w:rPr>
                <w:rFonts w:hint="eastAsia" w:ascii="仿宋" w:hAnsi="仿宋" w:eastAsia="仿宋" w:cs="仿宋"/>
                <w:color w:val="FF0000"/>
                <w:sz w:val="32"/>
              </w:rPr>
              <w:t>人保财险广东广州金融街营业部国银中心9楼职场装修工程采购项目</w:t>
            </w:r>
          </w:p>
          <w:p>
            <w:pPr>
              <w:pStyle w:val="310"/>
              <w:keepNext w:val="0"/>
              <w:keepLines w:val="0"/>
              <w:suppressLineNumbers w:val="0"/>
              <w:spacing w:before="0" w:beforeAutospacing="0" w:after="0" w:afterAutospacing="0"/>
              <w:ind w:left="0" w:right="-284" w:firstLine="2240"/>
              <w:rPr>
                <w:rFonts w:hint="default" w:ascii="仿宋" w:hAnsi="仿宋" w:eastAsia="仿宋" w:cs="仿宋"/>
                <w:color w:val="000000"/>
                <w:sz w:val="28"/>
                <w:u w:val="single"/>
              </w:rPr>
            </w:pPr>
          </w:p>
          <w:p>
            <w:pPr>
              <w:pStyle w:val="310"/>
              <w:keepNext w:val="0"/>
              <w:keepLines w:val="0"/>
              <w:suppressLineNumbers w:val="0"/>
              <w:spacing w:before="624" w:beforeAutospacing="0" w:after="156" w:afterAutospacing="0" w:line="160" w:lineRule="atLeast"/>
              <w:ind w:left="0" w:right="-284"/>
              <w:jc w:val="center"/>
              <w:rPr>
                <w:rFonts w:hint="default" w:ascii="仿宋" w:hAnsi="仿宋" w:eastAsia="仿宋" w:cs="仿宋"/>
                <w:color w:val="000000"/>
                <w:sz w:val="52"/>
              </w:rPr>
            </w:pPr>
            <w:r>
              <w:rPr>
                <w:rFonts w:hint="eastAsia" w:ascii="仿宋" w:hAnsi="仿宋" w:eastAsia="仿宋" w:cs="仿宋"/>
                <w:color w:val="000000"/>
                <w:sz w:val="52"/>
              </w:rPr>
              <w:t>磋商响应文件</w:t>
            </w:r>
          </w:p>
          <w:p>
            <w:pPr>
              <w:pStyle w:val="310"/>
              <w:keepNext w:val="0"/>
              <w:keepLines w:val="0"/>
              <w:suppressLineNumbers w:val="0"/>
              <w:spacing w:before="624" w:beforeAutospacing="0" w:after="156" w:afterAutospacing="0" w:line="160" w:lineRule="atLeast"/>
              <w:ind w:left="0" w:right="-284"/>
              <w:jc w:val="center"/>
              <w:rPr>
                <w:rFonts w:hint="default" w:ascii="仿宋" w:hAnsi="仿宋" w:eastAsia="仿宋" w:cs="仿宋"/>
                <w:color w:val="000000"/>
                <w:sz w:val="52"/>
              </w:rPr>
            </w:pPr>
          </w:p>
          <w:p>
            <w:pPr>
              <w:pStyle w:val="310"/>
              <w:keepNext w:val="0"/>
              <w:keepLines w:val="0"/>
              <w:suppressLineNumbers w:val="0"/>
              <w:spacing w:before="624" w:beforeAutospacing="0" w:after="156" w:afterAutospacing="0" w:line="240" w:lineRule="atLeast"/>
              <w:ind w:left="0" w:right="0"/>
              <w:jc w:val="center"/>
              <w:rPr>
                <w:rFonts w:hint="default" w:ascii="仿宋" w:hAnsi="仿宋" w:eastAsia="仿宋" w:cs="仿宋"/>
                <w:color w:val="000000"/>
                <w:sz w:val="40"/>
              </w:rPr>
            </w:pPr>
            <w:r>
              <w:rPr>
                <w:rFonts w:hint="eastAsia" w:ascii="仿宋" w:hAnsi="仿宋" w:eastAsia="仿宋" w:cs="仿宋"/>
                <w:color w:val="000000"/>
                <w:sz w:val="40"/>
              </w:rPr>
              <w:t>（商务文件/技术文件/报价文件）</w:t>
            </w:r>
          </w:p>
          <w:p>
            <w:pPr>
              <w:pStyle w:val="310"/>
              <w:keepNext w:val="0"/>
              <w:keepLines w:val="0"/>
              <w:suppressLineNumbers w:val="0"/>
              <w:spacing w:before="1560" w:beforeAutospacing="0" w:after="0" w:afterAutospacing="0" w:line="400" w:lineRule="atLeast"/>
              <w:ind w:left="0" w:right="-284" w:firstLine="2520"/>
              <w:rPr>
                <w:rFonts w:hint="default"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310"/>
              <w:keepNext w:val="0"/>
              <w:keepLines w:val="0"/>
              <w:suppressLineNumbers w:val="0"/>
              <w:spacing w:before="0" w:beforeAutospacing="0" w:after="156" w:afterAutospacing="0" w:line="400" w:lineRule="atLeast"/>
              <w:ind w:left="0" w:right="-284"/>
              <w:jc w:val="center"/>
              <w:rPr>
                <w:rFonts w:hint="default"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310"/>
              <w:keepNext w:val="0"/>
              <w:keepLines w:val="0"/>
              <w:suppressLineNumbers w:val="0"/>
              <w:spacing w:before="0" w:beforeAutospacing="0" w:after="624" w:afterAutospacing="0"/>
              <w:ind w:left="0" w:right="-284"/>
              <w:jc w:val="center"/>
              <w:rPr>
                <w:rFonts w:hint="default" w:ascii="仿宋" w:hAnsi="仿宋" w:eastAsia="仿宋" w:cs="仿宋"/>
                <w:color w:val="000000"/>
                <w:sz w:val="24"/>
              </w:rPr>
            </w:pPr>
          </w:p>
          <w:p>
            <w:pPr>
              <w:pStyle w:val="310"/>
              <w:keepNext w:val="0"/>
              <w:keepLines w:val="0"/>
              <w:suppressLineNumbers w:val="0"/>
              <w:spacing w:before="0" w:beforeAutospacing="0" w:after="624" w:afterAutospacing="0"/>
              <w:ind w:left="0" w:right="-284"/>
              <w:jc w:val="center"/>
              <w:rPr>
                <w:rFonts w:hint="default"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sz w:val="24"/>
        </w:rPr>
      </w:pPr>
      <w:r>
        <w:rPr>
          <w:rFonts w:hint="eastAsia" w:ascii="仿宋" w:hAnsi="仿宋" w:eastAsia="仿宋" w:cs="仿宋"/>
          <w:b/>
          <w:color w:val="000000"/>
          <w:sz w:val="24"/>
        </w:rPr>
        <w:t>格式：封口</w:t>
      </w:r>
    </w:p>
    <w:tbl>
      <w:tblPr>
        <w:tblStyle w:val="44"/>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284"/>
              <w:jc w:val="center"/>
              <w:rPr>
                <w:rFonts w:hint="default"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ind w:firstLine="0"/>
        <w:jc w:val="both"/>
        <w:rPr>
          <w:rFonts w:ascii="仿宋" w:hAnsi="仿宋" w:eastAsia="仿宋" w:cs="仿宋"/>
          <w:color w:val="000000"/>
          <w:sz w:val="24"/>
          <w:szCs w:val="24"/>
        </w:rPr>
      </w:pPr>
      <w:bookmarkStart w:id="151" w:name="_Toc3936"/>
      <w:bookmarkStart w:id="152" w:name="_Toc517281836"/>
      <w:bookmarkStart w:id="153" w:name="_Toc25957"/>
      <w:bookmarkStart w:id="154" w:name="_Toc19783362"/>
      <w:bookmarkStart w:id="155" w:name="_Toc21280"/>
      <w:bookmarkStart w:id="156" w:name="_Toc444891353"/>
      <w:bookmarkStart w:id="157" w:name="_Toc11783"/>
      <w:bookmarkStart w:id="158" w:name="_Toc287600131"/>
      <w:bookmarkStart w:id="159" w:name="_Toc19910"/>
      <w:bookmarkStart w:id="160" w:name="_Toc287600129"/>
      <w:bookmarkStart w:id="161" w:name="_Toc19783360"/>
      <w:r>
        <w:rPr>
          <w:rFonts w:ascii="仿宋" w:hAnsi="仿宋" w:eastAsia="仿宋" w:cs="仿宋"/>
          <w:color w:val="000000"/>
          <w:sz w:val="24"/>
          <w:szCs w:val="24"/>
        </w:rPr>
        <w:br w:type="page" w:clear="all"/>
      </w:r>
      <w:bookmarkStart w:id="162" w:name="_Toc13228"/>
      <w:r>
        <w:rPr>
          <w:rFonts w:hint="eastAsia" w:ascii="仿宋" w:hAnsi="仿宋" w:eastAsia="仿宋" w:cs="仿宋"/>
          <w:color w:val="000000"/>
          <w:sz w:val="24"/>
          <w:szCs w:val="24"/>
        </w:rPr>
        <w:t>一、商务文件</w:t>
      </w:r>
      <w:bookmarkEnd w:id="151"/>
      <w:bookmarkEnd w:id="162"/>
    </w:p>
    <w:p>
      <w:pPr>
        <w:jc w:val="center"/>
      </w:pPr>
      <w:bookmarkStart w:id="163" w:name="_Toc26744"/>
      <w:r>
        <w:rPr>
          <w:rFonts w:hint="eastAsia" w:ascii="仿宋" w:hAnsi="仿宋" w:eastAsia="仿宋" w:cs="仿宋"/>
          <w:b/>
          <w:bCs/>
          <w:sz w:val="24"/>
        </w:rPr>
        <w:t>初步评审索引表</w:t>
      </w:r>
      <w:bookmarkEnd w:id="163"/>
    </w:p>
    <w:tbl>
      <w:tblPr>
        <w:tblStyle w:val="44"/>
        <w:tblW w:w="508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88"/>
        <w:gridCol w:w="412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序号</w:t>
            </w:r>
          </w:p>
        </w:tc>
        <w:tc>
          <w:tcPr>
            <w:tcW w:w="1701" w:type="dxa"/>
            <w:noWrap w:val="0"/>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评审环节</w:t>
            </w:r>
          </w:p>
        </w:tc>
        <w:tc>
          <w:tcPr>
            <w:tcW w:w="3389" w:type="dxa"/>
            <w:noWrap w:val="0"/>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评审因素</w:t>
            </w:r>
          </w:p>
        </w:tc>
        <w:tc>
          <w:tcPr>
            <w:tcW w:w="4124" w:type="dxa"/>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形式评审标准</w:t>
            </w: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供应商名称</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124" w:type="dxa"/>
            <w:noWrap w:val="0"/>
            <w:vAlign w:val="center"/>
          </w:tcPr>
          <w:p>
            <w:pPr>
              <w:pStyle w:val="291"/>
              <w:keepNext w:val="0"/>
              <w:keepLines w:val="0"/>
              <w:suppressLineNumbers w:val="0"/>
              <w:tabs>
                <w:tab w:val="left" w:pos="630"/>
              </w:tabs>
              <w:spacing w:before="48" w:beforeAutospacing="0" w:after="48"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124" w:type="dxa"/>
            <w:noWrap w:val="0"/>
            <w:vAlign w:val="center"/>
          </w:tcPr>
          <w:p>
            <w:pPr>
              <w:pStyle w:val="291"/>
              <w:keepNext w:val="0"/>
              <w:keepLines w:val="0"/>
              <w:suppressLineNumbers w:val="0"/>
              <w:tabs>
                <w:tab w:val="left" w:pos="630"/>
              </w:tabs>
              <w:spacing w:before="48" w:beforeAutospacing="0" w:after="48"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124" w:type="dxa"/>
            <w:noWrap w:val="0"/>
            <w:vAlign w:val="center"/>
          </w:tcPr>
          <w:p>
            <w:pPr>
              <w:pStyle w:val="310"/>
              <w:keepNext w:val="0"/>
              <w:keepLines w:val="0"/>
              <w:suppressLineNumbers w:val="0"/>
              <w:spacing w:before="48" w:beforeAutospacing="0" w:after="48" w:afterAutospacing="0" w:line="276" w:lineRule="auto"/>
              <w:ind w:left="0" w:right="0"/>
              <w:rPr>
                <w:rFonts w:hint="default"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资格评审标准</w:t>
            </w: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FF0000"/>
                <w:szCs w:val="21"/>
                <w:highlight w:val="yellow"/>
              </w:rPr>
            </w:pPr>
            <w:r>
              <w:rPr>
                <w:rFonts w:hint="eastAsia" w:ascii="仿宋" w:hAnsi="仿宋" w:eastAsia="仿宋" w:cs="仿宋"/>
                <w:color w:val="000000"/>
                <w:szCs w:val="21"/>
              </w:rPr>
              <w:t>营业执照</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商业信誉和财务会计制度</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设备和专业技术能力</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rPr>
            </w:pPr>
            <w:r>
              <w:rPr>
                <w:rFonts w:hint="eastAsia" w:ascii="仿宋" w:hAnsi="仿宋" w:eastAsia="仿宋" w:cs="仿宋"/>
                <w:color w:val="000000"/>
                <w:szCs w:val="21"/>
              </w:rPr>
              <w:t>依法缴纳税收和社会保障资金的良好</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highlight w:val="yellow"/>
              </w:rPr>
            </w:pPr>
            <w:r>
              <w:rPr>
                <w:rFonts w:hint="eastAsia" w:ascii="仿宋" w:hAnsi="仿宋" w:eastAsia="仿宋" w:cs="仿宋"/>
                <w:color w:val="000000"/>
                <w:szCs w:val="21"/>
              </w:rPr>
              <w:t>无违法违规记录</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highlight w:val="yellow"/>
              </w:rPr>
            </w:pPr>
            <w:r>
              <w:rPr>
                <w:rFonts w:hint="eastAsia" w:ascii="仿宋" w:hAnsi="仿宋" w:eastAsia="仿宋" w:cs="Monaco"/>
                <w:color w:val="000000"/>
                <w:szCs w:val="21"/>
              </w:rPr>
              <w:t>未被列入黑名单</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highlight w:val="yellow"/>
              </w:rPr>
            </w:pPr>
            <w:r>
              <w:rPr>
                <w:rFonts w:hint="eastAsia" w:ascii="仿宋" w:hAnsi="仿宋" w:eastAsia="仿宋" w:cs="Cambria Math"/>
                <w:szCs w:val="21"/>
              </w:rPr>
              <w:t>控股及管理关系</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仿宋"/>
                <w:color w:val="FF0000"/>
                <w:szCs w:val="21"/>
                <w:highlight w:val="yellow"/>
              </w:rPr>
            </w:pPr>
            <w:r>
              <w:rPr>
                <w:rFonts w:hint="eastAsia" w:ascii="仿宋" w:hAnsi="仿宋" w:eastAsia="仿宋" w:cs="仿宋"/>
                <w:szCs w:val="21"/>
              </w:rPr>
              <w:t>非联合体响应</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default" w:ascii="仿宋" w:hAnsi="仿宋" w:eastAsia="仿宋" w:cs="仿宋"/>
                <w:color w:val="000000"/>
                <w:szCs w:val="21"/>
              </w:rPr>
              <w:t>3</w:t>
            </w:r>
          </w:p>
        </w:tc>
        <w:tc>
          <w:tcPr>
            <w:tcW w:w="1701" w:type="dxa"/>
            <w:vMerge w:val="restart"/>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响应性评审标准</w:t>
            </w: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szCs w:val="21"/>
              </w:rPr>
            </w:pPr>
            <w:r>
              <w:rPr>
                <w:rFonts w:hint="eastAsia" w:ascii="仿宋" w:hAnsi="仿宋" w:eastAsia="仿宋" w:cs="仿宋"/>
                <w:szCs w:val="21"/>
              </w:rPr>
              <w:t>响应函</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szCs w:val="21"/>
              </w:rPr>
            </w:pPr>
            <w:r>
              <w:rPr>
                <w:rFonts w:hint="eastAsia" w:ascii="仿宋" w:hAnsi="仿宋" w:eastAsia="仿宋" w:cs="宋体"/>
                <w:szCs w:val="21"/>
              </w:rPr>
              <w:t>供应商行为准则承诺书</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Cambria Math"/>
                <w:szCs w:val="21"/>
              </w:rPr>
            </w:pPr>
            <w:r>
              <w:rPr>
                <w:rFonts w:hint="eastAsia" w:ascii="仿宋" w:hAnsi="仿宋" w:eastAsia="仿宋" w:cs="宋体"/>
                <w:szCs w:val="21"/>
              </w:rPr>
              <w:t>供应商廉洁诚信承诺书</w:t>
            </w:r>
          </w:p>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389"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szCs w:val="21"/>
              </w:rPr>
            </w:pPr>
            <w:r>
              <w:rPr>
                <w:rFonts w:hint="eastAsia" w:ascii="仿宋" w:hAnsi="仿宋" w:eastAsia="仿宋" w:cs="Cambria Math"/>
                <w:szCs w:val="21"/>
              </w:rPr>
              <w:t>供应商偏离应答</w:t>
            </w:r>
          </w:p>
          <w:bookmarkEnd w:id="152"/>
          <w:bookmarkEnd w:id="153"/>
          <w:bookmarkEnd w:id="154"/>
          <w:bookmarkEnd w:id="155"/>
          <w:bookmarkEnd w:id="156"/>
          <w:bookmarkEnd w:id="157"/>
          <w:bookmarkEnd w:id="158"/>
          <w:bookmarkEnd w:id="159"/>
        </w:tc>
        <w:tc>
          <w:tcPr>
            <w:tcW w:w="4124"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000000"/>
                <w:szCs w:val="21"/>
              </w:rPr>
            </w:pPr>
          </w:p>
        </w:tc>
      </w:tr>
    </w:tbl>
    <w:p>
      <w:pPr>
        <w:rPr>
          <w:rFonts w:ascii="宋体" w:hAnsi="宋体"/>
          <w:szCs w:val="21"/>
        </w:rPr>
        <w:sectPr>
          <w:footerReference r:id="rId11" w:type="default"/>
          <w:pgSz w:w="11906" w:h="16838"/>
          <w:pgMar w:top="1417" w:right="1134" w:bottom="1134" w:left="1134" w:header="964" w:footer="964" w:gutter="0"/>
          <w:cols w:space="720" w:num="1"/>
        </w:sectPr>
      </w:pPr>
    </w:p>
    <w:p>
      <w:pPr>
        <w:jc w:val="center"/>
        <w:rPr>
          <w:rFonts w:ascii="仿宋" w:hAnsi="仿宋" w:eastAsia="仿宋" w:cs="仿宋"/>
          <w:b/>
          <w:bCs/>
          <w:sz w:val="24"/>
        </w:rPr>
      </w:pPr>
      <w:bookmarkStart w:id="164" w:name="_Toc444891354"/>
      <w:bookmarkStart w:id="165" w:name="_Toc27799"/>
      <w:bookmarkStart w:id="166" w:name="_Toc7202"/>
      <w:bookmarkStart w:id="167" w:name="_Toc25121"/>
      <w:bookmarkStart w:id="168" w:name="_Toc12140"/>
      <w:bookmarkStart w:id="169" w:name="_Toc517281837"/>
      <w:r>
        <w:rPr>
          <w:rFonts w:hint="eastAsia" w:ascii="仿宋" w:hAnsi="仿宋" w:eastAsia="仿宋" w:cs="仿宋"/>
          <w:b/>
          <w:bCs/>
          <w:sz w:val="24"/>
        </w:rPr>
        <w:t>详细评审索引表</w:t>
      </w:r>
    </w:p>
    <w:tbl>
      <w:tblPr>
        <w:tblStyle w:val="4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pPr>
              <w:keepNext w:val="0"/>
              <w:keepLines w:val="0"/>
              <w:widowControl/>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shd w:val="clear" w:color="auto"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商务得分</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（10分）</w:t>
            </w:r>
          </w:p>
        </w:tc>
        <w:tc>
          <w:tcPr>
            <w:tcW w:w="226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综合实力</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（5分）</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rPr>
                <w:rFonts w:hint="default" w:ascii="仿宋" w:hAnsi="仿宋" w:eastAsia="仿宋" w:cs="宋体"/>
                <w:color w:val="000000"/>
                <w:szCs w:val="21"/>
              </w:rPr>
            </w:pPr>
            <w:r>
              <w:rPr>
                <w:rFonts w:hint="eastAsia" w:ascii="仿宋" w:hAnsi="仿宋" w:eastAsia="仿宋" w:cs="宋体"/>
                <w:color w:val="000000"/>
                <w:szCs w:val="21"/>
              </w:rPr>
              <w:t>说明：XX</w:t>
            </w:r>
          </w:p>
          <w:p>
            <w:pPr>
              <w:keepNext w:val="0"/>
              <w:keepLines w:val="0"/>
              <w:suppressLineNumbers w:val="0"/>
              <w:spacing w:before="0" w:beforeAutospacing="0" w:after="0" w:afterAutospacing="0"/>
              <w:ind w:left="0" w:right="0"/>
              <w:rPr>
                <w:rStyle w:val="271"/>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shd w:val="clear" w:color="auto"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p>
        </w:tc>
        <w:tc>
          <w:tcPr>
            <w:tcW w:w="226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同类业绩</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（5分）</w:t>
            </w: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271"/>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p>
    <w:p>
      <w:pPr>
        <w:pStyle w:val="5"/>
        <w:spacing w:before="0" w:line="440" w:lineRule="exact"/>
        <w:ind w:left="0" w:firstLine="0"/>
        <w:rPr>
          <w:rFonts w:ascii="仿宋" w:hAnsi="仿宋" w:eastAsia="仿宋" w:cs="仿宋"/>
          <w:color w:val="000000"/>
          <w:sz w:val="24"/>
          <w:szCs w:val="24"/>
        </w:rPr>
      </w:pPr>
      <w:bookmarkStart w:id="170" w:name="_Toc2812"/>
      <w:r>
        <w:rPr>
          <w:rFonts w:hint="eastAsia" w:ascii="仿宋" w:hAnsi="仿宋" w:eastAsia="仿宋" w:cs="仿宋"/>
          <w:color w:val="000000"/>
          <w:sz w:val="24"/>
          <w:szCs w:val="24"/>
        </w:rPr>
        <w:t>（一）响应函</w:t>
      </w:r>
      <w:bookmarkEnd w:id="170"/>
    </w:p>
    <w:p>
      <w:pPr>
        <w:pBdr>
          <w:top w:val="none" w:color="000000" w:sz="0" w:space="0"/>
          <w:left w:val="none" w:color="000000" w:sz="0" w:space="0"/>
          <w:bottom w:val="none" w:color="000000" w:sz="0" w:space="0"/>
          <w:right w:val="none" w:color="000000" w:sz="0" w:space="0"/>
        </w:pBdr>
        <w:spacing w:line="439" w:lineRule="atLeast"/>
        <w:ind w:left="0" w:right="0" w:firstLine="0"/>
        <w:jc w:val="both"/>
        <w:rPr>
          <w:sz w:val="21"/>
        </w:rPr>
      </w:pPr>
      <w:r>
        <w:rPr>
          <w:rFonts w:ascii="仿宋" w:hAnsi="仿宋" w:eastAsia="仿宋" w:cs="仿宋"/>
          <w:color w:val="000000"/>
          <w:sz w:val="24"/>
          <w:u w:val="single"/>
        </w:rPr>
        <w:t>致：（采购人名称）    </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u w:val="single"/>
        </w:rPr>
        <w:t xml:space="preserve">   （供应商名称）   </w:t>
      </w:r>
      <w:r>
        <w:rPr>
          <w:rFonts w:ascii="仿宋" w:hAnsi="仿宋" w:eastAsia="仿宋" w:cs="仿宋"/>
          <w:color w:val="000000"/>
          <w:sz w:val="24"/>
        </w:rPr>
        <w:t>（以下称“我方”）已仔细研究了</w:t>
      </w:r>
      <w:r>
        <w:rPr>
          <w:rFonts w:ascii="仿宋" w:hAnsi="仿宋" w:eastAsia="仿宋" w:cs="仿宋"/>
          <w:color w:val="000000"/>
          <w:sz w:val="24"/>
          <w:u w:val="single"/>
        </w:rPr>
        <w:t xml:space="preserve">    （项目名称）     </w:t>
      </w:r>
      <w:r>
        <w:rPr>
          <w:rFonts w:ascii="仿宋" w:hAnsi="仿宋" w:eastAsia="仿宋" w:cs="仿宋"/>
          <w:color w:val="000000"/>
          <w:sz w:val="24"/>
        </w:rPr>
        <w:t>竞争性磋商文件的全部内容，包括澄清或者修改文件以及有关附件，我方将严格按照竞争性磋商文件要求递交符合要求的全部磋商响应文件。</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现我方承诺如下内容：</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1. 本响应函及磋商响应文件自磋商响应文件提交截止日起有效期为</w:t>
      </w:r>
      <w:r>
        <w:rPr>
          <w:rFonts w:ascii="仿宋" w:hAnsi="仿宋" w:eastAsia="仿宋" w:cs="仿宋"/>
          <w:color w:val="000000"/>
          <w:sz w:val="24"/>
          <w:u w:val="single"/>
        </w:rPr>
        <w:t>90天</w:t>
      </w:r>
      <w:r>
        <w:rPr>
          <w:rFonts w:ascii="仿宋" w:hAnsi="仿宋" w:eastAsia="仿宋" w:cs="仿宋"/>
          <w:color w:val="000000"/>
          <w:sz w:val="24"/>
        </w:rPr>
        <w:t>，我方承诺在响应有效期内不修改、撤销磋商响应文件。</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2. 我方承诺提供磋商过程中可能要求的澄清、说明、补正或者算术性错误修正确认，并同意我方提供的以上材料构成我方响应文件的组成部分。</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3. 我方同意提供贵方可能要求的与我方响应文件有关的一切数据、资料、证明原件、证件原件，并完全理解贵方不一定接受最低价的响应。</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4．我方承诺对在本次采购活动过程中所获知贵方一切商业秘密保密，不会向任何第三方泄露，不会用于本次采购活动之外的任何其他目的。</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5．我方承诺对所递交的响应文件及有关材料的真实性、合法性、完整性、准确性承担法律责任。如有弄虚作假、串通投标、行贿等违法违规行为，将承担相应的法律责任，并赔偿由此给贵方造成的一切损失。</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6. 如我方成交：</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（1）我方承诺在收到成交通知书后，在成交通知书规定的期限内与贵方签订合同。</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（2）我方承诺按照竞争性磋商文件规定递交履约保证金、支付采购代理服务费。</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（3）我方承诺按照竞争性磋商文件的规定及合同约定履行相关责任和义务。</w:t>
      </w:r>
    </w:p>
    <w:p>
      <w:pPr>
        <w:pBdr>
          <w:top w:val="none" w:color="000000" w:sz="0" w:space="0"/>
          <w:left w:val="none" w:color="000000" w:sz="0" w:space="0"/>
          <w:bottom w:val="none" w:color="000000" w:sz="0" w:space="0"/>
          <w:right w:val="none" w:color="000000" w:sz="0" w:space="0"/>
        </w:pBdr>
        <w:spacing w:line="439" w:lineRule="atLeast"/>
        <w:ind w:left="0" w:right="0" w:firstLine="420"/>
        <w:jc w:val="both"/>
        <w:rPr>
          <w:sz w:val="21"/>
        </w:rPr>
      </w:pPr>
      <w:r>
        <w:rPr>
          <w:rFonts w:ascii="仿宋" w:hAnsi="仿宋" w:eastAsia="仿宋" w:cs="仿宋"/>
          <w:color w:val="000000"/>
          <w:sz w:val="24"/>
        </w:rPr>
        <w:t>（4）我方在此承诺，双方合作后可开具增值税专用发票。</w:t>
      </w:r>
    </w:p>
    <w:p>
      <w:pPr>
        <w:pBdr>
          <w:top w:val="none" w:color="000000" w:sz="0" w:space="0"/>
          <w:left w:val="none" w:color="000000" w:sz="0" w:space="0"/>
          <w:bottom w:val="none" w:color="000000" w:sz="0" w:space="0"/>
          <w:right w:val="none" w:color="000000" w:sz="0" w:space="0"/>
        </w:pBdr>
        <w:spacing w:line="439" w:lineRule="atLeast"/>
        <w:ind w:left="0" w:right="0" w:firstLine="4080"/>
        <w:jc w:val="right"/>
        <w:rPr>
          <w:sz w:val="21"/>
        </w:rPr>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line="439" w:lineRule="atLeast"/>
        <w:ind w:left="0" w:right="0" w:firstLine="4080"/>
        <w:jc w:val="right"/>
        <w:rPr>
          <w:sz w:val="21"/>
        </w:rPr>
      </w:pPr>
      <w:r>
        <w:rPr>
          <w:rFonts w:ascii="仿宋" w:hAnsi="仿宋" w:eastAsia="仿宋" w:cs="仿宋"/>
          <w:color w:val="000000"/>
          <w:sz w:val="24"/>
        </w:rPr>
        <w:t>供应商名称：</w:t>
      </w:r>
      <w:r>
        <w:rPr>
          <w:rFonts w:ascii="仿宋" w:hAnsi="仿宋" w:eastAsia="仿宋" w:cs="仿宋"/>
          <w:color w:val="000000"/>
          <w:sz w:val="24"/>
          <w:u w:val="single"/>
        </w:rPr>
        <w:t xml:space="preserve">     </w:t>
      </w:r>
      <w:r>
        <w:rPr>
          <w:rFonts w:ascii="仿宋" w:hAnsi="仿宋" w:eastAsia="仿宋" w:cs="仿宋"/>
          <w:color w:val="000000"/>
          <w:sz w:val="24"/>
        </w:rPr>
        <w:t>（盖章）</w:t>
      </w:r>
    </w:p>
    <w:p>
      <w:pPr>
        <w:pBdr>
          <w:top w:val="none" w:color="000000" w:sz="0" w:space="0"/>
          <w:left w:val="none" w:color="000000" w:sz="0" w:space="0"/>
          <w:bottom w:val="none" w:color="000000" w:sz="0" w:space="0"/>
          <w:right w:val="none" w:color="000000" w:sz="0" w:space="0"/>
        </w:pBdr>
        <w:spacing w:line="439" w:lineRule="atLeast"/>
        <w:ind w:left="0" w:right="0" w:firstLine="0"/>
        <w:jc w:val="right"/>
        <w:rPr>
          <w:sz w:val="21"/>
        </w:rPr>
      </w:pPr>
      <w:r>
        <w:rPr>
          <w:rFonts w:ascii="仿宋" w:hAnsi="仿宋" w:eastAsia="仿宋" w:cs="仿宋"/>
          <w:color w:val="000000"/>
          <w:sz w:val="24"/>
        </w:rPr>
        <w:t>日期：</w:t>
      </w:r>
      <w:r>
        <w:rPr>
          <w:rFonts w:ascii="仿宋" w:hAnsi="仿宋" w:eastAsia="仿宋" w:cs="仿宋"/>
          <w:color w:val="000000"/>
          <w:sz w:val="24"/>
          <w:u w:val="single"/>
        </w:rPr>
        <w:t xml:space="preserve">   </w:t>
      </w:r>
      <w:r>
        <w:rPr>
          <w:rFonts w:ascii="仿宋" w:hAnsi="仿宋" w:eastAsia="仿宋" w:cs="仿宋"/>
          <w:color w:val="000000"/>
          <w:sz w:val="24"/>
        </w:rPr>
        <w:t>年</w:t>
      </w:r>
      <w:r>
        <w:rPr>
          <w:rFonts w:ascii="仿宋" w:hAnsi="仿宋" w:eastAsia="仿宋" w:cs="仿宋"/>
          <w:color w:val="000000"/>
          <w:sz w:val="24"/>
          <w:u w:val="single"/>
        </w:rPr>
        <w:t xml:space="preserve">   </w:t>
      </w:r>
      <w:r>
        <w:rPr>
          <w:rFonts w:ascii="仿宋" w:hAnsi="仿宋" w:eastAsia="仿宋" w:cs="仿宋"/>
          <w:color w:val="000000"/>
          <w:sz w:val="24"/>
        </w:rPr>
        <w:t>月</w:t>
      </w:r>
      <w:r>
        <w:rPr>
          <w:rFonts w:ascii="仿宋" w:hAnsi="仿宋" w:eastAsia="仿宋" w:cs="仿宋"/>
          <w:color w:val="000000"/>
          <w:sz w:val="24"/>
          <w:u w:val="single"/>
        </w:rPr>
        <w:t xml:space="preserve">   </w:t>
      </w:r>
      <w:r>
        <w:rPr>
          <w:rFonts w:ascii="仿宋" w:hAnsi="仿宋" w:eastAsia="仿宋" w:cs="仿宋"/>
          <w:color w:val="000000"/>
          <w:sz w:val="24"/>
        </w:rPr>
        <w:t>日</w:t>
      </w:r>
    </w:p>
    <w:p>
      <w:pPr>
        <w:spacing w:line="440" w:lineRule="exact"/>
        <w:jc w:val="right"/>
        <w:rPr>
          <w:rFonts w:ascii="仿宋" w:hAnsi="仿宋" w:eastAsia="仿宋" w:cs="仿宋"/>
          <w:color w:val="000000"/>
          <w:sz w:val="24"/>
        </w:rPr>
      </w:pPr>
    </w:p>
    <w:p>
      <w:pPr>
        <w:pStyle w:val="5"/>
        <w:spacing w:before="0" w:after="0" w:line="360" w:lineRule="auto"/>
        <w:ind w:left="0" w:firstLine="0"/>
        <w:rPr>
          <w:rFonts w:ascii="仿宋" w:hAnsi="仿宋" w:eastAsia="仿宋" w:cs="仿宋"/>
          <w:color w:val="000000"/>
          <w:sz w:val="24"/>
          <w:szCs w:val="24"/>
        </w:rPr>
      </w:pPr>
      <w:r>
        <w:rPr>
          <w:rFonts w:ascii="仿宋" w:hAnsi="仿宋" w:eastAsia="仿宋" w:cs="仿宋"/>
          <w:color w:val="000000"/>
          <w:sz w:val="24"/>
          <w:szCs w:val="24"/>
        </w:rPr>
        <w:br w:type="page" w:clear="all"/>
      </w:r>
      <w:bookmarkEnd w:id="160"/>
      <w:bookmarkEnd w:id="161"/>
      <w:bookmarkEnd w:id="164"/>
      <w:bookmarkEnd w:id="165"/>
      <w:bookmarkEnd w:id="166"/>
      <w:bookmarkEnd w:id="167"/>
      <w:bookmarkEnd w:id="168"/>
      <w:bookmarkEnd w:id="169"/>
      <w:bookmarkStart w:id="171" w:name="_Toc15015"/>
      <w:r>
        <w:rPr>
          <w:rFonts w:hint="eastAsia" w:ascii="仿宋" w:hAnsi="仿宋" w:eastAsia="仿宋" w:cs="仿宋"/>
          <w:color w:val="000000"/>
          <w:sz w:val="24"/>
          <w:szCs w:val="24"/>
        </w:rPr>
        <w:t>（二）法定代表人（负责人）身份证明书</w:t>
      </w:r>
      <w:bookmarkEnd w:id="171"/>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pPr>
        <w:spacing w:line="360" w:lineRule="auto"/>
        <w:rPr>
          <w:rFonts w:ascii="仿宋" w:hAnsi="仿宋" w:eastAsia="仿宋" w:cs="仿宋"/>
          <w:b/>
          <w:color w:val="000000"/>
          <w:sz w:val="24"/>
        </w:rPr>
      </w:pPr>
    </w:p>
    <w:p>
      <w:pPr>
        <w:widowControl/>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p>
      <w:pPr>
        <w:widowControl/>
        <w:spacing w:line="360" w:lineRule="auto"/>
        <w:rPr>
          <w:rFonts w:ascii="仿宋" w:hAnsi="仿宋" w:eastAsia="仿宋" w:cs="仿宋"/>
          <w:color w:val="000000"/>
          <w:sz w:val="24"/>
        </w:rPr>
      </w:pPr>
      <w:r>
        <w:rPr>
          <w:rFonts w:hint="eastAsia" w:ascii="仿宋" w:hAnsi="仿宋" w:eastAsia="仿宋" w:cs="仿宋"/>
          <w:color w:val="000000"/>
          <w:sz w:val="24"/>
        </w:rPr>
        <w:t>成立时间：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widowControl/>
        <w:spacing w:line="360" w:lineRule="auto"/>
        <w:rPr>
          <w:rFonts w:ascii="仿宋" w:hAnsi="仿宋" w:eastAsia="仿宋" w:cs="仿宋"/>
          <w:color w:val="000000"/>
          <w:sz w:val="24"/>
          <w:u w:val="single"/>
        </w:rPr>
      </w:pPr>
      <w:r>
        <w:rPr>
          <w:rFonts w:hint="eastAsia" w:ascii="仿宋" w:hAnsi="仿宋" w:eastAsia="仿宋" w:cs="仿宋"/>
          <w:color w:val="000000"/>
          <w:sz w:val="24"/>
        </w:rPr>
        <w:t>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性别：</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职务：</w:t>
      </w:r>
      <w:r>
        <w:rPr>
          <w:rFonts w:hint="eastAsia" w:ascii="仿宋" w:hAnsi="仿宋" w:eastAsia="仿宋" w:cs="仿宋"/>
          <w:color w:val="000000"/>
          <w:sz w:val="24"/>
          <w:u w:val="single"/>
        </w:rPr>
        <w:t xml:space="preserve">         </w:t>
      </w:r>
    </w:p>
    <w:p>
      <w:pPr>
        <w:widowControl/>
        <w:spacing w:line="360" w:lineRule="auto"/>
        <w:rPr>
          <w:rFonts w:ascii="仿宋" w:hAnsi="仿宋" w:eastAsia="仿宋" w:cs="仿宋"/>
          <w:color w:val="000000"/>
          <w:sz w:val="24"/>
        </w:rPr>
      </w:pPr>
      <w:r>
        <w:rPr>
          <w:rFonts w:hint="eastAsia" w:ascii="仿宋" w:hAnsi="仿宋" w:eastAsia="仿宋" w:cs="仿宋"/>
          <w:color w:val="000000"/>
          <w:sz w:val="24"/>
        </w:rPr>
        <w:t>系</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（供应商名称）的法定代表人（负责人）。</w:t>
      </w:r>
    </w:p>
    <w:p>
      <w:pPr>
        <w:widowControl/>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pPr>
        <w:widowControl/>
        <w:spacing w:line="360" w:lineRule="auto"/>
        <w:rPr>
          <w:rFonts w:ascii="仿宋" w:hAnsi="仿宋" w:eastAsia="仿宋" w:cs="仿宋"/>
          <w:color w:val="000000"/>
          <w:sz w:val="24"/>
        </w:rPr>
      </w:pPr>
    </w:p>
    <w:p>
      <w:pPr>
        <w:widowControl/>
        <w:spacing w:line="360" w:lineRule="auto"/>
        <w:rPr>
          <w:rFonts w:ascii="仿宋" w:hAnsi="仿宋" w:eastAsia="仿宋" w:cs="仿宋"/>
          <w:b/>
          <w:bCs/>
          <w:color w:val="000000"/>
          <w:sz w:val="24"/>
        </w:rPr>
      </w:pPr>
      <w:r>
        <w:rPr>
          <w:rFonts w:hint="eastAsia" w:ascii="仿宋" w:hAnsi="仿宋" w:eastAsia="仿宋" w:cs="仿宋"/>
          <w:b/>
          <w:bCs/>
          <w:color w:val="000000"/>
          <w:sz w:val="24"/>
        </w:rPr>
        <w:t>附：法定代表人（负责人）身份证复印件（需同时提供正面及背面）。</w:t>
      </w:r>
    </w:p>
    <w:p>
      <w:pPr>
        <w:widowControl/>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JoFgBc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ELUltkAAAAKAQAA&#10;DwAAAAAAAAABACAAAAAiAAAAZHJzL2Rvd25yZXYueG1sUEsBAhQAFAAAAAgAh07iQOyj9jMYAgAA&#10;RQQAAA4AAAAAAAAAAQAgAAAAKAEAAGRycy9lMm9Eb2MueG1sUEsFBgAAAAAGAAYAWQEAALIFAAAA&#10;AA==&#10;">
                <v:fill on="t" focussize="0,0"/>
                <v:stroke weight="1.25pt" color="#739CC3" joinstyle="miter"/>
                <v:imagedata o:title=""/>
                <o:lock v:ext="edit" aspectratio="f"/>
              </v:rect>
            </w:pict>
          </mc:Fallback>
        </mc:AlternateContent>
      </w:r>
    </w:p>
    <w:p>
      <w:pPr>
        <w:pStyle w:val="310"/>
        <w:spacing w:line="440" w:lineRule="atLeast"/>
        <w:ind w:firstLine="480"/>
        <w:jc w:val="left"/>
        <w:rPr>
          <w:rFonts w:ascii="仿宋" w:hAnsi="仿宋" w:eastAsia="仿宋" w:cs="仿宋"/>
          <w:color w:val="000000"/>
        </w:rPr>
      </w:pPr>
    </w:p>
    <w:p>
      <w:pPr>
        <w:pStyle w:val="310"/>
        <w:spacing w:line="440" w:lineRule="atLeast"/>
        <w:ind w:firstLine="480"/>
        <w:jc w:val="left"/>
        <w:rPr>
          <w:rFonts w:ascii="仿宋" w:hAnsi="仿宋" w:eastAsia="仿宋" w:cs="仿宋"/>
          <w:color w:val="000000"/>
        </w:rPr>
      </w:pPr>
    </w:p>
    <w:p>
      <w:pPr>
        <w:pStyle w:val="310"/>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sz w:val="24"/>
        </w:rPr>
      </w:pPr>
    </w:p>
    <w:p>
      <w:pPr>
        <w:tabs>
          <w:tab w:val="left" w:pos="720"/>
          <w:tab w:val="left" w:pos="900"/>
        </w:tabs>
        <w:spacing w:line="360" w:lineRule="auto"/>
        <w:rPr>
          <w:rFonts w:ascii="仿宋" w:hAnsi="仿宋" w:eastAsia="仿宋" w:cs="仿宋"/>
          <w:color w:val="000000"/>
          <w:sz w:val="24"/>
        </w:rPr>
      </w:pPr>
    </w:p>
    <w:p>
      <w:pPr>
        <w:spacing w:line="440" w:lineRule="exact"/>
        <w:ind w:firstLine="4080"/>
        <w:jc w:val="right"/>
        <w:rPr>
          <w:rFonts w:ascii="仿宋" w:hAnsi="仿宋" w:eastAsia="仿宋" w:cs="仿宋"/>
          <w:color w:val="000000"/>
          <w:sz w:val="24"/>
        </w:rPr>
      </w:pPr>
    </w:p>
    <w:p>
      <w:pPr>
        <w:spacing w:line="440" w:lineRule="exact"/>
        <w:ind w:firstLine="4080"/>
        <w:jc w:val="righ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ascii="仿宋" w:hAnsi="仿宋" w:eastAsia="仿宋" w:cs="仿宋"/>
          <w:color w:val="000000"/>
          <w:sz w:val="24"/>
        </w:rPr>
      </w:pPr>
    </w:p>
    <w:p>
      <w:pPr>
        <w:tabs>
          <w:tab w:val="left" w:pos="720"/>
          <w:tab w:val="left" w:pos="900"/>
        </w:tabs>
        <w:spacing w:line="360" w:lineRule="auto"/>
        <w:ind w:left="1078"/>
        <w:rPr>
          <w:rFonts w:ascii="仿宋" w:hAnsi="仿宋" w:eastAsia="仿宋" w:cs="仿宋"/>
          <w:color w:val="000000"/>
          <w:sz w:val="24"/>
        </w:rPr>
      </w:pPr>
    </w:p>
    <w:p>
      <w:pPr>
        <w:pStyle w:val="5"/>
        <w:spacing w:before="0" w:after="0" w:line="360" w:lineRule="auto"/>
        <w:ind w:left="0" w:firstLine="0"/>
        <w:outlineLvl w:val="2"/>
        <w:rPr>
          <w:rFonts w:ascii="仿宋" w:hAnsi="仿宋" w:eastAsia="仿宋" w:cs="仿宋"/>
          <w:color w:val="000000"/>
          <w:sz w:val="24"/>
          <w:szCs w:val="24"/>
        </w:rPr>
      </w:pPr>
      <w:r>
        <w:rPr>
          <w:rFonts w:hint="eastAsia" w:ascii="仿宋" w:hAnsi="仿宋" w:eastAsia="仿宋" w:cs="仿宋"/>
          <w:color w:val="000000"/>
        </w:rPr>
        <w:br w:type="page" w:clear="all"/>
      </w:r>
      <w:bookmarkStart w:id="172" w:name="_Toc287600130"/>
      <w:bookmarkStart w:id="173" w:name="_Toc5582"/>
      <w:bookmarkStart w:id="174" w:name="_Toc26267"/>
      <w:bookmarkStart w:id="175" w:name="_Toc444891355"/>
      <w:bookmarkStart w:id="176" w:name="_Toc19783361"/>
      <w:bookmarkStart w:id="177" w:name="_Toc4426"/>
      <w:bookmarkStart w:id="178" w:name="_Toc31426"/>
      <w:bookmarkStart w:id="179" w:name="_Toc20707"/>
      <w:bookmarkStart w:id="180" w:name="_Toc517281838"/>
      <w:r>
        <w:rPr>
          <w:rFonts w:hint="eastAsia" w:ascii="仿宋" w:hAnsi="仿宋" w:eastAsia="仿宋" w:cs="仿宋"/>
          <w:color w:val="000000"/>
          <w:sz w:val="24"/>
          <w:szCs w:val="24"/>
        </w:rPr>
        <w:t>（三）法定代表人（负责人）授权委托书</w:t>
      </w:r>
      <w:bookmarkEnd w:id="172"/>
      <w:bookmarkEnd w:id="173"/>
      <w:bookmarkEnd w:id="174"/>
      <w:bookmarkEnd w:id="175"/>
      <w:bookmarkEnd w:id="176"/>
      <w:bookmarkEnd w:id="177"/>
      <w:bookmarkEnd w:id="178"/>
      <w:bookmarkEnd w:id="179"/>
      <w:bookmarkEnd w:id="180"/>
    </w:p>
    <w:p>
      <w:pPr>
        <w:pStyle w:val="310"/>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310"/>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widowControl/>
        <w:spacing w:line="360" w:lineRule="auto"/>
        <w:ind w:firstLine="480"/>
        <w:jc w:val="left"/>
        <w:rPr>
          <w:rFonts w:ascii="仿宋" w:hAnsi="仿宋" w:eastAsia="仿宋" w:cs="Cambria Math"/>
          <w:color w:val="000000"/>
          <w:sz w:val="24"/>
        </w:rPr>
      </w:pPr>
      <w:r>
        <w:rPr>
          <w:rFonts w:hint="eastAsia" w:ascii="仿宋" w:hAnsi="仿宋" w:eastAsia="仿宋" w:cs="Cambria Math"/>
          <w:color w:val="000000"/>
          <w:sz w:val="24"/>
        </w:rPr>
        <w:t>委托期限：</w:t>
      </w:r>
      <w:r>
        <w:rPr>
          <w:rFonts w:hint="eastAsia" w:ascii="仿宋" w:hAnsi="仿宋" w:eastAsia="仿宋" w:cs="Cambria Math"/>
          <w:color w:val="000000"/>
          <w:sz w:val="24"/>
          <w:u w:val="single"/>
        </w:rPr>
        <w:t xml:space="preserve"> 自</w:t>
      </w:r>
      <w:r>
        <w:rPr>
          <w:rFonts w:hint="eastAsia" w:ascii="仿宋" w:hAnsi="仿宋" w:eastAsia="仿宋" w:cs="微软雅黑"/>
          <w:color w:val="000000"/>
          <w:sz w:val="24"/>
          <w:u w:val="single"/>
        </w:rPr>
        <w:t>本委托书签字盖章生效</w:t>
      </w:r>
      <w:r>
        <w:rPr>
          <w:rFonts w:hint="eastAsia" w:ascii="仿宋" w:hAnsi="仿宋" w:eastAsia="仿宋" w:cs="Cambria Math"/>
          <w:color w:val="000000"/>
          <w:sz w:val="24"/>
          <w:u w:val="single"/>
        </w:rPr>
        <w:t xml:space="preserve">之日起至磋商响应有效期到期之日为止 </w:t>
      </w:r>
      <w:r>
        <w:rPr>
          <w:rFonts w:hint="eastAsia" w:ascii="仿宋" w:hAnsi="仿宋" w:eastAsia="仿宋" w:cs="Cambria Math"/>
          <w:color w:val="000000"/>
          <w:sz w:val="24"/>
        </w:rPr>
        <w:t>。</w:t>
      </w:r>
    </w:p>
    <w:p>
      <w:pPr>
        <w:pStyle w:val="310"/>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310"/>
        <w:spacing w:line="360" w:lineRule="auto"/>
        <w:ind w:firstLine="482"/>
        <w:rPr>
          <w:rFonts w:ascii="仿宋" w:hAnsi="仿宋" w:eastAsia="仿宋" w:cs="Cambria Math"/>
          <w:b/>
          <w:bCs/>
          <w:color w:val="000000"/>
          <w:sz w:val="24"/>
          <w:szCs w:val="24"/>
        </w:rPr>
      </w:pPr>
    </w:p>
    <w:p>
      <w:pPr>
        <w:pStyle w:val="310"/>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310"/>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8" name="矩形 39"/>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iCzsvYAAAACAEAAA8A&#10;AAAAAAAAAQAgAAAAIgAAAGRycy9kb3ducmV2LnhtbFBLAQIUABQAAAAIAIdO4kAPaH5iFwIAAEUE&#10;AAAOAAAAAAAAAAEAIAAAACcBAABkcnMvZTJvRG9jLnhtbFBLBQYAAAAABgAGAFkBAACw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9" name="矩形 40"/>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sLTHM2AAAAAkBAAAPAAAA&#10;AAAAAAEAIAAAACIAAABkcnMvZG93bnJldi54bWxQSwECFAAUAAAACACHTuJAl4SoYhUCAABFBAAA&#10;DgAAAAAAAAABACAAAAAnAQAAZHJzL2Uyb0RvYy54bWxQSwUGAAAAAAYABgBZAQAArgUAAAAA&#10;">
                <v:fill on="t" focussize="0,0"/>
                <v:stroke weight="1.25pt" color="#739CC3" joinstyle="miter"/>
                <v:imagedata o:title=""/>
                <o:lock v:ext="edit" aspectratio="f"/>
              </v:rect>
            </w:pict>
          </mc:Fallback>
        </mc:AlternateContent>
      </w:r>
    </w:p>
    <w:p>
      <w:pPr>
        <w:pStyle w:val="310"/>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sz w:val="24"/>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ind w:right="420" w:firstLine="0"/>
        <w:jc w:val="right"/>
        <w:rPr>
          <w:rFonts w:ascii="仿宋" w:hAnsi="仿宋" w:eastAsia="仿宋" w:cs="Cambria Math"/>
          <w:color w:val="000000"/>
          <w:sz w:val="24"/>
        </w:rPr>
      </w:pPr>
      <w:r>
        <w:rPr>
          <w:rFonts w:hint="eastAsia" w:ascii="仿宋" w:hAnsi="仿宋" w:eastAsia="仿宋" w:cs="Cambria Math"/>
          <w:color w:val="000000"/>
          <w:sz w:val="24"/>
        </w:rPr>
        <w:t>法定代表人（负责人）：</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（签字或盖章）</w:t>
      </w:r>
    </w:p>
    <w:p>
      <w:pPr>
        <w:pStyle w:val="310"/>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spacing w:line="360" w:lineRule="auto"/>
        <w:ind w:firstLine="4200"/>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sectPr>
      </w:pPr>
    </w:p>
    <w:p>
      <w:pPr>
        <w:pStyle w:val="5"/>
        <w:spacing w:before="0" w:after="0" w:line="360" w:lineRule="auto"/>
        <w:ind w:left="0" w:firstLine="0"/>
        <w:rPr>
          <w:rFonts w:ascii="仿宋" w:hAnsi="仿宋" w:eastAsia="仿宋" w:cs="仿宋"/>
          <w:color w:val="000000"/>
          <w:sz w:val="24"/>
          <w:szCs w:val="24"/>
        </w:rPr>
      </w:pPr>
      <w:bookmarkStart w:id="181" w:name="_Toc15686"/>
      <w:bookmarkStart w:id="182" w:name="_Toc517281841"/>
      <w:bookmarkStart w:id="183" w:name="_Toc16561"/>
      <w:bookmarkStart w:id="184" w:name="_Toc11396"/>
      <w:bookmarkStart w:id="185" w:name="_Toc444891357"/>
      <w:bookmarkStart w:id="186" w:name="_Toc287600132"/>
      <w:bookmarkStart w:id="187" w:name="_Toc5406"/>
      <w:bookmarkStart w:id="188" w:name="_Toc27026"/>
      <w:bookmarkStart w:id="189" w:name="_Toc34779216"/>
      <w:bookmarkStart w:id="190" w:name="_Toc34779120"/>
      <w:bookmarkStart w:id="191" w:name="_Toc35957216"/>
      <w:bookmarkStart w:id="192" w:name="_Toc34779170"/>
      <w:bookmarkStart w:id="193" w:name="_Toc34822258"/>
      <w:bookmarkStart w:id="194" w:name="_Toc287600135"/>
      <w:r>
        <w:rPr>
          <w:rFonts w:hint="eastAsia" w:ascii="仿宋" w:hAnsi="仿宋" w:eastAsia="仿宋" w:cs="仿宋"/>
          <w:color w:val="000000"/>
          <w:sz w:val="24"/>
          <w:szCs w:val="24"/>
        </w:rPr>
        <w:t>（四）资格证明文件</w:t>
      </w:r>
      <w:bookmarkEnd w:id="18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310"/>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firstLine="105"/>
              <w:jc w:val="center"/>
              <w:rPr>
                <w:rFonts w:hint="default"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firstLine="210"/>
              <w:jc w:val="center"/>
              <w:rPr>
                <w:rFonts w:hint="default"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310"/>
              <w:keepNext w:val="0"/>
              <w:keepLines w:val="0"/>
              <w:suppressLineNumbers w:val="0"/>
              <w:spacing w:before="0" w:beforeAutospacing="0" w:after="0" w:afterAutospacing="0"/>
              <w:ind w:left="0" w:right="0"/>
              <w:jc w:val="center"/>
              <w:rPr>
                <w:rFonts w:hint="default" w:ascii="仿宋" w:hAnsi="仿宋" w:eastAsia="仿宋" w:cs="仿宋"/>
                <w:color w:val="000000"/>
              </w:rPr>
            </w:pPr>
          </w:p>
        </w:tc>
      </w:tr>
    </w:tbl>
    <w:p>
      <w:pPr>
        <w:pStyle w:val="310"/>
        <w:jc w:val="left"/>
        <w:rPr>
          <w:rFonts w:ascii="仿宋" w:hAnsi="仿宋" w:eastAsia="仿宋" w:cs="仿宋"/>
          <w:b/>
          <w:color w:val="000000"/>
          <w:sz w:val="24"/>
          <w:szCs w:val="24"/>
        </w:rPr>
      </w:pPr>
      <w:r>
        <w:rPr>
          <w:rFonts w:hint="eastAsia" w:ascii="仿宋" w:hAnsi="仿宋" w:eastAsia="仿宋" w:cs="宋体"/>
          <w:b/>
          <w:color w:val="000000"/>
          <w:sz w:val="24"/>
          <w:szCs w:val="24"/>
        </w:rPr>
        <w:t>注：提供由工商部门核发的最新营业执照（正副本皆可）。</w:t>
      </w:r>
    </w:p>
    <w:p>
      <w:pPr>
        <w:pStyle w:val="310"/>
        <w:jc w:val="left"/>
        <w:rPr>
          <w:rFonts w:ascii="仿宋" w:hAnsi="仿宋" w:eastAsia="仿宋" w:cs="仿宋"/>
          <w:b/>
          <w:color w:val="000000"/>
        </w:rPr>
      </w:pPr>
    </w:p>
    <w:p>
      <w:pPr>
        <w:pStyle w:val="310"/>
        <w:jc w:val="left"/>
        <w:rPr>
          <w:rFonts w:ascii="仿宋" w:hAnsi="仿宋" w:eastAsia="仿宋" w:cs="仿宋"/>
          <w:b/>
          <w:color w:val="000000"/>
        </w:rPr>
      </w:pPr>
    </w:p>
    <w:p>
      <w:pPr>
        <w:pStyle w:val="310"/>
        <w:jc w:val="left"/>
        <w:rPr>
          <w:rFonts w:ascii="仿宋" w:hAnsi="仿宋" w:eastAsia="仿宋" w:cs="仿宋"/>
          <w:b/>
          <w:color w:val="000000"/>
        </w:rPr>
      </w:pPr>
    </w:p>
    <w:p>
      <w:pPr>
        <w:spacing w:line="360" w:lineRule="auto"/>
        <w:ind w:firstLine="408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spacing w:line="360" w:lineRule="auto"/>
        <w:ind w:firstLine="420"/>
        <w:rPr>
          <w:rFonts w:ascii="仿宋" w:hAnsi="仿宋" w:eastAsia="仿宋" w:cs="仿宋"/>
          <w:color w:val="000000"/>
          <w:sz w:val="24"/>
        </w:rPr>
      </w:pPr>
      <w:r>
        <w:rPr>
          <w:rFonts w:hint="eastAsia" w:ascii="仿宋" w:hAnsi="仿宋" w:cs="仿宋"/>
          <w:color w:val="000000"/>
        </w:rPr>
        <w:br w:type="page" w:clear="all"/>
      </w:r>
      <w:bookmarkEnd w:id="182"/>
    </w:p>
    <w:p>
      <w:pPr>
        <w:pStyle w:val="6"/>
        <w:spacing w:before="0" w:after="0" w:line="360" w:lineRule="auto"/>
        <w:rPr>
          <w:rFonts w:ascii="仿宋" w:hAnsi="仿宋" w:eastAsia="仿宋" w:cs="仿宋"/>
          <w:color w:val="000000"/>
          <w:sz w:val="24"/>
          <w:szCs w:val="24"/>
        </w:rPr>
      </w:pPr>
      <w:bookmarkStart w:id="195" w:name="_Toc65683009"/>
      <w:bookmarkStart w:id="196" w:name="_Toc144139212"/>
      <w:bookmarkStart w:id="197" w:name="_Toc18208"/>
      <w:bookmarkStart w:id="198" w:name="_Toc112068411"/>
      <w:bookmarkStart w:id="199" w:name="_Toc71192048"/>
      <w:bookmarkStart w:id="200" w:name="_Toc517281859"/>
      <w:bookmarkStart w:id="201" w:name="_Toc432420841"/>
      <w:bookmarkStart w:id="202" w:name="_Toc20195"/>
      <w:r>
        <w:rPr>
          <w:rFonts w:hint="eastAsia" w:ascii="仿宋" w:hAnsi="仿宋" w:eastAsia="仿宋" w:cs="仿宋"/>
          <w:color w:val="000000"/>
          <w:sz w:val="24"/>
          <w:szCs w:val="24"/>
        </w:rPr>
        <w:t>2、资格声明函</w:t>
      </w:r>
    </w:p>
    <w:p>
      <w:pPr>
        <w:keepNext/>
        <w:keepLines/>
        <w:spacing w:line="360" w:lineRule="auto"/>
        <w:jc w:val="center"/>
        <w:rPr>
          <w:rFonts w:ascii="仿宋" w:hAnsi="仿宋" w:eastAsia="仿宋"/>
          <w:b/>
          <w:bCs/>
          <w:sz w:val="32"/>
          <w:szCs w:val="32"/>
        </w:rPr>
      </w:pPr>
      <w:r>
        <w:rPr>
          <w:rFonts w:hint="eastAsia" w:ascii="仿宋" w:hAnsi="仿宋" w:eastAsia="仿宋"/>
          <w:b/>
          <w:bCs/>
          <w:sz w:val="24"/>
          <w:szCs w:val="32"/>
        </w:rPr>
        <w:t>资格声明函</w:t>
      </w:r>
    </w:p>
    <w:p>
      <w:pPr>
        <w:spacing w:line="360" w:lineRule="auto"/>
        <w:rPr>
          <w:rFonts w:ascii="仿宋" w:hAnsi="仿宋" w:eastAsia="仿宋" w:cs="宋体"/>
          <w:b/>
          <w:sz w:val="24"/>
          <w:szCs w:val="21"/>
        </w:rPr>
      </w:pPr>
      <w:r>
        <w:rPr>
          <w:rFonts w:hint="eastAsia" w:ascii="仿宋" w:hAnsi="仿宋" w:eastAsia="仿宋" w:cs="宋体"/>
          <w:b/>
          <w:sz w:val="24"/>
          <w:szCs w:val="21"/>
          <w:u w:val="single"/>
        </w:rPr>
        <w:t>中国人民财产保险股份有限公司广州市分公司</w:t>
      </w:r>
      <w:r>
        <w:rPr>
          <w:rFonts w:hint="eastAsia" w:ascii="仿宋" w:hAnsi="仿宋" w:eastAsia="仿宋" w:cs="宋体"/>
          <w:b/>
          <w:sz w:val="24"/>
          <w:szCs w:val="21"/>
        </w:rPr>
        <w:t>：</w:t>
      </w:r>
    </w:p>
    <w:p>
      <w:pPr>
        <w:spacing w:line="360" w:lineRule="auto"/>
        <w:ind w:firstLine="480"/>
        <w:rPr>
          <w:rFonts w:ascii="仿宋" w:hAnsi="仿宋" w:eastAsia="仿宋" w:cs="宋体"/>
          <w:sz w:val="24"/>
          <w:szCs w:val="21"/>
        </w:rPr>
      </w:pPr>
      <w:r>
        <w:rPr>
          <w:rFonts w:hint="eastAsia" w:ascii="仿宋" w:hAnsi="仿宋" w:eastAsia="仿宋" w:cs="宋体"/>
          <w:sz w:val="24"/>
          <w:szCs w:val="21"/>
        </w:rPr>
        <w:t>本单位愿意参加</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（项目名称）     </w:t>
      </w:r>
      <w:r>
        <w:rPr>
          <w:rFonts w:hint="eastAsia" w:ascii="仿宋" w:hAnsi="仿宋" w:eastAsia="仿宋" w:cs="Cambria Math"/>
          <w:sz w:val="24"/>
          <w:u w:val="single"/>
        </w:rPr>
        <w:t xml:space="preserve"> </w:t>
      </w:r>
      <w:r>
        <w:rPr>
          <w:rFonts w:hint="eastAsia" w:ascii="仿宋" w:hAnsi="仿宋" w:eastAsia="仿宋" w:cs="Cambria Math"/>
          <w:color w:val="000000"/>
          <w:sz w:val="24"/>
        </w:rPr>
        <w:t>谈判响应</w:t>
      </w:r>
      <w:r>
        <w:rPr>
          <w:rFonts w:hint="eastAsia" w:ascii="仿宋" w:hAnsi="仿宋" w:eastAsia="仿宋" w:cs="宋体"/>
          <w:sz w:val="24"/>
          <w:szCs w:val="21"/>
        </w:rPr>
        <w:t>，并声明：</w:t>
      </w:r>
    </w:p>
    <w:p>
      <w:pPr>
        <w:tabs>
          <w:tab w:val="left" w:pos="1134"/>
        </w:tabs>
        <w:spacing w:line="360" w:lineRule="auto"/>
        <w:jc w:val="left"/>
        <w:rPr>
          <w:rFonts w:ascii="仿宋" w:hAnsi="仿宋" w:eastAsia="仿宋"/>
          <w:sz w:val="24"/>
          <w:szCs w:val="21"/>
        </w:rPr>
      </w:pPr>
      <w:bookmarkStart w:id="203" w:name="_Toc162604418"/>
      <w:r>
        <w:rPr>
          <w:rFonts w:hint="eastAsia" w:ascii="仿宋" w:hAnsi="仿宋" w:eastAsia="仿宋"/>
          <w:sz w:val="24"/>
          <w:szCs w:val="21"/>
        </w:rPr>
        <w:t>本</w:t>
      </w:r>
      <w:r>
        <w:rPr>
          <w:rFonts w:hint="eastAsia" w:ascii="仿宋" w:hAnsi="仿宋" w:eastAsia="仿宋" w:cs="宋体"/>
          <w:sz w:val="24"/>
          <w:szCs w:val="21"/>
        </w:rPr>
        <w:t>单位</w:t>
      </w:r>
      <w:r>
        <w:rPr>
          <w:rFonts w:hint="eastAsia" w:ascii="仿宋" w:hAnsi="仿宋" w:eastAsia="仿宋"/>
          <w:sz w:val="24"/>
          <w:szCs w:val="21"/>
        </w:rPr>
        <w:t>具备以下条件：</w:t>
      </w:r>
      <w:bookmarkEnd w:id="203"/>
    </w:p>
    <w:p>
      <w:pPr>
        <w:tabs>
          <w:tab w:val="left" w:pos="1134"/>
        </w:tabs>
        <w:spacing w:line="360" w:lineRule="auto"/>
        <w:jc w:val="left"/>
        <w:rPr>
          <w:rFonts w:ascii="仿宋" w:hAnsi="仿宋" w:eastAsia="仿宋"/>
          <w:sz w:val="24"/>
          <w:szCs w:val="21"/>
        </w:rPr>
      </w:pPr>
      <w:r>
        <w:rPr>
          <w:rFonts w:hint="eastAsia" w:ascii="仿宋" w:hAnsi="仿宋" w:eastAsia="仿宋" w:cs="宋体"/>
          <w:sz w:val="24"/>
          <w:szCs w:val="21"/>
        </w:rPr>
        <w:t>（一）在中华人民共和国境内依法登记的法人或其他组织，具有独立承担民事责任的能力；</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（二）具有良好的商业信誉和健全的财务会计制度；</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（三）</w:t>
      </w:r>
      <w:r>
        <w:rPr>
          <w:rFonts w:hint="eastAsia" w:ascii="仿宋" w:hAnsi="仿宋" w:eastAsia="仿宋" w:cs="宋体"/>
          <w:sz w:val="24"/>
        </w:rPr>
        <w:t>投标人应具有履行合同所必需的设备和专业技术能力</w:t>
      </w:r>
      <w:r>
        <w:rPr>
          <w:rFonts w:hint="eastAsia" w:ascii="仿宋" w:hAnsi="仿宋" w:eastAsia="仿宋" w:cs="宋体"/>
          <w:sz w:val="24"/>
          <w:szCs w:val="21"/>
        </w:rPr>
        <w:t>；</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（四）</w:t>
      </w:r>
      <w:r>
        <w:rPr>
          <w:rFonts w:hint="eastAsia" w:ascii="仿宋" w:hAnsi="仿宋" w:eastAsia="仿宋" w:cs="宋体"/>
          <w:sz w:val="24"/>
        </w:rPr>
        <w:t>具有依法缴纳税收和社会保障资金的良好记录</w:t>
      </w:r>
      <w:r>
        <w:rPr>
          <w:rFonts w:hint="eastAsia" w:ascii="仿宋" w:hAnsi="仿宋" w:eastAsia="仿宋" w:cs="宋体"/>
          <w:sz w:val="24"/>
          <w:szCs w:val="21"/>
        </w:rPr>
        <w:t>；</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（五）本单位经营状况良好，</w:t>
      </w:r>
      <w:r>
        <w:rPr>
          <w:rFonts w:hint="eastAsia" w:ascii="仿宋" w:hAnsi="仿宋" w:eastAsia="仿宋" w:cs="宋体"/>
          <w:sz w:val="24"/>
        </w:rPr>
        <w:t>且近三年内（2022年1月1日至今）</w:t>
      </w:r>
      <w:r>
        <w:rPr>
          <w:rFonts w:hint="eastAsia" w:ascii="仿宋" w:hAnsi="仿宋" w:eastAsia="仿宋" w:cs="宋体"/>
          <w:sz w:val="24"/>
          <w:szCs w:val="21"/>
        </w:rPr>
        <w:t xml:space="preserve">无违法违规记录。在参加本次采购活动前３年内我单位不存在重大违法违规行为，未列入“信用中国”网站（www.creditchina.gov.cn）失信被执行人、重大税收违法失信主体、政府采购严重违法失信行为记录名单； </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（六）未被列入招标人及其所隶属的中国人民保险各级机构的供应商黑名单且未在禁入期内。</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（七）本单位承诺如与本项目同一合同项下其他投标人的单位负责人为同一人或者存在直接控股、管理关系的情形，同意按投标无效处理；</w:t>
      </w:r>
    </w:p>
    <w:p>
      <w:pPr>
        <w:tabs>
          <w:tab w:val="left" w:pos="1134"/>
        </w:tabs>
        <w:spacing w:line="360" w:lineRule="auto"/>
        <w:jc w:val="left"/>
        <w:rPr>
          <w:rFonts w:ascii="仿宋" w:hAnsi="仿宋" w:eastAsia="仿宋" w:cs="宋体"/>
          <w:sz w:val="24"/>
          <w:szCs w:val="21"/>
        </w:rPr>
      </w:pPr>
      <w:r>
        <w:rPr>
          <w:rFonts w:hint="eastAsia" w:ascii="仿宋" w:hAnsi="仿宋" w:eastAsia="仿宋" w:cs="宋体"/>
          <w:sz w:val="24"/>
          <w:szCs w:val="21"/>
        </w:rPr>
        <w:t>（八）本单位为非联合体参与磋商响应。</w:t>
      </w:r>
    </w:p>
    <w:p>
      <w:pPr>
        <w:spacing w:line="360" w:lineRule="auto"/>
        <w:ind w:left="210" w:firstLine="480"/>
        <w:jc w:val="left"/>
        <w:rPr>
          <w:rFonts w:ascii="仿宋" w:hAnsi="仿宋" w:eastAsia="仿宋"/>
          <w:sz w:val="24"/>
          <w:szCs w:val="21"/>
        </w:rPr>
      </w:pPr>
      <w:bookmarkStart w:id="204" w:name="_Toc162604422"/>
      <w:r>
        <w:rPr>
          <w:rFonts w:hint="eastAsia" w:ascii="仿宋" w:hAnsi="仿宋" w:eastAsia="仿宋"/>
          <w:sz w:val="24"/>
          <w:szCs w:val="21"/>
        </w:rPr>
        <w:t>本单位承诺在本次采购采购活动中，如有违法、违规、弄虚作假行为，所造成的损失、不良后果及法律责任，一律由我单位承担。</w:t>
      </w:r>
      <w:bookmarkEnd w:id="204"/>
    </w:p>
    <w:p>
      <w:pPr>
        <w:spacing w:line="360" w:lineRule="auto"/>
        <w:ind w:left="210" w:firstLine="480"/>
        <w:jc w:val="left"/>
      </w:pPr>
      <w:r>
        <w:rPr>
          <w:rFonts w:hint="eastAsia" w:ascii="仿宋" w:hAnsi="仿宋" w:eastAsia="仿宋"/>
          <w:sz w:val="24"/>
          <w:szCs w:val="21"/>
        </w:rPr>
        <w:t>特此声明！</w:t>
      </w:r>
    </w:p>
    <w:p>
      <w:pPr>
        <w:spacing w:line="360" w:lineRule="auto"/>
        <w:ind w:left="210"/>
        <w:jc w:val="left"/>
        <w:rPr>
          <w:rFonts w:ascii="仿宋" w:hAnsi="仿宋" w:eastAsia="仿宋" w:cs="宋体"/>
          <w:b/>
          <w:sz w:val="24"/>
          <w:szCs w:val="21"/>
        </w:rPr>
      </w:pPr>
    </w:p>
    <w:p>
      <w:pPr>
        <w:spacing w:line="360" w:lineRule="auto"/>
        <w:ind w:left="210"/>
        <w:jc w:val="left"/>
        <w:rPr>
          <w:rFonts w:ascii="仿宋" w:hAnsi="仿宋" w:eastAsia="仿宋" w:cs="宋体"/>
          <w:b/>
          <w:sz w:val="24"/>
          <w:szCs w:val="21"/>
        </w:rPr>
      </w:pPr>
      <w:r>
        <w:rPr>
          <w:rFonts w:hint="eastAsia" w:ascii="仿宋" w:hAnsi="仿宋" w:eastAsia="仿宋" w:cs="宋体"/>
          <w:b/>
          <w:sz w:val="24"/>
          <w:szCs w:val="21"/>
        </w:rPr>
        <w:t>说明：</w:t>
      </w:r>
    </w:p>
    <w:p>
      <w:pPr>
        <w:numPr>
          <w:ilvl w:val="0"/>
          <w:numId w:val="8"/>
        </w:numPr>
        <w:spacing w:line="360" w:lineRule="auto"/>
        <w:ind w:left="210"/>
        <w:jc w:val="left"/>
        <w:rPr>
          <w:rFonts w:ascii="仿宋" w:hAnsi="仿宋" w:eastAsia="仿宋"/>
          <w:sz w:val="24"/>
          <w:szCs w:val="21"/>
        </w:rPr>
      </w:pPr>
      <w:bookmarkStart w:id="205" w:name="_Toc162604424"/>
      <w:r>
        <w:rPr>
          <w:rFonts w:hint="eastAsia" w:ascii="仿宋" w:hAnsi="仿宋" w:eastAsia="仿宋"/>
          <w:sz w:val="24"/>
          <w:szCs w:val="21"/>
        </w:rPr>
        <w:t>本声明函如有虚假或与事实不符的，作</w:t>
      </w:r>
      <w:r>
        <w:rPr>
          <w:rFonts w:hint="eastAsia" w:ascii="仿宋" w:hAnsi="仿宋" w:eastAsia="仿宋"/>
          <w:b/>
          <w:sz w:val="24"/>
          <w:szCs w:val="21"/>
        </w:rPr>
        <w:t>无效响应</w:t>
      </w:r>
      <w:r>
        <w:rPr>
          <w:rFonts w:hint="eastAsia" w:ascii="仿宋" w:hAnsi="仿宋" w:eastAsia="仿宋"/>
          <w:sz w:val="24"/>
          <w:szCs w:val="21"/>
        </w:rPr>
        <w:t>处理。</w:t>
      </w:r>
      <w:bookmarkEnd w:id="205"/>
    </w:p>
    <w:p>
      <w:pPr>
        <w:tabs>
          <w:tab w:val="left" w:pos="426"/>
        </w:tabs>
        <w:spacing w:line="360" w:lineRule="auto"/>
        <w:ind w:left="210"/>
        <w:rPr>
          <w:rFonts w:ascii="仿宋" w:hAnsi="仿宋" w:eastAsia="仿宋" w:cs="宋体"/>
          <w:bCs/>
          <w:sz w:val="24"/>
          <w:szCs w:val="21"/>
        </w:rPr>
      </w:pPr>
    </w:p>
    <w:p>
      <w:pPr>
        <w:spacing w:line="360" w:lineRule="auto"/>
        <w:ind w:firstLine="408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rPr>
          <w:rFonts w:ascii="仿宋" w:hAnsi="仿宋" w:eastAsia="仿宋" w:cs="仿宋"/>
          <w:color w:val="000000"/>
          <w:sz w:val="24"/>
        </w:rPr>
      </w:pPr>
      <w:r>
        <w:rPr>
          <w:rFonts w:hint="eastAsia" w:ascii="仿宋" w:hAnsi="仿宋" w:eastAsia="仿宋" w:cs="仿宋"/>
          <w:color w:val="000000"/>
          <w:sz w:val="24"/>
        </w:rPr>
        <w:br w:type="page" w:clear="all"/>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3、无违法违规记录查询截图</w:t>
      </w:r>
    </w:p>
    <w:p>
      <w:pPr>
        <w:spacing w:line="360" w:lineRule="auto"/>
        <w:ind w:firstLine="480"/>
        <w:rPr>
          <w:rStyle w:val="53"/>
        </w:rPr>
      </w:pPr>
      <w:r>
        <w:rPr>
          <w:rFonts w:hint="eastAsia" w:ascii="仿宋" w:hAnsi="仿宋" w:eastAsia="仿宋" w:cs="Cambria Math"/>
          <w:color w:val="000000"/>
          <w:sz w:val="24"/>
        </w:rPr>
        <w:t>信用中国查询网址：</w:t>
      </w:r>
      <w:r>
        <w:fldChar w:fldCharType="begin"/>
      </w:r>
      <w:r>
        <w:instrText xml:space="preserve"> HYPERLINK "https://www.creditchina.gov.cn/xinyongfuwu/?navPage=5" </w:instrText>
      </w:r>
      <w:r>
        <w:fldChar w:fldCharType="separate"/>
      </w:r>
      <w:r>
        <w:rPr>
          <w:rStyle w:val="53"/>
          <w:rFonts w:hint="eastAsia"/>
        </w:rPr>
        <w:t>https://www.creditchina.gov.cn/xinyongfuwu/?navPage=5</w:t>
      </w:r>
      <w:r>
        <w:rPr>
          <w:rStyle w:val="53"/>
          <w:rFonts w:hint="eastAsia"/>
        </w:rPr>
        <w:fldChar w:fldCharType="end"/>
      </w:r>
    </w:p>
    <w:p>
      <w:pPr>
        <w:spacing w:line="360" w:lineRule="auto"/>
        <w:rPr>
          <w:color w:val="333333"/>
        </w:rPr>
      </w:pPr>
      <w:r>
        <w:rPr>
          <w:rFonts w:hint="eastAsia" w:ascii="仿宋" w:hAnsi="仿宋" w:eastAsia="仿宋" w:cs="Cambria Math"/>
          <w:sz w:val="24"/>
        </w:rPr>
        <w:t>（1）失信被执行人查询截图范例：</w:t>
      </w:r>
    </w:p>
    <w:p>
      <w:pPr>
        <w:ind w:firstLine="210"/>
      </w:pPr>
      <w:r>
        <w:drawing>
          <wp:inline distT="0" distB="0" distL="0" distR="0">
            <wp:extent cx="5909310" cy="3769360"/>
            <wp:effectExtent l="0" t="0" r="15240" b="2540"/>
            <wp:docPr id="10"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cca28b419ce15d5afdeea5a744e8556"/>
                    <pic:cNvPicPr>
                      <a:picLocks noChangeAspect="1"/>
                    </pic:cNvPicPr>
                  </pic:nvPicPr>
                  <pic:blipFill>
                    <a:blip r:embed="rId14"/>
                    <a:srcRect b="11950"/>
                    <a:stretch>
                      <a:fillRect/>
                    </a:stretch>
                  </pic:blipFill>
                  <pic:spPr>
                    <a:xfrm>
                      <a:off x="0" y="0"/>
                      <a:ext cx="5909310" cy="3769360"/>
                    </a:xfrm>
                    <a:prstGeom prst="rect">
                      <a:avLst/>
                    </a:prstGeom>
                    <a:noFill/>
                    <a:ln>
                      <a:noFill/>
                    </a:ln>
                  </pic:spPr>
                </pic:pic>
              </a:graphicData>
            </a:graphic>
          </wp:inline>
        </w:drawing>
      </w:r>
    </w:p>
    <w:p>
      <w:pPr>
        <w:rPr>
          <w:rFonts w:ascii="仿宋" w:hAnsi="仿宋" w:eastAsia="仿宋"/>
          <w:color w:val="000000"/>
          <w:szCs w:val="21"/>
        </w:rPr>
      </w:pPr>
      <w:r>
        <w:rPr>
          <w:rFonts w:hint="eastAsia" w:ascii="仿宋" w:hAnsi="仿宋" w:eastAsia="仿宋" w:cs="Cambria Math"/>
          <w:sz w:val="24"/>
        </w:rPr>
        <w:t>（2）</w:t>
      </w:r>
      <w:r>
        <w:rPr>
          <w:rFonts w:hint="eastAsia" w:ascii="仿宋" w:hAnsi="仿宋" w:eastAsia="仿宋" w:cs="微软雅黑"/>
          <w:color w:val="000000"/>
          <w:sz w:val="24"/>
        </w:rPr>
        <w:t>重大</w:t>
      </w:r>
      <w:r>
        <w:rPr>
          <w:rFonts w:hint="eastAsia" w:ascii="仿宋" w:hAnsi="仿宋" w:eastAsia="仿宋" w:cs="仿宋"/>
          <w:color w:val="000000"/>
          <w:sz w:val="24"/>
        </w:rPr>
        <w:t>税收违法失信主体</w:t>
      </w:r>
      <w:r>
        <w:rPr>
          <w:rFonts w:hint="eastAsia" w:ascii="仿宋" w:hAnsi="仿宋" w:eastAsia="仿宋" w:cs="微软雅黑"/>
          <w:color w:val="000000"/>
          <w:sz w:val="24"/>
        </w:rPr>
        <w:t>查询截图范例：</w:t>
      </w:r>
    </w:p>
    <w:p>
      <w:pPr>
        <w:rPr>
          <w:rFonts w:ascii="仿宋" w:hAnsi="仿宋" w:eastAsia="仿宋" w:cs="Cambria Math"/>
          <w:sz w:val="24"/>
        </w:rPr>
      </w:pPr>
      <w:r>
        <w:rPr>
          <w:rFonts w:ascii="仿宋" w:hAnsi="仿宋" w:eastAsia="仿宋"/>
          <w:color w:val="000000"/>
          <w:szCs w:val="21"/>
        </w:rPr>
        <w:drawing>
          <wp:inline distT="0" distB="0" distL="0" distR="0">
            <wp:extent cx="6119495" cy="3312795"/>
            <wp:effectExtent l="0" t="0" r="14604" b="1905"/>
            <wp:docPr id="11"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round/>
                    </a:ln>
                  </pic:spPr>
                </pic:pic>
              </a:graphicData>
            </a:graphic>
          </wp:inline>
        </w:drawing>
      </w:r>
    </w:p>
    <w:p>
      <w:pPr>
        <w:ind w:firstLine="240"/>
        <w:rPr>
          <w:rFonts w:ascii="仿宋" w:hAnsi="仿宋" w:eastAsia="仿宋" w:cs="Cambria Math"/>
          <w:sz w:val="24"/>
        </w:rPr>
      </w:pPr>
      <w:r>
        <w:rPr>
          <w:rFonts w:hint="eastAsia" w:ascii="仿宋" w:hAnsi="仿宋" w:eastAsia="仿宋" w:cs="Cambria Math"/>
          <w:sz w:val="24"/>
        </w:rPr>
        <w:t>（3）政府采购严重违法失信行为记录名单查询截图范例：</w:t>
      </w:r>
    </w:p>
    <w:p>
      <w:pPr>
        <w:ind w:firstLine="210"/>
      </w:pPr>
      <w:r>
        <w:drawing>
          <wp:inline distT="0" distB="0" distL="0" distR="0">
            <wp:extent cx="5976620" cy="3242310"/>
            <wp:effectExtent l="0" t="0" r="5080" b="1524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r>
        <w:rPr>
          <w:rFonts w:hint="eastAsia" w:ascii="仿宋" w:hAnsi="仿宋" w:eastAsia="仿宋" w:cs="仿宋"/>
          <w:color w:val="000000"/>
          <w:sz w:val="24"/>
          <w:szCs w:val="24"/>
        </w:rPr>
        <w:t>4、未列入供应商黑名单且未在禁入期承诺函</w:t>
      </w:r>
    </w:p>
    <w:p>
      <w:pPr>
        <w:pStyle w:val="2"/>
        <w:spacing w:before="240"/>
        <w:jc w:val="both"/>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（采购人名称）</w:t>
      </w:r>
      <w:r>
        <w:rPr>
          <w:rFonts w:hint="eastAsia" w:ascii="仿宋" w:hAnsi="仿宋" w:eastAsia="仿宋" w:cs="Cambria Math"/>
          <w:color w:val="000000"/>
          <w:sz w:val="24"/>
        </w:rPr>
        <w:t>：</w:t>
      </w:r>
    </w:p>
    <w:p>
      <w:pPr>
        <w:spacing w:before="240" w:line="360" w:lineRule="auto"/>
        <w:ind w:firstLine="48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承诺截至本项目响应文件递交截止时间，我方未被列入采购人及其所隶属的中国人民保险各级机构的供应商黑名单且未在禁入期内。</w:t>
      </w:r>
    </w:p>
    <w:p>
      <w:pPr>
        <w:pStyle w:val="2"/>
        <w:ind w:firstLine="480"/>
        <w:jc w:val="both"/>
        <w:rPr>
          <w:rFonts w:ascii="仿宋" w:hAnsi="仿宋" w:eastAsia="仿宋" w:cs="Cambria Math"/>
          <w:color w:val="000000"/>
          <w:sz w:val="24"/>
        </w:rPr>
      </w:pPr>
    </w:p>
    <w:p>
      <w:pPr>
        <w:pStyle w:val="2"/>
        <w:ind w:firstLine="480"/>
        <w:jc w:val="both"/>
        <w:rPr>
          <w:rFonts w:ascii="仿宋" w:hAnsi="仿宋" w:eastAsia="仿宋" w:cs="Cambria Math"/>
          <w:color w:val="000000"/>
          <w:sz w:val="24"/>
        </w:rPr>
      </w:pPr>
      <w:r>
        <w:rPr>
          <w:rFonts w:hint="eastAsia" w:ascii="仿宋" w:hAnsi="仿宋" w:eastAsia="仿宋" w:cs="Cambria Math"/>
          <w:color w:val="000000"/>
          <w:sz w:val="24"/>
        </w:rPr>
        <w:t>特此承诺。</w:t>
      </w:r>
    </w:p>
    <w:p>
      <w:pPr>
        <w:pStyle w:val="280"/>
        <w:ind w:firstLine="640"/>
        <w:rPr>
          <w:rFonts w:ascii="仿宋" w:hAnsi="仿宋" w:eastAsia="仿宋"/>
        </w:rPr>
      </w:pPr>
    </w:p>
    <w:p>
      <w:pPr>
        <w:pStyle w:val="280"/>
        <w:ind w:firstLine="640"/>
        <w:rPr>
          <w:rFonts w:ascii="仿宋" w:hAnsi="仿宋" w:eastAsia="仿宋"/>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p>
    <w:p>
      <w:pPr>
        <w:spacing w:line="360" w:lineRule="auto"/>
        <w:ind w:firstLine="408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303"/>
        <w:spacing w:line="360" w:lineRule="auto"/>
        <w:rPr>
          <w:rFonts w:ascii="仿宋" w:hAnsi="仿宋" w:eastAsia="仿宋" w:cs="仿宋"/>
          <w:color w:val="000000"/>
        </w:rPr>
      </w:pPr>
      <w:r>
        <w:rPr>
          <w:rFonts w:hint="eastAsia" w:ascii="仿宋" w:hAnsi="仿宋" w:eastAsia="仿宋" w:cs="仿宋"/>
          <w:color w:val="000000"/>
          <w:szCs w:val="24"/>
        </w:rPr>
        <w:br w:type="page" w:clear="all"/>
      </w:r>
    </w:p>
    <w:p>
      <w:pPr>
        <w:pStyle w:val="6"/>
        <w:spacing w:before="0" w:after="0" w:line="360" w:lineRule="auto"/>
        <w:rPr>
          <w:rFonts w:ascii="仿宋" w:hAnsi="仿宋" w:eastAsia="仿宋" w:cs="仿宋"/>
          <w:color w:val="000000"/>
          <w:sz w:val="24"/>
          <w:szCs w:val="24"/>
        </w:rPr>
      </w:pPr>
      <w:bookmarkStart w:id="206" w:name="_Hlk69983040"/>
      <w:r>
        <w:rPr>
          <w:rFonts w:hint="eastAsia" w:ascii="仿宋" w:hAnsi="仿宋" w:eastAsia="仿宋" w:cs="仿宋"/>
          <w:color w:val="000000"/>
          <w:sz w:val="24"/>
          <w:szCs w:val="24"/>
        </w:rPr>
        <w:t>5、供应商控股及管理关系情况申报表</w:t>
      </w:r>
    </w:p>
    <w:p>
      <w:pPr>
        <w:pStyle w:val="261"/>
        <w:spacing w:before="240" w:after="240" w:line="360" w:lineRule="auto"/>
        <w:ind w:firstLine="0"/>
        <w:jc w:val="center"/>
        <w:rPr>
          <w:rFonts w:ascii="仿宋" w:hAnsi="仿宋" w:eastAsia="仿宋" w:cs="仿宋"/>
          <w:b/>
          <w:color w:val="000000"/>
          <w:sz w:val="24"/>
        </w:rPr>
      </w:pPr>
      <w:r>
        <w:rPr>
          <w:rFonts w:hint="eastAsia" w:ascii="仿宋" w:hAnsi="仿宋" w:eastAsia="仿宋" w:cs="仿宋"/>
          <w:b/>
          <w:color w:val="000000"/>
          <w:sz w:val="24"/>
        </w:rPr>
        <w:t>供应商控股及管理关系情况申报表</w:t>
      </w:r>
    </w:p>
    <w:p>
      <w:pPr>
        <w:spacing w:line="360" w:lineRule="auto"/>
        <w:ind w:hanging="619"/>
        <w:rPr>
          <w:rFonts w:ascii="仿宋" w:hAnsi="仿宋" w:eastAsia="仿宋" w:cs="宋体"/>
          <w:color w:val="000000"/>
          <w:sz w:val="24"/>
        </w:rPr>
      </w:pPr>
      <w:r>
        <w:rPr>
          <w:rFonts w:hint="eastAsia" w:ascii="仿宋" w:hAnsi="仿宋" w:eastAsia="仿宋" w:cs="宋体"/>
          <w:color w:val="000000"/>
          <w:sz w:val="24"/>
        </w:rPr>
        <w:t>致：</w:t>
      </w:r>
      <w:r>
        <w:rPr>
          <w:rFonts w:hint="eastAsia" w:ascii="仿宋" w:hAnsi="仿宋" w:eastAsia="仿宋" w:cs="宋体"/>
          <w:color w:val="000000"/>
          <w:sz w:val="24"/>
          <w:u w:val="single"/>
        </w:rPr>
        <w:t xml:space="preserve">  （采购人名称）  </w:t>
      </w:r>
      <w:r>
        <w:rPr>
          <w:rFonts w:hint="eastAsia" w:ascii="仿宋" w:hAnsi="仿宋" w:eastAsia="仿宋" w:cs="宋体"/>
          <w:color w:val="000000"/>
          <w:sz w:val="24"/>
        </w:rPr>
        <w:t>：</w:t>
      </w:r>
    </w:p>
    <w:p>
      <w:pPr>
        <w:spacing w:line="360" w:lineRule="auto"/>
        <w:ind w:left="-617" w:right="-512" w:firstLine="616"/>
        <w:rPr>
          <w:rFonts w:ascii="仿宋" w:hAnsi="仿宋" w:eastAsia="仿宋" w:cs="宋体"/>
          <w:color w:val="000000"/>
          <w:sz w:val="24"/>
        </w:rPr>
      </w:pPr>
      <w:r>
        <w:rPr>
          <w:rFonts w:hint="eastAsia" w:ascii="仿宋" w:hAnsi="仿宋" w:eastAsia="仿宋" w:cs="宋体"/>
          <w:color w:val="000000"/>
          <w:sz w:val="24"/>
        </w:rPr>
        <w:t>我方参加</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（项目名称）     </w:t>
      </w:r>
      <w:r>
        <w:rPr>
          <w:rFonts w:hint="eastAsia" w:ascii="仿宋" w:hAnsi="仿宋" w:eastAsia="仿宋" w:cs="宋体"/>
          <w:color w:val="000000"/>
          <w:sz w:val="24"/>
        </w:rPr>
        <w:t>的磋商，根据法律法规维护投标公正性的相关规定，我方与采购人之间</w:t>
      </w:r>
      <w:r>
        <w:rPr>
          <w:rFonts w:hint="eastAsia" w:ascii="仿宋" w:hAnsi="仿宋" w:eastAsia="仿宋" w:cs="宋体"/>
          <w:sz w:val="24"/>
        </w:rPr>
        <w:t>不存在利害关系可</w:t>
      </w:r>
      <w:r>
        <w:rPr>
          <w:rFonts w:hint="eastAsia" w:ascii="仿宋" w:hAnsi="仿宋" w:eastAsia="仿宋" w:cs="宋体"/>
          <w:color w:val="000000"/>
          <w:sz w:val="24"/>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4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申报人名称</w:t>
            </w:r>
          </w:p>
        </w:tc>
        <w:tc>
          <w:tcPr>
            <w:tcW w:w="7926" w:type="dxa"/>
            <w:gridSpan w:val="2"/>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法定代表人/单位负责人</w:t>
            </w:r>
          </w:p>
        </w:tc>
        <w:tc>
          <w:tcPr>
            <w:tcW w:w="235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姓    名</w:t>
            </w:r>
          </w:p>
        </w:tc>
        <w:tc>
          <w:tcPr>
            <w:tcW w:w="5570"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c>
          <w:tcPr>
            <w:tcW w:w="235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身份证号</w:t>
            </w:r>
          </w:p>
        </w:tc>
        <w:tc>
          <w:tcPr>
            <w:tcW w:w="5570"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控股关系</w:t>
            </w:r>
          </w:p>
        </w:tc>
        <w:tc>
          <w:tcPr>
            <w:tcW w:w="235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控股股东/投资人名称及出资比例</w:t>
            </w:r>
          </w:p>
        </w:tc>
        <w:tc>
          <w:tcPr>
            <w:tcW w:w="5570"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c>
          <w:tcPr>
            <w:tcW w:w="235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被控股/被投资单位名称及出资比例</w:t>
            </w:r>
          </w:p>
        </w:tc>
        <w:tc>
          <w:tcPr>
            <w:tcW w:w="5570"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c>
          <w:tcPr>
            <w:tcW w:w="2356"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keepNext w:val="0"/>
              <w:keepLines w:val="0"/>
              <w:suppressLineNumbers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备注：</w:t>
            </w:r>
          </w:p>
        </w:tc>
      </w:tr>
    </w:tbl>
    <w:p>
      <w:pPr>
        <w:spacing w:line="360" w:lineRule="auto"/>
        <w:rPr>
          <w:rFonts w:ascii="仿宋" w:hAnsi="仿宋" w:eastAsia="仿宋" w:cs="宋体"/>
          <w:color w:val="000000"/>
          <w:sz w:val="24"/>
        </w:rPr>
      </w:pPr>
      <w:r>
        <w:rPr>
          <w:rFonts w:hint="eastAsia" w:ascii="仿宋" w:hAnsi="仿宋" w:eastAsia="仿宋" w:cs="宋体"/>
          <w:color w:val="000000"/>
          <w:sz w:val="24"/>
        </w:rPr>
        <w:t>注：</w:t>
      </w:r>
    </w:p>
    <w:p>
      <w:pPr>
        <w:spacing w:line="360" w:lineRule="auto"/>
        <w:rPr>
          <w:rFonts w:ascii="仿宋" w:hAnsi="仿宋" w:eastAsia="仿宋" w:cs="宋体"/>
          <w:color w:val="000000"/>
          <w:sz w:val="24"/>
        </w:rPr>
      </w:pPr>
      <w:r>
        <w:rPr>
          <w:rFonts w:hint="eastAsia" w:ascii="仿宋" w:hAnsi="仿宋" w:eastAsia="仿宋" w:cs="宋体"/>
          <w:color w:val="000000"/>
          <w:sz w:val="24"/>
        </w:rPr>
        <w:t>1.控股股东/投资人是指出资比例在50%以上，或者出资比例不足50%，但享有公司股东会/董事会控制权的投资方（含单位或者个人）</w:t>
      </w:r>
    </w:p>
    <w:p>
      <w:pPr>
        <w:spacing w:line="360" w:lineRule="auto"/>
        <w:ind w:left="10"/>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315"/>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315"/>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rPr>
          <w:rFonts w:ascii="仿宋" w:hAnsi="仿宋" w:eastAsia="仿宋" w:cs="宋体"/>
          <w:color w:val="000000"/>
          <w:sz w:val="24"/>
        </w:rPr>
      </w:pPr>
    </w:p>
    <w:p>
      <w:pPr>
        <w:spacing w:line="360" w:lineRule="auto"/>
        <w:ind w:firstLine="408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6、非联合体磋商响应声明</w:t>
      </w:r>
      <w:bookmarkEnd w:id="206"/>
    </w:p>
    <w:p>
      <w:pPr>
        <w:pStyle w:val="2"/>
        <w:spacing w:before="240"/>
        <w:rPr>
          <w:rFonts w:ascii="仿宋" w:hAnsi="仿宋" w:eastAsia="仿宋" w:cs="Cambria Math"/>
          <w:b/>
          <w:bCs/>
          <w:color w:val="000000"/>
          <w:sz w:val="24"/>
        </w:rPr>
      </w:pPr>
      <w:r>
        <w:rPr>
          <w:rFonts w:hint="eastAsia" w:ascii="仿宋" w:hAnsi="仿宋" w:eastAsia="仿宋" w:cs="Cambria Math"/>
          <w:b/>
          <w:bCs/>
          <w:color w:val="000000"/>
          <w:sz w:val="24"/>
        </w:rPr>
        <w:t>非联合体磋商响应声明</w:t>
      </w:r>
    </w:p>
    <w:p>
      <w:pPr>
        <w:spacing w:before="240" w:line="360" w:lineRule="auto"/>
        <w:rPr>
          <w:rFonts w:ascii="仿宋" w:hAnsi="仿宋" w:eastAsia="仿宋" w:cs="Cambria Math"/>
          <w:color w:val="000000"/>
          <w:sz w:val="24"/>
        </w:rPr>
      </w:pPr>
      <w:r>
        <w:rPr>
          <w:rFonts w:hint="eastAsia" w:ascii="仿宋" w:hAnsi="仿宋" w:eastAsia="仿宋" w:cs="Cambria Math"/>
          <w:color w:val="000000"/>
          <w:sz w:val="24"/>
        </w:rPr>
        <w:t>致：（采购人）：</w:t>
      </w:r>
    </w:p>
    <w:p>
      <w:pPr>
        <w:spacing w:before="240" w:line="360" w:lineRule="auto"/>
        <w:ind w:firstLine="48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独立参与</w:t>
      </w:r>
      <w:r>
        <w:rPr>
          <w:rFonts w:hint="eastAsia" w:ascii="仿宋" w:hAnsi="仿宋" w:eastAsia="仿宋" w:cs="Cambria Math"/>
          <w:color w:val="000000"/>
          <w:sz w:val="24"/>
          <w:u w:val="single"/>
        </w:rPr>
        <w:t xml:space="preserve">    （项目名称）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磋商响应，非联合体参与磋商响应。</w:t>
      </w:r>
      <w:r>
        <w:rPr>
          <w:rFonts w:ascii="仿宋" w:hAnsi="仿宋" w:eastAsia="仿宋" w:cs="Cambria Math"/>
          <w:color w:val="000000"/>
          <w:sz w:val="24"/>
        </w:rPr>
        <w:t xml:space="preserve"> </w:t>
      </w:r>
    </w:p>
    <w:p>
      <w:pPr>
        <w:pStyle w:val="2"/>
        <w:ind w:firstLine="480"/>
        <w:jc w:val="both"/>
        <w:rPr>
          <w:rFonts w:ascii="仿宋" w:hAnsi="仿宋" w:eastAsia="仿宋" w:cs="Cambria Math"/>
          <w:color w:val="000000"/>
          <w:sz w:val="24"/>
        </w:rPr>
      </w:pPr>
      <w:r>
        <w:rPr>
          <w:rFonts w:hint="eastAsia" w:ascii="仿宋" w:hAnsi="仿宋" w:eastAsia="仿宋" w:cs="Cambria Math"/>
          <w:color w:val="000000"/>
          <w:sz w:val="24"/>
        </w:rPr>
        <w:t>特此声明。</w:t>
      </w:r>
    </w:p>
    <w:p>
      <w:pPr>
        <w:pStyle w:val="280"/>
        <w:ind w:firstLine="640"/>
        <w:rPr>
          <w:rFonts w:ascii="仿宋" w:hAnsi="仿宋" w:eastAsia="仿宋"/>
        </w:rPr>
      </w:pPr>
    </w:p>
    <w:p>
      <w:pPr>
        <w:pStyle w:val="280"/>
        <w:ind w:firstLine="640"/>
        <w:rPr>
          <w:rFonts w:ascii="仿宋" w:hAnsi="仿宋" w:eastAsia="仿宋"/>
        </w:rPr>
      </w:pPr>
    </w:p>
    <w:p>
      <w:pPr>
        <w:pStyle w:val="280"/>
        <w:ind w:firstLine="640"/>
        <w:rPr>
          <w:rFonts w:ascii="仿宋" w:hAnsi="仿宋" w:eastAsia="仿宋"/>
        </w:rPr>
      </w:pPr>
    </w:p>
    <w:p>
      <w:pPr>
        <w:pStyle w:val="280"/>
        <w:ind w:firstLine="640"/>
        <w:rPr>
          <w:rFonts w:ascii="仿宋" w:hAnsi="仿宋" w:eastAsia="仿宋"/>
        </w:rPr>
      </w:pPr>
    </w:p>
    <w:p>
      <w:pPr>
        <w:pStyle w:val="280"/>
        <w:ind w:firstLine="640"/>
        <w:rPr>
          <w:rFonts w:ascii="仿宋" w:hAnsi="仿宋" w:eastAsia="仿宋"/>
        </w:rPr>
      </w:pPr>
    </w:p>
    <w:p>
      <w:pPr>
        <w:pStyle w:val="280"/>
        <w:ind w:firstLine="640"/>
        <w:rPr>
          <w:rFonts w:ascii="仿宋" w:hAnsi="仿宋" w:eastAsia="仿宋"/>
        </w:rPr>
      </w:pPr>
    </w:p>
    <w:p>
      <w:pPr>
        <w:pStyle w:val="280"/>
        <w:ind w:firstLine="640"/>
        <w:rPr>
          <w:rFonts w:ascii="仿宋" w:hAnsi="仿宋" w:eastAsia="仿宋"/>
        </w:rPr>
      </w:pPr>
    </w:p>
    <w:p>
      <w:pPr>
        <w:spacing w:line="360" w:lineRule="auto"/>
        <w:ind w:firstLine="408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rPr>
          <w:rFonts w:ascii="仿宋" w:hAnsi="仿宋" w:eastAsia="仿宋" w:cs="仿宋"/>
          <w:color w:val="000000"/>
          <w:sz w:val="24"/>
        </w:rPr>
      </w:pPr>
      <w:r>
        <w:rPr>
          <w:rFonts w:ascii="仿宋" w:hAnsi="仿宋" w:eastAsia="仿宋" w:cs="仿宋"/>
          <w:color w:val="000000"/>
          <w:sz w:val="24"/>
        </w:rPr>
        <w:br w:type="page" w:clear="all"/>
      </w:r>
    </w:p>
    <w:p>
      <w:pPr>
        <w:pStyle w:val="5"/>
        <w:tabs>
          <w:tab w:val="clear" w:pos="1440"/>
        </w:tabs>
        <w:spacing w:before="0" w:after="0" w:line="360" w:lineRule="auto"/>
        <w:ind w:left="0" w:firstLine="0"/>
        <w:rPr>
          <w:rFonts w:ascii="仿宋" w:hAnsi="仿宋" w:cs="宋体"/>
          <w:color w:val="000000"/>
          <w:szCs w:val="24"/>
        </w:rPr>
      </w:pPr>
      <w:bookmarkStart w:id="207" w:name="_Toc23724"/>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95"/>
      <w:bookmarkEnd w:id="196"/>
      <w:bookmarkEnd w:id="197"/>
      <w:bookmarkEnd w:id="198"/>
      <w:bookmarkEnd w:id="207"/>
    </w:p>
    <w:p>
      <w:pPr>
        <w:spacing w:line="360" w:lineRule="auto"/>
        <w:jc w:val="center"/>
        <w:rPr>
          <w:rFonts w:ascii="仿宋" w:hAnsi="仿宋" w:eastAsia="仿宋" w:cs="宋体"/>
          <w:b/>
          <w:bCs/>
          <w:color w:val="000000"/>
          <w:sz w:val="24"/>
        </w:rPr>
      </w:pPr>
      <w:r>
        <w:rPr>
          <w:rFonts w:hint="eastAsia" w:ascii="仿宋" w:hAnsi="仿宋" w:eastAsia="仿宋" w:cs="宋体"/>
          <w:b/>
          <w:bCs/>
          <w:color w:val="000000"/>
          <w:sz w:val="24"/>
        </w:rPr>
        <w:t>供应商须知应答偏离表</w:t>
      </w:r>
    </w:p>
    <w:p>
      <w:pPr>
        <w:spacing w:line="360" w:lineRule="auto"/>
        <w:rPr>
          <w:rFonts w:ascii="仿宋" w:hAnsi="仿宋" w:eastAsia="仿宋" w:cs="宋体"/>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ascii="仿宋" w:hAnsi="仿宋" w:eastAsia="仿宋" w:cs="宋体"/>
          <w:color w:val="000000"/>
          <w:sz w:val="24"/>
        </w:rPr>
        <w:t xml:space="preserve"> </w:t>
      </w:r>
      <w:r>
        <w:rPr>
          <w:rFonts w:hint="eastAsia" w:ascii="仿宋" w:hAnsi="仿宋" w:eastAsia="仿宋" w:cs="仿宋"/>
          <w:color w:val="000000"/>
          <w:sz w:val="24"/>
        </w:rPr>
        <w:t xml:space="preserve"> </w:t>
      </w:r>
      <w:r>
        <w:rPr>
          <w:rFonts w:ascii="仿宋" w:hAnsi="仿宋" w:eastAsia="仿宋" w:cs="宋体"/>
          <w:color w:val="000000"/>
          <w:sz w:val="24"/>
        </w:rPr>
        <w:t xml:space="preserve">        </w:t>
      </w:r>
      <w:r>
        <w:rPr>
          <w:rFonts w:hint="eastAsia" w:ascii="仿宋" w:hAnsi="仿宋" w:eastAsia="仿宋" w:cs="宋体"/>
          <w:color w:val="000000"/>
          <w:sz w:val="24"/>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序号</w:t>
            </w:r>
          </w:p>
        </w:tc>
        <w:tc>
          <w:tcPr>
            <w:tcW w:w="228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条目号</w:t>
            </w:r>
          </w:p>
        </w:tc>
        <w:tc>
          <w:tcPr>
            <w:tcW w:w="24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原文内容</w:t>
            </w:r>
          </w:p>
        </w:tc>
        <w:tc>
          <w:tcPr>
            <w:tcW w:w="270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应答</w:t>
            </w:r>
          </w:p>
        </w:tc>
        <w:tc>
          <w:tcPr>
            <w:tcW w:w="1408"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宋体"/>
                <w:color w:val="000000"/>
                <w:szCs w:val="21"/>
              </w:rPr>
            </w:pPr>
          </w:p>
        </w:tc>
      </w:tr>
    </w:tbl>
    <w:p>
      <w:pPr>
        <w:spacing w:line="360" w:lineRule="auto"/>
        <w:ind w:left="480" w:hanging="480"/>
        <w:rPr>
          <w:rFonts w:ascii="仿宋" w:hAnsi="仿宋" w:eastAsia="仿宋" w:cs="宋体"/>
          <w:b/>
          <w:bCs/>
          <w:color w:val="000000"/>
          <w:sz w:val="24"/>
        </w:rPr>
      </w:pPr>
      <w:r>
        <w:rPr>
          <w:rFonts w:hint="eastAsia" w:ascii="仿宋" w:hAnsi="仿宋" w:eastAsia="仿宋" w:cs="宋体"/>
          <w:color w:val="000000"/>
          <w:sz w:val="24"/>
        </w:rPr>
        <w:t>注：所有偏离须在本表中列出，未在本偏离表中列出偏离，将视为供应商已完全接受磋商文件要求</w:t>
      </w:r>
      <w:r>
        <w:rPr>
          <w:rFonts w:hint="eastAsia" w:ascii="仿宋" w:hAnsi="仿宋" w:eastAsia="仿宋" w:cs="宋体"/>
          <w:b/>
          <w:bCs/>
          <w:color w:val="000000"/>
          <w:sz w:val="24"/>
        </w:rPr>
        <w:t>。如全部满足，在偏离表中应答“全部满足”即可。</w:t>
      </w:r>
    </w:p>
    <w:p>
      <w:pPr>
        <w:spacing w:line="360" w:lineRule="auto"/>
        <w:ind w:firstLine="4080"/>
        <w:jc w:val="right"/>
        <w:rPr>
          <w:rFonts w:ascii="仿宋" w:hAnsi="仿宋" w:eastAsia="仿宋" w:cs="宋体"/>
          <w:color w:val="000000"/>
          <w:sz w:val="24"/>
        </w:rPr>
      </w:pPr>
    </w:p>
    <w:p>
      <w:pPr>
        <w:spacing w:line="360" w:lineRule="auto"/>
        <w:ind w:firstLine="4080"/>
        <w:jc w:val="right"/>
        <w:rPr>
          <w:rFonts w:ascii="仿宋" w:hAnsi="仿宋" w:eastAsia="仿宋" w:cs="宋体"/>
          <w:color w:val="000000"/>
          <w:sz w:val="24"/>
        </w:rPr>
      </w:pPr>
    </w:p>
    <w:p>
      <w:pPr>
        <w:spacing w:line="360" w:lineRule="auto"/>
        <w:ind w:firstLine="4080"/>
        <w:jc w:val="right"/>
        <w:rPr>
          <w:rFonts w:ascii="仿宋" w:hAnsi="仿宋" w:eastAsia="仿宋" w:cs="宋体"/>
          <w:color w:val="000000"/>
          <w:sz w:val="24"/>
        </w:rPr>
      </w:pPr>
    </w:p>
    <w:p>
      <w:pPr>
        <w:spacing w:line="360" w:lineRule="auto"/>
        <w:ind w:firstLine="408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宋体"/>
          <w:color w:val="000000"/>
          <w:sz w:val="24"/>
        </w:rPr>
        <w:sectPr>
          <w:pgSz w:w="11906" w:h="16838"/>
          <w:pgMar w:top="1417" w:right="1134" w:bottom="1134" w:left="1134" w:header="851" w:footer="992" w:gutter="0"/>
          <w:cols w:space="720" w:num="1"/>
          <w:titlePg/>
        </w:sect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pPr>
        <w:spacing w:line="360" w:lineRule="auto"/>
        <w:outlineLvl w:val="2"/>
        <w:rPr>
          <w:rFonts w:ascii="仿宋" w:hAnsi="仿宋" w:eastAsia="仿宋" w:cs="仿宋"/>
          <w:b/>
          <w:bCs/>
          <w:color w:val="000000"/>
          <w:sz w:val="24"/>
        </w:rPr>
      </w:pPr>
      <w:bookmarkStart w:id="208" w:name="_Toc15194"/>
      <w:r>
        <w:rPr>
          <w:rFonts w:hint="eastAsia" w:ascii="仿宋" w:hAnsi="仿宋" w:eastAsia="仿宋" w:cs="仿宋"/>
          <w:b/>
          <w:bCs/>
          <w:color w:val="000000"/>
          <w:sz w:val="24"/>
        </w:rPr>
        <w:t>（六）合同条款应答偏</w:t>
      </w:r>
      <w:r>
        <w:rPr>
          <w:rFonts w:ascii="仿宋" w:hAnsi="仿宋" w:eastAsia="仿宋" w:cs="仿宋"/>
          <w:b/>
          <w:bCs/>
          <w:color w:val="000000"/>
          <w:sz w:val="24"/>
        </w:rPr>
        <w:t>离表</w:t>
      </w:r>
      <w:bookmarkEnd w:id="208"/>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合同条款应答偏离表</w:t>
      </w:r>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序号</w:t>
            </w:r>
          </w:p>
        </w:tc>
        <w:tc>
          <w:tcPr>
            <w:tcW w:w="228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应答</w:t>
            </w:r>
          </w:p>
        </w:tc>
        <w:tc>
          <w:tcPr>
            <w:tcW w:w="1408"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noWrap w:val="0"/>
          </w:tcPr>
          <w:p>
            <w:pPr>
              <w:keepNext w:val="0"/>
              <w:keepLines w:val="0"/>
              <w:suppressLineNumbers w:val="0"/>
              <w:spacing w:before="0" w:beforeAutospacing="0" w:after="0" w:afterAutospacing="0" w:line="360" w:lineRule="auto"/>
              <w:ind w:left="0" w:right="0"/>
              <w:rPr>
                <w:rFonts w:hint="default" w:ascii="仿宋" w:hAnsi="仿宋" w:eastAsia="仿宋" w:cs="Cambria Math"/>
                <w:color w:val="000000"/>
                <w:szCs w:val="21"/>
              </w:rPr>
            </w:pPr>
          </w:p>
        </w:tc>
      </w:tr>
    </w:tbl>
    <w:p>
      <w:pPr>
        <w:spacing w:before="240" w:line="360" w:lineRule="auto"/>
        <w:ind w:left="480" w:hanging="480"/>
        <w:rPr>
          <w:rFonts w:ascii="仿宋" w:hAnsi="仿宋" w:eastAsia="仿宋" w:cs="Cambria Math"/>
          <w:color w:val="000000"/>
          <w:sz w:val="24"/>
        </w:rPr>
      </w:pPr>
      <w:r>
        <w:rPr>
          <w:rFonts w:hint="eastAsia" w:ascii="仿宋" w:hAnsi="仿宋" w:eastAsia="仿宋" w:cs="Cambria Math"/>
          <w:color w:val="000000"/>
          <w:sz w:val="24"/>
        </w:rPr>
        <w:t>注：所有偏离必须在本表中列出，未在本偏离表中列出偏离，将视为供应商已完全接受竞争性磋商文件要求；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sz w:val="24"/>
        </w:rPr>
      </w:pPr>
    </w:p>
    <w:p>
      <w:pPr>
        <w:spacing w:line="440" w:lineRule="exact"/>
        <w:ind w:firstLine="408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spacing w:line="360" w:lineRule="auto"/>
        <w:rPr>
          <w:rFonts w:ascii="仿宋" w:hAnsi="仿宋" w:eastAsia="仿宋" w:cs="仿宋"/>
          <w:color w:val="000000"/>
          <w:u w:val="single"/>
        </w:rPr>
      </w:pPr>
    </w:p>
    <w:p>
      <w:pPr>
        <w:pStyle w:val="5"/>
        <w:spacing w:before="0" w:after="0" w:line="360" w:lineRule="auto"/>
        <w:ind w:left="0" w:firstLine="0"/>
        <w:rPr>
          <w:rFonts w:ascii="仿宋" w:hAnsi="仿宋" w:eastAsia="仿宋" w:cs="宋体"/>
          <w:color w:val="000000"/>
          <w:sz w:val="24"/>
        </w:rPr>
        <w:sectPr>
          <w:pgSz w:w="11906" w:h="16838"/>
          <w:pgMar w:top="1417" w:right="1134" w:bottom="1134" w:left="1134" w:header="851" w:footer="992" w:gutter="0"/>
          <w:cols w:space="720" w:num="1"/>
          <w:titlePg/>
        </w:sectPr>
      </w:pPr>
      <w:r>
        <w:rPr>
          <w:rFonts w:ascii="仿宋" w:hAnsi="仿宋" w:eastAsia="仿宋" w:cs="仿宋"/>
          <w:color w:val="000000"/>
          <w:sz w:val="24"/>
          <w:szCs w:val="24"/>
        </w:rPr>
        <w:br w:type="page" w:clear="all"/>
      </w:r>
    </w:p>
    <w:p>
      <w:pPr>
        <w:pStyle w:val="5"/>
        <w:spacing w:before="0" w:after="0" w:line="360" w:lineRule="auto"/>
        <w:ind w:left="0" w:firstLine="0"/>
        <w:rPr>
          <w:rFonts w:ascii="仿宋" w:hAnsi="仿宋" w:eastAsia="仿宋" w:cs="仿宋"/>
          <w:color w:val="000000"/>
          <w:sz w:val="24"/>
          <w:szCs w:val="24"/>
        </w:rPr>
      </w:pPr>
      <w:bookmarkStart w:id="209" w:name="_Toc21413"/>
      <w:r>
        <w:rPr>
          <w:rFonts w:hint="eastAsia" w:ascii="仿宋" w:hAnsi="仿宋" w:eastAsia="仿宋" w:cs="仿宋"/>
          <w:color w:val="000000"/>
          <w:sz w:val="24"/>
          <w:szCs w:val="24"/>
        </w:rPr>
        <w:t>（七）供应商行为准则承诺书</w:t>
      </w:r>
      <w:bookmarkEnd w:id="209"/>
    </w:p>
    <w:p>
      <w:pPr>
        <w:jc w:val="center"/>
        <w:rPr>
          <w:rFonts w:ascii="仿宋" w:hAnsi="仿宋" w:eastAsia="仿宋" w:cs="宋体"/>
          <w:b/>
          <w:bCs/>
          <w:color w:val="000000"/>
          <w:sz w:val="28"/>
          <w:szCs w:val="28"/>
        </w:rPr>
      </w:pPr>
      <w:bookmarkStart w:id="210" w:name="_Toc15599"/>
      <w:r>
        <w:rPr>
          <w:rFonts w:hint="eastAsia" w:ascii="仿宋" w:hAnsi="仿宋" w:eastAsia="仿宋" w:cs="宋体"/>
          <w:b/>
          <w:bCs/>
          <w:color w:val="000000"/>
          <w:sz w:val="28"/>
          <w:szCs w:val="28"/>
        </w:rPr>
        <w:t>供应商行为准则承诺书</w:t>
      </w:r>
    </w:p>
    <w:p>
      <w:pPr>
        <w:spacing w:line="360" w:lineRule="auto"/>
        <w:ind w:firstLine="480"/>
        <w:rPr>
          <w:rFonts w:ascii="仿宋" w:hAnsi="仿宋" w:eastAsia="仿宋" w:cs="仿宋"/>
          <w:color w:val="000000"/>
          <w:sz w:val="24"/>
        </w:rPr>
      </w:pP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电话：__________传真：__________________</w:t>
      </w:r>
    </w:p>
    <w:p>
      <w:pPr>
        <w:pStyle w:val="295"/>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ind w:left="0" w:firstLine="0"/>
        <w:rPr>
          <w:rFonts w:ascii="仿宋" w:hAnsi="仿宋" w:cs="宋体"/>
          <w:color w:val="000000"/>
          <w:szCs w:val="24"/>
        </w:rPr>
      </w:pPr>
      <w:r>
        <w:rPr>
          <w:rFonts w:hint="eastAsia" w:ascii="仿宋" w:hAnsi="仿宋" w:eastAsia="仿宋" w:cs="仿宋"/>
          <w:color w:val="000000"/>
        </w:rPr>
        <w:br w:type="page" w:clear="all"/>
      </w:r>
      <w:bookmarkStart w:id="211" w:name="_Toc27888"/>
      <w:r>
        <w:rPr>
          <w:rFonts w:hint="eastAsia" w:ascii="仿宋" w:hAnsi="仿宋" w:eastAsia="仿宋" w:cs="宋体"/>
          <w:bCs w:val="0"/>
          <w:color w:val="000000"/>
          <w:sz w:val="24"/>
          <w:szCs w:val="24"/>
        </w:rPr>
        <w:t>（八）供应商廉洁诚信承诺书</w:t>
      </w:r>
      <w:bookmarkEnd w:id="210"/>
      <w:bookmarkEnd w:id="211"/>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rPr>
          <w:rFonts w:ascii="仿宋" w:hAnsi="仿宋" w:eastAsia="仿宋" w:cs="宋体"/>
          <w:color w:val="000000"/>
          <w:sz w:val="24"/>
        </w:rPr>
      </w:pP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000000"/>
          <w:sz w:val="24"/>
        </w:rPr>
      </w:pPr>
    </w:p>
    <w:p>
      <w:pPr>
        <w:spacing w:line="360" w:lineRule="auto"/>
        <w:ind w:firstLine="480"/>
        <w:rPr>
          <w:rFonts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000000"/>
          <w:sz w:val="24"/>
        </w:rPr>
      </w:pPr>
    </w:p>
    <w:p>
      <w:pPr>
        <w:tabs>
          <w:tab w:val="left" w:pos="458"/>
        </w:tabs>
        <w:spacing w:line="360" w:lineRule="auto"/>
        <w:ind w:firstLine="3578"/>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rPr>
          <w:rFonts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rPr>
          <w:rFonts w:ascii="仿宋" w:hAnsi="仿宋" w:eastAsia="仿宋" w:cs="仿宋"/>
          <w:color w:val="000000"/>
          <w:sz w:val="24"/>
        </w:rPr>
      </w:pPr>
      <w:r>
        <w:rPr>
          <w:rFonts w:hint="eastAsia" w:ascii="仿宋" w:hAnsi="仿宋" w:eastAsia="仿宋" w:cs="仿宋"/>
          <w:color w:val="000000"/>
          <w:sz w:val="24"/>
        </w:rPr>
        <w:t>法定代表人或授权代表签字：______________</w:t>
      </w:r>
    </w:p>
    <w:p>
      <w:pPr>
        <w:pStyle w:val="2"/>
      </w:pPr>
      <w:r>
        <w:rPr>
          <w:rFonts w:hint="eastAsia" w:ascii="仿宋" w:hAnsi="仿宋" w:eastAsia="仿宋" w:cs="仿宋"/>
          <w:color w:val="000000"/>
          <w:sz w:val="24"/>
        </w:rPr>
        <w:t xml:space="preserve">                   日期：__________________________________</w:t>
      </w:r>
    </w:p>
    <w:p>
      <w:pPr>
        <w:spacing w:line="360" w:lineRule="auto"/>
        <w:outlineLvl w:val="2"/>
        <w:rPr>
          <w:rFonts w:ascii="仿宋" w:hAnsi="仿宋" w:eastAsia="仿宋" w:cs="仿宋"/>
          <w:color w:val="000000"/>
          <w:sz w:val="24"/>
          <w:highlight w:val="yellow"/>
        </w:rPr>
      </w:pPr>
      <w:r>
        <w:rPr>
          <w:rFonts w:hint="eastAsia" w:ascii="仿宋" w:hAnsi="仿宋" w:eastAsia="仿宋" w:cs="仿宋"/>
          <w:color w:val="000000"/>
        </w:rPr>
        <w:br w:type="page" w:clear="all"/>
      </w:r>
      <w:bookmarkStart w:id="212" w:name="_Toc15606"/>
      <w:r>
        <w:rPr>
          <w:rStyle w:val="212"/>
          <w:rFonts w:hint="eastAsia" w:ascii="仿宋" w:hAnsi="仿宋" w:eastAsia="仿宋" w:cs="仿宋"/>
          <w:sz w:val="24"/>
          <w:szCs w:val="24"/>
        </w:rPr>
        <w:t>（九）</w:t>
      </w:r>
      <w:r>
        <w:rPr>
          <w:rFonts w:hint="eastAsia" w:ascii="仿宋" w:hAnsi="仿宋" w:eastAsia="仿宋" w:cs="仿宋"/>
          <w:b/>
          <w:bCs/>
          <w:color w:val="000000"/>
          <w:sz w:val="24"/>
        </w:rPr>
        <w:t>同类项目实施经验</w:t>
      </w:r>
      <w:bookmarkEnd w:id="212"/>
      <w:r>
        <w:rPr>
          <w:rFonts w:hint="eastAsia" w:ascii="仿宋" w:hAnsi="仿宋" w:eastAsia="仿宋" w:cs="仿宋"/>
          <w:color w:val="000000"/>
          <w:sz w:val="24"/>
        </w:rPr>
        <w:t xml:space="preserve"> </w:t>
      </w:r>
    </w:p>
    <w:tbl>
      <w:tblPr>
        <w:tblStyle w:val="44"/>
        <w:tblW w:w="4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1297"/>
        <w:gridCol w:w="1514"/>
        <w:gridCol w:w="1271"/>
        <w:gridCol w:w="1262"/>
        <w:gridCol w:w="1347"/>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序号</w:t>
            </w: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合同名称</w:t>
            </w: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合同签订时间</w:t>
            </w: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采购内容</w:t>
            </w: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合同金额（万元）</w:t>
            </w: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合同甲方</w:t>
            </w: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3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859"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21"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16"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764"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c>
          <w:tcPr>
            <w:tcW w:w="66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Cs w:val="21"/>
              </w:rPr>
            </w:pPr>
          </w:p>
        </w:tc>
      </w:tr>
    </w:tbl>
    <w:p>
      <w:pPr>
        <w:pBdr>
          <w:top w:val="none" w:color="000000" w:sz="0" w:space="0"/>
          <w:left w:val="none" w:color="000000" w:sz="0" w:space="0"/>
          <w:bottom w:val="none" w:color="000000" w:sz="0" w:space="0"/>
          <w:right w:val="none" w:color="000000" w:sz="0" w:space="0"/>
        </w:pBdr>
        <w:spacing w:line="360" w:lineRule="auto"/>
        <w:ind w:left="0" w:right="0" w:firstLine="0"/>
        <w:rPr>
          <w:sz w:val="21"/>
        </w:rPr>
      </w:pPr>
      <w:r>
        <w:rPr>
          <w:rFonts w:ascii="仿宋" w:hAnsi="仿宋" w:eastAsia="仿宋" w:cs="仿宋"/>
          <w:b/>
          <w:color w:val="000000"/>
          <w:sz w:val="24"/>
        </w:rPr>
        <w:t>备注：</w:t>
      </w:r>
    </w:p>
    <w:p>
      <w:pPr>
        <w:pBdr>
          <w:top w:val="none" w:color="000000" w:sz="0" w:space="0"/>
          <w:left w:val="none" w:color="000000" w:sz="0" w:space="0"/>
          <w:bottom w:val="none" w:color="000000" w:sz="0" w:space="0"/>
          <w:right w:val="none" w:color="000000" w:sz="0" w:space="0"/>
        </w:pBdr>
        <w:spacing w:line="360" w:lineRule="auto"/>
        <w:ind w:left="0" w:right="0" w:firstLine="0"/>
        <w:jc w:val="both"/>
        <w:rPr>
          <w:sz w:val="21"/>
        </w:rPr>
      </w:pPr>
      <w:r>
        <w:rPr>
          <w:rFonts w:ascii="仿宋" w:hAnsi="仿宋" w:eastAsia="仿宋" w:cs="仿宋"/>
          <w:b/>
          <w:color w:val="000000"/>
          <w:sz w:val="24"/>
        </w:rPr>
        <w:t>1）有效的业绩证明材料包含但不限于合同关键页复印件（合同首页、合同标的页、签署日期页及盖章页等），按照业绩表的项目名称，顺序排放每个项目的证明材料。</w:t>
      </w:r>
    </w:p>
    <w:p>
      <w:pPr>
        <w:pBdr>
          <w:top w:val="none" w:color="000000" w:sz="0" w:space="0"/>
          <w:left w:val="none" w:color="000000" w:sz="0" w:space="0"/>
          <w:bottom w:val="none" w:color="000000" w:sz="0" w:space="0"/>
          <w:right w:val="none" w:color="000000" w:sz="0" w:space="0"/>
        </w:pBdr>
        <w:spacing w:line="360" w:lineRule="auto"/>
        <w:ind w:left="0" w:right="0" w:firstLine="0"/>
        <w:jc w:val="both"/>
        <w:rPr>
          <w:sz w:val="21"/>
        </w:rPr>
      </w:pPr>
      <w:r>
        <w:rPr>
          <w:rFonts w:ascii="仿宋" w:hAnsi="仿宋" w:eastAsia="仿宋" w:cs="仿宋"/>
          <w:b/>
          <w:color w:val="000000"/>
          <w:sz w:val="24"/>
        </w:rPr>
        <w:t>2）本业绩表及证明材料也作为详细评审中对供应商同类项目实施经验的评审及打分依据，供应商需根据详细评审标准的要求，提供符合要求的业绩证明材料。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b/>
          <w:color w:val="000000"/>
          <w:sz w:val="24"/>
        </w:rPr>
      </w:pPr>
    </w:p>
    <w:p>
      <w:pPr>
        <w:spacing w:line="360" w:lineRule="auto"/>
        <w:jc w:val="left"/>
        <w:rPr>
          <w:rFonts w:ascii="仿宋" w:hAnsi="仿宋" w:eastAsia="仿宋" w:cs="仿宋"/>
          <w:color w:val="000000"/>
          <w:sz w:val="24"/>
        </w:rPr>
      </w:pPr>
    </w:p>
    <w:p>
      <w:pPr>
        <w:spacing w:line="360" w:lineRule="auto"/>
        <w:ind w:firstLine="480"/>
        <w:jc w:val="left"/>
        <w:rPr>
          <w:rFonts w:ascii="仿宋" w:hAnsi="仿宋" w:eastAsia="仿宋" w:cs="仿宋"/>
          <w:bCs/>
          <w:color w:val="000000"/>
          <w:sz w:val="24"/>
        </w:rPr>
      </w:pPr>
    </w:p>
    <w:p>
      <w:pPr>
        <w:pStyle w:val="261"/>
        <w:spacing w:line="360" w:lineRule="auto"/>
        <w:ind w:left="1575" w:firstLine="0"/>
        <w:rPr>
          <w:rFonts w:ascii="仿宋" w:hAnsi="仿宋" w:eastAsia="仿宋" w:cs="仿宋"/>
          <w:bCs/>
          <w:color w:val="000000"/>
          <w:sz w:val="24"/>
        </w:rPr>
      </w:pPr>
    </w:p>
    <w:p>
      <w:pPr>
        <w:pStyle w:val="261"/>
        <w:spacing w:line="360" w:lineRule="auto"/>
        <w:ind w:left="1575" w:firstLine="0"/>
        <w:rPr>
          <w:rFonts w:ascii="仿宋" w:hAnsi="仿宋" w:eastAsia="仿宋" w:cs="仿宋"/>
          <w:bCs/>
          <w:color w:val="000000"/>
          <w:sz w:val="24"/>
        </w:rPr>
      </w:pPr>
    </w:p>
    <w:p>
      <w:pPr>
        <w:spacing w:line="360" w:lineRule="auto"/>
        <w:ind w:firstLine="408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rPr>
          <w:rStyle w:val="212"/>
          <w:rFonts w:ascii="仿宋" w:hAnsi="仿宋" w:eastAsia="仿宋" w:cs="仿宋"/>
          <w:sz w:val="24"/>
          <w:szCs w:val="24"/>
          <w:highlight w:val="yellow"/>
        </w:rPr>
      </w:pPr>
      <w:r>
        <w:rPr>
          <w:rStyle w:val="212"/>
          <w:rFonts w:hint="eastAsia" w:ascii="仿宋" w:hAnsi="仿宋" w:eastAsia="仿宋" w:cs="仿宋"/>
          <w:sz w:val="24"/>
          <w:szCs w:val="24"/>
          <w:highlight w:val="yellow"/>
        </w:rPr>
        <w:br w:type="page" w:clear="all"/>
      </w:r>
      <w:bookmarkEnd w:id="199"/>
    </w:p>
    <w:p>
      <w:pPr>
        <w:pStyle w:val="2"/>
        <w:jc w:val="both"/>
        <w:rPr>
          <w:rFonts w:ascii="仿宋" w:hAnsi="仿宋" w:eastAsia="仿宋" w:cs="Cambria Math"/>
          <w:color w:val="000000"/>
          <w:sz w:val="24"/>
          <w:highlight w:val="yellow"/>
        </w:rPr>
        <w:sectPr>
          <w:pgSz w:w="11906" w:h="16838"/>
          <w:pgMar w:top="1417" w:right="1134" w:bottom="1134" w:left="1134" w:header="851" w:footer="992" w:gutter="0"/>
          <w:cols w:space="720" w:num="1"/>
          <w:titlePg/>
        </w:sectPr>
      </w:pPr>
    </w:p>
    <w:p>
      <w:pPr>
        <w:pStyle w:val="4"/>
        <w:ind w:firstLine="0"/>
        <w:jc w:val="both"/>
        <w:rPr>
          <w:rFonts w:ascii="仿宋" w:hAnsi="仿宋" w:eastAsia="仿宋" w:cs="仿宋"/>
          <w:color w:val="000000"/>
          <w:sz w:val="24"/>
          <w:szCs w:val="24"/>
        </w:rPr>
      </w:pPr>
      <w:bookmarkStart w:id="213" w:name="_Toc29155"/>
      <w:r>
        <w:rPr>
          <w:rFonts w:hint="eastAsia" w:ascii="仿宋" w:hAnsi="仿宋" w:eastAsia="仿宋" w:cs="仿宋"/>
          <w:color w:val="000000"/>
          <w:sz w:val="24"/>
          <w:szCs w:val="24"/>
        </w:rPr>
        <w:t>二、技术文件</w:t>
      </w:r>
      <w:bookmarkEnd w:id="200"/>
      <w:bookmarkEnd w:id="201"/>
      <w:bookmarkEnd w:id="202"/>
      <w:bookmarkEnd w:id="213"/>
    </w:p>
    <w:p>
      <w:pPr>
        <w:jc w:val="center"/>
        <w:rPr>
          <w:rFonts w:ascii="仿宋" w:hAnsi="仿宋" w:eastAsia="仿宋" w:cs="仿宋"/>
          <w:b/>
          <w:bCs/>
          <w:sz w:val="24"/>
        </w:rPr>
      </w:pPr>
      <w:bookmarkStart w:id="214" w:name="_Toc30870"/>
      <w:bookmarkStart w:id="215" w:name="_Toc23108"/>
      <w:r>
        <w:rPr>
          <w:rFonts w:hint="eastAsia" w:ascii="仿宋" w:hAnsi="仿宋" w:eastAsia="仿宋" w:cs="仿宋"/>
          <w:b/>
          <w:bCs/>
          <w:sz w:val="24"/>
        </w:rPr>
        <w:t>详细评审索引表</w:t>
      </w:r>
      <w:bookmarkEnd w:id="214"/>
    </w:p>
    <w:tbl>
      <w:tblPr>
        <w:tblStyle w:val="4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default"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pPr>
              <w:keepNext w:val="0"/>
              <w:keepLines w:val="0"/>
              <w:widowControl/>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shd w:val="clear" w:color="auto"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r>
              <w:rPr>
                <w:rFonts w:hint="eastAsia" w:ascii="仿宋" w:hAnsi="仿宋" w:eastAsia="仿宋" w:cs="宋体"/>
                <w:color w:val="000000"/>
                <w:szCs w:val="21"/>
              </w:rPr>
              <w:t>技术得分</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rPr>
              <w:t>（50分）</w:t>
            </w:r>
          </w:p>
        </w:tc>
        <w:tc>
          <w:tcPr>
            <w:tcW w:w="226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施工技术方案</w:t>
            </w:r>
          </w:p>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r>
              <w:rPr>
                <w:rFonts w:hint="eastAsia" w:ascii="仿宋" w:hAnsi="仿宋" w:eastAsia="仿宋" w:cs="宋体"/>
                <w:color w:val="000000"/>
                <w:szCs w:val="21"/>
              </w:rPr>
              <w:t>（10分）</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rPr>
                <w:rFonts w:hint="default" w:ascii="仿宋" w:hAnsi="仿宋" w:eastAsia="仿宋" w:cs="宋体"/>
                <w:color w:val="000000"/>
                <w:szCs w:val="21"/>
              </w:rPr>
            </w:pPr>
            <w:r>
              <w:rPr>
                <w:rFonts w:hint="eastAsia" w:ascii="仿宋" w:hAnsi="仿宋" w:eastAsia="仿宋" w:cs="宋体"/>
                <w:color w:val="000000"/>
                <w:szCs w:val="21"/>
              </w:rPr>
              <w:t>说明：XX</w:t>
            </w:r>
          </w:p>
          <w:p>
            <w:pPr>
              <w:keepNext w:val="0"/>
              <w:keepLines w:val="0"/>
              <w:suppressLineNumbers w:val="0"/>
              <w:spacing w:before="0" w:beforeAutospacing="0" w:after="0" w:afterAutospacing="0"/>
              <w:ind w:left="0" w:right="0"/>
              <w:rPr>
                <w:rStyle w:val="271"/>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shd w:val="clear" w:color="auto"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c>
          <w:tcPr>
            <w:tcW w:w="226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施工进度计划</w:t>
            </w:r>
          </w:p>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（20分）</w:t>
            </w: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271"/>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shd w:val="clear" w:color="auto"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c>
          <w:tcPr>
            <w:tcW w:w="226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团队配备</w:t>
            </w:r>
          </w:p>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（12分）</w:t>
            </w: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271"/>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shd w:val="clear" w:color="auto"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c>
          <w:tcPr>
            <w:tcW w:w="2268" w:type="dxa"/>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安全管理</w:t>
            </w:r>
          </w:p>
          <w:p>
            <w:pPr>
              <w:keepNext w:val="0"/>
              <w:keepLines w:val="0"/>
              <w:widowControl/>
              <w:suppressLineNumbers w:val="0"/>
              <w:spacing w:before="0" w:beforeAutospacing="0" w:after="0" w:afterAutospacing="0"/>
              <w:ind w:left="0" w:right="0"/>
              <w:jc w:val="center"/>
              <w:rPr>
                <w:rFonts w:hint="default" w:ascii="仿宋" w:hAnsi="仿宋" w:eastAsia="仿宋"/>
                <w:szCs w:val="21"/>
              </w:rPr>
            </w:pPr>
            <w:r>
              <w:rPr>
                <w:rFonts w:hint="eastAsia" w:ascii="仿宋" w:hAnsi="仿宋" w:eastAsia="仿宋"/>
                <w:szCs w:val="21"/>
              </w:rPr>
              <w:t>（8分）</w:t>
            </w: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271"/>
                <w:rFonts w:hint="default" w:cs="宋体"/>
                <w:color w:val="000000"/>
                <w:lang w:bidi="ar"/>
              </w:rPr>
            </w:pPr>
          </w:p>
        </w:tc>
      </w:tr>
    </w:tbl>
    <w:p>
      <w:pPr>
        <w:rPr>
          <w:rFonts w:ascii="仿宋" w:hAnsi="仿宋" w:eastAsia="仿宋" w:cs="仿宋"/>
          <w:color w:val="000000"/>
          <w:sz w:val="24"/>
        </w:rPr>
      </w:pPr>
      <w:r>
        <w:rPr>
          <w:rFonts w:hint="eastAsia" w:ascii="仿宋" w:hAnsi="仿宋" w:eastAsia="仿宋" w:cs="仿宋"/>
          <w:color w:val="000000"/>
          <w:sz w:val="24"/>
        </w:rPr>
        <w:br w:type="page" w:clear="all"/>
      </w:r>
    </w:p>
    <w:p>
      <w:pPr>
        <w:pStyle w:val="5"/>
        <w:spacing w:before="0" w:after="0" w:line="360" w:lineRule="auto"/>
        <w:ind w:left="0" w:firstLine="0"/>
        <w:rPr>
          <w:rFonts w:ascii="仿宋" w:hAnsi="仿宋" w:eastAsia="仿宋" w:cs="仿宋"/>
          <w:color w:val="000000"/>
          <w:sz w:val="24"/>
          <w:szCs w:val="24"/>
        </w:rPr>
      </w:pPr>
      <w:bookmarkStart w:id="216" w:name="_Toc14869"/>
      <w:r>
        <w:rPr>
          <w:rFonts w:hint="eastAsia" w:ascii="仿宋" w:hAnsi="仿宋" w:eastAsia="仿宋" w:cs="仿宋"/>
          <w:color w:val="000000"/>
          <w:sz w:val="24"/>
          <w:szCs w:val="24"/>
        </w:rPr>
        <w:t>（一）采购需求应答偏离表</w:t>
      </w:r>
      <w:bookmarkEnd w:id="215"/>
      <w:bookmarkEnd w:id="216"/>
    </w:p>
    <w:p>
      <w:pPr>
        <w:spacing w:line="360" w:lineRule="auto"/>
        <w:jc w:val="center"/>
        <w:rPr>
          <w:rFonts w:ascii="仿宋" w:hAnsi="仿宋" w:eastAsia="仿宋" w:cs="仿宋"/>
          <w:b/>
          <w:bCs/>
          <w:color w:val="000000"/>
          <w:sz w:val="24"/>
        </w:rPr>
      </w:pPr>
      <w:bookmarkStart w:id="217" w:name="_Toc125561188"/>
      <w:bookmarkStart w:id="218" w:name="_Toc293297544"/>
      <w:bookmarkStart w:id="219" w:name="_Toc125771198"/>
      <w:r>
        <w:rPr>
          <w:rFonts w:hint="eastAsia" w:ascii="仿宋" w:hAnsi="仿宋" w:eastAsia="仿宋" w:cs="仿宋"/>
          <w:b/>
          <w:bCs/>
          <w:color w:val="000000"/>
          <w:sz w:val="24"/>
        </w:rPr>
        <w:t>采购需求应答偏离表</w:t>
      </w:r>
      <w:bookmarkEnd w:id="217"/>
      <w:bookmarkEnd w:id="218"/>
      <w:bookmarkEnd w:id="219"/>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hint="default" w:ascii="仿宋" w:hAnsi="仿宋" w:eastAsia="仿宋" w:cs="仿宋"/>
                <w:b/>
                <w:bCs/>
                <w:color w:val="000000"/>
                <w:sz w:val="24"/>
              </w:rPr>
            </w:pPr>
            <w:r>
              <w:rPr>
                <w:rFonts w:hint="eastAsia" w:ascii="仿宋" w:hAnsi="仿宋" w:eastAsia="仿宋" w:cs="仿宋"/>
                <w:b/>
                <w:bCs/>
                <w:color w:val="000000"/>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hint="default" w:ascii="仿宋" w:hAnsi="仿宋" w:eastAsia="仿宋" w:cs="仿宋"/>
                <w:b/>
                <w:bCs/>
                <w:color w:val="000000"/>
                <w:sz w:val="24"/>
              </w:rPr>
            </w:pPr>
            <w:r>
              <w:rPr>
                <w:rFonts w:hint="eastAsia" w:ascii="仿宋" w:hAnsi="仿宋" w:eastAsia="仿宋" w:cs="仿宋"/>
                <w:b/>
                <w:bCs/>
                <w:color w:val="000000"/>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hint="default" w:ascii="仿宋" w:hAnsi="仿宋" w:eastAsia="仿宋" w:cs="仿宋"/>
                <w:b/>
                <w:bCs/>
                <w:color w:val="000000"/>
                <w:sz w:val="24"/>
              </w:rPr>
            </w:pPr>
            <w:r>
              <w:rPr>
                <w:rFonts w:hint="eastAsia" w:ascii="仿宋" w:hAnsi="仿宋" w:eastAsia="仿宋" w:cs="仿宋"/>
                <w:b/>
                <w:bCs/>
                <w:color w:val="000000"/>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pPr>
              <w:keepNext w:val="0"/>
              <w:keepLines w:val="0"/>
              <w:suppressLineNumbers w:val="0"/>
              <w:spacing w:before="0" w:beforeAutospacing="0" w:after="0" w:afterAutospacing="0" w:line="360" w:lineRule="auto"/>
              <w:ind w:left="0" w:right="0"/>
              <w:rPr>
                <w:rFonts w:hint="default" w:ascii="仿宋" w:hAnsi="仿宋" w:eastAsia="仿宋" w:cs="仿宋"/>
                <w:color w:val="000000"/>
                <w:szCs w:val="21"/>
              </w:rPr>
            </w:pPr>
          </w:p>
        </w:tc>
      </w:tr>
    </w:tbl>
    <w:p>
      <w:pPr>
        <w:spacing w:before="240" w:line="360" w:lineRule="auto"/>
        <w:rPr>
          <w:rFonts w:ascii="仿宋" w:hAnsi="仿宋" w:eastAsia="仿宋" w:cs="Cambria Math"/>
          <w:color w:val="000000"/>
          <w:sz w:val="24"/>
        </w:rPr>
      </w:pPr>
      <w:r>
        <w:rPr>
          <w:rFonts w:hint="eastAsia" w:ascii="仿宋" w:hAnsi="仿宋" w:eastAsia="仿宋" w:cs="仿宋"/>
          <w:color w:val="000000"/>
          <w:sz w:val="24"/>
        </w:rPr>
        <w:t>注：</w:t>
      </w:r>
      <w:r>
        <w:rPr>
          <w:rFonts w:hint="eastAsia" w:ascii="仿宋" w:hAnsi="仿宋" w:eastAsia="仿宋" w:cs="Cambria Math"/>
          <w:color w:val="000000"/>
          <w:sz w:val="24"/>
        </w:rPr>
        <w:t>对于未列出的偏离内容视同供应商已完全接受竞争性磋商文件的要求，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360" w:lineRule="auto"/>
        <w:ind w:left="480" w:hanging="480"/>
        <w:rPr>
          <w:rFonts w:ascii="仿宋" w:hAnsi="仿宋" w:eastAsia="仿宋" w:cs="仿宋"/>
          <w:color w:val="000000"/>
          <w:sz w:val="24"/>
        </w:rPr>
      </w:pPr>
    </w:p>
    <w:p>
      <w:pPr>
        <w:spacing w:line="440" w:lineRule="exact"/>
        <w:ind w:firstLine="4080"/>
        <w:jc w:val="right"/>
        <w:rPr>
          <w:rFonts w:ascii="仿宋" w:hAnsi="仿宋" w:eastAsia="仿宋" w:cs="仿宋"/>
          <w:color w:val="000000"/>
          <w:sz w:val="24"/>
        </w:rPr>
      </w:pPr>
    </w:p>
    <w:p>
      <w:pPr>
        <w:spacing w:line="440" w:lineRule="exact"/>
        <w:ind w:firstLine="408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spacing w:line="360" w:lineRule="auto"/>
        <w:rPr>
          <w:rFonts w:ascii="仿宋" w:hAnsi="仿宋" w:eastAsia="仿宋" w:cs="仿宋"/>
          <w:color w:val="000000"/>
          <w:sz w:val="24"/>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220" w:name="_Toc27328"/>
      <w:r>
        <w:rPr>
          <w:rFonts w:hint="eastAsia" w:ascii="仿宋" w:hAnsi="仿宋" w:eastAsia="仿宋" w:cs="仿宋"/>
          <w:color w:val="000000"/>
          <w:sz w:val="24"/>
          <w:szCs w:val="24"/>
        </w:rPr>
        <w:t>（二）技术方案</w:t>
      </w:r>
      <w:bookmarkEnd w:id="220"/>
    </w:p>
    <w:p>
      <w:pPr>
        <w:spacing w:line="360" w:lineRule="auto"/>
        <w:ind w:firstLine="480"/>
        <w:rPr>
          <w:rFonts w:ascii="仿宋" w:hAnsi="仿宋" w:eastAsia="仿宋" w:cs="仿宋"/>
          <w:color w:val="000000"/>
          <w:sz w:val="24"/>
        </w:rPr>
      </w:pPr>
      <w:r>
        <w:rPr>
          <w:rFonts w:hint="eastAsia" w:ascii="仿宋" w:hAnsi="仿宋" w:eastAsia="仿宋" w:cs="仿宋"/>
          <w:color w:val="000000"/>
          <w:sz w:val="24"/>
        </w:rPr>
        <w:t xml:space="preserve">供应商应根据采购需求的要求，提供相应的文件内容以及证明材料。 </w:t>
      </w:r>
      <w:bookmarkEnd w:id="183"/>
      <w:bookmarkEnd w:id="184"/>
      <w:bookmarkEnd w:id="185"/>
      <w:bookmarkEnd w:id="186"/>
      <w:bookmarkEnd w:id="187"/>
      <w:bookmarkEnd w:id="188"/>
      <w:bookmarkStart w:id="221" w:name="_Toc517281860"/>
      <w:bookmarkStart w:id="222" w:name="_Toc444891358"/>
      <w:r>
        <w:rPr>
          <w:rFonts w:hint="eastAsia" w:ascii="仿宋" w:hAnsi="仿宋" w:eastAsia="仿宋" w:cs="仿宋"/>
          <w:color w:val="000000"/>
          <w:sz w:val="24"/>
        </w:rPr>
        <w:br w:type="page" w:clear="all"/>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44"/>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序号</w:t>
            </w:r>
          </w:p>
        </w:tc>
        <w:tc>
          <w:tcPr>
            <w:tcW w:w="1260"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姓名</w:t>
            </w:r>
          </w:p>
        </w:tc>
        <w:tc>
          <w:tcPr>
            <w:tcW w:w="851"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学历</w:t>
            </w:r>
          </w:p>
        </w:tc>
        <w:tc>
          <w:tcPr>
            <w:tcW w:w="980"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专业资质</w:t>
            </w:r>
          </w:p>
        </w:tc>
        <w:tc>
          <w:tcPr>
            <w:tcW w:w="992"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工作年限</w:t>
            </w:r>
          </w:p>
        </w:tc>
        <w:tc>
          <w:tcPr>
            <w:tcW w:w="1276"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服务内容</w:t>
            </w:r>
          </w:p>
        </w:tc>
        <w:tc>
          <w:tcPr>
            <w:tcW w:w="1695" w:type="dxa"/>
            <w:noWrap w:val="0"/>
            <w:vAlign w:val="center"/>
          </w:tcPr>
          <w:p>
            <w:pPr>
              <w:keepNext w:val="0"/>
              <w:keepLines w:val="0"/>
              <w:suppressLineNumbers w:val="0"/>
              <w:spacing w:before="0" w:beforeAutospacing="0" w:after="0" w:afterAutospacing="0" w:line="300" w:lineRule="exact"/>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126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noWrap w:val="0"/>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126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noWrap w:val="0"/>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3</w:t>
            </w:r>
          </w:p>
        </w:tc>
        <w:tc>
          <w:tcPr>
            <w:tcW w:w="126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noWrap w:val="0"/>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4</w:t>
            </w:r>
          </w:p>
        </w:tc>
        <w:tc>
          <w:tcPr>
            <w:tcW w:w="126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noWrap w:val="0"/>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noWrap w:val="0"/>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851" w:type="dxa"/>
            <w:noWrap w:val="0"/>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80"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992"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276"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134"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695" w:type="dxa"/>
            <w:noWrap w:val="0"/>
            <w:vAlign w:val="center"/>
          </w:tcPr>
          <w:p>
            <w:pPr>
              <w:keepNext w:val="0"/>
              <w:keepLines w:val="0"/>
              <w:suppressLineNumbers w:val="0"/>
              <w:spacing w:before="0" w:beforeAutospacing="0" w:after="0" w:afterAutospacing="0" w:line="360" w:lineRule="auto"/>
              <w:ind w:left="0" w:right="0"/>
              <w:jc w:val="center"/>
              <w:rPr>
                <w:rFonts w:hint="default" w:ascii="仿宋" w:hAnsi="仿宋" w:eastAsia="仿宋" w:cs="仿宋"/>
                <w:color w:val="000000"/>
                <w:szCs w:val="21"/>
              </w:rPr>
            </w:pPr>
          </w:p>
        </w:tc>
      </w:tr>
    </w:tbl>
    <w:p>
      <w:pPr>
        <w:spacing w:before="240" w:line="360" w:lineRule="auto"/>
        <w:ind w:firstLine="482"/>
        <w:jc w:val="left"/>
        <w:rPr>
          <w:rFonts w:ascii="仿宋" w:hAnsi="仿宋" w:eastAsia="仿宋" w:cs="仿宋"/>
          <w:b/>
          <w:bCs/>
          <w:color w:val="000000"/>
          <w:sz w:val="24"/>
        </w:rPr>
      </w:pPr>
      <w:r>
        <w:rPr>
          <w:rFonts w:hint="eastAsia" w:ascii="仿宋" w:hAnsi="仿宋" w:eastAsia="仿宋" w:cs="仿宋"/>
          <w:b/>
          <w:bCs/>
          <w:color w:val="000000"/>
          <w:sz w:val="24"/>
        </w:rPr>
        <w:t>注：需按照采购需求中的相关要求，列明本项目服务团队所有人员信息及职责分工。</w:t>
      </w:r>
    </w:p>
    <w:p>
      <w:pPr>
        <w:rPr>
          <w:rFonts w:ascii="仿宋" w:hAnsi="仿宋" w:eastAsia="仿宋" w:cs="仿宋"/>
          <w:color w:val="000000"/>
          <w:sz w:val="24"/>
        </w:rPr>
      </w:pPr>
      <w:r>
        <w:rPr>
          <w:rFonts w:hint="eastAsia" w:ascii="仿宋" w:hAnsi="仿宋" w:eastAsia="仿宋" w:cs="仿宋"/>
          <w:color w:val="000000"/>
          <w:sz w:val="24"/>
        </w:rPr>
        <w:br w:type="page" w:clear="all"/>
      </w:r>
    </w:p>
    <w:p>
      <w:pPr>
        <w:pStyle w:val="5"/>
        <w:spacing w:before="0" w:after="0" w:line="360" w:lineRule="auto"/>
        <w:ind w:left="0" w:firstLine="0"/>
        <w:rPr>
          <w:rFonts w:ascii="仿宋" w:hAnsi="仿宋" w:eastAsia="仿宋" w:cs="仿宋"/>
          <w:color w:val="000000"/>
          <w:sz w:val="24"/>
          <w:szCs w:val="24"/>
        </w:rPr>
      </w:pPr>
      <w:bookmarkStart w:id="223" w:name="_Toc17001"/>
      <w:r>
        <w:rPr>
          <w:rFonts w:hint="eastAsia" w:ascii="仿宋" w:hAnsi="仿宋" w:eastAsia="仿宋" w:cs="仿宋"/>
          <w:color w:val="000000"/>
          <w:sz w:val="24"/>
          <w:szCs w:val="24"/>
        </w:rPr>
        <w:t>（三）</w:t>
      </w:r>
      <w:bookmarkEnd w:id="189"/>
      <w:bookmarkEnd w:id="190"/>
      <w:bookmarkEnd w:id="191"/>
      <w:bookmarkEnd w:id="192"/>
      <w:bookmarkEnd w:id="193"/>
      <w:bookmarkEnd w:id="194"/>
      <w:bookmarkEnd w:id="221"/>
      <w:bookmarkEnd w:id="222"/>
      <w:r>
        <w:rPr>
          <w:rFonts w:hint="eastAsia" w:ascii="仿宋" w:hAnsi="仿宋" w:eastAsia="仿宋" w:cs="仿宋"/>
          <w:color w:val="000000"/>
          <w:sz w:val="24"/>
          <w:szCs w:val="24"/>
        </w:rPr>
        <w:t>其他材料</w:t>
      </w:r>
      <w:bookmarkEnd w:id="223"/>
    </w:p>
    <w:p>
      <w:pPr>
        <w:spacing w:line="360" w:lineRule="auto"/>
        <w:rPr>
          <w:rFonts w:ascii="仿宋" w:hAnsi="仿宋" w:eastAsia="仿宋" w:cs="Cambria Math"/>
          <w:color w:val="000000"/>
          <w:sz w:val="24"/>
        </w:r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pPr>
        <w:spacing w:line="360" w:lineRule="auto"/>
        <w:rPr>
          <w:rFonts w:ascii="仿宋" w:hAnsi="仿宋" w:eastAsia="仿宋" w:cs="仿宋"/>
          <w:color w:val="000000"/>
          <w:sz w:val="24"/>
        </w:rPr>
        <w:sectPr>
          <w:pgSz w:w="11906" w:h="16838"/>
          <w:pgMar w:top="1417" w:right="1134" w:bottom="1134" w:left="1134" w:header="964" w:footer="964" w:gutter="0"/>
          <w:cols w:space="720" w:num="1"/>
        </w:sectPr>
      </w:pPr>
    </w:p>
    <w:p>
      <w:pPr>
        <w:pStyle w:val="4"/>
        <w:ind w:firstLine="0"/>
        <w:jc w:val="both"/>
        <w:rPr>
          <w:rFonts w:ascii="仿宋" w:hAnsi="仿宋" w:eastAsia="仿宋" w:cs="仿宋"/>
          <w:color w:val="000000"/>
          <w:sz w:val="24"/>
          <w:szCs w:val="24"/>
        </w:rPr>
      </w:pPr>
      <w:r>
        <w:rPr>
          <w:rFonts w:hint="eastAsia" w:ascii="仿宋" w:hAnsi="仿宋" w:eastAsia="仿宋" w:cs="仿宋"/>
          <w:color w:val="000000"/>
          <w:sz w:val="24"/>
          <w:szCs w:val="24"/>
        </w:rPr>
        <w:br w:type="page" w:clear="all"/>
      </w:r>
      <w:bookmarkStart w:id="224" w:name="_Toc11811"/>
      <w:r>
        <w:rPr>
          <w:rFonts w:hint="eastAsia" w:ascii="仿宋" w:hAnsi="仿宋" w:eastAsia="仿宋" w:cs="仿宋"/>
          <w:color w:val="000000"/>
          <w:sz w:val="24"/>
          <w:szCs w:val="24"/>
        </w:rPr>
        <w:t>三、报价文件</w:t>
      </w:r>
      <w:bookmarkEnd w:id="224"/>
    </w:p>
    <w:p>
      <w:pPr>
        <w:pStyle w:val="5"/>
        <w:spacing w:before="0" w:after="0" w:line="360" w:lineRule="auto"/>
        <w:ind w:firstLine="482"/>
        <w:rPr>
          <w:rFonts w:ascii="仿宋" w:hAnsi="仿宋" w:eastAsia="仿宋" w:cs="仿宋"/>
          <w:color w:val="000000"/>
          <w:sz w:val="24"/>
          <w:szCs w:val="24"/>
        </w:rPr>
      </w:pPr>
      <w:bookmarkStart w:id="225" w:name="_Toc511726864"/>
      <w:bookmarkStart w:id="226" w:name="_Toc17344"/>
      <w:r>
        <w:rPr>
          <w:rFonts w:hint="eastAsia" w:ascii="仿宋" w:hAnsi="仿宋" w:eastAsia="仿宋" w:cs="仿宋"/>
          <w:color w:val="000000"/>
          <w:sz w:val="24"/>
          <w:szCs w:val="24"/>
        </w:rPr>
        <w:t>（一）报价</w:t>
      </w:r>
      <w:bookmarkEnd w:id="225"/>
      <w:r>
        <w:rPr>
          <w:rFonts w:hint="eastAsia" w:ascii="仿宋" w:hAnsi="仿宋" w:eastAsia="仿宋" w:cs="仿宋"/>
          <w:color w:val="000000"/>
          <w:sz w:val="24"/>
          <w:szCs w:val="24"/>
        </w:rPr>
        <w:t>一览表</w:t>
      </w:r>
      <w:bookmarkEnd w:id="226"/>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widowControl/>
        <w:jc w:val="center"/>
        <w:rPr>
          <w:rFonts w:ascii="仿宋" w:hAnsi="仿宋" w:eastAsia="仿宋" w:cs="仿宋"/>
          <w:color w:val="000000"/>
          <w:szCs w:val="21"/>
          <w:lang w:bidi="ar"/>
        </w:rPr>
      </w:pPr>
    </w:p>
    <w:tbl>
      <w:tblPr>
        <w:tblStyle w:val="44"/>
        <w:tblW w:w="3985" w:type="pct"/>
        <w:jc w:val="center"/>
        <w:tblLayout w:type="autofit"/>
        <w:tblCellMar>
          <w:top w:w="0" w:type="dxa"/>
          <w:left w:w="108" w:type="dxa"/>
          <w:bottom w:w="0" w:type="dxa"/>
          <w:right w:w="108" w:type="dxa"/>
        </w:tblCellMar>
      </w:tblPr>
      <w:tblGrid>
        <w:gridCol w:w="427"/>
        <w:gridCol w:w="1602"/>
        <w:gridCol w:w="1992"/>
        <w:gridCol w:w="1253"/>
        <w:gridCol w:w="1253"/>
        <w:gridCol w:w="1327"/>
      </w:tblGrid>
      <w:tr>
        <w:tblPrEx>
          <w:tblCellMar>
            <w:top w:w="0" w:type="dxa"/>
            <w:left w:w="108" w:type="dxa"/>
            <w:bottom w:w="0" w:type="dxa"/>
            <w:right w:w="108" w:type="dxa"/>
          </w:tblCellMar>
        </w:tblPrEx>
        <w:trPr>
          <w:trHeight w:val="927" w:hRule="atLeast"/>
          <w:jc w:val="center"/>
        </w:trPr>
        <w:tc>
          <w:tcPr>
            <w:tcW w:w="2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序号</w:t>
            </w:r>
          </w:p>
        </w:tc>
        <w:tc>
          <w:tcPr>
            <w:tcW w:w="1020" w:type="pct"/>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报价内容</w:t>
            </w:r>
          </w:p>
        </w:tc>
        <w:tc>
          <w:tcPr>
            <w:tcW w:w="1268" w:type="pct"/>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总价（含税）</w:t>
            </w:r>
          </w:p>
        </w:tc>
        <w:tc>
          <w:tcPr>
            <w:tcW w:w="7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税率</w:t>
            </w:r>
          </w:p>
        </w:tc>
        <w:tc>
          <w:tcPr>
            <w:tcW w:w="7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r>
              <w:rPr>
                <w:rFonts w:hint="eastAsia" w:ascii="仿宋" w:hAnsi="仿宋" w:eastAsia="仿宋" w:cs="宋体"/>
                <w:b/>
                <w:bCs/>
                <w:color w:val="000000"/>
                <w:szCs w:val="21"/>
              </w:rPr>
              <w:t>发票类型</w:t>
            </w:r>
          </w:p>
        </w:tc>
        <w:tc>
          <w:tcPr>
            <w:tcW w:w="8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271" w:type="pct"/>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Cs/>
                <w:color w:val="000000"/>
                <w:szCs w:val="21"/>
              </w:rPr>
            </w:pPr>
            <w:r>
              <w:rPr>
                <w:rFonts w:hint="eastAsia" w:ascii="仿宋" w:hAnsi="仿宋" w:eastAsia="仿宋" w:cs="宋体"/>
                <w:bCs/>
                <w:color w:val="000000"/>
                <w:szCs w:val="21"/>
              </w:rPr>
              <w:t>1</w:t>
            </w:r>
          </w:p>
        </w:tc>
        <w:tc>
          <w:tcPr>
            <w:tcW w:w="1020" w:type="pct"/>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Cs/>
                <w:color w:val="000000"/>
                <w:szCs w:val="21"/>
              </w:rPr>
            </w:pPr>
            <w:r>
              <w:rPr>
                <w:rFonts w:hint="eastAsia" w:ascii="仿宋" w:hAnsi="仿宋" w:eastAsia="仿宋" w:cs="宋体"/>
                <w:bCs/>
                <w:color w:val="FF0000"/>
                <w:szCs w:val="21"/>
              </w:rPr>
              <w:t>装修工程</w:t>
            </w:r>
          </w:p>
        </w:tc>
        <w:tc>
          <w:tcPr>
            <w:tcW w:w="126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仿宋" w:hAnsi="仿宋" w:eastAsia="仿宋" w:cs="宋体"/>
                <w:color w:val="000000"/>
                <w:szCs w:val="21"/>
              </w:rPr>
            </w:pPr>
          </w:p>
        </w:tc>
        <w:tc>
          <w:tcPr>
            <w:tcW w:w="797" w:type="pct"/>
            <w:tcBorders>
              <w:top w:val="single" w:color="auto" w:sz="4" w:space="0"/>
              <w:left w:val="single" w:color="auto" w:sz="4" w:space="0"/>
              <w:bottom w:val="single" w:color="auto" w:sz="4" w:space="0"/>
              <w:right w:val="single" w:color="auto" w:sz="4" w:space="0"/>
            </w:tcBorders>
            <w:noWrap w:val="0"/>
            <w:vAlign w:val="center"/>
          </w:tcPr>
          <w:p>
            <w:pPr>
              <w:pStyle w:val="293"/>
              <w:keepNext w:val="0"/>
              <w:keepLines w:val="0"/>
              <w:suppressLineNumbers w:val="0"/>
              <w:spacing w:before="48" w:beforeAutospacing="0" w:after="48" w:afterAutospacing="0"/>
              <w:ind w:left="0" w:right="0"/>
              <w:rPr>
                <w:rFonts w:hint="default" w:ascii="仿宋" w:hAnsi="仿宋" w:eastAsia="仿宋" w:cs="宋体"/>
                <w:sz w:val="21"/>
                <w:szCs w:val="21"/>
              </w:rPr>
            </w:pPr>
          </w:p>
        </w:tc>
        <w:tc>
          <w:tcPr>
            <w:tcW w:w="797" w:type="pct"/>
            <w:tcBorders>
              <w:top w:val="single" w:color="auto" w:sz="4" w:space="0"/>
              <w:left w:val="single" w:color="auto" w:sz="4" w:space="0"/>
              <w:bottom w:val="single" w:color="auto" w:sz="4" w:space="0"/>
              <w:right w:val="single" w:color="auto" w:sz="4" w:space="0"/>
            </w:tcBorders>
            <w:noWrap w:val="0"/>
            <w:vAlign w:val="center"/>
          </w:tcPr>
          <w:p>
            <w:pPr>
              <w:pStyle w:val="293"/>
              <w:keepNext w:val="0"/>
              <w:keepLines w:val="0"/>
              <w:suppressLineNumbers w:val="0"/>
              <w:spacing w:before="48" w:beforeAutospacing="0" w:after="48" w:afterAutospacing="0"/>
              <w:ind w:left="0" w:right="0"/>
              <w:rPr>
                <w:rFonts w:hint="default" w:ascii="仿宋" w:hAnsi="仿宋" w:eastAsia="仿宋" w:cs="宋体"/>
                <w:sz w:val="21"/>
                <w:szCs w:val="21"/>
              </w:rPr>
            </w:pPr>
            <w:r>
              <w:rPr>
                <w:rFonts w:hint="default" w:ascii="Wingdings 2" w:hAnsi="Wingdings 2" w:eastAsia="Wingdings 2" w:cs="Wingdings 2"/>
                <w:sz w:val="21"/>
                <w:szCs w:val="21"/>
              </w:rPr>
              <w:t>£</w:t>
            </w:r>
            <w:r>
              <w:rPr>
                <w:rFonts w:hint="eastAsia" w:ascii="仿宋" w:hAnsi="仿宋" w:eastAsia="仿宋" w:cs="宋体"/>
                <w:sz w:val="21"/>
                <w:szCs w:val="21"/>
              </w:rPr>
              <w:t>专用发票</w:t>
            </w:r>
          </w:p>
          <w:p>
            <w:pPr>
              <w:pStyle w:val="293"/>
              <w:keepNext w:val="0"/>
              <w:keepLines w:val="0"/>
              <w:suppressLineNumbers w:val="0"/>
              <w:spacing w:before="48" w:beforeAutospacing="0" w:after="48" w:afterAutospacing="0"/>
              <w:ind w:left="0" w:right="0"/>
              <w:rPr>
                <w:rFonts w:hint="default" w:ascii="仿宋" w:hAnsi="仿宋" w:eastAsia="仿宋" w:cs="宋体"/>
                <w:color w:val="000000"/>
                <w:szCs w:val="21"/>
              </w:rPr>
            </w:pPr>
            <w:r>
              <w:rPr>
                <w:rFonts w:hint="default" w:ascii="Wingdings 2" w:hAnsi="Wingdings 2" w:eastAsia="Wingdings 2" w:cs="Wingdings 2"/>
                <w:sz w:val="21"/>
                <w:szCs w:val="21"/>
              </w:rPr>
              <w:t>£</w:t>
            </w:r>
            <w:r>
              <w:rPr>
                <w:rFonts w:hint="eastAsia" w:ascii="仿宋" w:hAnsi="仿宋" w:eastAsia="仿宋" w:cs="宋体"/>
                <w:sz w:val="21"/>
                <w:szCs w:val="21"/>
              </w:rPr>
              <w:t>普通发票</w:t>
            </w:r>
          </w:p>
        </w:tc>
        <w:tc>
          <w:tcPr>
            <w:tcW w:w="8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r>
    </w:tbl>
    <w:p>
      <w:pPr>
        <w:spacing w:line="360" w:lineRule="auto"/>
        <w:rPr>
          <w:rFonts w:ascii="仿宋" w:hAnsi="仿宋" w:eastAsia="仿宋" w:cs="仿宋"/>
          <w:bCs/>
          <w:color w:val="000000"/>
          <w:sz w:val="24"/>
        </w:rPr>
      </w:pPr>
    </w:p>
    <w:p>
      <w:pPr>
        <w:spacing w:line="360" w:lineRule="auto"/>
        <w:rPr>
          <w:rFonts w:ascii="仿宋" w:hAnsi="仿宋" w:eastAsia="仿宋" w:cs="仿宋"/>
          <w:bCs/>
          <w:color w:val="000000"/>
          <w:sz w:val="24"/>
        </w:rPr>
      </w:pPr>
      <w:r>
        <w:rPr>
          <w:rFonts w:hint="eastAsia" w:ascii="仿宋" w:hAnsi="仿宋" w:eastAsia="仿宋" w:cs="仿宋"/>
          <w:bCs/>
          <w:color w:val="000000"/>
          <w:sz w:val="24"/>
        </w:rPr>
        <w:t>备注：</w:t>
      </w:r>
    </w:p>
    <w:p>
      <w:pPr>
        <w:spacing w:line="360" w:lineRule="auto"/>
        <w:rPr>
          <w:rFonts w:ascii="仿宋" w:hAnsi="仿宋" w:eastAsia="仿宋"/>
          <w:bCs/>
          <w:sz w:val="24"/>
        </w:rPr>
      </w:pPr>
      <w:r>
        <w:rPr>
          <w:rFonts w:hint="eastAsia" w:ascii="仿宋" w:hAnsi="仿宋" w:eastAsia="仿宋"/>
          <w:bCs/>
          <w:sz w:val="24"/>
        </w:rPr>
        <w:t>1.本次报价精确到小数点后两位（四舍五入）。</w:t>
      </w:r>
    </w:p>
    <w:p>
      <w:pPr>
        <w:pStyle w:val="261"/>
        <w:spacing w:line="360" w:lineRule="auto"/>
        <w:ind w:firstLine="0"/>
        <w:rPr>
          <w:rFonts w:ascii="仿宋" w:hAnsi="仿宋" w:eastAsia="仿宋" w:cs="宋体"/>
          <w:bCs/>
          <w:color w:val="000000"/>
          <w:sz w:val="24"/>
        </w:rPr>
      </w:pPr>
      <w:r>
        <w:rPr>
          <w:rFonts w:hint="eastAsia" w:ascii="仿宋" w:hAnsi="仿宋" w:eastAsia="仿宋" w:cs="宋体"/>
          <w:bCs/>
          <w:color w:val="000000"/>
          <w:sz w:val="24"/>
        </w:rPr>
        <w:t>2.含税价=不含税价*(1+税率)，若报价与此公式不符，增值税专用发票以不含税价为准进行修正，增值税普通发票以含税价进行修正。</w:t>
      </w:r>
    </w:p>
    <w:p>
      <w:pPr>
        <w:pStyle w:val="261"/>
        <w:spacing w:line="360" w:lineRule="auto"/>
        <w:ind w:firstLine="0"/>
        <w:rPr>
          <w:rFonts w:ascii="仿宋" w:hAnsi="仿宋" w:eastAsia="仿宋" w:cs="宋体"/>
          <w:bCs/>
          <w:color w:val="000000"/>
          <w:sz w:val="24"/>
        </w:rPr>
      </w:pPr>
      <w:r>
        <w:rPr>
          <w:rFonts w:hint="eastAsia" w:ascii="仿宋" w:hAnsi="仿宋" w:eastAsia="仿宋" w:cs="宋体"/>
          <w:bCs/>
          <w:color w:val="000000"/>
          <w:sz w:val="24"/>
        </w:rPr>
        <w:t>3.后续如因国家税率调整，专票以不含税价不变进行调整，普票以含税价不变进行调整。</w:t>
      </w:r>
    </w:p>
    <w:p>
      <w:pPr>
        <w:spacing w:line="360" w:lineRule="auto"/>
        <w:rPr>
          <w:rFonts w:ascii="仿宋" w:hAnsi="仿宋" w:eastAsia="仿宋" w:cs="仿宋"/>
          <w:color w:val="000000"/>
          <w:sz w:val="24"/>
        </w:rPr>
      </w:pPr>
    </w:p>
    <w:p>
      <w:pPr>
        <w:numPr>
          <w:ilvl w:val="0"/>
          <w:numId w:val="2"/>
        </w:numPr>
        <w:spacing w:line="440" w:lineRule="exact"/>
        <w:jc w:val="right"/>
        <w:rPr>
          <w:rFonts w:ascii="仿宋" w:hAnsi="仿宋" w:eastAsia="仿宋" w:cs="宋体"/>
          <w:color w:val="000000"/>
          <w:sz w:val="24"/>
        </w:rPr>
      </w:pPr>
      <w:bookmarkStart w:id="227" w:name="_Toc530319762"/>
      <w:bookmarkStart w:id="228" w:name="_Toc518302646"/>
      <w:bookmarkStart w:id="229" w:name="_Toc2267055"/>
      <w:bookmarkStart w:id="230" w:name="_Toc517281864"/>
      <w:bookmarkStart w:id="231" w:name="_Toc482180015"/>
      <w:bookmarkStart w:id="232" w:name="_Toc16591840"/>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法定代表人或其授权代理人：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bookmarkEnd w:id="227"/>
      <w:bookmarkEnd w:id="228"/>
      <w:bookmarkEnd w:id="229"/>
      <w:bookmarkEnd w:id="230"/>
      <w:bookmarkEnd w:id="231"/>
      <w:bookmarkEnd w:id="232"/>
    </w:p>
    <w:p>
      <w:pPr>
        <w:pStyle w:val="2"/>
        <w:jc w:val="both"/>
        <w:rPr>
          <w:sz w:val="21"/>
          <w:highlight w:val="yellow"/>
        </w:rPr>
      </w:pPr>
    </w:p>
    <w:sectPr>
      <w:type w:val="continuous"/>
      <w:pgSz w:w="11906" w:h="16838"/>
      <w:pgMar w:top="1417" w:right="1134" w:bottom="1134" w:left="1134" w:header="964" w:footer="96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Cambria Math">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Monaco">
    <w:panose1 w:val="020B0509030404040204"/>
    <w:charset w:val="00"/>
    <w:family w:val="auto"/>
    <w:pitch w:val="default"/>
    <w:sig w:usb0="00000007" w:usb1="00000000" w:usb2="00000000" w:usb3="00000000" w:csb0="00000093"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FangSong_GB2312">
    <w:altName w:val="仿宋_GB2312"/>
    <w:panose1 w:val="02010609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9"/>
      </w:rPr>
    </w:pPr>
    <w:r>
      <w:fldChar w:fldCharType="begin"/>
    </w:r>
    <w:r>
      <w:rPr>
        <w:rStyle w:val="49"/>
      </w:rPr>
      <w:instrText xml:space="preserve">PAGE  </w:instrText>
    </w:r>
    <w:r>
      <w:fldChar w:fldCharType="separate"/>
    </w:r>
    <w:r>
      <w:rPr>
        <w:rStyle w:val="49"/>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rPr>
        <w:rStyle w:val="49"/>
      </w:rPr>
    </w:pPr>
    <w:r>
      <w:fldChar w:fldCharType="begin"/>
    </w:r>
    <w:r>
      <w:rPr>
        <w:rStyle w:val="49"/>
      </w:rPr>
      <w:instrText xml:space="preserve">PAGE  </w:instrText>
    </w:r>
    <w:r>
      <w:fldChar w:fldCharType="separate"/>
    </w:r>
    <w:r>
      <w:rPr>
        <w:rStyle w:val="49"/>
      </w:rPr>
      <w:t>44</w:t>
    </w:r>
    <w:r>
      <w:fldChar w:fldCharType="end"/>
    </w:r>
  </w:p>
  <w:p>
    <w:pPr>
      <w:pStyle w:val="27"/>
      <w:framePr w:wrap="around" w:vAnchor="text" w:hAnchor="margin" w:xAlign="center" w:y="1"/>
      <w:rPr>
        <w:rStyle w:val="49"/>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aYJL0wAAAAUBAAAPAAAAAAAAAAEAIAAAACIA&#10;AABkcnMvZG93bnJldi54bWxQSwECFAAUAAAACACHTuJAlGy+QdUBAAClAwAADgAAAAAAAAABACAA&#10;AAAiAQAAZHJzL2Uyb0RvYy54bWxQSwUGAAAAAAYABgBZAQAAaQU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rPr>
                              <w:rStyle w:val="49"/>
                            </w:rPr>
                          </w:pPr>
                          <w:r>
                            <w:fldChar w:fldCharType="begin"/>
                          </w:r>
                          <w:r>
                            <w:rPr>
                              <w:rStyle w:val="49"/>
                            </w:rPr>
                            <w:instrText xml:space="preserve">PAGE  </w:instrText>
                          </w:r>
                          <w:r>
                            <w:fldChar w:fldCharType="separate"/>
                          </w:r>
                          <w:r>
                            <w:rPr>
                              <w:rStyle w:val="49"/>
                            </w:rPr>
                            <w:t>16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aYJL0wAAAAUBAAAPAAAAAAAAAAEAIAAAACIA&#10;AABkcnMvZG93bnJldi54bWxQSwECFAAUAAAACACHTuJAift09dUBAAClAwAADgAAAAAAAAABACAA&#10;AAAiAQAAZHJzL2Uyb0RvYy54bWxQSwUGAAAAAAYABgBZAQAAaQUAAAAA&#10;">
              <v:fill on="f" focussize="0,0"/>
              <v:stroke on="f" weight="1.25pt"/>
              <v:imagedata o:title=""/>
              <o:lock v:ext="edit" aspectratio="f"/>
              <v:textbox inset="0mm,0mm,0mm,0mm" style="mso-fit-shape-to-text:t;">
                <w:txbxContent>
                  <w:p>
                    <w:pPr>
                      <w:pStyle w:val="27"/>
                      <w:rPr>
                        <w:rStyle w:val="49"/>
                      </w:rPr>
                    </w:pPr>
                    <w:r>
                      <w:fldChar w:fldCharType="begin"/>
                    </w:r>
                    <w:r>
                      <w:rPr>
                        <w:rStyle w:val="49"/>
                      </w:rPr>
                      <w:instrText xml:space="preserve">PAGE  </w:instrText>
                    </w:r>
                    <w:r>
                      <w:fldChar w:fldCharType="separate"/>
                    </w:r>
                    <w:r>
                      <w:rPr>
                        <w:rStyle w:val="49"/>
                      </w:rPr>
                      <w:t>16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55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aYJL0wAAAAUBAAAPAAAAAAAAAAEAIAAAACIA&#10;AABkcnMvZG93bnJldi54bWxQSwECFAAUAAAACACHTuJAvXTiL9UBAAClAwAADgAAAAAAAAABACAA&#10;AAAiAQAAZHJzL2Uyb0RvYy54bWxQSwUGAAAAAAYABgBZAQAAaQU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55</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BF205925"/>
    <w:multiLevelType w:val="multilevel"/>
    <w:tmpl w:val="BF205925"/>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0053208E"/>
    <w:multiLevelType w:val="multilevel"/>
    <w:tmpl w:val="0053208E"/>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4">
    <w:nsid w:val="03D62ECE"/>
    <w:multiLevelType w:val="multilevel"/>
    <w:tmpl w:val="03D62ECE"/>
    <w:lvl w:ilvl="0" w:tentative="0">
      <w:start w:val="4"/>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25B654F3"/>
    <w:multiLevelType w:val="multilevel"/>
    <w:tmpl w:val="25B654F3"/>
    <w:lvl w:ilvl="0" w:tentative="0">
      <w:start w:val="2"/>
      <w:numFmt w:val="decimal"/>
      <w:lvlText w:val="（%1）"/>
      <w:lvlJc w:val="left"/>
      <w:pPr>
        <w:ind w:left="0" w:firstLine="0"/>
      </w:pPr>
    </w:lvl>
    <w:lvl w:ilvl="1" w:tentative="0">
      <w:start w:val="1"/>
      <w:numFmt w:val="bullet"/>
      <w:lvlText w:val="（%1）"/>
      <w:lvlJc w:val="left"/>
      <w:pPr>
        <w:ind w:left="0" w:firstLine="0"/>
      </w:pPr>
      <w:rPr>
        <w:rFonts w:hint="default" w:ascii="Symbol" w:hAnsi="Symbol" w:eastAsia="Symbol" w:cs="Symbol"/>
      </w:rPr>
    </w:lvl>
    <w:lvl w:ilvl="2" w:tentative="0">
      <w:start w:val="1"/>
      <w:numFmt w:val="bullet"/>
      <w:lvlText w:val="（%1）"/>
      <w:lvlJc w:val="left"/>
      <w:pPr>
        <w:ind w:left="0" w:firstLine="0"/>
      </w:pPr>
      <w:rPr>
        <w:rFonts w:hint="default" w:ascii="Symbol" w:hAnsi="Symbol" w:eastAsia="Symbol" w:cs="Symbol"/>
      </w:rPr>
    </w:lvl>
    <w:lvl w:ilvl="3" w:tentative="0">
      <w:start w:val="1"/>
      <w:numFmt w:val="bullet"/>
      <w:lvlText w:val="（%1）"/>
      <w:lvlJc w:val="left"/>
      <w:pPr>
        <w:ind w:left="0" w:firstLine="0"/>
      </w:pPr>
      <w:rPr>
        <w:rFonts w:hint="default" w:ascii="Symbol" w:hAnsi="Symbol" w:eastAsia="Symbol" w:cs="Symbol"/>
      </w:rPr>
    </w:lvl>
    <w:lvl w:ilvl="4" w:tentative="0">
      <w:start w:val="1"/>
      <w:numFmt w:val="bullet"/>
      <w:lvlText w:val="（%1）"/>
      <w:lvlJc w:val="left"/>
      <w:pPr>
        <w:ind w:left="0" w:firstLine="0"/>
      </w:pPr>
      <w:rPr>
        <w:rFonts w:hint="default" w:ascii="Symbol" w:hAnsi="Symbol" w:eastAsia="Symbol" w:cs="Symbol"/>
      </w:rPr>
    </w:lvl>
    <w:lvl w:ilvl="5" w:tentative="0">
      <w:start w:val="1"/>
      <w:numFmt w:val="bullet"/>
      <w:lvlText w:val="（%1）"/>
      <w:lvlJc w:val="left"/>
      <w:pPr>
        <w:ind w:left="0" w:firstLine="0"/>
      </w:pPr>
      <w:rPr>
        <w:rFonts w:hint="default" w:ascii="Symbol" w:hAnsi="Symbol" w:eastAsia="Symbol" w:cs="Symbol"/>
      </w:rPr>
    </w:lvl>
    <w:lvl w:ilvl="6" w:tentative="0">
      <w:start w:val="1"/>
      <w:numFmt w:val="bullet"/>
      <w:lvlText w:val="（%1）"/>
      <w:lvlJc w:val="left"/>
      <w:pPr>
        <w:ind w:left="0" w:firstLine="0"/>
      </w:pPr>
      <w:rPr>
        <w:rFonts w:hint="default" w:ascii="Symbol" w:hAnsi="Symbol" w:eastAsia="Symbol" w:cs="Symbol"/>
      </w:rPr>
    </w:lvl>
    <w:lvl w:ilvl="7" w:tentative="0">
      <w:start w:val="1"/>
      <w:numFmt w:val="bullet"/>
      <w:lvlText w:val="（%1）"/>
      <w:lvlJc w:val="left"/>
      <w:pPr>
        <w:ind w:left="0" w:firstLine="0"/>
      </w:pPr>
      <w:rPr>
        <w:rFonts w:hint="default" w:ascii="Symbol" w:hAnsi="Symbol" w:eastAsia="Symbol" w:cs="Symbol"/>
      </w:rPr>
    </w:lvl>
    <w:lvl w:ilvl="8" w:tentative="0">
      <w:start w:val="1"/>
      <w:numFmt w:val="bullet"/>
      <w:lvlText w:val="（%1）"/>
      <w:lvlJc w:val="left"/>
      <w:pPr>
        <w:ind w:left="0" w:firstLine="0"/>
      </w:pPr>
      <w:rPr>
        <w:rFonts w:hint="default" w:ascii="Symbol" w:hAnsi="Symbol" w:eastAsia="Symbol" w:cs="Symbol"/>
      </w:rPr>
    </w:lvl>
  </w:abstractNum>
  <w:abstractNum w:abstractNumId="6">
    <w:nsid w:val="59ADCABA"/>
    <w:multiLevelType w:val="multilevel"/>
    <w:tmpl w:val="59ADCABA"/>
    <w:lvl w:ilvl="0" w:tentative="0">
      <w:start w:val="1"/>
      <w:numFmt w:val="decimal"/>
      <w:pStyle w:val="301"/>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7">
    <w:nsid w:val="72183CF9"/>
    <w:multiLevelType w:val="multilevel"/>
    <w:tmpl w:val="72183CF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C76D1F"/>
    <w:rsid w:val="587D09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09"/>
    <w:qFormat/>
    <w:uiPriority w:val="0"/>
    <w:pPr>
      <w:keepNext/>
      <w:keepLines/>
      <w:spacing w:before="340" w:after="330" w:line="578" w:lineRule="auto"/>
      <w:outlineLvl w:val="0"/>
    </w:pPr>
    <w:rPr>
      <w:b/>
      <w:bCs/>
      <w:sz w:val="44"/>
      <w:szCs w:val="44"/>
    </w:rPr>
  </w:style>
  <w:style w:type="paragraph" w:styleId="4">
    <w:name w:val="heading 2"/>
    <w:basedOn w:val="1"/>
    <w:next w:val="1"/>
    <w:link w:val="210"/>
    <w:qFormat/>
    <w:uiPriority w:val="0"/>
    <w:pPr>
      <w:keepNext/>
      <w:keepLines/>
      <w:spacing w:line="360" w:lineRule="auto"/>
      <w:ind w:firstLine="540"/>
      <w:jc w:val="center"/>
      <w:outlineLvl w:val="1"/>
    </w:pPr>
    <w:rPr>
      <w:rFonts w:ascii="Arial" w:hAnsi="Arial"/>
      <w:b/>
      <w:bCs/>
      <w:color w:val="FF0000"/>
      <w:sz w:val="28"/>
      <w:szCs w:val="32"/>
    </w:rPr>
  </w:style>
  <w:style w:type="paragraph" w:styleId="5">
    <w:name w:val="heading 3"/>
    <w:basedOn w:val="1"/>
    <w:next w:val="1"/>
    <w:link w:val="212"/>
    <w:qFormat/>
    <w:uiPriority w:val="0"/>
    <w:pPr>
      <w:tabs>
        <w:tab w:val="left" w:pos="1440"/>
      </w:tabs>
      <w:spacing w:before="260" w:after="260" w:line="416" w:lineRule="auto"/>
      <w:ind w:left="1152" w:hanging="1152"/>
      <w:outlineLvl w:val="2"/>
    </w:pPr>
    <w:rPr>
      <w:b/>
      <w:bCs/>
      <w:sz w:val="32"/>
      <w:szCs w:val="32"/>
    </w:rPr>
  </w:style>
  <w:style w:type="paragraph" w:styleId="6">
    <w:name w:val="heading 4"/>
    <w:basedOn w:val="1"/>
    <w:next w:val="1"/>
    <w:link w:val="214"/>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spacing w:before="280" w:after="290" w:line="376" w:lineRule="atLeast"/>
      <w:outlineLvl w:val="4"/>
    </w:pPr>
    <w:rPr>
      <w:b/>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sz w:val="24"/>
    </w:rPr>
  </w:style>
  <w:style w:type="paragraph" w:styleId="11">
    <w:name w:val="heading 9"/>
    <w:basedOn w:val="1"/>
    <w:next w:val="1"/>
    <w:link w:val="215"/>
    <w:qFormat/>
    <w:uiPriority w:val="0"/>
    <w:pPr>
      <w:keepNext/>
      <w:keepLines/>
      <w:widowControl/>
      <w:numPr>
        <w:ilvl w:val="8"/>
        <w:numId w:val="2"/>
      </w:numPr>
      <w:spacing w:before="240" w:after="64" w:line="320" w:lineRule="auto"/>
      <w:jc w:val="left"/>
      <w:outlineLvl w:val="8"/>
    </w:pPr>
    <w:rPr>
      <w:rFonts w:ascii="Arial" w:hAnsi="Arial" w:eastAsia="黑体"/>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link w:val="208"/>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213"/>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216"/>
    <w:qFormat/>
    <w:uiPriority w:val="0"/>
    <w:pPr>
      <w:shd w:val="clear" w:color="auto" w:fill="000080"/>
    </w:pPr>
  </w:style>
  <w:style w:type="paragraph" w:styleId="16">
    <w:name w:val="annotation text"/>
    <w:basedOn w:val="1"/>
    <w:link w:val="217"/>
    <w:qFormat/>
    <w:uiPriority w:val="99"/>
    <w:pPr>
      <w:spacing w:line="360" w:lineRule="atLeast"/>
      <w:jc w:val="left"/>
    </w:pPr>
    <w:rPr>
      <w:sz w:val="24"/>
      <w:szCs w:val="20"/>
    </w:rPr>
  </w:style>
  <w:style w:type="paragraph" w:styleId="17">
    <w:name w:val="Body Text 3"/>
    <w:basedOn w:val="1"/>
    <w:link w:val="218"/>
    <w:qFormat/>
    <w:uiPriority w:val="0"/>
    <w:pPr>
      <w:spacing w:line="440" w:lineRule="exact"/>
    </w:pPr>
    <w:rPr>
      <w:sz w:val="24"/>
    </w:rPr>
  </w:style>
  <w:style w:type="paragraph" w:styleId="18">
    <w:name w:val="Body Text Indent"/>
    <w:basedOn w:val="1"/>
    <w:qFormat/>
    <w:uiPriority w:val="0"/>
    <w:pPr>
      <w:spacing w:line="400" w:lineRule="exact"/>
      <w:ind w:firstLine="56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219"/>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pPr>
  </w:style>
  <w:style w:type="paragraph" w:styleId="24">
    <w:name w:val="Body Text Indent 2"/>
    <w:basedOn w:val="1"/>
    <w:qFormat/>
    <w:uiPriority w:val="0"/>
    <w:pPr>
      <w:spacing w:line="400" w:lineRule="exact"/>
      <w:ind w:firstLine="560"/>
    </w:pPr>
    <w:rPr>
      <w:sz w:val="28"/>
    </w:rPr>
  </w:style>
  <w:style w:type="paragraph" w:styleId="25">
    <w:name w:val="endnote text"/>
    <w:basedOn w:val="1"/>
    <w:link w:val="205"/>
    <w:semiHidden/>
    <w:unhideWhenUsed/>
    <w:qFormat/>
    <w:uiPriority w:val="99"/>
    <w:pPr>
      <w:spacing w:after="0" w:line="240" w:lineRule="auto"/>
    </w:pPr>
    <w:rPr>
      <w:sz w:val="20"/>
      <w:szCs w:val="20"/>
    </w:rPr>
  </w:style>
  <w:style w:type="paragraph" w:styleId="26">
    <w:name w:val="Balloon Text"/>
    <w:basedOn w:val="1"/>
    <w:link w:val="220"/>
    <w:qFormat/>
    <w:uiPriority w:val="0"/>
    <w:rPr>
      <w:sz w:val="18"/>
      <w:szCs w:val="18"/>
    </w:rPr>
  </w:style>
  <w:style w:type="paragraph" w:styleId="27">
    <w:name w:val="footer"/>
    <w:basedOn w:val="1"/>
    <w:link w:val="221"/>
    <w:qFormat/>
    <w:uiPriority w:val="99"/>
    <w:pPr>
      <w:tabs>
        <w:tab w:val="center" w:pos="4153"/>
        <w:tab w:val="right" w:pos="8306"/>
      </w:tabs>
      <w:jc w:val="left"/>
    </w:pPr>
    <w:rPr>
      <w:sz w:val="18"/>
      <w:szCs w:val="18"/>
    </w:rPr>
  </w:style>
  <w:style w:type="paragraph" w:styleId="28">
    <w:name w:val="header"/>
    <w:basedOn w:val="1"/>
    <w:link w:val="222"/>
    <w:qFormat/>
    <w:uiPriority w:val="99"/>
    <w:pPr>
      <w:pBdr>
        <w:bottom w:val="single" w:color="000000" w:sz="6" w:space="1"/>
      </w:pBdr>
      <w:tabs>
        <w:tab w:val="center" w:pos="4153"/>
        <w:tab w:val="right" w:pos="8306"/>
      </w:tabs>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Subtitle"/>
    <w:basedOn w:val="1"/>
    <w:next w:val="1"/>
    <w:link w:val="193"/>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32">
    <w:name w:val="List"/>
    <w:basedOn w:val="1"/>
    <w:qFormat/>
    <w:uiPriority w:val="0"/>
    <w:pPr>
      <w:ind w:left="200" w:hanging="200"/>
    </w:pPr>
    <w:rPr>
      <w:szCs w:val="20"/>
    </w:rPr>
  </w:style>
  <w:style w:type="paragraph" w:styleId="33">
    <w:name w:val="footnote text"/>
    <w:basedOn w:val="1"/>
    <w:link w:val="204"/>
    <w:semiHidden/>
    <w:unhideWhenUsed/>
    <w:qFormat/>
    <w:uiPriority w:val="99"/>
    <w:pPr>
      <w:spacing w:after="0" w:line="240" w:lineRule="auto"/>
    </w:pPr>
    <w:rPr>
      <w:sz w:val="20"/>
      <w:szCs w:val="20"/>
    </w:rPr>
  </w:style>
  <w:style w:type="paragraph" w:styleId="34">
    <w:name w:val="toc 6"/>
    <w:basedOn w:val="1"/>
    <w:next w:val="1"/>
    <w:qFormat/>
    <w:uiPriority w:val="39"/>
    <w:pPr>
      <w:ind w:left="1050"/>
      <w:jc w:val="left"/>
    </w:pPr>
    <w:rPr>
      <w:rFonts w:ascii="Calibri" w:hAnsi="Calibri" w:cs="Calibri"/>
      <w:sz w:val="18"/>
      <w:szCs w:val="18"/>
    </w:rPr>
  </w:style>
  <w:style w:type="paragraph" w:styleId="35">
    <w:name w:val="Body Text Indent 3"/>
    <w:basedOn w:val="1"/>
    <w:qFormat/>
    <w:uiPriority w:val="0"/>
    <w:pPr>
      <w:spacing w:line="500" w:lineRule="exact"/>
      <w:ind w:firstLine="570"/>
    </w:pPr>
    <w:rPr>
      <w:rFonts w:eastAsia="黑体"/>
      <w:sz w:val="28"/>
    </w:rPr>
  </w:style>
  <w:style w:type="paragraph" w:styleId="36">
    <w:name w:val="table of figures"/>
    <w:basedOn w:val="1"/>
    <w:next w:val="1"/>
    <w:unhideWhenUsed/>
    <w:qFormat/>
    <w:uiPriority w:val="99"/>
    <w:pPr>
      <w:spacing w:after="0" w:afterAutospacing="0"/>
    </w:pPr>
  </w:style>
  <w:style w:type="paragraph" w:styleId="37">
    <w:name w:val="toc 2"/>
    <w:basedOn w:val="1"/>
    <w:next w:val="1"/>
    <w:qFormat/>
    <w:uiPriority w:val="39"/>
    <w:pPr>
      <w:ind w:left="210"/>
      <w:jc w:val="left"/>
    </w:pPr>
    <w:rPr>
      <w:rFonts w:ascii="Calibri" w:hAnsi="Calibri" w:cs="Calibri"/>
      <w:smallCaps/>
      <w:sz w:val="20"/>
      <w:szCs w:val="20"/>
    </w:rPr>
  </w:style>
  <w:style w:type="paragraph" w:styleId="38">
    <w:name w:val="toc 9"/>
    <w:basedOn w:val="1"/>
    <w:next w:val="1"/>
    <w:qFormat/>
    <w:uiPriority w:val="39"/>
    <w:pPr>
      <w:ind w:left="1680"/>
      <w:jc w:val="left"/>
    </w:pPr>
    <w:rPr>
      <w:rFonts w:ascii="Calibri" w:hAnsi="Calibri" w:cs="Calibri"/>
      <w:sz w:val="18"/>
      <w:szCs w:val="18"/>
    </w:rPr>
  </w:style>
  <w:style w:type="paragraph" w:styleId="39">
    <w:name w:val="Body Text 2"/>
    <w:basedOn w:val="1"/>
    <w:qFormat/>
    <w:uiPriority w:val="0"/>
    <w:rPr>
      <w:sz w:val="28"/>
    </w:rPr>
  </w:style>
  <w:style w:type="paragraph" w:styleId="40">
    <w:name w:val="Normal (Web)"/>
    <w:basedOn w:val="1"/>
    <w:qFormat/>
    <w:uiPriority w:val="0"/>
    <w:pPr>
      <w:widowControl/>
      <w:spacing w:before="100" w:beforeAutospacing="1" w:after="100" w:afterAutospacing="1"/>
      <w:jc w:val="left"/>
    </w:pPr>
    <w:rPr>
      <w:rFonts w:ascii="宋体" w:hAnsi="宋体"/>
      <w:sz w:val="24"/>
    </w:rPr>
  </w:style>
  <w:style w:type="paragraph" w:styleId="41">
    <w:name w:val="Title"/>
    <w:basedOn w:val="1"/>
    <w:link w:val="223"/>
    <w:qFormat/>
    <w:uiPriority w:val="0"/>
    <w:pPr>
      <w:spacing w:before="240" w:after="60" w:line="312" w:lineRule="atLeast"/>
      <w:jc w:val="center"/>
    </w:pPr>
    <w:rPr>
      <w:rFonts w:ascii="Arial" w:hAnsi="Arial"/>
      <w:b/>
      <w:sz w:val="32"/>
      <w:szCs w:val="20"/>
    </w:rPr>
  </w:style>
  <w:style w:type="paragraph" w:styleId="42">
    <w:name w:val="annotation subject"/>
    <w:basedOn w:val="16"/>
    <w:next w:val="16"/>
    <w:link w:val="224"/>
    <w:qFormat/>
    <w:uiPriority w:val="0"/>
    <w:pPr>
      <w:spacing w:line="240" w:lineRule="auto"/>
    </w:pPr>
    <w:rPr>
      <w:b/>
      <w:bCs/>
      <w:sz w:val="21"/>
      <w:szCs w:val="24"/>
    </w:rPr>
  </w:style>
  <w:style w:type="paragraph" w:styleId="43">
    <w:name w:val="Body Text First Indent 2"/>
    <w:basedOn w:val="18"/>
    <w:qFormat/>
    <w:uiPriority w:val="0"/>
    <w:pPr>
      <w:ind w:firstLine="420"/>
    </w:pPr>
    <w:rPr>
      <w:rFonts w:ascii="Arial" w:hAnsi="Arial"/>
      <w:sz w:val="20"/>
    </w:rPr>
  </w:style>
  <w:style w:type="table" w:styleId="45">
    <w:name w:val="Table Grid"/>
    <w:basedOn w:val="44"/>
    <w:qFormat/>
    <w:uiPriority w:val="39"/>
    <w:pPr>
      <w:widowContro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7">
    <w:name w:val="Strong"/>
    <w:qFormat/>
    <w:uiPriority w:val="0"/>
    <w:rPr>
      <w:rFonts w:cs="Times New Roman"/>
      <w:b/>
    </w:rPr>
  </w:style>
  <w:style w:type="character" w:styleId="48">
    <w:name w:val="endnote reference"/>
    <w:basedOn w:val="46"/>
    <w:semiHidden/>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333333"/>
      <w:u w:val="none"/>
    </w:rPr>
  </w:style>
  <w:style w:type="character" w:styleId="51">
    <w:name w:val="Emphasis"/>
    <w:qFormat/>
    <w:uiPriority w:val="20"/>
  </w:style>
  <w:style w:type="character" w:styleId="52">
    <w:name w:val="HTML Definition"/>
    <w:unhideWhenUsed/>
    <w:qFormat/>
    <w:uiPriority w:val="99"/>
    <w:rPr>
      <w:i/>
      <w:iCs/>
    </w:rPr>
  </w:style>
  <w:style w:type="character" w:styleId="53">
    <w:name w:val="Hyperlink"/>
    <w:qFormat/>
    <w:uiPriority w:val="99"/>
    <w:rPr>
      <w:color w:val="333333"/>
      <w:u w:val="none"/>
    </w:rPr>
  </w:style>
  <w:style w:type="character" w:styleId="54">
    <w:name w:val="HTML Code"/>
    <w:unhideWhenUsed/>
    <w:qFormat/>
    <w:uiPriority w:val="99"/>
    <w:rPr>
      <w:rFonts w:hint="default" w:ascii="Consolas" w:hAnsi="Consolas" w:eastAsia="Consolas" w:cs="Consolas"/>
      <w:color w:val="C7254E"/>
      <w:sz w:val="21"/>
      <w:szCs w:val="21"/>
      <w:shd w:val="clear" w:color="auto" w:fill="F9F2F4"/>
    </w:rPr>
  </w:style>
  <w:style w:type="character" w:styleId="55">
    <w:name w:val="annotation reference"/>
    <w:qFormat/>
    <w:uiPriority w:val="0"/>
    <w:rPr>
      <w:sz w:val="21"/>
      <w:szCs w:val="21"/>
    </w:rPr>
  </w:style>
  <w:style w:type="character" w:styleId="56">
    <w:name w:val="footnote reference"/>
    <w:basedOn w:val="46"/>
    <w:semiHidden/>
    <w:unhideWhenUsed/>
    <w:qFormat/>
    <w:uiPriority w:val="99"/>
    <w:rPr>
      <w:vertAlign w:val="superscript"/>
    </w:rPr>
  </w:style>
  <w:style w:type="character" w:styleId="57">
    <w:name w:val="HTML Keyboard"/>
    <w:unhideWhenUsed/>
    <w:qFormat/>
    <w:uiPriority w:val="99"/>
    <w:rPr>
      <w:rFonts w:hint="default" w:ascii="Consolas" w:hAnsi="Consolas" w:eastAsia="Consolas" w:cs="Consolas"/>
      <w:color w:val="FFFFFF"/>
      <w:sz w:val="21"/>
      <w:szCs w:val="21"/>
      <w:shd w:val="clear" w:color="auto" w:fill="333333"/>
    </w:rPr>
  </w:style>
  <w:style w:type="character" w:styleId="58">
    <w:name w:val="HTML Sample"/>
    <w:unhideWhenUsed/>
    <w:qFormat/>
    <w:uiPriority w:val="99"/>
    <w:rPr>
      <w:rFonts w:ascii="Consolas" w:hAnsi="Consolas" w:eastAsia="Consolas" w:cs="Consolas"/>
      <w:sz w:val="21"/>
      <w:szCs w:val="21"/>
    </w:rPr>
  </w:style>
  <w:style w:type="table" w:customStyle="1" w:styleId="59">
    <w:name w:val="Table Grid Light"/>
    <w:basedOn w:val="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0">
    <w:name w:val="Plain Table 1"/>
    <w:basedOn w:val="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1">
    <w:name w:val="Plain Table 2"/>
    <w:basedOn w:val="4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2">
    <w:name w:val="Plain Table 3"/>
    <w:basedOn w:val="44"/>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3">
    <w:name w:val="Plain Table 4"/>
    <w:basedOn w:val="4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4">
    <w:name w:val="Plain Table 5"/>
    <w:basedOn w:val="44"/>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5">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6">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7">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8">
    <w:name w:val="Grid Table 1 Light - Accent 3"/>
    <w:basedOn w:val="4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9">
    <w:name w:val="Grid Table 1 Light - Accent 4"/>
    <w:basedOn w:val="4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0">
    <w:name w:val="Grid Table 1 Light - Accent 5"/>
    <w:basedOn w:val="4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1">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2">
    <w:name w:val="Grid Table 2"/>
    <w:basedOn w:val="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3">
    <w:name w:val="Grid Table 2 - Accent 1"/>
    <w:basedOn w:val="44"/>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4">
    <w:name w:val="Grid Table 2 - Accent 2"/>
    <w:basedOn w:val="4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5">
    <w:name w:val="Grid Table 2 - Accent 3"/>
    <w:basedOn w:val="44"/>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6">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7">
    <w:name w:val="Grid Table 2 - Accent 5"/>
    <w:basedOn w:val="44"/>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8">
    <w:name w:val="Grid Table 2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9">
    <w:name w:val="Grid Table 3"/>
    <w:basedOn w:val="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0">
    <w:name w:val="Grid Table 3 - Accent 1"/>
    <w:basedOn w:val="44"/>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1">
    <w:name w:val="Grid Table 3 - Accent 2"/>
    <w:basedOn w:val="4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2">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3">
    <w:name w:val="Grid Table 3 - Accent 4"/>
    <w:basedOn w:val="4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4">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5">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6">
    <w:name w:val="Grid Table 4"/>
    <w:basedOn w:val="4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7">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88">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9">
    <w:name w:val="Grid Table 4 - Accent 3"/>
    <w:basedOn w:val="44"/>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0">
    <w:name w:val="Grid Table 4 - Accent 4"/>
    <w:basedOn w:val="4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1">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2">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3">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4">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5">
    <w:name w:val="Grid Table 5 Dark - Accent 2"/>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96">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97">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98">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99">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0">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1">
    <w:name w:val="Grid Table 6 Colorful - Accent 1"/>
    <w:basedOn w:val="4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2">
    <w:name w:val="Grid Table 6 Colorful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3">
    <w:name w:val="Grid Table 6 Colorful - Accent 3"/>
    <w:basedOn w:val="44"/>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4">
    <w:name w:val="Grid Table 6 Colorful - Accent 4"/>
    <w:basedOn w:val="4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5">
    <w:name w:val="Grid Table 6 Colorful - Accent 5"/>
    <w:basedOn w:val="4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6">
    <w:name w:val="Grid Table 6 Colorful - Accent 6"/>
    <w:basedOn w:val="4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7 Colorful"/>
    <w:basedOn w:val="4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8">
    <w:name w:val="Grid Table 7 Colorful - Accent 1"/>
    <w:basedOn w:val="4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9">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0">
    <w:name w:val="Grid Table 7 Colorful - Accent 3"/>
    <w:basedOn w:val="4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1">
    <w:name w:val="Grid Table 7 Colorful - Accent 4"/>
    <w:basedOn w:val="4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2">
    <w:name w:val="Grid Table 7 Colorful - Accent 5"/>
    <w:basedOn w:val="4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3">
    <w:name w:val="Grid Table 7 Colorful - Accent 6"/>
    <w:basedOn w:val="44"/>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4">
    <w:name w:val="List Table 1 Light"/>
    <w:basedOn w:val="44"/>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5">
    <w:name w:val="List Table 1 Light - Accent 1"/>
    <w:basedOn w:val="44"/>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6">
    <w:name w:val="List Table 1 Light - Accent 2"/>
    <w:basedOn w:val="44"/>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7">
    <w:name w:val="List Table 1 Light - Accent 3"/>
    <w:basedOn w:val="4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8">
    <w:name w:val="List Table 1 Light - Accent 4"/>
    <w:basedOn w:val="4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9">
    <w:name w:val="List Table 1 Light - Accent 5"/>
    <w:basedOn w:val="4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0">
    <w:name w:val="List Table 1 Light - Accent 6"/>
    <w:basedOn w:val="4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1">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2">
    <w:name w:val="List Table 2 - Accent 1"/>
    <w:basedOn w:val="44"/>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3">
    <w:name w:val="List Table 2 - Accent 2"/>
    <w:basedOn w:val="4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4">
    <w:name w:val="List Table 2 - Accent 3"/>
    <w:basedOn w:val="4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5">
    <w:name w:val="List Table 2 - Accent 4"/>
    <w:basedOn w:val="4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6">
    <w:name w:val="List Table 2 - Accent 5"/>
    <w:basedOn w:val="4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7">
    <w:name w:val="List Table 2 - Accent 6"/>
    <w:basedOn w:val="4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8">
    <w:name w:val="List Table 3"/>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9">
    <w:name w:val="List Table 3 - Accent 1"/>
    <w:basedOn w:val="4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0">
    <w:name w:val="List Table 3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1">
    <w:name w:val="List Table 3 - Accent 3"/>
    <w:basedOn w:val="4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2">
    <w:name w:val="List Table 3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3">
    <w:name w:val="List Table 3 - Accent 5"/>
    <w:basedOn w:val="4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4">
    <w:name w:val="List Table 3 - Accent 6"/>
    <w:basedOn w:val="44"/>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5">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6">
    <w:name w:val="List Table 4 - Accent 1"/>
    <w:basedOn w:val="44"/>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37">
    <w:name w:val="List Table 4 - Accent 2"/>
    <w:basedOn w:val="4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38">
    <w:name w:val="List Table 4 - Accent 3"/>
    <w:basedOn w:val="4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39">
    <w:name w:val="List Table 4 - Accent 4"/>
    <w:basedOn w:val="4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0">
    <w:name w:val="List Table 4 - Accent 5"/>
    <w:basedOn w:val="44"/>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1">
    <w:name w:val="List Table 4 - Accent 6"/>
    <w:basedOn w:val="4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2">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3">
    <w:name w:val="List Table 5 Dark - Accent 1"/>
    <w:basedOn w:val="4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4">
    <w:name w:val="List Table 5 Dark - Accent 2"/>
    <w:basedOn w:val="44"/>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5">
    <w:name w:val="List Table 5 Dark - Accent 3"/>
    <w:basedOn w:val="44"/>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46">
    <w:name w:val="List Table 5 Dark - Accent 4"/>
    <w:basedOn w:val="4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47">
    <w:name w:val="List Table 5 Dark - Accent 5"/>
    <w:basedOn w:val="4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48">
    <w:name w:val="List Table 5 Dark - Accent 6"/>
    <w:basedOn w:val="44"/>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49">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0">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1">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2">
    <w:name w:val="List Table 6 Colorful - Accent 3"/>
    <w:basedOn w:val="44"/>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3">
    <w:name w:val="List Table 6 Colorful - Accent 4"/>
    <w:basedOn w:val="4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4">
    <w:name w:val="List Table 6 Colorful - Accent 5"/>
    <w:basedOn w:val="4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5">
    <w:name w:val="List Table 6 Colorful - Accent 6"/>
    <w:basedOn w:val="44"/>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6">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7">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8">
    <w:name w:val="List Table 7 Colorful - Accent 2"/>
    <w:basedOn w:val="4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9">
    <w:name w:val="List Table 7 Colorful - Accent 3"/>
    <w:basedOn w:val="4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0">
    <w:name w:val="List Table 7 Colorful - Accent 4"/>
    <w:basedOn w:val="4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1">
    <w:name w:val="List Table 7 Colorful - Accent 5"/>
    <w:basedOn w:val="4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2">
    <w:name w:val="List Table 7 Colorful - Accent 6"/>
    <w:basedOn w:val="44"/>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3">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4">
    <w:name w:val="Lined - Accent 1"/>
    <w:basedOn w:val="44"/>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5">
    <w:name w:val="Lined - Accent 2"/>
    <w:basedOn w:val="4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6">
    <w:name w:val="Lined - Accent 3"/>
    <w:basedOn w:val="44"/>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7">
    <w:name w:val="Lined - Accent 4"/>
    <w:basedOn w:val="4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8">
    <w:name w:val="Lined - Accent 5"/>
    <w:basedOn w:val="44"/>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9">
    <w:name w:val="Lined - Accent 6"/>
    <w:basedOn w:val="4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0">
    <w:name w:val="Bordered &amp; Lined - Accent"/>
    <w:basedOn w:val="4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1">
    <w:name w:val="Bordered &amp; Lined - Accent 1"/>
    <w:basedOn w:val="44"/>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2">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3">
    <w:name w:val="Bordered &amp; Lined - Accent 3"/>
    <w:basedOn w:val="4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4">
    <w:name w:val="Bordered &amp; Lined - Accent 4"/>
    <w:basedOn w:val="4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5">
    <w:name w:val="Bordered &amp; Lined - Accent 5"/>
    <w:basedOn w:val="44"/>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6">
    <w:name w:val="Bordered &amp; Lined - Accent 6"/>
    <w:basedOn w:val="4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7">
    <w:name w:val="Bordered"/>
    <w:basedOn w:val="4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8">
    <w:name w:val="Bordered - Accent 1"/>
    <w:basedOn w:val="44"/>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9">
    <w:name w:val="Bordered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0">
    <w:name w:val="Bordered - Accent 3"/>
    <w:basedOn w:val="4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1">
    <w:name w:val="Bordered - Accent 4"/>
    <w:basedOn w:val="4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2">
    <w:name w:val="Bordered - Accent 5"/>
    <w:basedOn w:val="4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3">
    <w:name w:val="Bordered - Accent 6"/>
    <w:basedOn w:val="44"/>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4">
    <w:name w:val="Heading 1 Char"/>
    <w:basedOn w:val="46"/>
    <w:qFormat/>
    <w:uiPriority w:val="9"/>
    <w:rPr>
      <w:rFonts w:ascii="Arial" w:hAnsi="Arial" w:eastAsia="Arial" w:cs="Arial"/>
      <w:color w:val="376092" w:themeColor="accent1" w:themeShade="BF"/>
      <w:sz w:val="40"/>
      <w:szCs w:val="40"/>
    </w:rPr>
  </w:style>
  <w:style w:type="character" w:customStyle="1" w:styleId="185">
    <w:name w:val="Heading 2 Char"/>
    <w:basedOn w:val="46"/>
    <w:qFormat/>
    <w:uiPriority w:val="9"/>
    <w:rPr>
      <w:rFonts w:ascii="Arial" w:hAnsi="Arial" w:eastAsia="Arial" w:cs="Arial"/>
      <w:color w:val="376092" w:themeColor="accent1" w:themeShade="BF"/>
      <w:sz w:val="32"/>
      <w:szCs w:val="32"/>
    </w:rPr>
  </w:style>
  <w:style w:type="character" w:customStyle="1" w:styleId="186">
    <w:name w:val="Heading 3 Char"/>
    <w:basedOn w:val="46"/>
    <w:uiPriority w:val="9"/>
    <w:rPr>
      <w:rFonts w:ascii="Arial" w:hAnsi="Arial" w:eastAsia="Arial" w:cs="Arial"/>
      <w:color w:val="376092" w:themeColor="accent1" w:themeShade="BF"/>
      <w:sz w:val="28"/>
      <w:szCs w:val="28"/>
    </w:rPr>
  </w:style>
  <w:style w:type="character" w:customStyle="1" w:styleId="187">
    <w:name w:val="Heading 4 Char"/>
    <w:basedOn w:val="46"/>
    <w:uiPriority w:val="9"/>
    <w:rPr>
      <w:rFonts w:ascii="Arial" w:hAnsi="Arial" w:eastAsia="Arial" w:cs="Arial"/>
      <w:i/>
      <w:iCs/>
      <w:color w:val="376092" w:themeColor="accent1" w:themeShade="BF"/>
    </w:rPr>
  </w:style>
  <w:style w:type="character" w:customStyle="1" w:styleId="188">
    <w:name w:val="Heading 5 Char"/>
    <w:basedOn w:val="46"/>
    <w:uiPriority w:val="9"/>
    <w:rPr>
      <w:rFonts w:ascii="Arial" w:hAnsi="Arial" w:eastAsia="Arial" w:cs="Arial"/>
      <w:color w:val="376092" w:themeColor="accent1" w:themeShade="BF"/>
    </w:rPr>
  </w:style>
  <w:style w:type="character" w:customStyle="1" w:styleId="189">
    <w:name w:val="Heading 6 Char"/>
    <w:basedOn w:val="46"/>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90">
    <w:name w:val="Heading 7 Char"/>
    <w:basedOn w:val="46"/>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91">
    <w:name w:val="Heading 8 Char"/>
    <w:basedOn w:val="4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2">
    <w:name w:val="Heading 9 Char"/>
    <w:basedOn w:val="4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3">
    <w:name w:val="Subtitle Char"/>
    <w:basedOn w:val="46"/>
    <w:link w:val="31"/>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94">
    <w:name w:val="Quote"/>
    <w:basedOn w:val="1"/>
    <w:next w:val="1"/>
    <w:link w:val="19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95">
    <w:name w:val="Quote Char"/>
    <w:basedOn w:val="46"/>
    <w:link w:val="194"/>
    <w:qFormat/>
    <w:uiPriority w:val="29"/>
    <w:rPr>
      <w:i/>
      <w:iCs/>
      <w:color w:val="404040" w:themeColor="text1" w:themeTint="BF"/>
      <w14:textFill>
        <w14:solidFill>
          <w14:schemeClr w14:val="tx1">
            <w14:lumMod w14:val="75000"/>
            <w14:lumOff w14:val="25000"/>
          </w14:schemeClr>
        </w14:solidFill>
      </w14:textFill>
    </w:rPr>
  </w:style>
  <w:style w:type="character" w:customStyle="1" w:styleId="196">
    <w:name w:val="Intense Emphasis"/>
    <w:basedOn w:val="46"/>
    <w:qFormat/>
    <w:uiPriority w:val="21"/>
    <w:rPr>
      <w:i/>
      <w:iCs/>
      <w:color w:val="376092" w:themeColor="accent1" w:themeShade="BF"/>
    </w:rPr>
  </w:style>
  <w:style w:type="paragraph" w:styleId="197">
    <w:name w:val="Intense Quote"/>
    <w:basedOn w:val="1"/>
    <w:next w:val="1"/>
    <w:link w:val="198"/>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98">
    <w:name w:val="Intense Quote Char"/>
    <w:basedOn w:val="46"/>
    <w:link w:val="197"/>
    <w:qFormat/>
    <w:uiPriority w:val="30"/>
    <w:rPr>
      <w:i/>
      <w:iCs/>
      <w:color w:val="376092" w:themeColor="accent1" w:themeShade="BF"/>
    </w:rPr>
  </w:style>
  <w:style w:type="character" w:customStyle="1" w:styleId="199">
    <w:name w:val="Intense Reference"/>
    <w:basedOn w:val="46"/>
    <w:qFormat/>
    <w:uiPriority w:val="32"/>
    <w:rPr>
      <w:b/>
      <w:bCs/>
      <w:smallCaps/>
      <w:color w:val="376092" w:themeColor="accent1" w:themeShade="BF"/>
      <w:spacing w:val="5"/>
    </w:rPr>
  </w:style>
  <w:style w:type="paragraph" w:styleId="200">
    <w:name w:val="No Spacing"/>
    <w:basedOn w:val="1"/>
    <w:qFormat/>
    <w:uiPriority w:val="1"/>
    <w:pPr>
      <w:spacing w:after="0" w:line="240" w:lineRule="auto"/>
    </w:pPr>
  </w:style>
  <w:style w:type="character" w:customStyle="1" w:styleId="201">
    <w:name w:val="Subtle Emphasis"/>
    <w:basedOn w:val="46"/>
    <w:qFormat/>
    <w:uiPriority w:val="19"/>
    <w:rPr>
      <w:i/>
      <w:iCs/>
      <w:color w:val="404040" w:themeColor="text1" w:themeTint="BF"/>
      <w14:textFill>
        <w14:solidFill>
          <w14:schemeClr w14:val="tx1">
            <w14:lumMod w14:val="75000"/>
            <w14:lumOff w14:val="25000"/>
          </w14:schemeClr>
        </w14:solidFill>
      </w14:textFill>
    </w:rPr>
  </w:style>
  <w:style w:type="character" w:customStyle="1" w:styleId="202">
    <w:name w:val="Subtle Reference"/>
    <w:basedOn w:val="4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3">
    <w:name w:val="Book Title"/>
    <w:basedOn w:val="46"/>
    <w:qFormat/>
    <w:uiPriority w:val="33"/>
    <w:rPr>
      <w:b/>
      <w:bCs/>
      <w:i/>
      <w:iCs/>
      <w:spacing w:val="5"/>
    </w:rPr>
  </w:style>
  <w:style w:type="character" w:customStyle="1" w:styleId="204">
    <w:name w:val="Footnote Text Char"/>
    <w:basedOn w:val="46"/>
    <w:link w:val="33"/>
    <w:semiHidden/>
    <w:qFormat/>
    <w:uiPriority w:val="99"/>
    <w:rPr>
      <w:sz w:val="20"/>
      <w:szCs w:val="20"/>
    </w:rPr>
  </w:style>
  <w:style w:type="character" w:customStyle="1" w:styleId="205">
    <w:name w:val="Endnote Text Char"/>
    <w:basedOn w:val="46"/>
    <w:link w:val="25"/>
    <w:semiHidden/>
    <w:uiPriority w:val="99"/>
    <w:rPr>
      <w:sz w:val="20"/>
      <w:szCs w:val="20"/>
    </w:rPr>
  </w:style>
  <w:style w:type="paragraph" w:customStyle="1" w:styleId="206">
    <w:name w:val="TOC Heading"/>
    <w:unhideWhenUsed/>
    <w:uiPriority w:val="39"/>
    <w:rPr>
      <w:rFonts w:hint="default" w:ascii="Times New Roman" w:hAnsi="Times New Roman" w:eastAsia="宋体" w:cs="Times New Roman"/>
    </w:rPr>
  </w:style>
  <w:style w:type="paragraph" w:customStyle="1" w:styleId="207">
    <w:name w:val="Char2 Char Char Char1 Char Char Char Char Char Char Char Char1 Char1 Char Char1 Char"/>
    <w:basedOn w:val="1"/>
    <w:qFormat/>
    <w:uiPriority w:val="0"/>
    <w:rPr>
      <w:rFonts w:ascii="宋体" w:hAnsi="宋体"/>
      <w:szCs w:val="21"/>
    </w:rPr>
  </w:style>
  <w:style w:type="character" w:customStyle="1" w:styleId="208">
    <w:name w:val="正文文本 Char"/>
    <w:link w:val="2"/>
    <w:qFormat/>
    <w:uiPriority w:val="0"/>
    <w:rPr>
      <w:sz w:val="52"/>
      <w:szCs w:val="24"/>
    </w:rPr>
  </w:style>
  <w:style w:type="character" w:customStyle="1" w:styleId="209">
    <w:name w:val="标题 1 Char"/>
    <w:link w:val="3"/>
    <w:qFormat/>
    <w:uiPriority w:val="0"/>
    <w:rPr>
      <w:b/>
      <w:bCs/>
      <w:sz w:val="44"/>
      <w:szCs w:val="44"/>
    </w:rPr>
  </w:style>
  <w:style w:type="character" w:customStyle="1" w:styleId="210">
    <w:name w:val="标题 2 Char"/>
    <w:link w:val="4"/>
    <w:qFormat/>
    <w:uiPriority w:val="0"/>
    <w:rPr>
      <w:rFonts w:ascii="Arial" w:hAnsi="Arial"/>
      <w:b/>
      <w:bCs/>
      <w:color w:val="FF0000"/>
      <w:sz w:val="28"/>
      <w:szCs w:val="32"/>
    </w:rPr>
  </w:style>
  <w:style w:type="paragraph" w:customStyle="1" w:styleId="211">
    <w:name w:val="标题 60"/>
    <w:basedOn w:val="8"/>
    <w:qFormat/>
    <w:uiPriority w:val="0"/>
    <w:pPr>
      <w:spacing w:line="319" w:lineRule="auto"/>
      <w:ind w:firstLine="200"/>
    </w:pPr>
    <w:rPr>
      <w:b w:val="0"/>
      <w:bCs w:val="0"/>
    </w:rPr>
  </w:style>
  <w:style w:type="character" w:customStyle="1" w:styleId="212">
    <w:name w:val="标题 3 Char"/>
    <w:link w:val="5"/>
    <w:qFormat/>
    <w:uiPriority w:val="0"/>
    <w:rPr>
      <w:b/>
      <w:bCs/>
      <w:sz w:val="32"/>
      <w:szCs w:val="32"/>
    </w:rPr>
  </w:style>
  <w:style w:type="character" w:customStyle="1" w:styleId="213">
    <w:name w:val="正文缩进 Char"/>
    <w:link w:val="13"/>
    <w:qFormat/>
    <w:uiPriority w:val="0"/>
  </w:style>
  <w:style w:type="character" w:customStyle="1" w:styleId="214">
    <w:name w:val="标题 4 Char"/>
    <w:link w:val="6"/>
    <w:qFormat/>
    <w:uiPriority w:val="0"/>
    <w:rPr>
      <w:rFonts w:ascii="Arial" w:hAnsi="Arial" w:eastAsia="黑体"/>
      <w:b/>
      <w:bCs/>
      <w:sz w:val="28"/>
      <w:szCs w:val="28"/>
    </w:rPr>
  </w:style>
  <w:style w:type="character" w:customStyle="1" w:styleId="215">
    <w:name w:val="标题 9 Char"/>
    <w:link w:val="11"/>
    <w:qFormat/>
    <w:uiPriority w:val="0"/>
    <w:rPr>
      <w:rFonts w:ascii="Arial" w:hAnsi="Arial" w:eastAsia="黑体"/>
      <w:sz w:val="21"/>
      <w:szCs w:val="21"/>
    </w:rPr>
  </w:style>
  <w:style w:type="character" w:customStyle="1" w:styleId="216">
    <w:name w:val="文档结构图 Char1"/>
    <w:link w:val="15"/>
    <w:qFormat/>
    <w:uiPriority w:val="0"/>
    <w:rPr>
      <w:sz w:val="21"/>
      <w:szCs w:val="24"/>
      <w:shd w:val="clear" w:color="auto" w:fill="000080"/>
    </w:rPr>
  </w:style>
  <w:style w:type="character" w:customStyle="1" w:styleId="217">
    <w:name w:val="批注文字 Char"/>
    <w:link w:val="16"/>
    <w:qFormat/>
    <w:uiPriority w:val="99"/>
    <w:rPr>
      <w:sz w:val="24"/>
    </w:rPr>
  </w:style>
  <w:style w:type="character" w:customStyle="1" w:styleId="218">
    <w:name w:val="正文文本 3 Char"/>
    <w:link w:val="17"/>
    <w:qFormat/>
    <w:uiPriority w:val="0"/>
    <w:rPr>
      <w:sz w:val="24"/>
      <w:szCs w:val="24"/>
    </w:rPr>
  </w:style>
  <w:style w:type="character" w:customStyle="1" w:styleId="219">
    <w:name w:val="纯文本 Char1"/>
    <w:link w:val="21"/>
    <w:qFormat/>
    <w:uiPriority w:val="0"/>
    <w:rPr>
      <w:rFonts w:ascii="宋体" w:hAnsi="Courier New"/>
      <w:sz w:val="21"/>
    </w:rPr>
  </w:style>
  <w:style w:type="character" w:customStyle="1" w:styleId="220">
    <w:name w:val="批注框文本 Char"/>
    <w:link w:val="26"/>
    <w:qFormat/>
    <w:uiPriority w:val="0"/>
    <w:rPr>
      <w:sz w:val="18"/>
      <w:szCs w:val="18"/>
    </w:rPr>
  </w:style>
  <w:style w:type="character" w:customStyle="1" w:styleId="221">
    <w:name w:val="页脚 Char"/>
    <w:link w:val="27"/>
    <w:qFormat/>
    <w:uiPriority w:val="99"/>
    <w:rPr>
      <w:sz w:val="18"/>
      <w:szCs w:val="18"/>
    </w:rPr>
  </w:style>
  <w:style w:type="character" w:customStyle="1" w:styleId="222">
    <w:name w:val="页眉 Char"/>
    <w:link w:val="28"/>
    <w:qFormat/>
    <w:uiPriority w:val="99"/>
    <w:rPr>
      <w:sz w:val="18"/>
      <w:szCs w:val="18"/>
    </w:rPr>
  </w:style>
  <w:style w:type="character" w:customStyle="1" w:styleId="223">
    <w:name w:val="标题 Char"/>
    <w:link w:val="41"/>
    <w:qFormat/>
    <w:uiPriority w:val="0"/>
    <w:rPr>
      <w:rFonts w:ascii="Arial" w:hAnsi="Arial"/>
      <w:b/>
      <w:sz w:val="32"/>
    </w:rPr>
  </w:style>
  <w:style w:type="character" w:customStyle="1" w:styleId="224">
    <w:name w:val="批注主题 Char1"/>
    <w:link w:val="42"/>
    <w:qFormat/>
    <w:uiPriority w:val="0"/>
    <w:rPr>
      <w:b/>
      <w:bCs/>
      <w:sz w:val="21"/>
      <w:szCs w:val="24"/>
    </w:rPr>
  </w:style>
  <w:style w:type="character" w:customStyle="1" w:styleId="225">
    <w:name w:val="bd-close2"/>
    <w:qFormat/>
    <w:uiPriority w:val="0"/>
    <w:rPr>
      <w:vanish/>
    </w:rPr>
  </w:style>
  <w:style w:type="character" w:customStyle="1" w:styleId="226">
    <w:name w:val="left"/>
    <w:qFormat/>
    <w:uiPriority w:val="0"/>
    <w:rPr>
      <w:color w:val="FF4700"/>
    </w:rPr>
  </w:style>
  <w:style w:type="character" w:customStyle="1" w:styleId="227">
    <w:name w:val="first-child"/>
    <w:qFormat/>
    <w:uiPriority w:val="0"/>
  </w:style>
  <w:style w:type="character" w:customStyle="1" w:styleId="228">
    <w:name w:val="bd-close"/>
    <w:qFormat/>
    <w:uiPriority w:val="0"/>
    <w:rPr>
      <w:vanish/>
    </w:rPr>
  </w:style>
  <w:style w:type="character" w:customStyle="1" w:styleId="229">
    <w:name w:val="left2"/>
    <w:qFormat/>
    <w:uiPriority w:val="0"/>
    <w:rPr>
      <w:color w:val="FF4700"/>
    </w:rPr>
  </w:style>
  <w:style w:type="character" w:customStyle="1" w:styleId="230">
    <w:name w:val="edui-clickable2"/>
    <w:qFormat/>
    <w:uiPriority w:val="0"/>
    <w:rPr>
      <w:color w:val="0000FF"/>
      <w:u w:val="single"/>
    </w:rPr>
  </w:style>
  <w:style w:type="character" w:customStyle="1" w:styleId="231">
    <w:name w:val="Footer Char"/>
    <w:qFormat/>
    <w:uiPriority w:val="0"/>
    <w:rPr>
      <w:rFonts w:ascii="Calibri" w:hAnsi="Calibri" w:eastAsia="宋体"/>
      <w:sz w:val="18"/>
    </w:rPr>
  </w:style>
  <w:style w:type="character" w:customStyle="1" w:styleId="232">
    <w:name w:val="Header Char"/>
    <w:qFormat/>
    <w:uiPriority w:val="0"/>
    <w:rPr>
      <w:rFonts w:ascii="Calibri" w:hAnsi="Calibri" w:eastAsia="宋体"/>
      <w:sz w:val="18"/>
    </w:rPr>
  </w:style>
  <w:style w:type="character" w:customStyle="1" w:styleId="233">
    <w:name w:val="标题2 Char"/>
    <w:link w:val="234"/>
    <w:qFormat/>
    <w:uiPriority w:val="0"/>
    <w:rPr>
      <w:rFonts w:ascii="黑体" w:hAnsi="宋体" w:cs="黑体"/>
      <w:b/>
      <w:bCs/>
      <w:sz w:val="28"/>
      <w:szCs w:val="28"/>
    </w:rPr>
  </w:style>
  <w:style w:type="paragraph" w:customStyle="1" w:styleId="234">
    <w:name w:val="标题2"/>
    <w:basedOn w:val="6"/>
    <w:next w:val="1"/>
    <w:link w:val="233"/>
    <w:qFormat/>
    <w:uiPriority w:val="0"/>
    <w:pPr>
      <w:spacing w:before="0" w:after="0" w:line="360" w:lineRule="auto"/>
      <w:ind w:firstLine="397"/>
      <w:jc w:val="left"/>
    </w:pPr>
    <w:rPr>
      <w:rFonts w:ascii="黑体" w:hAnsi="宋体" w:eastAsia="宋体" w:cs="黑体"/>
    </w:rPr>
  </w:style>
  <w:style w:type="character" w:customStyle="1" w:styleId="235">
    <w:name w:val="中文正文、 Char Char"/>
    <w:link w:val="236"/>
    <w:qFormat/>
    <w:uiPriority w:val="0"/>
    <w:rPr>
      <w:sz w:val="21"/>
      <w:szCs w:val="21"/>
    </w:rPr>
  </w:style>
  <w:style w:type="paragraph" w:customStyle="1" w:styleId="236">
    <w:name w:val="中文正文、"/>
    <w:basedOn w:val="1"/>
    <w:link w:val="235"/>
    <w:qFormat/>
    <w:uiPriority w:val="0"/>
    <w:pPr>
      <w:spacing w:line="360" w:lineRule="auto"/>
      <w:ind w:firstLine="420"/>
    </w:pPr>
    <w:rPr>
      <w:szCs w:val="21"/>
    </w:rPr>
  </w:style>
  <w:style w:type="character" w:customStyle="1" w:styleId="237">
    <w:name w:val="批注主题 Char"/>
    <w:link w:val="238"/>
    <w:qFormat/>
    <w:uiPriority w:val="0"/>
    <w:rPr>
      <w:b/>
      <w:sz w:val="24"/>
    </w:rPr>
  </w:style>
  <w:style w:type="paragraph" w:customStyle="1" w:styleId="238">
    <w:name w:val="批注主题1"/>
    <w:basedOn w:val="16"/>
    <w:next w:val="16"/>
    <w:link w:val="237"/>
    <w:qFormat/>
    <w:uiPriority w:val="0"/>
    <w:pPr>
      <w:spacing w:line="240" w:lineRule="auto"/>
    </w:pPr>
    <w:rPr>
      <w:b/>
    </w:rPr>
  </w:style>
  <w:style w:type="character" w:customStyle="1" w:styleId="239">
    <w:name w:val="16"/>
    <w:qFormat/>
    <w:uiPriority w:val="0"/>
    <w:rPr>
      <w:rFonts w:hint="default" w:ascii="Times New Roman" w:hAnsi="Times New Roman" w:cs="Times New Roman"/>
    </w:rPr>
  </w:style>
  <w:style w:type="character" w:customStyle="1" w:styleId="240">
    <w:name w:val="封面标题 Char"/>
    <w:link w:val="241"/>
    <w:qFormat/>
    <w:uiPriority w:val="0"/>
    <w:rPr>
      <w:rFonts w:ascii="黑体" w:eastAsia="黑体"/>
      <w:sz w:val="52"/>
      <w:szCs w:val="52"/>
    </w:rPr>
  </w:style>
  <w:style w:type="paragraph" w:customStyle="1" w:styleId="241">
    <w:name w:val="封面标题"/>
    <w:basedOn w:val="1"/>
    <w:link w:val="240"/>
    <w:qFormat/>
    <w:uiPriority w:val="0"/>
    <w:pPr>
      <w:spacing w:line="276" w:lineRule="auto"/>
      <w:jc w:val="center"/>
    </w:pPr>
    <w:rPr>
      <w:rFonts w:ascii="黑体" w:eastAsia="黑体"/>
      <w:sz w:val="52"/>
      <w:szCs w:val="52"/>
    </w:rPr>
  </w:style>
  <w:style w:type="character" w:customStyle="1" w:styleId="242">
    <w:name w:val="edui-unclickable"/>
    <w:qFormat/>
    <w:uiPriority w:val="0"/>
    <w:rPr>
      <w:color w:val="808080"/>
    </w:rPr>
  </w:style>
  <w:style w:type="character" w:customStyle="1" w:styleId="243">
    <w:name w:val="15"/>
    <w:qFormat/>
    <w:uiPriority w:val="0"/>
    <w:rPr>
      <w:rFonts w:hint="eastAsia" w:ascii="宋体" w:hAnsi="宋体" w:eastAsia="宋体"/>
      <w:sz w:val="24"/>
      <w:szCs w:val="24"/>
    </w:rPr>
  </w:style>
  <w:style w:type="character" w:customStyle="1" w:styleId="244">
    <w:name w:val="封面副标题 Char"/>
    <w:link w:val="245"/>
    <w:qFormat/>
    <w:uiPriority w:val="0"/>
    <w:rPr>
      <w:rFonts w:ascii="黑体" w:eastAsia="黑体"/>
      <w:sz w:val="28"/>
      <w:szCs w:val="28"/>
    </w:rPr>
  </w:style>
  <w:style w:type="paragraph" w:customStyle="1" w:styleId="245">
    <w:name w:val="封面副标题"/>
    <w:basedOn w:val="1"/>
    <w:link w:val="244"/>
    <w:qFormat/>
    <w:uiPriority w:val="0"/>
    <w:pPr>
      <w:spacing w:line="276" w:lineRule="auto"/>
      <w:ind w:firstLine="199"/>
      <w:jc w:val="center"/>
    </w:pPr>
    <w:rPr>
      <w:rFonts w:ascii="黑体" w:eastAsia="黑体"/>
      <w:sz w:val="28"/>
      <w:szCs w:val="28"/>
    </w:rPr>
  </w:style>
  <w:style w:type="character" w:customStyle="1" w:styleId="246">
    <w:name w:val="文档结构图 Char"/>
    <w:link w:val="247"/>
    <w:qFormat/>
    <w:uiPriority w:val="0"/>
    <w:rPr>
      <w:rFonts w:ascii="宋体" w:hAnsi="Calibri"/>
      <w:sz w:val="18"/>
    </w:rPr>
  </w:style>
  <w:style w:type="paragraph" w:customStyle="1" w:styleId="247">
    <w:name w:val="文档结构图1"/>
    <w:basedOn w:val="1"/>
    <w:link w:val="246"/>
    <w:qFormat/>
    <w:uiPriority w:val="0"/>
    <w:rPr>
      <w:rFonts w:ascii="宋体" w:hAnsi="Calibri"/>
      <w:sz w:val="18"/>
      <w:szCs w:val="20"/>
    </w:rPr>
  </w:style>
  <w:style w:type="character" w:customStyle="1" w:styleId="248">
    <w:name w:val="纯文本 Char"/>
    <w:qFormat/>
    <w:uiPriority w:val="0"/>
    <w:rPr>
      <w:rFonts w:ascii="Calibri" w:hAnsi="Calibri" w:cs="Calibri"/>
    </w:rPr>
  </w:style>
  <w:style w:type="character" w:customStyle="1" w:styleId="249">
    <w:name w:val="font31"/>
    <w:qFormat/>
    <w:uiPriority w:val="0"/>
    <w:rPr>
      <w:rFonts w:hint="eastAsia" w:ascii="仿宋" w:hAnsi="仿宋" w:eastAsia="仿宋" w:cs="仿宋"/>
      <w:color w:val="000000"/>
      <w:sz w:val="20"/>
      <w:szCs w:val="20"/>
      <w:u w:val="none"/>
    </w:rPr>
  </w:style>
  <w:style w:type="character" w:customStyle="1" w:styleId="250">
    <w:name w:val="button"/>
    <w:qFormat/>
    <w:uiPriority w:val="0"/>
  </w:style>
  <w:style w:type="character" w:customStyle="1" w:styleId="251">
    <w:name w:val="bd-open"/>
    <w:qFormat/>
    <w:uiPriority w:val="0"/>
  </w:style>
  <w:style w:type="character" w:customStyle="1" w:styleId="252">
    <w:name w:val="tmpztreemove_arrow"/>
    <w:qFormat/>
    <w:uiPriority w:val="0"/>
  </w:style>
  <w:style w:type="character" w:customStyle="1" w:styleId="253">
    <w:name w:val="Comment Text Char"/>
    <w:qFormat/>
    <w:uiPriority w:val="0"/>
    <w:rPr>
      <w:rFonts w:ascii="Times New Roman" w:hAnsi="Times New Roman" w:eastAsia="宋体"/>
      <w:sz w:val="24"/>
    </w:rPr>
  </w:style>
  <w:style w:type="character" w:customStyle="1" w:styleId="254">
    <w:name w:val="A表格文字 Char"/>
    <w:link w:val="255"/>
    <w:qFormat/>
    <w:uiPriority w:val="0"/>
    <w:rPr>
      <w:rFonts w:ascii="宋体" w:hAnsi="宋体"/>
      <w:sz w:val="21"/>
    </w:rPr>
  </w:style>
  <w:style w:type="paragraph" w:customStyle="1" w:styleId="255">
    <w:name w:val="A表格文字"/>
    <w:basedOn w:val="1"/>
    <w:link w:val="254"/>
    <w:qFormat/>
    <w:uiPriority w:val="0"/>
    <w:pPr>
      <w:spacing w:before="40" w:after="40"/>
      <w:jc w:val="left"/>
    </w:pPr>
    <w:rPr>
      <w:rFonts w:ascii="宋体" w:hAnsi="宋体"/>
      <w:szCs w:val="20"/>
    </w:rPr>
  </w:style>
  <w:style w:type="character" w:customStyle="1" w:styleId="256">
    <w:name w:val="layui-layer-tabnow"/>
    <w:qFormat/>
    <w:uiPriority w:val="0"/>
    <w:rPr>
      <w:shd w:val="clear" w:color="auto" w:fill="FFFFFF"/>
    </w:rPr>
  </w:style>
  <w:style w:type="character" w:customStyle="1" w:styleId="257">
    <w:name w:val="批注文字 Char2"/>
    <w:qFormat/>
    <w:uiPriority w:val="99"/>
    <w:rPr>
      <w:sz w:val="21"/>
    </w:rPr>
  </w:style>
  <w:style w:type="character" w:customStyle="1" w:styleId="258">
    <w:name w:val="bd-open2"/>
    <w:qFormat/>
    <w:uiPriority w:val="0"/>
  </w:style>
  <w:style w:type="character" w:customStyle="1" w:styleId="259">
    <w:name w:val="font51"/>
    <w:qFormat/>
    <w:uiPriority w:val="0"/>
    <w:rPr>
      <w:rFonts w:hint="eastAsia" w:ascii="仿宋" w:hAnsi="仿宋" w:eastAsia="仿宋" w:cs="仿宋"/>
      <w:b/>
      <w:bCs/>
      <w:color w:val="000000"/>
      <w:sz w:val="21"/>
      <w:szCs w:val="21"/>
      <w:u w:val="none"/>
    </w:rPr>
  </w:style>
  <w:style w:type="character" w:customStyle="1" w:styleId="260">
    <w:name w:val="列出段落 Char"/>
    <w:link w:val="261"/>
    <w:qFormat/>
    <w:uiPriority w:val="0"/>
    <w:rPr>
      <w:rFonts w:cs="Calibri"/>
      <w:sz w:val="21"/>
      <w:szCs w:val="24"/>
    </w:rPr>
  </w:style>
  <w:style w:type="paragraph" w:styleId="261">
    <w:name w:val="List Paragraph"/>
    <w:basedOn w:val="1"/>
    <w:link w:val="260"/>
    <w:qFormat/>
    <w:uiPriority w:val="0"/>
    <w:pPr>
      <w:ind w:firstLine="420"/>
    </w:pPr>
    <w:rPr>
      <w:rFonts w:ascii="Calibri" w:hAnsi="Calibri" w:cs="Calibri"/>
    </w:rPr>
  </w:style>
  <w:style w:type="character" w:customStyle="1" w:styleId="262">
    <w:name w:val="Title Char"/>
    <w:qFormat/>
    <w:uiPriority w:val="0"/>
    <w:rPr>
      <w:rFonts w:ascii="Cambria" w:hAnsi="Cambria" w:eastAsia="宋体"/>
      <w:b/>
      <w:sz w:val="32"/>
    </w:rPr>
  </w:style>
  <w:style w:type="character" w:customStyle="1" w:styleId="263">
    <w:name w:val="批注文字 Char1"/>
    <w:qFormat/>
    <w:uiPriority w:val="0"/>
    <w:rPr>
      <w:sz w:val="21"/>
    </w:rPr>
  </w:style>
  <w:style w:type="character" w:customStyle="1" w:styleId="264">
    <w:name w:val="彩色列表 - 强调文字颜色 1 Char"/>
    <w:link w:val="265"/>
    <w:qFormat/>
    <w:uiPriority w:val="34"/>
    <w:rPr>
      <w:rFonts w:ascii="Calibri" w:hAnsi="Calibri"/>
      <w:sz w:val="21"/>
      <w:szCs w:val="22"/>
    </w:rPr>
  </w:style>
  <w:style w:type="paragraph" w:customStyle="1" w:styleId="265">
    <w:name w:val="彩色列表 - 强调文字颜色 11"/>
    <w:basedOn w:val="1"/>
    <w:link w:val="264"/>
    <w:qFormat/>
    <w:uiPriority w:val="34"/>
    <w:pPr>
      <w:ind w:firstLine="420"/>
    </w:pPr>
    <w:rPr>
      <w:rFonts w:ascii="Calibri" w:hAnsi="Calibri"/>
      <w:szCs w:val="22"/>
    </w:rPr>
  </w:style>
  <w:style w:type="character" w:customStyle="1" w:styleId="266">
    <w:name w:val="列出段落 字符"/>
    <w:qFormat/>
    <w:uiPriority w:val="34"/>
    <w:rPr>
      <w:sz w:val="21"/>
      <w:szCs w:val="24"/>
    </w:rPr>
  </w:style>
  <w:style w:type="character" w:customStyle="1" w:styleId="267">
    <w:name w:val="批注引用1"/>
    <w:qFormat/>
    <w:uiPriority w:val="0"/>
    <w:rPr>
      <w:sz w:val="21"/>
    </w:rPr>
  </w:style>
  <w:style w:type="character" w:customStyle="1" w:styleId="268">
    <w:name w:val="Balloon Text Char"/>
    <w:qFormat/>
    <w:uiPriority w:val="0"/>
    <w:rPr>
      <w:rFonts w:ascii="Calibri" w:hAnsi="Calibri" w:eastAsia="宋体"/>
      <w:sz w:val="18"/>
    </w:rPr>
  </w:style>
  <w:style w:type="character" w:customStyle="1" w:styleId="269">
    <w:name w:val="A表格文字左对齐 Char"/>
    <w:link w:val="270"/>
    <w:qFormat/>
    <w:uiPriority w:val="0"/>
    <w:rPr>
      <w:rFonts w:ascii="宋体" w:hAnsi="宋体"/>
      <w:sz w:val="21"/>
    </w:rPr>
  </w:style>
  <w:style w:type="paragraph" w:customStyle="1" w:styleId="270">
    <w:name w:val="A表格文字左对齐"/>
    <w:basedOn w:val="1"/>
    <w:link w:val="269"/>
    <w:qFormat/>
    <w:uiPriority w:val="0"/>
    <w:pPr>
      <w:spacing w:before="40" w:after="4"/>
      <w:jc w:val="left"/>
    </w:pPr>
    <w:rPr>
      <w:rFonts w:ascii="宋体" w:hAnsi="宋体"/>
      <w:szCs w:val="20"/>
    </w:rPr>
  </w:style>
  <w:style w:type="character" w:customStyle="1" w:styleId="271">
    <w:name w:val="font11"/>
    <w:qFormat/>
    <w:uiPriority w:val="0"/>
    <w:rPr>
      <w:rFonts w:hint="eastAsia" w:ascii="仿宋" w:hAnsi="仿宋" w:eastAsia="仿宋" w:cs="仿宋"/>
      <w:color w:val="FF0000"/>
      <w:sz w:val="20"/>
      <w:szCs w:val="20"/>
      <w:u w:val="none"/>
      <w:lang w:val="en-US" w:eastAsia="zh-CN" w:bidi="ar-SA"/>
    </w:rPr>
  </w:style>
  <w:style w:type="character" w:customStyle="1" w:styleId="272">
    <w:name w:val="right"/>
    <w:qFormat/>
    <w:uiPriority w:val="0"/>
  </w:style>
  <w:style w:type="character" w:customStyle="1" w:styleId="273">
    <w:name w:val="批注文字 字符"/>
    <w:qFormat/>
    <w:uiPriority w:val="99"/>
    <w:rPr>
      <w:sz w:val="21"/>
    </w:rPr>
  </w:style>
  <w:style w:type="character" w:customStyle="1" w:styleId="274">
    <w:name w:val="font21"/>
    <w:qFormat/>
    <w:uiPriority w:val="0"/>
    <w:rPr>
      <w:rFonts w:hint="default" w:ascii="仿宋_GB2312" w:hAnsi="宋体" w:eastAsia="仿宋_GB2312" w:cs="仿宋_GB2312"/>
      <w:color w:val="FF0000"/>
      <w:sz w:val="24"/>
      <w:szCs w:val="24"/>
      <w:u w:val="none"/>
    </w:rPr>
  </w:style>
  <w:style w:type="character" w:customStyle="1" w:styleId="275">
    <w:name w:val="日期 Char"/>
    <w:link w:val="276"/>
    <w:qFormat/>
    <w:uiPriority w:val="0"/>
    <w:rPr>
      <w:rFonts w:ascii="Calibri" w:hAnsi="Calibri"/>
    </w:rPr>
  </w:style>
  <w:style w:type="paragraph" w:customStyle="1" w:styleId="276">
    <w:name w:val="日期1"/>
    <w:basedOn w:val="1"/>
    <w:next w:val="1"/>
    <w:link w:val="275"/>
    <w:qFormat/>
    <w:uiPriority w:val="0"/>
    <w:pPr>
      <w:ind w:left="100"/>
    </w:pPr>
    <w:rPr>
      <w:rFonts w:ascii="Calibri" w:hAnsi="Calibri"/>
      <w:sz w:val="20"/>
      <w:szCs w:val="20"/>
    </w:rPr>
  </w:style>
  <w:style w:type="character" w:customStyle="1" w:styleId="277">
    <w:name w:val="封面合同编号 Char"/>
    <w:link w:val="278"/>
    <w:qFormat/>
    <w:uiPriority w:val="0"/>
    <w:rPr>
      <w:rFonts w:ascii="Calibri" w:hAnsi="Calibri"/>
      <w:sz w:val="21"/>
      <w:szCs w:val="22"/>
    </w:rPr>
  </w:style>
  <w:style w:type="paragraph" w:customStyle="1" w:styleId="278">
    <w:name w:val="封面合同编号"/>
    <w:basedOn w:val="1"/>
    <w:link w:val="277"/>
    <w:qFormat/>
    <w:uiPriority w:val="0"/>
    <w:pPr>
      <w:spacing w:line="276" w:lineRule="auto"/>
      <w:ind w:right="1701"/>
      <w:jc w:val="right"/>
    </w:pPr>
    <w:rPr>
      <w:rFonts w:ascii="Calibri" w:hAnsi="Calibri"/>
      <w:szCs w:val="22"/>
    </w:rPr>
  </w:style>
  <w:style w:type="paragraph" w:customStyle="1" w:styleId="279">
    <w:name w:val="_Style 124"/>
    <w:unhideWhenUsed/>
    <w:qFormat/>
    <w:uiPriority w:val="99"/>
    <w:rPr>
      <w:rFonts w:hint="default" w:ascii="Times New Roman" w:hAnsi="Times New Roman" w:eastAsia="宋体" w:cs="Times New Roman"/>
      <w:sz w:val="21"/>
      <w:szCs w:val="24"/>
      <w:lang w:val="en-US" w:eastAsia="zh-CN" w:bidi="ar-SA"/>
    </w:rPr>
  </w:style>
  <w:style w:type="paragraph" w:customStyle="1" w:styleId="280">
    <w:name w:val="1正文"/>
    <w:basedOn w:val="1"/>
    <w:qFormat/>
    <w:uiPriority w:val="0"/>
    <w:pPr>
      <w:spacing w:line="560" w:lineRule="exact"/>
      <w:ind w:firstLine="200"/>
    </w:pPr>
    <w:rPr>
      <w:rFonts w:eastAsia="Cambria Math"/>
      <w:sz w:val="32"/>
    </w:rPr>
  </w:style>
  <w:style w:type="paragraph" w:customStyle="1" w:styleId="281">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82">
    <w:name w:val="无间隔1"/>
    <w:qFormat/>
    <w:uiPriority w:val="1"/>
    <w:rPr>
      <w:rFonts w:hint="default" w:ascii="Times New Roman" w:hAnsi="Times New Roman" w:eastAsia="宋体" w:cs="Times New Roman"/>
      <w:sz w:val="22"/>
      <w:lang w:val="en-US" w:eastAsia="zh-CN" w:bidi="ar-SA"/>
    </w:rPr>
  </w:style>
  <w:style w:type="paragraph" w:customStyle="1" w:styleId="283">
    <w:name w:val="表格正文"/>
    <w:basedOn w:val="1"/>
    <w:qFormat/>
    <w:uiPriority w:val="0"/>
    <w:pPr>
      <w:widowControl/>
      <w:spacing w:line="300" w:lineRule="auto"/>
      <w:jc w:val="left"/>
    </w:pPr>
    <w:rPr>
      <w:rFonts w:ascii="Calibri" w:hAnsi="Calibri"/>
      <w:sz w:val="24"/>
    </w:rPr>
  </w:style>
  <w:style w:type="paragraph" w:customStyle="1" w:styleId="284">
    <w:name w:val="_Style 129"/>
    <w:basedOn w:val="1"/>
    <w:next w:val="1"/>
    <w:qFormat/>
    <w:uiPriority w:val="0"/>
    <w:pPr>
      <w:pBdr>
        <w:top w:val="single" w:color="000000" w:sz="6" w:space="1"/>
      </w:pBdr>
      <w:jc w:val="center"/>
    </w:pPr>
    <w:rPr>
      <w:rFonts w:ascii="Arial"/>
      <w:vanish/>
      <w:sz w:val="16"/>
    </w:rPr>
  </w:style>
  <w:style w:type="paragraph" w:customStyle="1" w:styleId="285">
    <w:name w:val="text-only"/>
    <w:basedOn w:val="1"/>
    <w:qFormat/>
    <w:uiPriority w:val="0"/>
    <w:pPr>
      <w:spacing w:after="300" w:line="420" w:lineRule="atLeast"/>
      <w:jc w:val="left"/>
    </w:pPr>
  </w:style>
  <w:style w:type="paragraph" w:customStyle="1" w:styleId="286">
    <w:name w:val="Level 2"/>
    <w:basedOn w:val="1"/>
    <w:qFormat/>
    <w:uiPriority w:val="0"/>
    <w:rPr>
      <w:rFonts w:ascii="Calibri" w:hAnsi="Calibri"/>
      <w:szCs w:val="22"/>
    </w:rPr>
  </w:style>
  <w:style w:type="paragraph" w:customStyle="1" w:styleId="287">
    <w:name w:val="列出段落2"/>
    <w:basedOn w:val="1"/>
    <w:qFormat/>
    <w:uiPriority w:val="0"/>
    <w:pPr>
      <w:ind w:firstLine="420"/>
    </w:pPr>
    <w:rPr>
      <w:rFonts w:ascii="Calibri" w:hAnsi="Calibri"/>
      <w:szCs w:val="22"/>
    </w:rPr>
  </w:style>
  <w:style w:type="paragraph" w:customStyle="1" w:styleId="288">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289">
    <w:name w:val="样式 样式 首行缩进:  2 字符1 + 首行缩进:  2 字符"/>
    <w:basedOn w:val="290"/>
    <w:qFormat/>
    <w:uiPriority w:val="0"/>
    <w:pPr>
      <w:ind w:firstLine="480"/>
    </w:pPr>
  </w:style>
  <w:style w:type="paragraph" w:customStyle="1" w:styleId="290">
    <w:name w:val="样式 首行缩进:  2 字符1"/>
    <w:basedOn w:val="1"/>
    <w:qFormat/>
    <w:uiPriority w:val="0"/>
    <w:pPr>
      <w:spacing w:line="360" w:lineRule="auto"/>
      <w:ind w:firstLine="200"/>
    </w:pPr>
    <w:rPr>
      <w:sz w:val="24"/>
      <w:szCs w:val="20"/>
    </w:rPr>
  </w:style>
  <w:style w:type="paragraph" w:customStyle="1" w:styleId="291">
    <w:name w:val="正文文本 32"/>
    <w:basedOn w:val="1"/>
    <w:qFormat/>
    <w:uiPriority w:val="0"/>
    <w:pPr>
      <w:spacing w:line="312" w:lineRule="auto"/>
    </w:pPr>
    <w:rPr>
      <w:rFonts w:ascii="宋体"/>
      <w:sz w:val="24"/>
      <w:szCs w:val="20"/>
    </w:rPr>
  </w:style>
  <w:style w:type="paragraph" w:customStyle="1" w:styleId="292">
    <w:name w:val="xl88"/>
    <w:basedOn w:val="1"/>
    <w:qFormat/>
    <w:uiPriority w:val="0"/>
    <w:pPr>
      <w:widowControl/>
      <w:pBdr>
        <w:bottom w:val="single" w:color="000000" w:sz="4" w:space="0"/>
      </w:pBdr>
      <w:spacing w:before="100" w:beforeAutospacing="1" w:after="100" w:afterAutospacing="1"/>
      <w:jc w:val="center"/>
    </w:pPr>
    <w:rPr>
      <w:rFonts w:hint="eastAsia" w:ascii="楷体_GB2312" w:hAnsi="Arial Unicode MS" w:eastAsia="楷体_GB2312"/>
      <w:sz w:val="24"/>
    </w:rPr>
  </w:style>
  <w:style w:type="paragraph" w:customStyle="1" w:styleId="293">
    <w:name w:val="正文文本 31"/>
    <w:basedOn w:val="1"/>
    <w:qFormat/>
    <w:uiPriority w:val="0"/>
    <w:rPr>
      <w:rFonts w:ascii="宋体"/>
      <w:sz w:val="24"/>
    </w:rPr>
  </w:style>
  <w:style w:type="paragraph" w:customStyle="1" w:styleId="294">
    <w:name w:val="Level 4"/>
    <w:basedOn w:val="1"/>
    <w:qFormat/>
    <w:uiPriority w:val="0"/>
    <w:pPr>
      <w:tabs>
        <w:tab w:val="left" w:pos="2440"/>
      </w:tabs>
      <w:ind w:left="2041" w:hanging="765"/>
    </w:pPr>
    <w:rPr>
      <w:rFonts w:ascii="Calibri" w:hAnsi="Calibri"/>
      <w:szCs w:val="22"/>
    </w:rPr>
  </w:style>
  <w:style w:type="paragraph" w:customStyle="1" w:styleId="295">
    <w:name w:val="1"/>
    <w:basedOn w:val="1"/>
    <w:next w:val="24"/>
    <w:qFormat/>
    <w:uiPriority w:val="0"/>
    <w:pPr>
      <w:tabs>
        <w:tab w:val="left" w:pos="3060"/>
      </w:tabs>
      <w:spacing w:line="140" w:lineRule="atLeast"/>
      <w:ind w:firstLine="560"/>
    </w:pPr>
    <w:rPr>
      <w:sz w:val="28"/>
    </w:rPr>
  </w:style>
  <w:style w:type="paragraph" w:customStyle="1" w:styleId="296">
    <w:name w:val="样式 左侧:  0.74 厘米1"/>
    <w:basedOn w:val="1"/>
    <w:qFormat/>
    <w:uiPriority w:val="0"/>
    <w:pPr>
      <w:ind w:left="620" w:hanging="200"/>
    </w:pPr>
    <w:rPr>
      <w:szCs w:val="20"/>
    </w:rPr>
  </w:style>
  <w:style w:type="paragraph" w:customStyle="1" w:styleId="297">
    <w:name w:val="Char1"/>
    <w:basedOn w:val="1"/>
    <w:qFormat/>
    <w:uiPriority w:val="0"/>
    <w:pPr>
      <w:widowControl/>
      <w:spacing w:after="160" w:line="240" w:lineRule="exact"/>
      <w:jc w:val="left"/>
    </w:pPr>
    <w:rPr>
      <w:rFonts w:ascii="Verdana" w:hAnsi="Verdana"/>
      <w:sz w:val="20"/>
      <w:szCs w:val="20"/>
      <w:lang w:eastAsia="en-US"/>
    </w:rPr>
  </w:style>
  <w:style w:type="paragraph" w:customStyle="1" w:styleId="298">
    <w:name w:val="样式 四号 首行缩进:  1厘米 行距: 1.5 倍行距"/>
    <w:basedOn w:val="1"/>
    <w:qFormat/>
    <w:uiPriority w:val="0"/>
    <w:pPr>
      <w:spacing w:line="360" w:lineRule="auto"/>
      <w:ind w:firstLine="570"/>
    </w:pPr>
    <w:rPr>
      <w:sz w:val="28"/>
      <w:szCs w:val="20"/>
    </w:rPr>
  </w:style>
  <w:style w:type="paragraph" w:customStyle="1" w:styleId="299">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300">
    <w:name w:val="TOC 标题1"/>
    <w:basedOn w:val="3"/>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301">
    <w:name w:val="样式1"/>
    <w:basedOn w:val="1"/>
    <w:qFormat/>
    <w:uiPriority w:val="0"/>
    <w:pPr>
      <w:numPr>
        <w:ilvl w:val="0"/>
        <w:numId w:val="3"/>
      </w:numPr>
      <w:spacing w:line="360" w:lineRule="auto"/>
      <w:ind w:left="1253" w:hanging="680"/>
    </w:pPr>
    <w:rPr>
      <w:sz w:val="28"/>
      <w:szCs w:val="28"/>
    </w:rPr>
  </w:style>
  <w:style w:type="paragraph" w:customStyle="1" w:styleId="302">
    <w:name w:val="Level 1"/>
    <w:basedOn w:val="1"/>
    <w:qFormat/>
    <w:uiPriority w:val="0"/>
    <w:rPr>
      <w:rFonts w:ascii="Calibri" w:hAnsi="Calibri"/>
      <w:szCs w:val="22"/>
    </w:rPr>
  </w:style>
  <w:style w:type="paragraph" w:customStyle="1" w:styleId="303">
    <w:name w:val="p16"/>
    <w:basedOn w:val="1"/>
    <w:qFormat/>
    <w:uiPriority w:val="0"/>
    <w:pPr>
      <w:widowControl/>
    </w:pPr>
    <w:rPr>
      <w:rFonts w:ascii="宋体" w:hAnsi="宋体"/>
      <w:sz w:val="24"/>
      <w:szCs w:val="20"/>
    </w:rPr>
  </w:style>
  <w:style w:type="paragraph" w:customStyle="1" w:styleId="304">
    <w:name w:val="List Paragraph1"/>
    <w:basedOn w:val="1"/>
    <w:qFormat/>
    <w:uiPriority w:val="34"/>
    <w:pPr>
      <w:ind w:firstLine="420"/>
    </w:pPr>
  </w:style>
  <w:style w:type="paragraph" w:customStyle="1" w:styleId="305">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06">
    <w:name w:val="_Style 1"/>
    <w:basedOn w:val="1"/>
    <w:qFormat/>
    <w:uiPriority w:val="34"/>
    <w:pPr>
      <w:ind w:firstLine="420"/>
    </w:pPr>
    <w:rPr>
      <w:szCs w:val="20"/>
    </w:rPr>
  </w:style>
  <w:style w:type="paragraph" w:customStyle="1" w:styleId="307">
    <w:name w:val="标题4"/>
    <w:basedOn w:val="1"/>
    <w:qFormat/>
    <w:uiPriority w:val="0"/>
    <w:pPr>
      <w:spacing w:before="156" w:after="156"/>
      <w:jc w:val="left"/>
    </w:pPr>
    <w:rPr>
      <w:rFonts w:eastAsia="黑体"/>
      <w:b/>
      <w:sz w:val="30"/>
    </w:rPr>
  </w:style>
  <w:style w:type="paragraph" w:customStyle="1" w:styleId="308">
    <w:name w:val="Default"/>
    <w:qFormat/>
    <w:uiPriority w:val="0"/>
    <w:pPr>
      <w:widowControl w:val="0"/>
    </w:pPr>
    <w:rPr>
      <w:rFonts w:hint="default" w:ascii="Arial Unicode MS" w:hAnsi="Times New Roman" w:eastAsia="Arial Unicode MS" w:cs="Arial Unicode MS"/>
      <w:color w:val="000000"/>
      <w:sz w:val="24"/>
      <w:szCs w:val="24"/>
      <w:lang w:val="en-US" w:eastAsia="zh-CN" w:bidi="ar-SA"/>
    </w:rPr>
  </w:style>
  <w:style w:type="paragraph" w:customStyle="1" w:styleId="309">
    <w:name w:val="列出段落1"/>
    <w:basedOn w:val="1"/>
    <w:qFormat/>
    <w:uiPriority w:val="34"/>
    <w:pPr>
      <w:ind w:firstLine="420"/>
    </w:pPr>
    <w:rPr>
      <w:rFonts w:ascii="Calibri" w:hAnsi="Calibri" w:cs="Calibri"/>
      <w:szCs w:val="21"/>
    </w:rPr>
  </w:style>
  <w:style w:type="paragraph" w:customStyle="1" w:styleId="310">
    <w:name w:val="p0"/>
    <w:basedOn w:val="1"/>
    <w:qFormat/>
    <w:uiPriority w:val="0"/>
    <w:pPr>
      <w:widowControl/>
    </w:pPr>
    <w:rPr>
      <w:szCs w:val="21"/>
    </w:rPr>
  </w:style>
  <w:style w:type="paragraph" w:customStyle="1" w:styleId="311">
    <w:name w:val="Char Char Char Char Char Char Char Char Char Char Char Char Char"/>
    <w:basedOn w:val="1"/>
    <w:qFormat/>
    <w:uiPriority w:val="0"/>
    <w:pPr>
      <w:spacing w:line="360" w:lineRule="auto"/>
      <w:ind w:firstLine="200"/>
    </w:pPr>
    <w:rPr>
      <w:rFonts w:eastAsia="仿宋_GB2312"/>
      <w:sz w:val="24"/>
    </w:rPr>
  </w:style>
  <w:style w:type="paragraph" w:customStyle="1" w:styleId="312">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313">
    <w:name w:val="修订1"/>
    <w:semiHidden/>
    <w:qFormat/>
    <w:uiPriority w:val="0"/>
    <w:rPr>
      <w:rFonts w:hint="default" w:ascii="Times New Roman" w:hAnsi="Times New Roman" w:eastAsia="宋体" w:cs="Times New Roman"/>
      <w:sz w:val="21"/>
      <w:szCs w:val="22"/>
      <w:lang w:val="en-US" w:eastAsia="zh-CN" w:bidi="ar-SA"/>
    </w:rPr>
  </w:style>
  <w:style w:type="paragraph" w:customStyle="1" w:styleId="314">
    <w:name w:val="_Style 12"/>
    <w:basedOn w:val="1"/>
    <w:next w:val="18"/>
    <w:qFormat/>
    <w:uiPriority w:val="0"/>
    <w:pPr>
      <w:spacing w:line="360" w:lineRule="auto"/>
      <w:ind w:firstLine="540"/>
    </w:pPr>
    <w:rPr>
      <w:sz w:val="28"/>
      <w:szCs w:val="20"/>
    </w:rPr>
  </w:style>
  <w:style w:type="paragraph" w:customStyle="1" w:styleId="315">
    <w:name w:val="_Style 160"/>
    <w:basedOn w:val="1"/>
    <w:next w:val="261"/>
    <w:qFormat/>
    <w:uiPriority w:val="0"/>
    <w:pPr>
      <w:pBdr>
        <w:bottom w:val="single" w:color="000000" w:sz="6" w:space="1"/>
      </w:pBdr>
      <w:jc w:val="center"/>
    </w:pPr>
    <w:rPr>
      <w:rFonts w:ascii="Arial"/>
      <w:vanish/>
      <w:sz w:val="16"/>
    </w:rPr>
  </w:style>
  <w:style w:type="paragraph" w:customStyle="1" w:styleId="316">
    <w:name w:val="Level 5"/>
    <w:basedOn w:val="1"/>
    <w:qFormat/>
    <w:uiPriority w:val="0"/>
    <w:pPr>
      <w:tabs>
        <w:tab w:val="left" w:pos="2552"/>
      </w:tabs>
      <w:ind w:left="2552" w:hanging="567"/>
    </w:pPr>
    <w:rPr>
      <w:rFonts w:ascii="Calibri" w:hAnsi="Calibri"/>
      <w:szCs w:val="22"/>
    </w:rPr>
  </w:style>
  <w:style w:type="paragraph" w:customStyle="1" w:styleId="317">
    <w:name w:val="样式 标题 2 +"/>
    <w:basedOn w:val="4"/>
    <w:qFormat/>
    <w:uiPriority w:val="0"/>
    <w:pPr>
      <w:tabs>
        <w:tab w:val="left" w:pos="652"/>
      </w:tabs>
      <w:spacing w:before="260" w:after="260" w:line="416" w:lineRule="auto"/>
      <w:ind w:left="567" w:hanging="567"/>
      <w:jc w:val="both"/>
    </w:pPr>
    <w:rPr>
      <w:rFonts w:eastAsia="黑体"/>
      <w:color w:val="auto"/>
      <w:sz w:val="24"/>
    </w:rPr>
  </w:style>
  <w:style w:type="paragraph" w:customStyle="1" w:styleId="318">
    <w:name w:val="_Style 246"/>
    <w:basedOn w:val="1"/>
    <w:next w:val="304"/>
    <w:qFormat/>
    <w:uiPriority w:val="34"/>
    <w:pPr>
      <w:ind w:firstLine="420"/>
    </w:pPr>
    <w:rPr>
      <w:szCs w:val="20"/>
    </w:rPr>
  </w:style>
  <w:style w:type="paragraph" w:customStyle="1" w:styleId="319">
    <w:name w:val="列出段落11"/>
    <w:basedOn w:val="1"/>
    <w:qFormat/>
    <w:uiPriority w:val="0"/>
    <w:pPr>
      <w:ind w:firstLine="420"/>
    </w:pPr>
    <w:rPr>
      <w:rFonts w:ascii="Calibri" w:hAnsi="Calibri"/>
      <w:szCs w:val="22"/>
    </w:rPr>
  </w:style>
  <w:style w:type="paragraph" w:customStyle="1" w:styleId="320">
    <w:name w:val="Char Char Char"/>
    <w:basedOn w:val="1"/>
    <w:qFormat/>
    <w:uiPriority w:val="0"/>
  </w:style>
  <w:style w:type="paragraph" w:customStyle="1" w:styleId="321">
    <w:name w:val="表格首行"/>
    <w:basedOn w:val="1"/>
    <w:qFormat/>
    <w:uiPriority w:val="0"/>
    <w:pPr>
      <w:widowControl/>
      <w:jc w:val="center"/>
    </w:pPr>
    <w:rPr>
      <w:rFonts w:hint="eastAsia" w:ascii="宋体" w:hAnsi="宋体"/>
      <w:sz w:val="24"/>
    </w:rPr>
  </w:style>
  <w:style w:type="paragraph" w:customStyle="1" w:styleId="322">
    <w:name w:val="Level 3"/>
    <w:basedOn w:val="1"/>
    <w:qFormat/>
    <w:uiPriority w:val="0"/>
    <w:pPr>
      <w:tabs>
        <w:tab w:val="left" w:pos="2808"/>
      </w:tabs>
      <w:ind w:left="2808" w:hanging="681"/>
    </w:pPr>
    <w:rPr>
      <w:rFonts w:ascii="Calibri" w:hAnsi="Calibri"/>
      <w:szCs w:val="22"/>
    </w:rPr>
  </w:style>
  <w:style w:type="paragraph" w:customStyle="1" w:styleId="323">
    <w:name w:val="_Style 168"/>
    <w:basedOn w:val="3"/>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324">
    <w:name w:val="彩色底纹 - 强调文字颜色 11"/>
    <w:semiHidden/>
    <w:qFormat/>
    <w:uiPriority w:val="99"/>
    <w:rPr>
      <w:rFonts w:hint="default" w:ascii="Times New Roman" w:hAnsi="Times New Roman" w:eastAsia="宋体" w:cs="Times New Roman"/>
      <w:sz w:val="21"/>
      <w:szCs w:val="22"/>
      <w:lang w:val="en-US" w:eastAsia="zh-CN" w:bidi="ar-SA"/>
    </w:rPr>
  </w:style>
  <w:style w:type="paragraph" w:customStyle="1" w:styleId="325">
    <w:name w:val="Char Char Char Char"/>
    <w:basedOn w:val="1"/>
    <w:qFormat/>
    <w:uiPriority w:val="0"/>
    <w:pPr>
      <w:tabs>
        <w:tab w:val="left" w:pos="360"/>
      </w:tabs>
    </w:pPr>
    <w:rPr>
      <w:szCs w:val="20"/>
    </w:rPr>
  </w:style>
  <w:style w:type="paragraph" w:customStyle="1" w:styleId="326">
    <w:name w:val="Heading 2 + 宋体"/>
    <w:basedOn w:val="3"/>
    <w:qFormat/>
    <w:uiPriority w:val="0"/>
    <w:pPr>
      <w:keepLines w:val="0"/>
      <w:widowControl/>
      <w:tabs>
        <w:tab w:val="left" w:pos="1515"/>
      </w:tabs>
      <w:spacing w:before="130" w:after="120" w:line="280" w:lineRule="atLeast"/>
      <w:jc w:val="left"/>
    </w:pPr>
    <w:rPr>
      <w:bCs w:val="0"/>
      <w:sz w:val="28"/>
      <w:szCs w:val="28"/>
      <w:lang w:val="en-GB"/>
    </w:rPr>
  </w:style>
  <w:style w:type="paragraph" w:customStyle="1" w:styleId="327">
    <w:name w:val="Level 6"/>
    <w:basedOn w:val="1"/>
    <w:qFormat/>
    <w:uiPriority w:val="0"/>
    <w:pPr>
      <w:tabs>
        <w:tab w:val="left" w:pos="3289"/>
      </w:tabs>
      <w:ind w:left="3289" w:hanging="681"/>
    </w:pPr>
    <w:rPr>
      <w:rFonts w:ascii="Calibri" w:hAnsi="Calibri"/>
      <w:szCs w:val="22"/>
    </w:rPr>
  </w:style>
  <w:style w:type="paragraph" w:customStyle="1" w:styleId="328">
    <w:name w:val="正文文本 33"/>
    <w:basedOn w:val="1"/>
    <w:qFormat/>
    <w:uiPriority w:val="0"/>
    <w:rPr>
      <w:rFonts w:ascii="宋体"/>
      <w:sz w:val="24"/>
    </w:rPr>
  </w:style>
  <w:style w:type="character" w:customStyle="1" w:styleId="329">
    <w:name w:val="正文缩进 字符1"/>
    <w:qFormat/>
    <w:uiPriority w:val="0"/>
  </w:style>
  <w:style w:type="paragraph" w:customStyle="1" w:styleId="330">
    <w:name w:val="Char"/>
    <w:basedOn w:val="1"/>
    <w:qFormat/>
    <w:uiPriority w:val="0"/>
    <w:rPr>
      <w:szCs w:val="20"/>
    </w:rPr>
  </w:style>
  <w:style w:type="character" w:customStyle="1" w:styleId="331">
    <w:name w:val="font41"/>
    <w:basedOn w:val="46"/>
    <w:qFormat/>
    <w:uiPriority w:val="0"/>
    <w:rPr>
      <w:rFonts w:hint="eastAsia" w:ascii="仿宋" w:hAnsi="仿宋" w:eastAsia="仿宋" w:cs="仿宋"/>
      <w:color w:val="000000"/>
      <w:sz w:val="21"/>
      <w:szCs w:val="21"/>
      <w:u w:val="none"/>
    </w:rPr>
  </w:style>
  <w:style w:type="character" w:customStyle="1" w:styleId="332">
    <w:name w:val="font71"/>
    <w:basedOn w:val="46"/>
    <w:qFormat/>
    <w:uiPriority w:val="0"/>
    <w:rPr>
      <w:rFonts w:hint="eastAsia" w:ascii="仿宋" w:hAnsi="仿宋" w:eastAsia="仿宋" w:cs="仿宋"/>
      <w:color w:val="000000"/>
      <w:sz w:val="20"/>
      <w:szCs w:val="20"/>
      <w:u w:val="none"/>
    </w:rPr>
  </w:style>
  <w:style w:type="character" w:customStyle="1" w:styleId="333">
    <w:name w:val="font81"/>
    <w:basedOn w:val="46"/>
    <w:qFormat/>
    <w:uiPriority w:val="0"/>
    <w:rPr>
      <w:rFonts w:hint="eastAsia" w:ascii="仿宋" w:hAnsi="仿宋" w:eastAsia="仿宋" w:cs="仿宋"/>
      <w:color w:val="0000FF"/>
      <w:sz w:val="20"/>
      <w:szCs w:val="20"/>
      <w:u w:val="none"/>
    </w:rPr>
  </w:style>
  <w:style w:type="character" w:customStyle="1" w:styleId="334">
    <w:name w:val="font61"/>
    <w:basedOn w:val="46"/>
    <w:qFormat/>
    <w:uiPriority w:val="0"/>
    <w:rPr>
      <w:rFonts w:hint="eastAsia" w:ascii="仿宋" w:hAnsi="仿宋" w:eastAsia="仿宋" w:cs="仿宋"/>
      <w:color w:val="0000FF"/>
      <w:sz w:val="21"/>
      <w:szCs w:val="21"/>
      <w:u w:val="none"/>
    </w:rPr>
  </w:style>
  <w:style w:type="paragraph" w:customStyle="1" w:styleId="335">
    <w:name w:val="正文文本 34"/>
    <w:basedOn w:val="1"/>
    <w:qFormat/>
    <w:uiPriority w:val="0"/>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ScaleCrop>false</ScaleCrop>
  <LinksUpToDate>false</LinksUpToDate>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2025-05-13T09:09:00Z</dcterms:created>
  <dc:creator>ssz</dc:creator>
  <cp:lastModifiedBy>廖淑芳</cp:lastModifiedBy>
  <dcterms:modified xsi:type="dcterms:W3CDTF">2025-06-13T06:24:02Z</dcterms:modified>
  <dc:title>山西医科大学第一医院住院楼土建施工及安装工程招标文件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D3ACF701D4C8446B82E4D31B6787B113</vt:lpwstr>
  </property>
</Properties>
</file>