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A63AE">
      <w:pPr>
        <w:keepNext/>
        <w:keepLines/>
        <w:widowControl w:val="0"/>
        <w:spacing w:before="0" w:after="0" w:line="480" w:lineRule="auto"/>
        <w:jc w:val="center"/>
        <w:outlineLvl w:val="0"/>
        <w:rPr>
          <w:rFonts w:hint="eastAsia" w:ascii="宋体" w:hAnsi="宋体" w:eastAsia="宋体" w:cs="宋体"/>
          <w:b/>
          <w:color w:val="auto"/>
          <w:kern w:val="44"/>
          <w:sz w:val="28"/>
          <w:lang w:val="en-US" w:eastAsia="zh-CN" w:bidi="ar-SA"/>
        </w:rPr>
      </w:pPr>
      <w:r>
        <w:rPr>
          <w:rFonts w:hint="eastAsia" w:ascii="宋体" w:hAnsi="宋体" w:eastAsia="宋体" w:cs="宋体"/>
          <w:b/>
          <w:color w:val="auto"/>
          <w:kern w:val="44"/>
          <w:sz w:val="28"/>
          <w:lang w:val="en-US" w:eastAsia="zh-CN" w:bidi="ar-SA"/>
        </w:rPr>
        <w:t>人保财险湖南怀化市分公司劳务外包服务采购项目（第二次）招标公告</w:t>
      </w:r>
    </w:p>
    <w:p w14:paraId="169C6EB7">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szCs w:val="24"/>
          <w:lang w:val="en-US" w:eastAsia="zh-CN" w:bidi="ar-SA"/>
        </w:rPr>
      </w:pPr>
      <w:bookmarkStart w:id="0" w:name="_Toc25200"/>
      <w:bookmarkStart w:id="1" w:name="_Toc24950"/>
      <w:bookmarkStart w:id="2" w:name="_Toc10131"/>
      <w:bookmarkStart w:id="3" w:name="_Toc13923"/>
      <w:bookmarkStart w:id="4" w:name="_Toc23271"/>
      <w:bookmarkStart w:id="5" w:name="_Toc65682913"/>
      <w:bookmarkStart w:id="6" w:name="_Toc109124223"/>
      <w:r>
        <w:rPr>
          <w:rFonts w:hint="eastAsia" w:ascii="宋体" w:hAnsi="宋体" w:eastAsia="宋体" w:cs="宋体"/>
          <w:b/>
          <w:color w:val="auto"/>
          <w:kern w:val="2"/>
          <w:sz w:val="24"/>
          <w:szCs w:val="24"/>
          <w:lang w:val="en-US" w:eastAsia="zh-CN" w:bidi="ar-SA"/>
        </w:rPr>
        <w:t>一、</w:t>
      </w:r>
      <w:bookmarkEnd w:id="0"/>
      <w:bookmarkEnd w:id="1"/>
      <w:bookmarkEnd w:id="2"/>
      <w:r>
        <w:rPr>
          <w:rFonts w:hint="eastAsia" w:ascii="宋体" w:hAnsi="宋体" w:eastAsia="宋体" w:cs="宋体"/>
          <w:b/>
          <w:color w:val="auto"/>
          <w:kern w:val="2"/>
          <w:sz w:val="24"/>
          <w:szCs w:val="24"/>
          <w:lang w:val="en-US" w:eastAsia="zh-CN" w:bidi="ar-SA"/>
        </w:rPr>
        <w:t>招标条件</w:t>
      </w:r>
      <w:bookmarkEnd w:id="3"/>
      <w:bookmarkEnd w:id="4"/>
      <w:bookmarkEnd w:id="5"/>
      <w:bookmarkEnd w:id="6"/>
    </w:p>
    <w:p w14:paraId="409A383C">
      <w:pPr>
        <w:wordWrap w:val="0"/>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本招标项目</w:t>
      </w:r>
      <w:r>
        <w:rPr>
          <w:rFonts w:hint="eastAsia" w:ascii="宋体" w:hAnsi="宋体" w:eastAsia="宋体" w:cs="宋体"/>
          <w:snapToGrid/>
          <w:color w:val="auto"/>
          <w:w w:val="100"/>
          <w:kern w:val="2"/>
          <w:sz w:val="24"/>
          <w:szCs w:val="24"/>
          <w:u w:val="single"/>
          <w:lang w:eastAsia="zh-CN"/>
        </w:rPr>
        <w:t>人保财险湖南怀化市分公司劳务外包服务采购项目（第二次）</w:t>
      </w:r>
      <w:r>
        <w:rPr>
          <w:rFonts w:hint="eastAsia" w:ascii="宋体" w:hAnsi="宋体" w:eastAsia="宋体" w:cs="宋体"/>
          <w:snapToGrid/>
          <w:color w:val="auto"/>
          <w:w w:val="100"/>
          <w:kern w:val="2"/>
          <w:sz w:val="24"/>
          <w:szCs w:val="24"/>
        </w:rPr>
        <w:t>（</w:t>
      </w:r>
      <w:r>
        <w:rPr>
          <w:rFonts w:hint="eastAsia" w:ascii="宋体" w:hAnsi="宋体" w:eastAsia="宋体" w:cs="宋体"/>
          <w:snapToGrid/>
          <w:color w:val="auto"/>
          <w:w w:val="100"/>
          <w:kern w:val="2"/>
          <w:sz w:val="24"/>
          <w:szCs w:val="20"/>
        </w:rPr>
        <w:t>招</w:t>
      </w:r>
      <w:bookmarkStart w:id="38" w:name="_GoBack"/>
      <w:bookmarkEnd w:id="38"/>
      <w:r>
        <w:rPr>
          <w:rFonts w:hint="eastAsia" w:ascii="宋体" w:hAnsi="宋体" w:eastAsia="宋体" w:cs="宋体"/>
          <w:snapToGrid/>
          <w:color w:val="auto"/>
          <w:w w:val="100"/>
          <w:kern w:val="2"/>
          <w:sz w:val="24"/>
          <w:szCs w:val="20"/>
        </w:rPr>
        <w:t>标代理</w:t>
      </w:r>
      <w:r>
        <w:rPr>
          <w:rFonts w:hint="eastAsia" w:ascii="宋体" w:hAnsi="宋体" w:eastAsia="宋体" w:cs="宋体"/>
          <w:snapToGrid/>
          <w:color w:val="auto"/>
          <w:w w:val="100"/>
          <w:kern w:val="2"/>
          <w:sz w:val="24"/>
          <w:szCs w:val="24"/>
        </w:rPr>
        <w:t>项目编号：</w:t>
      </w:r>
      <w:r>
        <w:rPr>
          <w:rFonts w:hint="eastAsia" w:ascii="宋体" w:hAnsi="宋体" w:eastAsia="宋体" w:cs="宋体"/>
          <w:snapToGrid/>
          <w:color w:val="auto"/>
          <w:w w:val="100"/>
          <w:kern w:val="2"/>
          <w:sz w:val="24"/>
          <w:szCs w:val="24"/>
          <w:lang w:eastAsia="zh-CN"/>
        </w:rPr>
        <w:t>HNZJC2025-FW(2)-076</w:t>
      </w:r>
      <w:r>
        <w:rPr>
          <w:rFonts w:hint="eastAsia" w:ascii="宋体" w:hAnsi="宋体" w:eastAsia="宋体" w:cs="宋体"/>
          <w:snapToGrid/>
          <w:color w:val="auto"/>
          <w:w w:val="100"/>
          <w:kern w:val="2"/>
          <w:sz w:val="24"/>
          <w:szCs w:val="24"/>
        </w:rPr>
        <w:t xml:space="preserve"> ）</w:t>
      </w:r>
      <w:bookmarkStart w:id="7" w:name="_Hlk69906010"/>
      <w:r>
        <w:rPr>
          <w:rFonts w:hint="eastAsia" w:ascii="宋体" w:hAnsi="宋体" w:eastAsia="宋体" w:cs="宋体"/>
          <w:snapToGrid/>
          <w:color w:val="auto"/>
          <w:w w:val="100"/>
          <w:kern w:val="2"/>
          <w:sz w:val="24"/>
          <w:szCs w:val="24"/>
        </w:rPr>
        <w:t>由</w:t>
      </w:r>
      <w:r>
        <w:rPr>
          <w:rFonts w:hint="eastAsia" w:ascii="宋体" w:hAnsi="宋体" w:eastAsia="宋体" w:cs="宋体"/>
          <w:snapToGrid/>
          <w:color w:val="auto"/>
          <w:w w:val="100"/>
          <w:kern w:val="2"/>
          <w:sz w:val="24"/>
          <w:szCs w:val="24"/>
          <w:u w:val="single"/>
          <w:lang w:eastAsia="zh-CN"/>
        </w:rPr>
        <w:t>中国人民财产保险股份有限公司怀化市分公司</w:t>
      </w:r>
      <w:r>
        <w:rPr>
          <w:rFonts w:hint="eastAsia" w:ascii="宋体" w:hAnsi="宋体" w:eastAsia="宋体" w:cs="宋体"/>
          <w:snapToGrid/>
          <w:color w:val="auto"/>
          <w:w w:val="100"/>
          <w:kern w:val="2"/>
          <w:sz w:val="24"/>
          <w:szCs w:val="24"/>
        </w:rPr>
        <w:t>（以下简称“招标人”）批准并落实资金，组织本项目的相关招标工作，采购合同由</w:t>
      </w:r>
      <w:r>
        <w:rPr>
          <w:rFonts w:hint="eastAsia" w:ascii="宋体" w:hAnsi="宋体" w:eastAsia="宋体" w:cs="宋体"/>
          <w:snapToGrid/>
          <w:color w:val="auto"/>
          <w:w w:val="100"/>
          <w:kern w:val="2"/>
          <w:sz w:val="24"/>
          <w:szCs w:val="24"/>
          <w:u w:val="single"/>
          <w:lang w:eastAsia="zh-CN"/>
        </w:rPr>
        <w:t>中国人民财产保险股份有限公司怀化市分公司</w:t>
      </w:r>
      <w:r>
        <w:rPr>
          <w:rFonts w:hint="eastAsia" w:ascii="宋体" w:hAnsi="宋体" w:eastAsia="宋体" w:cs="宋体"/>
          <w:snapToGrid/>
          <w:color w:val="auto"/>
          <w:w w:val="100"/>
          <w:kern w:val="2"/>
          <w:sz w:val="24"/>
          <w:szCs w:val="24"/>
        </w:rPr>
        <w:t>（以下简称“招标人”）根据中标结果与中标人签署。</w:t>
      </w:r>
      <w:bookmarkEnd w:id="7"/>
      <w:r>
        <w:rPr>
          <w:rFonts w:hint="eastAsia" w:ascii="宋体" w:hAnsi="宋体" w:eastAsia="宋体" w:cs="宋体"/>
          <w:snapToGrid/>
          <w:color w:val="auto"/>
          <w:w w:val="100"/>
          <w:kern w:val="2"/>
          <w:sz w:val="24"/>
          <w:szCs w:val="24"/>
        </w:rPr>
        <w:t>现委托</w:t>
      </w:r>
      <w:r>
        <w:rPr>
          <w:rFonts w:hint="eastAsia" w:ascii="宋体" w:hAnsi="宋体" w:eastAsia="宋体" w:cs="宋体"/>
          <w:snapToGrid/>
          <w:color w:val="auto"/>
          <w:w w:val="100"/>
          <w:kern w:val="2"/>
          <w:sz w:val="24"/>
          <w:szCs w:val="24"/>
          <w:u w:val="single"/>
        </w:rPr>
        <w:t xml:space="preserve"> </w:t>
      </w:r>
      <w:r>
        <w:rPr>
          <w:rFonts w:hint="eastAsia" w:ascii="宋体" w:hAnsi="宋体" w:eastAsia="宋体" w:cs="宋体"/>
          <w:snapToGrid/>
          <w:color w:val="auto"/>
          <w:w w:val="100"/>
          <w:kern w:val="2"/>
          <w:sz w:val="24"/>
          <w:szCs w:val="24"/>
          <w:u w:val="single"/>
          <w:lang w:val="en-US" w:eastAsia="zh-CN"/>
        </w:rPr>
        <w:t>中技建设咨询有限公司</w:t>
      </w:r>
      <w:r>
        <w:rPr>
          <w:rFonts w:hint="eastAsia" w:ascii="宋体" w:hAnsi="宋体" w:eastAsia="宋体" w:cs="宋体"/>
          <w:snapToGrid/>
          <w:color w:val="auto"/>
          <w:w w:val="100"/>
          <w:kern w:val="2"/>
          <w:sz w:val="24"/>
          <w:szCs w:val="24"/>
          <w:u w:val="single"/>
        </w:rPr>
        <w:t xml:space="preserve"> </w:t>
      </w:r>
      <w:r>
        <w:rPr>
          <w:rFonts w:hint="eastAsia" w:ascii="宋体" w:hAnsi="宋体" w:eastAsia="宋体" w:cs="宋体"/>
          <w:snapToGrid/>
          <w:color w:val="auto"/>
          <w:w w:val="100"/>
          <w:kern w:val="2"/>
          <w:sz w:val="24"/>
          <w:szCs w:val="24"/>
        </w:rPr>
        <w:t>（以下简称“招标代理机构”）进行公开招标，有意向且具有提供标的物能力的潜在投标人（以下简称“投标人”）可前来投标。</w:t>
      </w:r>
    </w:p>
    <w:p w14:paraId="30E82258">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szCs w:val="24"/>
          <w:lang w:val="en-US" w:eastAsia="zh-CN" w:bidi="ar-SA"/>
        </w:rPr>
      </w:pPr>
      <w:bookmarkStart w:id="8" w:name="_Toc30531"/>
      <w:bookmarkStart w:id="9" w:name="_Toc65682914"/>
      <w:bookmarkStart w:id="10" w:name="_Toc109124224"/>
      <w:bookmarkStart w:id="11" w:name="_Toc18478"/>
      <w:r>
        <w:rPr>
          <w:rFonts w:hint="eastAsia" w:ascii="宋体" w:hAnsi="宋体" w:eastAsia="宋体" w:cs="宋体"/>
          <w:b/>
          <w:color w:val="auto"/>
          <w:kern w:val="2"/>
          <w:sz w:val="24"/>
          <w:szCs w:val="24"/>
          <w:lang w:val="en-US" w:eastAsia="zh-CN" w:bidi="ar-SA"/>
        </w:rPr>
        <w:t>二、项目概况与招标范围</w:t>
      </w:r>
      <w:bookmarkEnd w:id="8"/>
      <w:bookmarkEnd w:id="9"/>
      <w:bookmarkEnd w:id="10"/>
      <w:bookmarkEnd w:id="11"/>
    </w:p>
    <w:p w14:paraId="46439E8F">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2.1项目名称：</w:t>
      </w:r>
      <w:r>
        <w:rPr>
          <w:rFonts w:hint="eastAsia" w:ascii="宋体" w:hAnsi="宋体" w:eastAsia="宋体" w:cs="宋体"/>
          <w:snapToGrid/>
          <w:color w:val="auto"/>
          <w:w w:val="100"/>
          <w:kern w:val="2"/>
          <w:sz w:val="24"/>
          <w:szCs w:val="24"/>
          <w:lang w:eastAsia="zh-CN"/>
        </w:rPr>
        <w:t>人保财险湖南怀化市分公司劳务外包服务采购项目（第二次）</w:t>
      </w:r>
    </w:p>
    <w:p w14:paraId="38A1AD3D">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2.2招标范围：本项目选定</w:t>
      </w:r>
      <w:r>
        <w:rPr>
          <w:rFonts w:hint="eastAsia" w:ascii="宋体" w:hAnsi="宋体" w:eastAsia="宋体" w:cs="宋体"/>
          <w:snapToGrid/>
          <w:color w:val="auto"/>
          <w:w w:val="100"/>
          <w:kern w:val="2"/>
          <w:sz w:val="24"/>
          <w:szCs w:val="24"/>
          <w:lang w:val="en-US" w:eastAsia="zh-CN"/>
        </w:rPr>
        <w:t>2</w:t>
      </w:r>
      <w:r>
        <w:rPr>
          <w:rFonts w:hint="eastAsia" w:ascii="宋体" w:hAnsi="宋体" w:eastAsia="宋体" w:cs="宋体"/>
          <w:snapToGrid/>
          <w:color w:val="auto"/>
          <w:w w:val="100"/>
          <w:kern w:val="2"/>
          <w:sz w:val="24"/>
          <w:szCs w:val="24"/>
        </w:rPr>
        <w:t>家供应商，为</w:t>
      </w:r>
      <w:r>
        <w:rPr>
          <w:rFonts w:hint="eastAsia" w:ascii="宋体" w:hAnsi="宋体" w:eastAsia="宋体" w:cs="宋体"/>
          <w:snapToGrid/>
          <w:color w:val="auto"/>
          <w:w w:val="100"/>
          <w:kern w:val="2"/>
          <w:sz w:val="24"/>
          <w:szCs w:val="24"/>
          <w:lang w:val="en-US" w:eastAsia="zh-CN"/>
        </w:rPr>
        <w:t>招标人</w:t>
      </w:r>
      <w:r>
        <w:rPr>
          <w:rFonts w:hint="eastAsia" w:ascii="宋体" w:hAnsi="宋体" w:eastAsia="宋体" w:cs="宋体"/>
          <w:snapToGrid/>
          <w:color w:val="auto"/>
          <w:w w:val="100"/>
          <w:kern w:val="2"/>
          <w:sz w:val="24"/>
          <w:szCs w:val="24"/>
        </w:rPr>
        <w:t>提供周期为</w:t>
      </w:r>
      <w:r>
        <w:rPr>
          <w:rFonts w:hint="eastAsia" w:ascii="宋体" w:hAnsi="宋体" w:eastAsia="宋体" w:cs="宋体"/>
          <w:snapToGrid/>
          <w:color w:val="auto"/>
          <w:w w:val="100"/>
          <w:kern w:val="2"/>
          <w:sz w:val="24"/>
          <w:szCs w:val="24"/>
          <w:lang w:val="en-US" w:eastAsia="zh-CN"/>
        </w:rPr>
        <w:t>1</w:t>
      </w:r>
      <w:r>
        <w:rPr>
          <w:rFonts w:hint="eastAsia" w:ascii="宋体" w:hAnsi="宋体" w:eastAsia="宋体" w:cs="宋体"/>
          <w:snapToGrid/>
          <w:color w:val="auto"/>
          <w:w w:val="100"/>
          <w:kern w:val="2"/>
          <w:sz w:val="24"/>
          <w:szCs w:val="24"/>
        </w:rPr>
        <w:t>年的</w:t>
      </w:r>
      <w:r>
        <w:rPr>
          <w:rFonts w:hint="eastAsia" w:ascii="宋体" w:hAnsi="宋体" w:eastAsia="宋体" w:cs="宋体"/>
          <w:snapToGrid/>
          <w:color w:val="auto"/>
          <w:w w:val="100"/>
          <w:kern w:val="2"/>
          <w:sz w:val="24"/>
          <w:szCs w:val="24"/>
          <w:lang w:val="en-US" w:eastAsia="zh-CN"/>
        </w:rPr>
        <w:t>劳务外包</w:t>
      </w:r>
      <w:r>
        <w:rPr>
          <w:rFonts w:hint="eastAsia" w:ascii="宋体" w:hAnsi="宋体" w:eastAsia="宋体" w:cs="宋体"/>
          <w:snapToGrid/>
          <w:color w:val="auto"/>
          <w:w w:val="100"/>
          <w:kern w:val="2"/>
          <w:sz w:val="24"/>
          <w:szCs w:val="24"/>
        </w:rPr>
        <w:t>服务。本项目采购</w:t>
      </w:r>
      <w:r>
        <w:rPr>
          <w:rFonts w:hint="eastAsia" w:ascii="宋体" w:hAnsi="宋体" w:eastAsia="宋体" w:cs="宋体"/>
          <w:snapToGrid/>
          <w:color w:val="auto"/>
          <w:w w:val="100"/>
          <w:kern w:val="2"/>
          <w:sz w:val="24"/>
          <w:szCs w:val="24"/>
          <w:lang w:val="en-US" w:eastAsia="zh-CN"/>
        </w:rPr>
        <w:t>2</w:t>
      </w:r>
      <w:r>
        <w:rPr>
          <w:rFonts w:hint="eastAsia" w:ascii="宋体" w:hAnsi="宋体" w:eastAsia="宋体" w:cs="宋体"/>
          <w:snapToGrid/>
          <w:color w:val="auto"/>
          <w:w w:val="100"/>
          <w:kern w:val="2"/>
          <w:sz w:val="24"/>
          <w:szCs w:val="24"/>
        </w:rPr>
        <w:t>家供应商。若符合资质供应商达到</w:t>
      </w:r>
      <w:r>
        <w:rPr>
          <w:rFonts w:hint="eastAsia" w:ascii="宋体" w:hAnsi="宋体" w:eastAsia="宋体" w:cs="宋体"/>
          <w:snapToGrid/>
          <w:color w:val="auto"/>
          <w:w w:val="100"/>
          <w:kern w:val="2"/>
          <w:sz w:val="24"/>
          <w:szCs w:val="24"/>
          <w:lang w:val="en-US" w:eastAsia="zh-CN"/>
        </w:rPr>
        <w:t>4</w:t>
      </w:r>
      <w:r>
        <w:rPr>
          <w:rFonts w:hint="eastAsia" w:ascii="宋体" w:hAnsi="宋体" w:eastAsia="宋体" w:cs="宋体"/>
          <w:snapToGrid/>
          <w:color w:val="auto"/>
          <w:w w:val="100"/>
          <w:kern w:val="2"/>
          <w:sz w:val="24"/>
          <w:szCs w:val="24"/>
        </w:rPr>
        <w:t>家（含）及以上，则入围</w:t>
      </w:r>
      <w:r>
        <w:rPr>
          <w:rFonts w:hint="eastAsia" w:ascii="宋体" w:hAnsi="宋体" w:eastAsia="宋体" w:cs="宋体"/>
          <w:snapToGrid/>
          <w:color w:val="auto"/>
          <w:w w:val="100"/>
          <w:kern w:val="2"/>
          <w:sz w:val="24"/>
          <w:szCs w:val="24"/>
          <w:lang w:val="en-US" w:eastAsia="zh-CN"/>
        </w:rPr>
        <w:t>2</w:t>
      </w:r>
      <w:r>
        <w:rPr>
          <w:rFonts w:hint="eastAsia" w:ascii="宋体" w:hAnsi="宋体" w:eastAsia="宋体" w:cs="宋体"/>
          <w:snapToGrid/>
          <w:color w:val="auto"/>
          <w:w w:val="100"/>
          <w:kern w:val="2"/>
          <w:sz w:val="24"/>
          <w:szCs w:val="24"/>
        </w:rPr>
        <w:t>家供应商；若符合资质供应商未达到</w:t>
      </w:r>
      <w:r>
        <w:rPr>
          <w:rFonts w:hint="eastAsia" w:ascii="宋体" w:hAnsi="宋体" w:eastAsia="宋体" w:cs="宋体"/>
          <w:snapToGrid/>
          <w:color w:val="auto"/>
          <w:w w:val="100"/>
          <w:kern w:val="2"/>
          <w:sz w:val="24"/>
          <w:szCs w:val="24"/>
          <w:lang w:val="en-US" w:eastAsia="zh-CN"/>
        </w:rPr>
        <w:t>4</w:t>
      </w:r>
      <w:r>
        <w:rPr>
          <w:rFonts w:hint="eastAsia" w:ascii="宋体" w:hAnsi="宋体" w:eastAsia="宋体" w:cs="宋体"/>
          <w:snapToGrid/>
          <w:color w:val="auto"/>
          <w:w w:val="100"/>
          <w:kern w:val="2"/>
          <w:sz w:val="24"/>
          <w:szCs w:val="24"/>
        </w:rPr>
        <w:t>家，则重新采购。</w:t>
      </w:r>
    </w:p>
    <w:p w14:paraId="4547F4A1">
      <w:pPr>
        <w:spacing w:line="360" w:lineRule="auto"/>
        <w:ind w:firstLine="480" w:firstLineChars="200"/>
        <w:textAlignment w:val="baseline"/>
        <w:rPr>
          <w:rFonts w:hint="eastAsia" w:ascii="宋体" w:hAnsi="宋体" w:eastAsia="宋体" w:cs="宋体"/>
          <w:snapToGrid/>
          <w:color w:val="auto"/>
          <w:w w:val="100"/>
          <w:kern w:val="0"/>
          <w:sz w:val="24"/>
          <w:szCs w:val="24"/>
          <w:lang w:bidi="ar"/>
        </w:rPr>
      </w:pPr>
      <w:r>
        <w:rPr>
          <w:rFonts w:hint="eastAsia" w:ascii="宋体" w:hAnsi="宋体" w:eastAsia="宋体" w:cs="宋体"/>
          <w:snapToGrid/>
          <w:color w:val="auto"/>
          <w:w w:val="100"/>
          <w:kern w:val="2"/>
          <w:sz w:val="24"/>
          <w:szCs w:val="24"/>
        </w:rPr>
        <w:t>具体内容及要求见招标文件</w:t>
      </w:r>
      <w:r>
        <w:rPr>
          <w:rFonts w:hint="eastAsia" w:ascii="宋体" w:hAnsi="宋体" w:eastAsia="宋体" w:cs="宋体"/>
          <w:b/>
          <w:bCs/>
          <w:snapToGrid/>
          <w:color w:val="auto"/>
          <w:w w:val="100"/>
          <w:kern w:val="2"/>
          <w:sz w:val="24"/>
          <w:szCs w:val="24"/>
        </w:rPr>
        <w:t>第五章技术规范书</w:t>
      </w:r>
      <w:r>
        <w:rPr>
          <w:rFonts w:hint="eastAsia" w:ascii="宋体" w:hAnsi="宋体" w:eastAsia="宋体" w:cs="宋体"/>
          <w:snapToGrid/>
          <w:color w:val="auto"/>
          <w:w w:val="100"/>
          <w:kern w:val="0"/>
          <w:sz w:val="24"/>
          <w:szCs w:val="24"/>
          <w:lang w:bidi="ar"/>
        </w:rPr>
        <w:t>。</w:t>
      </w:r>
    </w:p>
    <w:p w14:paraId="684BB3A7">
      <w:pPr>
        <w:spacing w:line="360" w:lineRule="auto"/>
        <w:ind w:firstLine="480" w:firstLineChars="200"/>
        <w:textAlignment w:val="baseline"/>
        <w:rPr>
          <w:rFonts w:hint="eastAsia" w:ascii="宋体" w:hAnsi="宋体" w:eastAsia="宋体" w:cs="宋体"/>
          <w:snapToGrid/>
          <w:color w:val="auto"/>
          <w:w w:val="100"/>
          <w:kern w:val="2"/>
          <w:sz w:val="24"/>
          <w:szCs w:val="24"/>
        </w:rPr>
      </w:pPr>
      <w:bookmarkStart w:id="12" w:name="_Hlk69456893"/>
      <w:r>
        <w:rPr>
          <w:rFonts w:hint="eastAsia" w:ascii="宋体" w:hAnsi="宋体" w:eastAsia="宋体" w:cs="宋体"/>
          <w:snapToGrid/>
          <w:color w:val="auto"/>
          <w:w w:val="100"/>
          <w:kern w:val="2"/>
          <w:sz w:val="24"/>
          <w:szCs w:val="24"/>
        </w:rPr>
        <w:t>2.3项目性质：服务。</w:t>
      </w:r>
    </w:p>
    <w:p w14:paraId="560CD116">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2.4标包划分：本项目不划分标包</w:t>
      </w:r>
      <w:r>
        <w:rPr>
          <w:rFonts w:hint="eastAsia" w:ascii="宋体" w:hAnsi="宋体" w:eastAsia="宋体" w:cs="宋体"/>
          <w:snapToGrid/>
          <w:color w:val="auto"/>
          <w:w w:val="100"/>
          <w:kern w:val="2"/>
          <w:sz w:val="24"/>
          <w:szCs w:val="24"/>
          <w:lang w:eastAsia="zh-CN"/>
        </w:rPr>
        <w:t>，</w:t>
      </w:r>
      <w:r>
        <w:rPr>
          <w:rFonts w:hint="eastAsia" w:ascii="宋体" w:hAnsi="宋体" w:eastAsia="宋体" w:cs="宋体"/>
          <w:snapToGrid/>
          <w:color w:val="auto"/>
          <w:w w:val="100"/>
          <w:kern w:val="2"/>
          <w:sz w:val="24"/>
          <w:szCs w:val="24"/>
        </w:rPr>
        <w:t>情况如下：</w:t>
      </w:r>
    </w:p>
    <w:tbl>
      <w:tblPr>
        <w:tblStyle w:val="5"/>
        <w:tblW w:w="4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0"/>
        <w:gridCol w:w="2763"/>
        <w:gridCol w:w="2599"/>
        <w:gridCol w:w="1488"/>
      </w:tblGrid>
      <w:tr w14:paraId="4AD3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vAlign w:val="center"/>
          </w:tcPr>
          <w:p w14:paraId="66632E75">
            <w:pPr>
              <w:widowControl/>
              <w:spacing w:line="240" w:lineRule="auto"/>
              <w:jc w:val="center"/>
              <w:rPr>
                <w:rFonts w:hint="eastAsia" w:ascii="宋体" w:hAnsi="宋体" w:eastAsia="宋体" w:cs="宋体"/>
                <w:b/>
                <w:bCs/>
                <w:snapToGrid/>
                <w:color w:val="auto"/>
                <w:w w:val="100"/>
                <w:kern w:val="0"/>
                <w:sz w:val="24"/>
                <w:szCs w:val="24"/>
              </w:rPr>
            </w:pPr>
            <w:r>
              <w:rPr>
                <w:rFonts w:hint="eastAsia" w:ascii="宋体" w:hAnsi="宋体" w:eastAsia="宋体" w:cs="宋体"/>
                <w:b/>
                <w:bCs/>
                <w:snapToGrid/>
                <w:color w:val="auto"/>
                <w:w w:val="100"/>
                <w:kern w:val="0"/>
                <w:sz w:val="24"/>
                <w:szCs w:val="24"/>
              </w:rPr>
              <w:t>标包号</w:t>
            </w:r>
          </w:p>
        </w:tc>
        <w:tc>
          <w:tcPr>
            <w:tcW w:w="1743" w:type="pct"/>
            <w:vAlign w:val="center"/>
          </w:tcPr>
          <w:p w14:paraId="274B61F2">
            <w:pPr>
              <w:widowControl/>
              <w:spacing w:line="240" w:lineRule="auto"/>
              <w:jc w:val="center"/>
              <w:rPr>
                <w:rFonts w:hint="eastAsia" w:ascii="宋体" w:hAnsi="宋体" w:eastAsia="宋体" w:cs="宋体"/>
                <w:b/>
                <w:bCs/>
                <w:snapToGrid/>
                <w:color w:val="auto"/>
                <w:w w:val="100"/>
                <w:kern w:val="2"/>
                <w:sz w:val="24"/>
                <w:szCs w:val="24"/>
              </w:rPr>
            </w:pPr>
            <w:r>
              <w:rPr>
                <w:rFonts w:hint="eastAsia" w:ascii="宋体" w:hAnsi="宋体" w:eastAsia="宋体" w:cs="宋体"/>
                <w:b/>
                <w:bCs/>
                <w:snapToGrid/>
                <w:color w:val="auto"/>
                <w:w w:val="100"/>
                <w:kern w:val="0"/>
                <w:sz w:val="24"/>
                <w:szCs w:val="24"/>
              </w:rPr>
              <w:t>标包名称</w:t>
            </w:r>
          </w:p>
        </w:tc>
        <w:tc>
          <w:tcPr>
            <w:tcW w:w="1640" w:type="pct"/>
            <w:vAlign w:val="center"/>
          </w:tcPr>
          <w:p w14:paraId="6A8BB4C3">
            <w:pPr>
              <w:widowControl/>
              <w:spacing w:line="240" w:lineRule="auto"/>
              <w:jc w:val="center"/>
              <w:rPr>
                <w:rFonts w:hint="eastAsia" w:ascii="宋体" w:hAnsi="宋体" w:eastAsia="宋体" w:cs="宋体"/>
                <w:b/>
                <w:bCs/>
                <w:snapToGrid/>
                <w:color w:val="auto"/>
                <w:w w:val="100"/>
                <w:kern w:val="2"/>
                <w:sz w:val="24"/>
                <w:szCs w:val="24"/>
              </w:rPr>
            </w:pPr>
            <w:r>
              <w:rPr>
                <w:rFonts w:hint="eastAsia" w:ascii="宋体" w:hAnsi="宋体" w:eastAsia="宋体" w:cs="宋体"/>
                <w:b/>
                <w:bCs/>
                <w:snapToGrid/>
                <w:color w:val="auto"/>
                <w:w w:val="100"/>
                <w:kern w:val="2"/>
                <w:sz w:val="24"/>
                <w:szCs w:val="24"/>
              </w:rPr>
              <w:t>采购内容/数量</w:t>
            </w:r>
          </w:p>
        </w:tc>
        <w:tc>
          <w:tcPr>
            <w:tcW w:w="939" w:type="pct"/>
            <w:vAlign w:val="center"/>
          </w:tcPr>
          <w:p w14:paraId="48C61C81">
            <w:pPr>
              <w:widowControl/>
              <w:spacing w:line="240" w:lineRule="auto"/>
              <w:jc w:val="center"/>
              <w:rPr>
                <w:rFonts w:hint="eastAsia" w:ascii="宋体" w:hAnsi="宋体" w:eastAsia="宋体" w:cs="宋体"/>
                <w:b/>
                <w:bCs/>
                <w:snapToGrid/>
                <w:color w:val="auto"/>
                <w:w w:val="100"/>
                <w:kern w:val="0"/>
                <w:sz w:val="24"/>
                <w:szCs w:val="24"/>
              </w:rPr>
            </w:pPr>
            <w:r>
              <w:rPr>
                <w:rFonts w:hint="eastAsia" w:ascii="宋体" w:hAnsi="宋体" w:eastAsia="宋体" w:cs="宋体"/>
                <w:b/>
                <w:bCs/>
                <w:snapToGrid/>
                <w:color w:val="auto"/>
                <w:w w:val="100"/>
                <w:kern w:val="0"/>
                <w:sz w:val="24"/>
                <w:szCs w:val="24"/>
              </w:rPr>
              <w:t>中标人数量</w:t>
            </w:r>
          </w:p>
        </w:tc>
      </w:tr>
      <w:tr w14:paraId="5610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vAlign w:val="center"/>
          </w:tcPr>
          <w:p w14:paraId="510F9532">
            <w:pPr>
              <w:widowControl/>
              <w:spacing w:line="240" w:lineRule="auto"/>
              <w:jc w:val="center"/>
              <w:rPr>
                <w:rFonts w:hint="eastAsia" w:ascii="宋体" w:hAnsi="宋体" w:eastAsia="宋体" w:cs="宋体"/>
                <w:snapToGrid/>
                <w:color w:val="auto"/>
                <w:w w:val="100"/>
                <w:kern w:val="0"/>
                <w:sz w:val="24"/>
                <w:szCs w:val="24"/>
              </w:rPr>
            </w:pPr>
            <w:r>
              <w:rPr>
                <w:rFonts w:hint="eastAsia" w:ascii="宋体" w:hAnsi="宋体" w:eastAsia="宋体" w:cs="宋体"/>
                <w:snapToGrid/>
                <w:color w:val="auto"/>
                <w:w w:val="100"/>
                <w:kern w:val="0"/>
                <w:sz w:val="24"/>
                <w:szCs w:val="24"/>
              </w:rPr>
              <w:t>标包1</w:t>
            </w:r>
          </w:p>
        </w:tc>
        <w:tc>
          <w:tcPr>
            <w:tcW w:w="1743" w:type="pct"/>
            <w:vAlign w:val="center"/>
          </w:tcPr>
          <w:p w14:paraId="74718480">
            <w:pPr>
              <w:widowControl/>
              <w:spacing w:line="240" w:lineRule="auto"/>
              <w:jc w:val="center"/>
              <w:rPr>
                <w:rFonts w:hint="eastAsia" w:ascii="宋体" w:hAnsi="宋体" w:eastAsia="宋体" w:cs="宋体"/>
                <w:snapToGrid/>
                <w:color w:val="auto"/>
                <w:w w:val="100"/>
                <w:kern w:val="0"/>
                <w:sz w:val="24"/>
                <w:szCs w:val="24"/>
              </w:rPr>
            </w:pPr>
            <w:r>
              <w:rPr>
                <w:rFonts w:hint="eastAsia" w:ascii="宋体" w:hAnsi="宋体" w:eastAsia="宋体" w:cs="宋体"/>
                <w:snapToGrid/>
                <w:color w:val="auto"/>
                <w:w w:val="100"/>
                <w:kern w:val="2"/>
                <w:sz w:val="24"/>
                <w:szCs w:val="24"/>
                <w:lang w:eastAsia="zh-CN"/>
              </w:rPr>
              <w:t>人保财险湖南怀化市分公司劳务外包服务采购项目（第二次）</w:t>
            </w:r>
          </w:p>
        </w:tc>
        <w:tc>
          <w:tcPr>
            <w:tcW w:w="1640" w:type="pct"/>
            <w:vAlign w:val="center"/>
          </w:tcPr>
          <w:p w14:paraId="69AEAB7C">
            <w:pPr>
              <w:widowControl/>
              <w:spacing w:line="240" w:lineRule="auto"/>
              <w:jc w:val="center"/>
              <w:rPr>
                <w:rFonts w:hint="eastAsia" w:ascii="宋体" w:hAnsi="宋体" w:eastAsia="宋体" w:cs="宋体"/>
                <w:snapToGrid/>
                <w:color w:val="auto"/>
                <w:w w:val="100"/>
                <w:kern w:val="0"/>
                <w:sz w:val="24"/>
                <w:szCs w:val="24"/>
              </w:rPr>
            </w:pPr>
            <w:r>
              <w:rPr>
                <w:rFonts w:hint="eastAsia" w:ascii="宋体" w:hAnsi="宋体" w:eastAsia="宋体" w:cs="宋体"/>
                <w:snapToGrid/>
                <w:color w:val="auto"/>
                <w:w w:val="100"/>
                <w:kern w:val="0"/>
                <w:sz w:val="24"/>
                <w:szCs w:val="24"/>
                <w:lang w:val="en-US" w:eastAsia="zh-CN"/>
              </w:rPr>
              <w:t>本项目预算金额为3084.48万元，项目选定2家供应商，为招标人提供周期为1年的劳务外包服务。</w:t>
            </w:r>
          </w:p>
        </w:tc>
        <w:tc>
          <w:tcPr>
            <w:tcW w:w="939" w:type="pct"/>
            <w:vAlign w:val="center"/>
          </w:tcPr>
          <w:p w14:paraId="67C0C2FE">
            <w:pPr>
              <w:widowControl/>
              <w:spacing w:line="240" w:lineRule="auto"/>
              <w:jc w:val="center"/>
              <w:rPr>
                <w:rFonts w:hint="eastAsia" w:ascii="宋体" w:hAnsi="宋体" w:eastAsia="宋体" w:cs="宋体"/>
                <w:snapToGrid/>
                <w:color w:val="auto"/>
                <w:w w:val="100"/>
                <w:kern w:val="0"/>
                <w:sz w:val="24"/>
                <w:szCs w:val="24"/>
              </w:rPr>
            </w:pPr>
            <w:r>
              <w:rPr>
                <w:rFonts w:hint="eastAsia" w:ascii="宋体" w:hAnsi="宋体" w:eastAsia="宋体" w:cs="宋体"/>
                <w:snapToGrid/>
                <w:color w:val="auto"/>
                <w:w w:val="100"/>
                <w:kern w:val="0"/>
                <w:sz w:val="24"/>
                <w:szCs w:val="24"/>
                <w:lang w:val="en-US" w:eastAsia="zh-CN"/>
              </w:rPr>
              <w:t>2</w:t>
            </w:r>
            <w:r>
              <w:rPr>
                <w:rFonts w:hint="eastAsia" w:ascii="宋体" w:hAnsi="宋体" w:eastAsia="宋体" w:cs="宋体"/>
                <w:snapToGrid/>
                <w:color w:val="auto"/>
                <w:w w:val="100"/>
                <w:kern w:val="0"/>
                <w:sz w:val="24"/>
                <w:szCs w:val="24"/>
              </w:rPr>
              <w:t>个</w:t>
            </w:r>
          </w:p>
        </w:tc>
      </w:tr>
    </w:tbl>
    <w:p w14:paraId="2D2E1002">
      <w:pPr>
        <w:spacing w:line="360" w:lineRule="auto"/>
        <w:ind w:firstLine="480" w:firstLineChars="200"/>
        <w:textAlignment w:val="baseline"/>
        <w:rPr>
          <w:rFonts w:hint="eastAsia" w:ascii="宋体" w:hAnsi="宋体" w:eastAsia="宋体" w:cs="宋体"/>
          <w:snapToGrid/>
          <w:color w:val="auto"/>
          <w:w w:val="100"/>
          <w:kern w:val="2"/>
          <w:sz w:val="24"/>
          <w:szCs w:val="24"/>
        </w:rPr>
      </w:pPr>
      <w:bookmarkStart w:id="13" w:name="_Toc65682915"/>
      <w:bookmarkStart w:id="14" w:name="_Toc17299"/>
      <w:r>
        <w:rPr>
          <w:rFonts w:hint="eastAsia" w:ascii="宋体" w:hAnsi="宋体" w:eastAsia="宋体" w:cs="宋体"/>
          <w:snapToGrid/>
          <w:color w:val="auto"/>
          <w:w w:val="100"/>
          <w:kern w:val="2"/>
          <w:sz w:val="24"/>
          <w:szCs w:val="24"/>
        </w:rPr>
        <w:t>2.5服务期限/交货期限：</w:t>
      </w:r>
      <w:r>
        <w:rPr>
          <w:rFonts w:hint="eastAsia" w:ascii="宋体" w:hAnsi="宋体" w:eastAsia="宋体" w:cs="宋体"/>
          <w:snapToGrid/>
          <w:color w:val="auto"/>
          <w:w w:val="100"/>
          <w:kern w:val="2"/>
          <w:sz w:val="24"/>
          <w:szCs w:val="24"/>
          <w:lang w:val="en-US" w:eastAsia="zh-CN"/>
        </w:rPr>
        <w:t>1年</w:t>
      </w:r>
      <w:r>
        <w:rPr>
          <w:rFonts w:hint="eastAsia" w:ascii="宋体" w:hAnsi="宋体" w:eastAsia="宋体" w:cs="宋体"/>
          <w:snapToGrid/>
          <w:color w:val="auto"/>
          <w:w w:val="100"/>
          <w:kern w:val="2"/>
          <w:sz w:val="24"/>
          <w:szCs w:val="24"/>
        </w:rPr>
        <w:t>。</w:t>
      </w:r>
    </w:p>
    <w:p w14:paraId="1F7E7899">
      <w:pPr>
        <w:spacing w:line="360" w:lineRule="auto"/>
        <w:ind w:firstLine="480" w:firstLineChars="200"/>
        <w:textAlignment w:val="baseline"/>
        <w:rPr>
          <w:rFonts w:hint="eastAsia" w:ascii="宋体" w:hAnsi="宋体" w:eastAsia="宋体" w:cs="宋体"/>
          <w:snapToGrid/>
          <w:color w:val="auto"/>
          <w:w w:val="100"/>
          <w:kern w:val="2"/>
          <w:sz w:val="24"/>
          <w:szCs w:val="24"/>
          <w:lang w:val="en-US" w:eastAsia="zh-CN"/>
        </w:rPr>
      </w:pPr>
      <w:r>
        <w:rPr>
          <w:rFonts w:hint="eastAsia" w:ascii="宋体" w:hAnsi="宋体" w:eastAsia="宋体" w:cs="宋体"/>
          <w:snapToGrid/>
          <w:color w:val="auto"/>
          <w:w w:val="100"/>
          <w:kern w:val="2"/>
          <w:sz w:val="24"/>
          <w:szCs w:val="24"/>
        </w:rPr>
        <w:t>2.6服务地点/交货地点：</w:t>
      </w:r>
      <w:r>
        <w:rPr>
          <w:rFonts w:hint="eastAsia" w:ascii="宋体" w:hAnsi="宋体" w:eastAsia="宋体" w:cs="宋体"/>
          <w:snapToGrid/>
          <w:color w:val="auto"/>
          <w:w w:val="100"/>
          <w:kern w:val="2"/>
          <w:sz w:val="24"/>
          <w:szCs w:val="24"/>
          <w:lang w:val="en-US" w:eastAsia="zh-CN"/>
        </w:rPr>
        <w:t>招标人指定地点。</w:t>
      </w:r>
      <w:bookmarkEnd w:id="12"/>
    </w:p>
    <w:p w14:paraId="6D3CDD71">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szCs w:val="24"/>
          <w:lang w:val="en-US" w:eastAsia="zh-CN" w:bidi="ar-SA"/>
        </w:rPr>
      </w:pPr>
      <w:bookmarkStart w:id="15" w:name="_Toc6528"/>
      <w:bookmarkStart w:id="16" w:name="_Toc109124225"/>
      <w:r>
        <w:rPr>
          <w:rFonts w:hint="eastAsia" w:ascii="宋体" w:hAnsi="宋体" w:eastAsia="宋体" w:cs="宋体"/>
          <w:b/>
          <w:color w:val="auto"/>
          <w:kern w:val="2"/>
          <w:sz w:val="24"/>
          <w:szCs w:val="24"/>
          <w:lang w:val="en-US" w:eastAsia="zh-CN" w:bidi="ar-SA"/>
        </w:rPr>
        <w:t>三、投标人资格要求</w:t>
      </w:r>
      <w:bookmarkEnd w:id="13"/>
      <w:bookmarkEnd w:id="14"/>
      <w:bookmarkEnd w:id="15"/>
      <w:bookmarkEnd w:id="16"/>
    </w:p>
    <w:p w14:paraId="723343FA">
      <w:pPr>
        <w:widowControl w:val="0"/>
        <w:spacing w:after="120" w:line="312" w:lineRule="auto"/>
        <w:ind w:firstLine="48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4"/>
          <w:szCs w:val="24"/>
          <w:lang w:val="en-US" w:eastAsia="zh-CN" w:bidi="ar-SA"/>
        </w:rPr>
        <w:t>3.1</w:t>
      </w:r>
      <w:r>
        <w:rPr>
          <w:rFonts w:hint="eastAsia" w:ascii="宋体" w:hAnsi="宋体" w:eastAsia="宋体" w:cs="宋体"/>
          <w:b/>
          <w:bCs/>
          <w:color w:val="auto"/>
          <w:kern w:val="2"/>
          <w:sz w:val="24"/>
          <w:szCs w:val="24"/>
          <w:lang w:val="en-US" w:eastAsia="zh-CN" w:bidi="ar-SA"/>
        </w:rPr>
        <w:t>在中华人民共和国境内依法登记的法人或其他组织，</w:t>
      </w:r>
      <w:r>
        <w:rPr>
          <w:rFonts w:hint="eastAsia" w:ascii="宋体" w:hAnsi="宋体" w:eastAsia="宋体" w:cs="宋体"/>
          <w:b/>
          <w:color w:val="auto"/>
          <w:kern w:val="2"/>
          <w:sz w:val="24"/>
          <w:szCs w:val="24"/>
          <w:lang w:val="en-US" w:eastAsia="zh-CN" w:bidi="ar-SA"/>
        </w:rPr>
        <w:t>具有独立承担民事责任的能力</w:t>
      </w:r>
      <w:r>
        <w:rPr>
          <w:rFonts w:hint="eastAsia" w:ascii="宋体" w:hAnsi="宋体" w:eastAsia="宋体" w:cs="宋体"/>
          <w:color w:val="auto"/>
          <w:kern w:val="2"/>
          <w:sz w:val="24"/>
          <w:szCs w:val="24"/>
          <w:lang w:val="en-US" w:eastAsia="zh-CN" w:bidi="ar-SA"/>
        </w:rPr>
        <w:t>，投标人如为企业法人，须提供企业法人营业执照</w:t>
      </w:r>
      <w:r>
        <w:rPr>
          <w:rFonts w:hint="eastAsia" w:ascii="宋体" w:hAnsi="宋体" w:eastAsia="宋体" w:cs="宋体"/>
          <w:color w:val="auto"/>
          <w:kern w:val="2"/>
          <w:sz w:val="24"/>
          <w:lang w:val="en-US" w:eastAsia="zh-CN" w:bidi="ar-SA"/>
        </w:rPr>
        <w:t>（复印件）</w:t>
      </w:r>
      <w:r>
        <w:rPr>
          <w:rFonts w:hint="eastAsia" w:ascii="宋体" w:hAnsi="宋体" w:eastAsia="宋体" w:cs="宋体"/>
          <w:color w:val="auto"/>
          <w:kern w:val="2"/>
          <w:sz w:val="24"/>
          <w:szCs w:val="24"/>
          <w:lang w:val="en-US" w:eastAsia="zh-CN" w:bidi="ar-SA"/>
        </w:rPr>
        <w:t>；投标人如为事业单位或其他组织，须提供事业单位法人证书或登记证或组织机构代码证或其他有效证明文件（复印件）。</w:t>
      </w:r>
    </w:p>
    <w:p w14:paraId="0956A307">
      <w:pPr>
        <w:spacing w:line="360" w:lineRule="auto"/>
        <w:ind w:firstLine="480" w:firstLineChars="200"/>
        <w:textAlignment w:val="baseline"/>
        <w:rPr>
          <w:rFonts w:hint="eastAsia" w:ascii="宋体" w:hAnsi="宋体" w:eastAsia="宋体" w:cs="宋体"/>
          <w:snapToGrid/>
          <w:color w:val="auto"/>
          <w:w w:val="100"/>
          <w:kern w:val="2"/>
          <w:sz w:val="21"/>
          <w:szCs w:val="20"/>
          <w:highlight w:val="none"/>
        </w:rPr>
      </w:pPr>
      <w:r>
        <w:rPr>
          <w:rFonts w:hint="eastAsia" w:ascii="宋体" w:hAnsi="宋体" w:eastAsia="宋体" w:cs="宋体"/>
          <w:snapToGrid/>
          <w:color w:val="auto"/>
          <w:w w:val="100"/>
          <w:kern w:val="2"/>
          <w:sz w:val="24"/>
          <w:szCs w:val="24"/>
          <w:highlight w:val="none"/>
        </w:rPr>
        <w:t>3.2</w:t>
      </w:r>
      <w:r>
        <w:rPr>
          <w:rFonts w:hint="eastAsia" w:ascii="宋体" w:hAnsi="宋体" w:eastAsia="宋体" w:cs="宋体"/>
          <w:b/>
          <w:snapToGrid/>
          <w:color w:val="auto"/>
          <w:w w:val="100"/>
          <w:kern w:val="2"/>
          <w:sz w:val="24"/>
          <w:szCs w:val="24"/>
          <w:highlight w:val="none"/>
        </w:rPr>
        <w:t>具有良好的商业信誉和健全的财务会计制度</w:t>
      </w:r>
      <w:r>
        <w:rPr>
          <w:rFonts w:hint="eastAsia" w:ascii="宋体" w:hAnsi="宋体" w:eastAsia="宋体" w:cs="宋体"/>
          <w:snapToGrid/>
          <w:color w:val="auto"/>
          <w:w w:val="100"/>
          <w:kern w:val="2"/>
          <w:sz w:val="24"/>
          <w:szCs w:val="24"/>
          <w:highlight w:val="none"/>
        </w:rPr>
        <w:t>，需提供20</w:t>
      </w:r>
      <w:r>
        <w:rPr>
          <w:rFonts w:hint="eastAsia" w:ascii="宋体" w:hAnsi="宋体" w:eastAsia="宋体" w:cs="宋体"/>
          <w:snapToGrid/>
          <w:color w:val="auto"/>
          <w:w w:val="100"/>
          <w:kern w:val="2"/>
          <w:sz w:val="24"/>
          <w:szCs w:val="24"/>
          <w:highlight w:val="none"/>
          <w:lang w:val="en-US" w:eastAsia="zh-CN"/>
        </w:rPr>
        <w:t>23</w:t>
      </w:r>
      <w:r>
        <w:rPr>
          <w:rFonts w:hint="eastAsia" w:ascii="宋体" w:hAnsi="宋体" w:eastAsia="宋体" w:cs="宋体"/>
          <w:snapToGrid/>
          <w:color w:val="auto"/>
          <w:w w:val="100"/>
          <w:kern w:val="2"/>
          <w:sz w:val="24"/>
          <w:szCs w:val="24"/>
          <w:highlight w:val="none"/>
        </w:rPr>
        <w:t>年度经会计师事务所或审计机构审计的财务审计报告及财务报表（至少包含会计师事务所或审计机构签章页、资产负债表、现金流量表、损益表/利润表）或开标日前6个月内开具的银行资信证明。</w:t>
      </w:r>
    </w:p>
    <w:p w14:paraId="646ED3D9">
      <w:pPr>
        <w:spacing w:line="360" w:lineRule="auto"/>
        <w:ind w:firstLine="480" w:firstLineChars="200"/>
        <w:textAlignment w:val="baseline"/>
        <w:rPr>
          <w:rFonts w:hint="eastAsia" w:ascii="宋体" w:hAnsi="宋体" w:eastAsia="宋体" w:cs="宋体"/>
          <w:snapToGrid/>
          <w:color w:val="auto"/>
          <w:w w:val="100"/>
          <w:kern w:val="2"/>
          <w:sz w:val="21"/>
          <w:szCs w:val="20"/>
        </w:rPr>
      </w:pPr>
      <w:r>
        <w:rPr>
          <w:rFonts w:hint="eastAsia" w:ascii="宋体" w:hAnsi="宋体" w:eastAsia="宋体" w:cs="宋体"/>
          <w:snapToGrid/>
          <w:color w:val="auto"/>
          <w:w w:val="100"/>
          <w:kern w:val="2"/>
          <w:sz w:val="24"/>
          <w:szCs w:val="24"/>
        </w:rPr>
        <w:t xml:space="preserve">3.3 </w:t>
      </w:r>
      <w:r>
        <w:rPr>
          <w:rFonts w:hint="eastAsia" w:ascii="宋体" w:hAnsi="宋体" w:eastAsia="宋体" w:cs="宋体"/>
          <w:b/>
          <w:snapToGrid/>
          <w:color w:val="auto"/>
          <w:w w:val="100"/>
          <w:kern w:val="2"/>
          <w:sz w:val="24"/>
          <w:szCs w:val="24"/>
        </w:rPr>
        <w:t>投标人应具有履行合同所必需的设备和专业技术能力</w:t>
      </w:r>
      <w:r>
        <w:rPr>
          <w:rFonts w:hint="eastAsia" w:ascii="宋体" w:hAnsi="宋体" w:eastAsia="宋体" w:cs="宋体"/>
          <w:snapToGrid/>
          <w:color w:val="auto"/>
          <w:w w:val="100"/>
          <w:kern w:val="2"/>
          <w:sz w:val="24"/>
          <w:szCs w:val="24"/>
        </w:rPr>
        <w:t>，</w:t>
      </w:r>
      <w:r>
        <w:rPr>
          <w:rFonts w:hint="eastAsia" w:ascii="宋体" w:hAnsi="宋体" w:eastAsia="宋体" w:cs="宋体"/>
          <w:snapToGrid/>
          <w:color w:val="auto"/>
          <w:w w:val="100"/>
          <w:kern w:val="2"/>
          <w:sz w:val="24"/>
          <w:szCs w:val="24"/>
          <w:lang w:val="en-US" w:eastAsia="zh-CN"/>
        </w:rPr>
        <w:t>提供承诺函，格式自拟</w:t>
      </w:r>
      <w:r>
        <w:rPr>
          <w:rFonts w:hint="eastAsia" w:ascii="宋体" w:hAnsi="宋体" w:eastAsia="宋体" w:cs="宋体"/>
          <w:snapToGrid/>
          <w:color w:val="auto"/>
          <w:w w:val="100"/>
          <w:kern w:val="2"/>
          <w:sz w:val="24"/>
          <w:szCs w:val="20"/>
        </w:rPr>
        <w:t>。</w:t>
      </w:r>
    </w:p>
    <w:p w14:paraId="150AA30D">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 xml:space="preserve">3.4 </w:t>
      </w:r>
      <w:r>
        <w:rPr>
          <w:rFonts w:hint="eastAsia" w:ascii="宋体" w:hAnsi="宋体" w:eastAsia="宋体" w:cs="宋体"/>
          <w:b/>
          <w:snapToGrid/>
          <w:color w:val="auto"/>
          <w:w w:val="100"/>
          <w:kern w:val="2"/>
          <w:sz w:val="24"/>
          <w:szCs w:val="24"/>
        </w:rPr>
        <w:t>具有依法缴纳税收和社会保障资金的良好记录</w:t>
      </w:r>
      <w:r>
        <w:rPr>
          <w:rFonts w:hint="eastAsia" w:ascii="宋体" w:hAnsi="宋体" w:eastAsia="宋体" w:cs="宋体"/>
          <w:snapToGrid/>
          <w:color w:val="auto"/>
          <w:w w:val="100"/>
          <w:kern w:val="2"/>
          <w:sz w:val="24"/>
          <w:szCs w:val="24"/>
        </w:rPr>
        <w:t>，提供近6个月任意一个月的税收</w:t>
      </w:r>
      <w:r>
        <w:rPr>
          <w:rFonts w:hint="eastAsia" w:ascii="宋体" w:hAnsi="宋体" w:eastAsia="宋体" w:cs="宋体"/>
          <w:b/>
          <w:snapToGrid/>
          <w:color w:val="auto"/>
          <w:w w:val="100"/>
          <w:kern w:val="2"/>
          <w:sz w:val="24"/>
          <w:szCs w:val="24"/>
        </w:rPr>
        <w:t>和</w:t>
      </w:r>
      <w:r>
        <w:rPr>
          <w:rFonts w:hint="eastAsia" w:ascii="宋体" w:hAnsi="宋体" w:eastAsia="宋体" w:cs="宋体"/>
          <w:snapToGrid/>
          <w:color w:val="auto"/>
          <w:w w:val="100"/>
          <w:kern w:val="2"/>
          <w:sz w:val="24"/>
          <w:szCs w:val="24"/>
        </w:rPr>
        <w:t>社会保障资金缴纳凭证。</w:t>
      </w:r>
    </w:p>
    <w:p w14:paraId="42A24BAC">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3.5</w:t>
      </w:r>
      <w:r>
        <w:rPr>
          <w:rFonts w:hint="eastAsia" w:ascii="宋体" w:hAnsi="宋体" w:eastAsia="宋体" w:cs="宋体"/>
          <w:b/>
          <w:snapToGrid/>
          <w:color w:val="auto"/>
          <w:w w:val="100"/>
          <w:kern w:val="2"/>
          <w:sz w:val="24"/>
          <w:szCs w:val="24"/>
        </w:rPr>
        <w:t>投标人应经营状况良好，且近三年内（20</w:t>
      </w:r>
      <w:r>
        <w:rPr>
          <w:rFonts w:hint="eastAsia" w:ascii="宋体" w:hAnsi="宋体" w:eastAsia="宋体" w:cs="宋体"/>
          <w:b/>
          <w:snapToGrid/>
          <w:color w:val="auto"/>
          <w:w w:val="100"/>
          <w:kern w:val="2"/>
          <w:sz w:val="24"/>
          <w:szCs w:val="24"/>
          <w:lang w:val="en-US" w:eastAsia="zh-CN"/>
        </w:rPr>
        <w:t>22</w:t>
      </w:r>
      <w:r>
        <w:rPr>
          <w:rFonts w:hint="eastAsia" w:ascii="宋体" w:hAnsi="宋体" w:eastAsia="宋体" w:cs="宋体"/>
          <w:b/>
          <w:snapToGrid/>
          <w:color w:val="auto"/>
          <w:w w:val="100"/>
          <w:kern w:val="2"/>
          <w:sz w:val="24"/>
          <w:szCs w:val="24"/>
        </w:rPr>
        <w:t>年1月1日至今）无违法违规记录。</w:t>
      </w:r>
      <w:r>
        <w:rPr>
          <w:rFonts w:hint="eastAsia" w:ascii="宋体" w:hAnsi="宋体" w:eastAsia="宋体" w:cs="宋体"/>
          <w:snapToGrid/>
          <w:color w:val="auto"/>
          <w:w w:val="100"/>
          <w:kern w:val="2"/>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14:paraId="7C292B91">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信用中国查询网址：</w:t>
      </w:r>
      <w:r>
        <w:rPr>
          <w:rFonts w:hint="eastAsia" w:ascii="宋体" w:hAnsi="宋体" w:eastAsia="宋体" w:cs="宋体"/>
          <w:snapToGrid/>
          <w:color w:val="auto"/>
          <w:w w:val="100"/>
          <w:kern w:val="2"/>
          <w:sz w:val="21"/>
          <w:szCs w:val="20"/>
        </w:rPr>
        <w:fldChar w:fldCharType="begin"/>
      </w:r>
      <w:r>
        <w:rPr>
          <w:rFonts w:hint="eastAsia" w:ascii="宋体" w:hAnsi="宋体" w:eastAsia="宋体" w:cs="宋体"/>
          <w:snapToGrid/>
          <w:color w:val="auto"/>
          <w:w w:val="100"/>
          <w:kern w:val="2"/>
          <w:sz w:val="21"/>
          <w:szCs w:val="20"/>
        </w:rPr>
        <w:instrText xml:space="preserve"> HYPERLINK "https://www.creditchina.gov.cn/xinyongfuwu/?navPage=5" </w:instrText>
      </w:r>
      <w:r>
        <w:rPr>
          <w:rFonts w:hint="eastAsia" w:ascii="宋体" w:hAnsi="宋体" w:eastAsia="宋体" w:cs="宋体"/>
          <w:snapToGrid/>
          <w:color w:val="auto"/>
          <w:w w:val="100"/>
          <w:kern w:val="2"/>
          <w:sz w:val="21"/>
          <w:szCs w:val="20"/>
        </w:rPr>
        <w:fldChar w:fldCharType="separate"/>
      </w:r>
      <w:r>
        <w:rPr>
          <w:rFonts w:hint="eastAsia" w:ascii="宋体" w:hAnsi="宋体" w:eastAsia="宋体" w:cs="宋体"/>
          <w:snapToGrid/>
          <w:color w:val="auto"/>
          <w:w w:val="100"/>
          <w:kern w:val="2"/>
          <w:sz w:val="24"/>
          <w:szCs w:val="24"/>
          <w:u w:val="single"/>
        </w:rPr>
        <w:t>https://www.creditchina.gov.cn/Xinyongfuwu/?navPage=5</w:t>
      </w:r>
      <w:r>
        <w:rPr>
          <w:rFonts w:hint="eastAsia" w:ascii="宋体" w:hAnsi="宋体" w:eastAsia="宋体" w:cs="宋体"/>
          <w:snapToGrid/>
          <w:color w:val="auto"/>
          <w:w w:val="100"/>
          <w:kern w:val="2"/>
          <w:sz w:val="24"/>
          <w:szCs w:val="24"/>
          <w:u w:val="single"/>
        </w:rPr>
        <w:fldChar w:fldCharType="end"/>
      </w:r>
    </w:p>
    <w:p w14:paraId="7DA8F090">
      <w:pPr>
        <w:spacing w:line="360" w:lineRule="auto"/>
        <w:ind w:firstLine="480" w:firstLineChars="200"/>
        <w:textAlignment w:val="baseline"/>
        <w:rPr>
          <w:rFonts w:hint="eastAsia" w:ascii="宋体" w:hAnsi="宋体" w:eastAsia="宋体" w:cs="宋体"/>
          <w:b/>
          <w:snapToGrid/>
          <w:color w:val="auto"/>
          <w:w w:val="100"/>
          <w:kern w:val="2"/>
          <w:sz w:val="24"/>
          <w:szCs w:val="24"/>
        </w:rPr>
      </w:pPr>
      <w:r>
        <w:rPr>
          <w:rFonts w:hint="eastAsia" w:ascii="宋体" w:hAnsi="宋体" w:eastAsia="宋体" w:cs="宋体"/>
          <w:snapToGrid/>
          <w:color w:val="auto"/>
          <w:w w:val="100"/>
          <w:kern w:val="2"/>
          <w:sz w:val="24"/>
          <w:szCs w:val="24"/>
        </w:rPr>
        <w:t xml:space="preserve">3.6 </w:t>
      </w:r>
      <w:r>
        <w:rPr>
          <w:rFonts w:hint="eastAsia" w:ascii="宋体" w:hAnsi="宋体" w:eastAsia="宋体" w:cs="宋体"/>
          <w:b/>
          <w:snapToGrid/>
          <w:color w:val="auto"/>
          <w:w w:val="100"/>
          <w:kern w:val="2"/>
          <w:sz w:val="24"/>
          <w:szCs w:val="24"/>
        </w:rPr>
        <w:t>严禁列入招标人及其所隶属的中国人民保险各级机构的供应商黑名单且在禁入期内的供应商参与采购活动。</w:t>
      </w:r>
    </w:p>
    <w:p w14:paraId="4DA0CA2B">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3.7单位负责人为同一人或存在控股、管理关系的不同单位，不得参加同一标段/标包投标或未划分标段/标包的同一招标项目投标，</w:t>
      </w:r>
      <w:r>
        <w:rPr>
          <w:rFonts w:hint="eastAsia" w:ascii="宋体" w:hAnsi="宋体" w:eastAsia="宋体" w:cs="宋体"/>
          <w:b/>
          <w:bCs/>
          <w:snapToGrid/>
          <w:color w:val="auto"/>
          <w:w w:val="100"/>
          <w:kern w:val="2"/>
          <w:sz w:val="24"/>
          <w:szCs w:val="24"/>
        </w:rPr>
        <w:t>需填写《投标人控股及管理关系情况申报表》</w:t>
      </w:r>
      <w:r>
        <w:rPr>
          <w:rFonts w:hint="eastAsia" w:ascii="宋体" w:hAnsi="宋体" w:eastAsia="宋体" w:cs="宋体"/>
          <w:snapToGrid/>
          <w:color w:val="auto"/>
          <w:w w:val="100"/>
          <w:kern w:val="2"/>
          <w:sz w:val="24"/>
          <w:szCs w:val="24"/>
        </w:rPr>
        <w:t>。</w:t>
      </w:r>
    </w:p>
    <w:p w14:paraId="19A11766">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3.8 本项目不接受联合体投标。</w:t>
      </w:r>
    </w:p>
    <w:p w14:paraId="385EAF8F">
      <w:pPr>
        <w:spacing w:line="360" w:lineRule="auto"/>
        <w:ind w:firstLine="482" w:firstLineChars="200"/>
        <w:textAlignment w:val="baseline"/>
        <w:rPr>
          <w:rFonts w:hint="eastAsia" w:ascii="宋体" w:hAnsi="宋体" w:eastAsia="宋体" w:cs="宋体"/>
          <w:b/>
          <w:bCs/>
          <w:snapToGrid/>
          <w:color w:val="auto"/>
          <w:w w:val="100"/>
          <w:kern w:val="2"/>
          <w:sz w:val="21"/>
          <w:szCs w:val="20"/>
        </w:rPr>
      </w:pPr>
      <w:r>
        <w:rPr>
          <w:rFonts w:hint="eastAsia" w:ascii="宋体" w:hAnsi="宋体" w:eastAsia="宋体" w:cs="宋体"/>
          <w:b/>
          <w:bCs/>
          <w:snapToGrid/>
          <w:color w:val="auto"/>
          <w:w w:val="100"/>
          <w:kern w:val="2"/>
          <w:sz w:val="24"/>
          <w:szCs w:val="20"/>
        </w:rPr>
        <w:t>3.9</w:t>
      </w:r>
      <w:r>
        <w:rPr>
          <w:rFonts w:hint="eastAsia" w:ascii="宋体" w:hAnsi="宋体" w:eastAsia="宋体" w:cs="宋体"/>
          <w:b/>
          <w:bCs/>
          <w:snapToGrid/>
          <w:color w:val="auto"/>
          <w:w w:val="100"/>
          <w:kern w:val="2"/>
          <w:sz w:val="24"/>
          <w:szCs w:val="24"/>
        </w:rPr>
        <w:t>其它资格要求</w:t>
      </w:r>
      <w:r>
        <w:rPr>
          <w:rFonts w:hint="eastAsia" w:ascii="宋体" w:hAnsi="宋体" w:eastAsia="宋体" w:cs="宋体"/>
          <w:b/>
          <w:bCs/>
          <w:snapToGrid/>
          <w:color w:val="auto"/>
          <w:w w:val="100"/>
          <w:kern w:val="2"/>
          <w:sz w:val="24"/>
          <w:szCs w:val="24"/>
          <w:lang w:eastAsia="zh-CN"/>
        </w:rPr>
        <w:t>：</w:t>
      </w:r>
      <w:r>
        <w:rPr>
          <w:rFonts w:hint="eastAsia" w:ascii="宋体" w:hAnsi="宋体" w:eastAsia="宋体" w:cs="宋体"/>
          <w:b/>
          <w:bCs/>
          <w:snapToGrid/>
          <w:color w:val="auto"/>
          <w:w w:val="100"/>
          <w:kern w:val="2"/>
          <w:sz w:val="24"/>
          <w:szCs w:val="24"/>
          <w:lang w:val="en-US" w:eastAsia="zh-CN"/>
        </w:rPr>
        <w:t>无</w:t>
      </w:r>
      <w:r>
        <w:rPr>
          <w:rFonts w:hint="eastAsia" w:ascii="宋体" w:hAnsi="宋体" w:eastAsia="宋体" w:cs="宋体"/>
          <w:b/>
          <w:bCs/>
          <w:snapToGrid/>
          <w:color w:val="auto"/>
          <w:w w:val="100"/>
          <w:kern w:val="2"/>
          <w:sz w:val="24"/>
          <w:szCs w:val="24"/>
        </w:rPr>
        <w:t>。</w:t>
      </w:r>
    </w:p>
    <w:p w14:paraId="3A3FF2C3">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lang w:val="en-US" w:eastAsia="zh-CN" w:bidi="ar-SA"/>
        </w:rPr>
      </w:pPr>
      <w:bookmarkStart w:id="17" w:name="_Toc21224"/>
      <w:bookmarkStart w:id="18" w:name="_Toc109124226"/>
      <w:bookmarkStart w:id="19" w:name="_Toc12385"/>
      <w:bookmarkStart w:id="20" w:name="_Toc65682916"/>
      <w:r>
        <w:rPr>
          <w:rFonts w:hint="eastAsia" w:ascii="宋体" w:hAnsi="宋体" w:eastAsia="宋体" w:cs="宋体"/>
          <w:b/>
          <w:color w:val="auto"/>
          <w:kern w:val="2"/>
          <w:sz w:val="24"/>
          <w:lang w:val="en-US" w:eastAsia="zh-CN" w:bidi="ar-SA"/>
        </w:rPr>
        <w:t>四、资格审查方法</w:t>
      </w:r>
      <w:bookmarkEnd w:id="17"/>
      <w:bookmarkEnd w:id="18"/>
      <w:bookmarkEnd w:id="19"/>
      <w:bookmarkEnd w:id="20"/>
    </w:p>
    <w:p w14:paraId="3B9D1767">
      <w:pPr>
        <w:spacing w:line="360" w:lineRule="auto"/>
        <w:ind w:firstLine="480" w:firstLineChars="200"/>
        <w:textAlignment w:val="baseline"/>
        <w:rPr>
          <w:rFonts w:hint="eastAsia" w:ascii="宋体" w:hAnsi="宋体" w:eastAsia="宋体" w:cs="宋体"/>
          <w:snapToGrid/>
          <w:color w:val="auto"/>
          <w:w w:val="100"/>
          <w:kern w:val="2"/>
          <w:sz w:val="24"/>
          <w:szCs w:val="24"/>
        </w:rPr>
      </w:pPr>
      <w:bookmarkStart w:id="21" w:name="_Toc65682917"/>
      <w:bookmarkStart w:id="22" w:name="_Toc32460"/>
      <w:r>
        <w:rPr>
          <w:rFonts w:hint="eastAsia" w:ascii="宋体" w:hAnsi="宋体" w:eastAsia="宋体" w:cs="宋体"/>
          <w:snapToGrid/>
          <w:color w:val="auto"/>
          <w:w w:val="100"/>
          <w:kern w:val="2"/>
          <w:sz w:val="24"/>
          <w:szCs w:val="24"/>
        </w:rPr>
        <w:t>本项目将进行资格后审，资格审查方法为合格制，资格审查标准和内容见招标文件第三章“评标办法”。未通过资格后审的投标人，投标将被</w:t>
      </w:r>
      <w:r>
        <w:rPr>
          <w:rFonts w:hint="eastAsia" w:ascii="宋体" w:hAnsi="宋体" w:eastAsia="宋体" w:cs="宋体"/>
          <w:b/>
          <w:bCs/>
          <w:snapToGrid/>
          <w:color w:val="auto"/>
          <w:w w:val="100"/>
          <w:kern w:val="2"/>
          <w:sz w:val="24"/>
          <w:szCs w:val="24"/>
        </w:rPr>
        <w:t>否决</w:t>
      </w:r>
      <w:r>
        <w:rPr>
          <w:rFonts w:hint="eastAsia" w:ascii="宋体" w:hAnsi="宋体" w:eastAsia="宋体" w:cs="宋体"/>
          <w:snapToGrid/>
          <w:color w:val="auto"/>
          <w:w w:val="100"/>
          <w:kern w:val="2"/>
          <w:sz w:val="24"/>
          <w:szCs w:val="24"/>
        </w:rPr>
        <w:t>。</w:t>
      </w:r>
    </w:p>
    <w:p w14:paraId="7D3EBDA9">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szCs w:val="24"/>
          <w:lang w:val="en-US" w:eastAsia="zh-CN" w:bidi="ar-SA"/>
        </w:rPr>
      </w:pPr>
      <w:bookmarkStart w:id="23" w:name="_Toc109124227"/>
      <w:bookmarkStart w:id="24" w:name="_Toc11877"/>
      <w:r>
        <w:rPr>
          <w:rFonts w:hint="eastAsia" w:ascii="宋体" w:hAnsi="宋体" w:eastAsia="宋体" w:cs="宋体"/>
          <w:b/>
          <w:color w:val="auto"/>
          <w:kern w:val="2"/>
          <w:sz w:val="24"/>
          <w:szCs w:val="24"/>
          <w:lang w:val="en-US" w:eastAsia="zh-CN" w:bidi="ar-SA"/>
        </w:rPr>
        <w:t>五、招标文件的获取</w:t>
      </w:r>
      <w:bookmarkEnd w:id="21"/>
      <w:bookmarkEnd w:id="22"/>
      <w:bookmarkEnd w:id="23"/>
      <w:bookmarkEnd w:id="24"/>
    </w:p>
    <w:p w14:paraId="1C9467A3">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5.1招标文件获取时间：</w:t>
      </w:r>
      <w:r>
        <w:rPr>
          <w:rFonts w:hint="eastAsia" w:ascii="宋体" w:hAnsi="宋体" w:eastAsia="宋体" w:cs="宋体"/>
          <w:b/>
          <w:snapToGrid/>
          <w:color w:val="auto"/>
          <w:w w:val="100"/>
          <w:kern w:val="2"/>
          <w:sz w:val="24"/>
          <w:szCs w:val="24"/>
          <w:u w:val="single"/>
        </w:rPr>
        <w:t>20</w:t>
      </w:r>
      <w:r>
        <w:rPr>
          <w:rFonts w:hint="eastAsia" w:ascii="宋体" w:hAnsi="宋体" w:eastAsia="宋体" w:cs="宋体"/>
          <w:b/>
          <w:snapToGrid/>
          <w:color w:val="auto"/>
          <w:w w:val="100"/>
          <w:kern w:val="2"/>
          <w:sz w:val="24"/>
          <w:szCs w:val="24"/>
          <w:u w:val="single"/>
          <w:lang w:val="en-US" w:eastAsia="zh-CN"/>
        </w:rPr>
        <w:t>25</w:t>
      </w:r>
      <w:r>
        <w:rPr>
          <w:rFonts w:hint="eastAsia" w:ascii="宋体" w:hAnsi="宋体" w:eastAsia="宋体" w:cs="宋体"/>
          <w:b/>
          <w:snapToGrid/>
          <w:color w:val="auto"/>
          <w:w w:val="100"/>
          <w:kern w:val="2"/>
          <w:sz w:val="24"/>
          <w:szCs w:val="24"/>
          <w:u w:val="single"/>
        </w:rPr>
        <w:t>年</w:t>
      </w:r>
      <w:r>
        <w:rPr>
          <w:rFonts w:hint="eastAsia" w:ascii="宋体" w:hAnsi="宋体" w:eastAsia="宋体" w:cs="宋体"/>
          <w:b/>
          <w:snapToGrid/>
          <w:color w:val="auto"/>
          <w:w w:val="100"/>
          <w:kern w:val="2"/>
          <w:sz w:val="24"/>
          <w:szCs w:val="24"/>
          <w:u w:val="single"/>
          <w:lang w:val="en-US" w:eastAsia="zh-CN"/>
        </w:rPr>
        <w:t>6</w:t>
      </w:r>
      <w:r>
        <w:rPr>
          <w:rFonts w:hint="eastAsia" w:ascii="宋体" w:hAnsi="宋体" w:eastAsia="宋体" w:cs="宋体"/>
          <w:b/>
          <w:snapToGrid/>
          <w:color w:val="auto"/>
          <w:w w:val="100"/>
          <w:kern w:val="2"/>
          <w:sz w:val="24"/>
          <w:szCs w:val="24"/>
          <w:u w:val="single"/>
        </w:rPr>
        <w:t>月</w:t>
      </w:r>
      <w:r>
        <w:rPr>
          <w:rFonts w:hint="eastAsia" w:ascii="宋体" w:hAnsi="宋体" w:eastAsia="宋体" w:cs="宋体"/>
          <w:b/>
          <w:snapToGrid/>
          <w:color w:val="auto"/>
          <w:w w:val="100"/>
          <w:kern w:val="2"/>
          <w:sz w:val="24"/>
          <w:szCs w:val="24"/>
          <w:u w:val="single"/>
          <w:lang w:val="en-US" w:eastAsia="zh-CN"/>
        </w:rPr>
        <w:t>18</w:t>
      </w:r>
      <w:r>
        <w:rPr>
          <w:rFonts w:hint="eastAsia" w:ascii="宋体" w:hAnsi="宋体" w:eastAsia="宋体" w:cs="宋体"/>
          <w:b/>
          <w:snapToGrid/>
          <w:color w:val="auto"/>
          <w:w w:val="100"/>
          <w:kern w:val="2"/>
          <w:sz w:val="24"/>
          <w:szCs w:val="24"/>
          <w:u w:val="single"/>
        </w:rPr>
        <w:t>日</w:t>
      </w:r>
      <w:r>
        <w:rPr>
          <w:rFonts w:hint="eastAsia" w:ascii="宋体" w:hAnsi="宋体" w:eastAsia="宋体" w:cs="宋体"/>
          <w:b/>
          <w:snapToGrid/>
          <w:color w:val="auto"/>
          <w:w w:val="100"/>
          <w:kern w:val="2"/>
          <w:sz w:val="24"/>
          <w:szCs w:val="24"/>
        </w:rPr>
        <w:t>至</w:t>
      </w:r>
      <w:r>
        <w:rPr>
          <w:rFonts w:hint="eastAsia" w:ascii="宋体" w:hAnsi="宋体" w:eastAsia="宋体" w:cs="宋体"/>
          <w:b/>
          <w:snapToGrid/>
          <w:color w:val="auto"/>
          <w:w w:val="100"/>
          <w:kern w:val="2"/>
          <w:sz w:val="24"/>
          <w:szCs w:val="24"/>
          <w:u w:val="single"/>
        </w:rPr>
        <w:t>20</w:t>
      </w:r>
      <w:r>
        <w:rPr>
          <w:rFonts w:hint="eastAsia" w:ascii="宋体" w:hAnsi="宋体" w:eastAsia="宋体" w:cs="宋体"/>
          <w:b/>
          <w:snapToGrid/>
          <w:color w:val="auto"/>
          <w:w w:val="100"/>
          <w:kern w:val="2"/>
          <w:sz w:val="24"/>
          <w:szCs w:val="24"/>
          <w:u w:val="single"/>
          <w:lang w:val="en-US" w:eastAsia="zh-CN"/>
        </w:rPr>
        <w:t>25</w:t>
      </w:r>
      <w:r>
        <w:rPr>
          <w:rFonts w:hint="eastAsia" w:ascii="宋体" w:hAnsi="宋体" w:eastAsia="宋体" w:cs="宋体"/>
          <w:b/>
          <w:snapToGrid/>
          <w:color w:val="auto"/>
          <w:w w:val="100"/>
          <w:kern w:val="2"/>
          <w:sz w:val="24"/>
          <w:szCs w:val="24"/>
          <w:u w:val="single"/>
        </w:rPr>
        <w:t>年</w:t>
      </w:r>
      <w:r>
        <w:rPr>
          <w:rFonts w:hint="eastAsia" w:ascii="宋体" w:hAnsi="宋体" w:eastAsia="宋体" w:cs="宋体"/>
          <w:b/>
          <w:snapToGrid/>
          <w:color w:val="auto"/>
          <w:w w:val="100"/>
          <w:kern w:val="2"/>
          <w:sz w:val="24"/>
          <w:szCs w:val="24"/>
          <w:u w:val="single"/>
          <w:lang w:val="en-US" w:eastAsia="zh-CN"/>
        </w:rPr>
        <w:t>6</w:t>
      </w:r>
      <w:r>
        <w:rPr>
          <w:rFonts w:hint="eastAsia" w:ascii="宋体" w:hAnsi="宋体" w:eastAsia="宋体" w:cs="宋体"/>
          <w:b/>
          <w:snapToGrid/>
          <w:color w:val="auto"/>
          <w:w w:val="100"/>
          <w:kern w:val="2"/>
          <w:sz w:val="24"/>
          <w:szCs w:val="24"/>
          <w:u w:val="single"/>
        </w:rPr>
        <w:t>月</w:t>
      </w:r>
      <w:r>
        <w:rPr>
          <w:rFonts w:hint="eastAsia" w:ascii="宋体" w:hAnsi="宋体" w:eastAsia="宋体" w:cs="宋体"/>
          <w:b/>
          <w:snapToGrid/>
          <w:color w:val="auto"/>
          <w:w w:val="100"/>
          <w:kern w:val="2"/>
          <w:sz w:val="24"/>
          <w:szCs w:val="24"/>
          <w:u w:val="single"/>
          <w:lang w:val="en-US" w:eastAsia="zh-CN"/>
        </w:rPr>
        <w:t>25</w:t>
      </w:r>
      <w:r>
        <w:rPr>
          <w:rFonts w:hint="eastAsia" w:ascii="宋体" w:hAnsi="宋体" w:eastAsia="宋体" w:cs="宋体"/>
          <w:b/>
          <w:snapToGrid/>
          <w:color w:val="auto"/>
          <w:w w:val="100"/>
          <w:kern w:val="2"/>
          <w:sz w:val="24"/>
          <w:szCs w:val="24"/>
          <w:u w:val="single"/>
        </w:rPr>
        <w:t>日，上午</w:t>
      </w:r>
      <w:r>
        <w:rPr>
          <w:rFonts w:hint="eastAsia" w:ascii="宋体" w:hAnsi="宋体" w:eastAsia="宋体" w:cs="宋体"/>
          <w:b/>
          <w:snapToGrid/>
          <w:color w:val="auto"/>
          <w:w w:val="100"/>
          <w:kern w:val="2"/>
          <w:sz w:val="24"/>
          <w:szCs w:val="24"/>
          <w:u w:val="single"/>
          <w:lang w:val="en-US" w:eastAsia="zh-CN"/>
        </w:rPr>
        <w:t>9</w:t>
      </w:r>
      <w:r>
        <w:rPr>
          <w:rFonts w:hint="eastAsia" w:ascii="宋体" w:hAnsi="宋体" w:eastAsia="宋体" w:cs="宋体"/>
          <w:b/>
          <w:snapToGrid/>
          <w:color w:val="auto"/>
          <w:w w:val="100"/>
          <w:kern w:val="2"/>
          <w:sz w:val="24"/>
          <w:szCs w:val="24"/>
          <w:u w:val="single"/>
        </w:rPr>
        <w:t>时至</w:t>
      </w:r>
      <w:r>
        <w:rPr>
          <w:rFonts w:hint="eastAsia" w:ascii="宋体" w:hAnsi="宋体" w:eastAsia="宋体" w:cs="宋体"/>
          <w:b/>
          <w:snapToGrid/>
          <w:color w:val="auto"/>
          <w:w w:val="100"/>
          <w:kern w:val="2"/>
          <w:sz w:val="24"/>
          <w:szCs w:val="24"/>
          <w:u w:val="single"/>
          <w:lang w:val="en-US" w:eastAsia="zh-CN"/>
        </w:rPr>
        <w:t>12</w:t>
      </w:r>
      <w:r>
        <w:rPr>
          <w:rFonts w:hint="eastAsia" w:ascii="宋体" w:hAnsi="宋体" w:eastAsia="宋体" w:cs="宋体"/>
          <w:b/>
          <w:snapToGrid/>
          <w:color w:val="auto"/>
          <w:w w:val="100"/>
          <w:kern w:val="2"/>
          <w:sz w:val="24"/>
          <w:szCs w:val="24"/>
          <w:u w:val="single"/>
        </w:rPr>
        <w:t>时，下午</w:t>
      </w:r>
      <w:r>
        <w:rPr>
          <w:rFonts w:hint="eastAsia" w:ascii="宋体" w:hAnsi="宋体" w:eastAsia="宋体" w:cs="宋体"/>
          <w:b/>
          <w:snapToGrid/>
          <w:color w:val="auto"/>
          <w:w w:val="100"/>
          <w:kern w:val="2"/>
          <w:sz w:val="24"/>
          <w:szCs w:val="24"/>
          <w:u w:val="single"/>
          <w:lang w:val="en-US" w:eastAsia="zh-CN"/>
        </w:rPr>
        <w:t>14</w:t>
      </w:r>
      <w:r>
        <w:rPr>
          <w:rFonts w:hint="eastAsia" w:ascii="宋体" w:hAnsi="宋体" w:eastAsia="宋体" w:cs="宋体"/>
          <w:b/>
          <w:snapToGrid/>
          <w:color w:val="auto"/>
          <w:w w:val="100"/>
          <w:kern w:val="2"/>
          <w:sz w:val="24"/>
          <w:szCs w:val="24"/>
          <w:u w:val="single"/>
        </w:rPr>
        <w:t>时至</w:t>
      </w:r>
      <w:r>
        <w:rPr>
          <w:rFonts w:hint="eastAsia" w:ascii="宋体" w:hAnsi="宋体" w:eastAsia="宋体" w:cs="宋体"/>
          <w:b/>
          <w:snapToGrid/>
          <w:color w:val="auto"/>
          <w:w w:val="100"/>
          <w:kern w:val="2"/>
          <w:sz w:val="24"/>
          <w:szCs w:val="24"/>
          <w:u w:val="single"/>
          <w:lang w:val="en-US" w:eastAsia="zh-CN"/>
        </w:rPr>
        <w:t>17</w:t>
      </w:r>
      <w:r>
        <w:rPr>
          <w:rFonts w:hint="eastAsia" w:ascii="宋体" w:hAnsi="宋体" w:eastAsia="宋体" w:cs="宋体"/>
          <w:b/>
          <w:snapToGrid/>
          <w:color w:val="auto"/>
          <w:w w:val="100"/>
          <w:kern w:val="2"/>
          <w:sz w:val="24"/>
          <w:szCs w:val="24"/>
          <w:u w:val="single"/>
        </w:rPr>
        <w:t>时（北京时间，下同）。</w:t>
      </w:r>
    </w:p>
    <w:p w14:paraId="4AF6FE1C">
      <w:pPr>
        <w:widowControl/>
        <w:shd w:val="clear" w:color="auto" w:fill="FFFFFF"/>
        <w:spacing w:line="315" w:lineRule="atLeast"/>
        <w:ind w:firstLine="480"/>
        <w:jc w:val="left"/>
        <w:textAlignment w:val="baseline"/>
        <w:rPr>
          <w:rFonts w:hint="eastAsia" w:ascii="宋体" w:hAnsi="宋体" w:eastAsia="宋体" w:cs="宋体"/>
          <w:snapToGrid/>
          <w:color w:val="auto"/>
          <w:w w:val="100"/>
          <w:kern w:val="0"/>
          <w:sz w:val="24"/>
          <w:szCs w:val="24"/>
          <w:shd w:val="clear" w:color="auto" w:fill="FFFFFF"/>
          <w:lang w:bidi="ar"/>
        </w:rPr>
      </w:pPr>
      <w:r>
        <w:rPr>
          <w:rFonts w:hint="eastAsia" w:ascii="宋体" w:hAnsi="宋体" w:eastAsia="宋体" w:cs="宋体"/>
          <w:snapToGrid/>
          <w:color w:val="auto"/>
          <w:w w:val="100"/>
          <w:kern w:val="2"/>
          <w:sz w:val="24"/>
          <w:szCs w:val="24"/>
        </w:rPr>
        <w:t>5.2</w:t>
      </w:r>
      <w:r>
        <w:rPr>
          <w:rFonts w:hint="eastAsia" w:ascii="宋体" w:hAnsi="宋体" w:eastAsia="宋体" w:cs="宋体"/>
          <w:snapToGrid/>
          <w:color w:val="auto"/>
          <w:w w:val="100"/>
          <w:kern w:val="0"/>
          <w:sz w:val="24"/>
          <w:szCs w:val="24"/>
          <w:shd w:val="clear" w:color="auto" w:fill="FFFFFF"/>
          <w:lang w:bidi="ar"/>
        </w:rPr>
        <w:t>人保e采外网门户注册入库</w:t>
      </w:r>
    </w:p>
    <w:p w14:paraId="78E88DE2">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凡拟报名参加中国人民保险各级机构采购项目的潜在投标人，均须先登录人保e采外网门户（https://ec.picc.com/）申请注册入库，审核通过后进行项目报名。</w:t>
      </w:r>
    </w:p>
    <w:p w14:paraId="288D8C88">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人保e采管理系统供应商注册入库详情可在登录采购门户后查阅《人保e采管理系统供应商入库操作指南》。</w:t>
      </w:r>
    </w:p>
    <w:p w14:paraId="7E168631">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5.3 招标文件获取方式：提供以下资料的原件扫描件：</w:t>
      </w:r>
    </w:p>
    <w:p w14:paraId="3279BE73">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（1）本人身份证</w:t>
      </w:r>
    </w:p>
    <w:p w14:paraId="3A6A1AFC">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（2）加盖公章的</w:t>
      </w:r>
      <w:r>
        <w:rPr>
          <w:rFonts w:hint="eastAsia" w:ascii="宋体" w:hAnsi="宋体" w:eastAsia="宋体" w:cs="宋体"/>
          <w:snapToGrid/>
          <w:color w:val="auto"/>
          <w:w w:val="100"/>
          <w:kern w:val="2"/>
          <w:sz w:val="24"/>
          <w:szCs w:val="24"/>
          <w:lang w:val="en-US" w:eastAsia="zh-CN"/>
        </w:rPr>
        <w:t>投标人</w:t>
      </w:r>
      <w:r>
        <w:rPr>
          <w:rFonts w:hint="eastAsia" w:ascii="宋体" w:hAnsi="宋体" w:eastAsia="宋体" w:cs="宋体"/>
          <w:snapToGrid/>
          <w:color w:val="auto"/>
          <w:w w:val="100"/>
          <w:kern w:val="2"/>
          <w:sz w:val="24"/>
          <w:szCs w:val="24"/>
        </w:rPr>
        <w:t>法人委托授权书（委托代理人必须为</w:t>
      </w:r>
      <w:r>
        <w:rPr>
          <w:rFonts w:hint="eastAsia" w:ascii="宋体" w:hAnsi="宋体" w:eastAsia="宋体" w:cs="宋体"/>
          <w:snapToGrid/>
          <w:color w:val="auto"/>
          <w:w w:val="100"/>
          <w:kern w:val="2"/>
          <w:sz w:val="24"/>
          <w:szCs w:val="24"/>
          <w:lang w:val="en-US" w:eastAsia="zh-CN"/>
        </w:rPr>
        <w:t>投标人</w:t>
      </w:r>
      <w:r>
        <w:rPr>
          <w:rFonts w:hint="eastAsia" w:ascii="宋体" w:hAnsi="宋体" w:eastAsia="宋体" w:cs="宋体"/>
          <w:snapToGrid/>
          <w:color w:val="auto"/>
          <w:w w:val="100"/>
          <w:kern w:val="2"/>
          <w:sz w:val="24"/>
          <w:szCs w:val="24"/>
        </w:rPr>
        <w:t>所属公司员工，须提供不少于最近</w:t>
      </w:r>
      <w:r>
        <w:rPr>
          <w:rFonts w:hint="eastAsia" w:ascii="宋体" w:hAnsi="宋体" w:eastAsia="宋体" w:cs="宋体"/>
          <w:snapToGrid/>
          <w:color w:val="auto"/>
          <w:w w:val="100"/>
          <w:kern w:val="2"/>
          <w:sz w:val="24"/>
          <w:szCs w:val="24"/>
          <w:lang w:val="en-US" w:eastAsia="zh-CN"/>
        </w:rPr>
        <w:t>6</w:t>
      </w:r>
      <w:r>
        <w:rPr>
          <w:rFonts w:hint="eastAsia" w:ascii="宋体" w:hAnsi="宋体" w:eastAsia="宋体" w:cs="宋体"/>
          <w:snapToGrid/>
          <w:color w:val="auto"/>
          <w:w w:val="100"/>
          <w:kern w:val="2"/>
          <w:sz w:val="24"/>
          <w:szCs w:val="24"/>
        </w:rPr>
        <w:t>个月社保证明等相关证明材料）</w:t>
      </w:r>
    </w:p>
    <w:p w14:paraId="61D25082">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（3）加盖公章的</w:t>
      </w:r>
      <w:r>
        <w:rPr>
          <w:rFonts w:hint="eastAsia" w:ascii="宋体" w:hAnsi="宋体" w:eastAsia="宋体" w:cs="宋体"/>
          <w:snapToGrid/>
          <w:color w:val="auto"/>
          <w:w w:val="100"/>
          <w:kern w:val="2"/>
          <w:sz w:val="24"/>
          <w:szCs w:val="24"/>
          <w:lang w:val="en-US" w:eastAsia="zh-CN"/>
        </w:rPr>
        <w:t>投标人</w:t>
      </w:r>
      <w:r>
        <w:rPr>
          <w:rFonts w:hint="eastAsia" w:ascii="宋体" w:hAnsi="宋体" w:eastAsia="宋体" w:cs="宋体"/>
          <w:snapToGrid/>
          <w:color w:val="auto"/>
          <w:w w:val="100"/>
          <w:kern w:val="2"/>
          <w:sz w:val="24"/>
          <w:szCs w:val="24"/>
        </w:rPr>
        <w:t>营业执照副本复印件</w:t>
      </w:r>
    </w:p>
    <w:p w14:paraId="78EB688F">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lang w:eastAsia="zh-CN"/>
        </w:rPr>
        <w:t>（</w:t>
      </w:r>
      <w:r>
        <w:rPr>
          <w:rFonts w:hint="eastAsia" w:ascii="宋体" w:hAnsi="宋体" w:eastAsia="宋体" w:cs="宋体"/>
          <w:snapToGrid/>
          <w:color w:val="auto"/>
          <w:w w:val="100"/>
          <w:kern w:val="2"/>
          <w:sz w:val="24"/>
          <w:szCs w:val="24"/>
          <w:lang w:val="en-US" w:eastAsia="zh-CN"/>
        </w:rPr>
        <w:t>4</w:t>
      </w:r>
      <w:r>
        <w:rPr>
          <w:rFonts w:hint="eastAsia" w:ascii="宋体" w:hAnsi="宋体" w:eastAsia="宋体" w:cs="宋体"/>
          <w:snapToGrid/>
          <w:color w:val="auto"/>
          <w:w w:val="100"/>
          <w:kern w:val="2"/>
          <w:sz w:val="24"/>
          <w:szCs w:val="24"/>
          <w:lang w:eastAsia="zh-CN"/>
        </w:rPr>
        <w:t>）</w:t>
      </w:r>
      <w:r>
        <w:rPr>
          <w:rFonts w:hint="eastAsia" w:ascii="宋体" w:hAnsi="宋体" w:eastAsia="宋体" w:cs="宋体"/>
          <w:snapToGrid/>
          <w:color w:val="auto"/>
          <w:w w:val="100"/>
          <w:kern w:val="2"/>
          <w:sz w:val="24"/>
          <w:szCs w:val="24"/>
          <w:lang w:val="en-US" w:eastAsia="zh-CN"/>
        </w:rPr>
        <w:t>“人保e采”管理系统供应商注册入库成功截图</w:t>
      </w:r>
    </w:p>
    <w:p w14:paraId="16EB70F5">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lang w:val="en-US" w:eastAsia="zh-CN"/>
        </w:rPr>
        <w:t>5.4</w:t>
      </w:r>
      <w:r>
        <w:rPr>
          <w:rFonts w:hint="eastAsia" w:ascii="宋体" w:hAnsi="宋体" w:eastAsia="宋体" w:cs="宋体"/>
          <w:snapToGrid/>
          <w:color w:val="auto"/>
          <w:w w:val="100"/>
          <w:kern w:val="2"/>
          <w:sz w:val="24"/>
          <w:szCs w:val="24"/>
        </w:rPr>
        <w:t>获取方式：采取网上申领方式，</w:t>
      </w:r>
      <w:r>
        <w:rPr>
          <w:rFonts w:hint="eastAsia" w:ascii="宋体" w:hAnsi="宋体" w:eastAsia="宋体" w:cs="宋体"/>
          <w:snapToGrid/>
          <w:color w:val="auto"/>
          <w:w w:val="100"/>
          <w:kern w:val="2"/>
          <w:sz w:val="24"/>
          <w:szCs w:val="24"/>
          <w:lang w:val="en-US" w:eastAsia="zh-CN"/>
        </w:rPr>
        <w:t>投标人</w:t>
      </w:r>
      <w:r>
        <w:rPr>
          <w:rFonts w:hint="eastAsia" w:ascii="宋体" w:hAnsi="宋体" w:eastAsia="宋体" w:cs="宋体"/>
          <w:snapToGrid/>
          <w:color w:val="auto"/>
          <w:w w:val="100"/>
          <w:kern w:val="2"/>
          <w:sz w:val="24"/>
          <w:szCs w:val="24"/>
        </w:rPr>
        <w:t>发送电子邮件方式递交报名资料，邮件主题：项目名字+项目编号+公司名称；邮件内容：列明公司名称、法定代表人或授权代表人姓名及联系方式；邮件附件：将报名材料加盖公司公章，按顺序制作成1个PDF格式文件，文件名称与主题一致，复印件扫描无效。报名材料审核通过后，采购代理机构联系人向</w:t>
      </w:r>
      <w:r>
        <w:rPr>
          <w:rFonts w:hint="eastAsia" w:ascii="宋体" w:hAnsi="宋体" w:eastAsia="宋体" w:cs="宋体"/>
          <w:snapToGrid/>
          <w:color w:val="auto"/>
          <w:w w:val="100"/>
          <w:kern w:val="2"/>
          <w:sz w:val="24"/>
          <w:szCs w:val="24"/>
          <w:lang w:val="en-US" w:eastAsia="zh-CN"/>
        </w:rPr>
        <w:t>投标人</w:t>
      </w:r>
      <w:r>
        <w:rPr>
          <w:rFonts w:hint="eastAsia" w:ascii="宋体" w:hAnsi="宋体" w:eastAsia="宋体" w:cs="宋体"/>
          <w:snapToGrid/>
          <w:color w:val="auto"/>
          <w:w w:val="100"/>
          <w:kern w:val="2"/>
          <w:sz w:val="24"/>
          <w:szCs w:val="24"/>
        </w:rPr>
        <w:t>邮箱发送</w:t>
      </w:r>
      <w:r>
        <w:rPr>
          <w:rFonts w:hint="eastAsia" w:ascii="宋体" w:hAnsi="宋体" w:eastAsia="宋体" w:cs="宋体"/>
          <w:snapToGrid/>
          <w:color w:val="auto"/>
          <w:w w:val="100"/>
          <w:kern w:val="2"/>
          <w:sz w:val="24"/>
          <w:szCs w:val="24"/>
          <w:lang w:val="en-US" w:eastAsia="zh-CN"/>
        </w:rPr>
        <w:t>招标</w:t>
      </w:r>
      <w:r>
        <w:rPr>
          <w:rFonts w:hint="eastAsia" w:ascii="宋体" w:hAnsi="宋体" w:eastAsia="宋体" w:cs="宋体"/>
          <w:snapToGrid/>
          <w:color w:val="auto"/>
          <w:w w:val="100"/>
          <w:kern w:val="2"/>
          <w:sz w:val="24"/>
          <w:szCs w:val="24"/>
        </w:rPr>
        <w:t>文件电子版；审核未通过的，采购机构联系人以邮件形式回复审核情况，</w:t>
      </w:r>
      <w:r>
        <w:rPr>
          <w:rFonts w:hint="eastAsia" w:ascii="宋体" w:hAnsi="宋体" w:eastAsia="宋体" w:cs="宋体"/>
          <w:snapToGrid/>
          <w:color w:val="auto"/>
          <w:w w:val="100"/>
          <w:kern w:val="2"/>
          <w:sz w:val="24"/>
          <w:szCs w:val="24"/>
          <w:lang w:val="en-US" w:eastAsia="zh-CN"/>
        </w:rPr>
        <w:t>投标人</w:t>
      </w:r>
      <w:r>
        <w:rPr>
          <w:rFonts w:hint="eastAsia" w:ascii="宋体" w:hAnsi="宋体" w:eastAsia="宋体" w:cs="宋体"/>
          <w:snapToGrid/>
          <w:color w:val="auto"/>
          <w:w w:val="100"/>
          <w:kern w:val="2"/>
          <w:sz w:val="24"/>
          <w:szCs w:val="24"/>
        </w:rPr>
        <w:t>可在</w:t>
      </w:r>
      <w:r>
        <w:rPr>
          <w:rFonts w:hint="eastAsia" w:ascii="宋体" w:hAnsi="宋体" w:eastAsia="宋体" w:cs="宋体"/>
          <w:snapToGrid/>
          <w:color w:val="auto"/>
          <w:w w:val="100"/>
          <w:kern w:val="2"/>
          <w:sz w:val="24"/>
          <w:szCs w:val="24"/>
          <w:lang w:val="en-US" w:eastAsia="zh-CN"/>
        </w:rPr>
        <w:t>招标</w:t>
      </w:r>
      <w:r>
        <w:rPr>
          <w:rFonts w:hint="eastAsia" w:ascii="宋体" w:hAnsi="宋体" w:eastAsia="宋体" w:cs="宋体"/>
          <w:snapToGrid/>
          <w:color w:val="auto"/>
          <w:w w:val="100"/>
          <w:kern w:val="2"/>
          <w:sz w:val="24"/>
          <w:szCs w:val="24"/>
        </w:rPr>
        <w:t>文件申领时间内重新提交材料。采购代理机构邮箱：1452910996@qq.com。</w:t>
      </w:r>
    </w:p>
    <w:p w14:paraId="6D99A8C3">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lang w:val="en-US" w:eastAsia="zh-CN"/>
        </w:rPr>
        <w:t>5</w:t>
      </w:r>
      <w:r>
        <w:rPr>
          <w:rFonts w:hint="eastAsia" w:ascii="宋体" w:hAnsi="宋体" w:eastAsia="宋体" w:cs="宋体"/>
          <w:snapToGrid/>
          <w:color w:val="auto"/>
          <w:w w:val="100"/>
          <w:kern w:val="2"/>
          <w:sz w:val="24"/>
          <w:szCs w:val="24"/>
          <w:lang w:eastAsia="zh-CN"/>
        </w:rPr>
        <w:t>.</w:t>
      </w:r>
      <w:r>
        <w:rPr>
          <w:rFonts w:hint="eastAsia" w:ascii="宋体" w:hAnsi="宋体" w:eastAsia="宋体" w:cs="宋体"/>
          <w:snapToGrid/>
          <w:color w:val="auto"/>
          <w:w w:val="100"/>
          <w:kern w:val="2"/>
          <w:sz w:val="24"/>
          <w:szCs w:val="24"/>
          <w:lang w:val="en-US" w:eastAsia="zh-CN"/>
        </w:rPr>
        <w:t>5招标</w:t>
      </w:r>
      <w:r>
        <w:rPr>
          <w:rFonts w:hint="eastAsia" w:ascii="宋体" w:hAnsi="宋体" w:eastAsia="宋体" w:cs="宋体"/>
          <w:snapToGrid/>
          <w:color w:val="auto"/>
          <w:w w:val="100"/>
          <w:kern w:val="2"/>
          <w:sz w:val="24"/>
          <w:szCs w:val="24"/>
        </w:rPr>
        <w:t>文件每份人民币400元，售后不退。</w:t>
      </w:r>
    </w:p>
    <w:p w14:paraId="5AB0B435">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lang w:val="en-US" w:eastAsia="zh-CN" w:bidi="ar-SA"/>
        </w:rPr>
      </w:pPr>
      <w:bookmarkStart w:id="25" w:name="_Toc31250"/>
      <w:bookmarkStart w:id="26" w:name="_Toc7435"/>
      <w:bookmarkStart w:id="27" w:name="_Toc109124228"/>
      <w:r>
        <w:rPr>
          <w:rFonts w:hint="eastAsia" w:ascii="宋体" w:hAnsi="宋体" w:eastAsia="宋体" w:cs="宋体"/>
          <w:b/>
          <w:color w:val="auto"/>
          <w:kern w:val="2"/>
          <w:sz w:val="24"/>
          <w:lang w:val="en-US" w:eastAsia="zh-CN" w:bidi="ar-SA"/>
        </w:rPr>
        <w:t>六、投标文件的递交</w:t>
      </w:r>
      <w:bookmarkEnd w:id="25"/>
      <w:bookmarkEnd w:id="26"/>
      <w:bookmarkEnd w:id="27"/>
    </w:p>
    <w:p w14:paraId="1745C629">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6.1投标文件递交截止时间（即开标时间）：</w:t>
      </w:r>
      <w:r>
        <w:rPr>
          <w:rFonts w:hint="eastAsia" w:ascii="宋体" w:hAnsi="宋体" w:eastAsia="宋体" w:cs="宋体"/>
          <w:snapToGrid/>
          <w:color w:val="auto"/>
          <w:w w:val="100"/>
          <w:kern w:val="2"/>
          <w:sz w:val="24"/>
          <w:szCs w:val="24"/>
          <w:u w:val="single"/>
        </w:rPr>
        <w:t>20</w:t>
      </w:r>
      <w:r>
        <w:rPr>
          <w:rFonts w:hint="eastAsia" w:ascii="宋体" w:hAnsi="宋体" w:eastAsia="宋体" w:cs="宋体"/>
          <w:snapToGrid/>
          <w:color w:val="auto"/>
          <w:w w:val="100"/>
          <w:kern w:val="2"/>
          <w:sz w:val="24"/>
          <w:szCs w:val="24"/>
          <w:u w:val="single"/>
          <w:lang w:val="en-US" w:eastAsia="zh-CN"/>
        </w:rPr>
        <w:t>25</w:t>
      </w:r>
      <w:r>
        <w:rPr>
          <w:rFonts w:hint="eastAsia" w:ascii="宋体" w:hAnsi="宋体" w:eastAsia="宋体" w:cs="宋体"/>
          <w:snapToGrid/>
          <w:color w:val="auto"/>
          <w:w w:val="100"/>
          <w:kern w:val="2"/>
          <w:sz w:val="24"/>
          <w:szCs w:val="24"/>
          <w:u w:val="single"/>
        </w:rPr>
        <w:t>年</w:t>
      </w:r>
      <w:r>
        <w:rPr>
          <w:rFonts w:hint="eastAsia" w:ascii="宋体" w:hAnsi="宋体" w:eastAsia="宋体" w:cs="宋体"/>
          <w:snapToGrid/>
          <w:color w:val="auto"/>
          <w:w w:val="100"/>
          <w:kern w:val="2"/>
          <w:sz w:val="24"/>
          <w:szCs w:val="24"/>
          <w:u w:val="single"/>
          <w:lang w:val="en-US" w:eastAsia="zh-CN"/>
        </w:rPr>
        <w:t>7</w:t>
      </w:r>
      <w:r>
        <w:rPr>
          <w:rFonts w:hint="eastAsia" w:ascii="宋体" w:hAnsi="宋体" w:eastAsia="宋体" w:cs="宋体"/>
          <w:snapToGrid/>
          <w:color w:val="auto"/>
          <w:w w:val="100"/>
          <w:kern w:val="2"/>
          <w:sz w:val="24"/>
          <w:szCs w:val="24"/>
          <w:u w:val="single"/>
        </w:rPr>
        <w:t>月</w:t>
      </w:r>
      <w:r>
        <w:rPr>
          <w:rFonts w:hint="eastAsia" w:ascii="宋体" w:hAnsi="宋体" w:eastAsia="宋体" w:cs="宋体"/>
          <w:snapToGrid/>
          <w:color w:val="auto"/>
          <w:w w:val="100"/>
          <w:kern w:val="2"/>
          <w:sz w:val="24"/>
          <w:szCs w:val="24"/>
          <w:u w:val="single"/>
          <w:lang w:val="en-US" w:eastAsia="zh-CN"/>
        </w:rPr>
        <w:t>11</w:t>
      </w:r>
      <w:r>
        <w:rPr>
          <w:rFonts w:hint="eastAsia" w:ascii="宋体" w:hAnsi="宋体" w:eastAsia="宋体" w:cs="宋体"/>
          <w:snapToGrid/>
          <w:color w:val="auto"/>
          <w:w w:val="100"/>
          <w:kern w:val="2"/>
          <w:sz w:val="24"/>
          <w:szCs w:val="24"/>
          <w:u w:val="single"/>
        </w:rPr>
        <w:t>日</w:t>
      </w:r>
      <w:r>
        <w:rPr>
          <w:rFonts w:hint="eastAsia" w:ascii="宋体" w:hAnsi="宋体" w:eastAsia="宋体" w:cs="宋体"/>
          <w:snapToGrid/>
          <w:color w:val="auto"/>
          <w:w w:val="100"/>
          <w:kern w:val="2"/>
          <w:sz w:val="24"/>
          <w:szCs w:val="24"/>
          <w:u w:val="single"/>
          <w:lang w:val="en-US" w:eastAsia="zh-CN"/>
        </w:rPr>
        <w:t>9</w:t>
      </w:r>
      <w:r>
        <w:rPr>
          <w:rFonts w:hint="eastAsia" w:ascii="宋体" w:hAnsi="宋体" w:eastAsia="宋体" w:cs="宋体"/>
          <w:snapToGrid/>
          <w:color w:val="auto"/>
          <w:w w:val="100"/>
          <w:kern w:val="2"/>
          <w:sz w:val="24"/>
          <w:szCs w:val="24"/>
          <w:u w:val="single"/>
        </w:rPr>
        <w:t>时</w:t>
      </w:r>
      <w:r>
        <w:rPr>
          <w:rFonts w:hint="eastAsia" w:ascii="宋体" w:hAnsi="宋体" w:eastAsia="宋体" w:cs="宋体"/>
          <w:snapToGrid/>
          <w:color w:val="auto"/>
          <w:w w:val="100"/>
          <w:kern w:val="2"/>
          <w:sz w:val="24"/>
          <w:szCs w:val="24"/>
          <w:u w:val="single"/>
          <w:lang w:val="en-US" w:eastAsia="zh-CN"/>
        </w:rPr>
        <w:t>30</w:t>
      </w:r>
      <w:r>
        <w:rPr>
          <w:rFonts w:hint="eastAsia" w:ascii="宋体" w:hAnsi="宋体" w:eastAsia="宋体" w:cs="宋体"/>
          <w:snapToGrid/>
          <w:color w:val="auto"/>
          <w:w w:val="100"/>
          <w:kern w:val="2"/>
          <w:sz w:val="24"/>
          <w:szCs w:val="24"/>
          <w:u w:val="single"/>
        </w:rPr>
        <w:t>分00秒</w:t>
      </w:r>
      <w:r>
        <w:rPr>
          <w:rFonts w:hint="eastAsia" w:ascii="宋体" w:hAnsi="宋体" w:eastAsia="宋体" w:cs="宋体"/>
          <w:snapToGrid/>
          <w:color w:val="auto"/>
          <w:w w:val="100"/>
          <w:kern w:val="2"/>
          <w:sz w:val="24"/>
          <w:szCs w:val="24"/>
        </w:rPr>
        <w:t>。</w:t>
      </w:r>
    </w:p>
    <w:p w14:paraId="5AB82195">
      <w:pPr>
        <w:spacing w:line="360" w:lineRule="auto"/>
        <w:ind w:firstLine="480" w:firstLineChars="200"/>
        <w:textAlignment w:val="baseline"/>
        <w:rPr>
          <w:rFonts w:hint="eastAsia" w:ascii="宋体" w:hAnsi="宋体" w:eastAsia="宋体" w:cs="宋体"/>
          <w:b/>
          <w:bCs/>
          <w:snapToGrid/>
          <w:color w:val="auto"/>
          <w:w w:val="100"/>
          <w:kern w:val="2"/>
          <w:sz w:val="24"/>
          <w:szCs w:val="24"/>
        </w:rPr>
      </w:pPr>
      <w:r>
        <w:rPr>
          <w:rFonts w:hint="eastAsia" w:ascii="宋体" w:hAnsi="宋体" w:eastAsia="宋体" w:cs="宋体"/>
          <w:snapToGrid/>
          <w:color w:val="auto"/>
          <w:w w:val="100"/>
          <w:kern w:val="2"/>
          <w:sz w:val="24"/>
          <w:szCs w:val="24"/>
        </w:rPr>
        <w:t>6.2投标文件递交地点：须现场递交至</w:t>
      </w:r>
      <w:r>
        <w:rPr>
          <w:rFonts w:hint="eastAsia" w:ascii="宋体" w:hAnsi="宋体" w:eastAsia="宋体" w:cs="宋体"/>
          <w:snapToGrid/>
          <w:color w:val="auto"/>
          <w:w w:val="100"/>
          <w:kern w:val="2"/>
          <w:sz w:val="24"/>
          <w:szCs w:val="24"/>
          <w:lang w:val="en-US" w:eastAsia="zh-CN"/>
        </w:rPr>
        <w:t>中</w:t>
      </w:r>
      <w:r>
        <w:rPr>
          <w:rFonts w:hint="eastAsia" w:ascii="宋体" w:hAnsi="宋体" w:eastAsia="宋体" w:cs="宋体"/>
          <w:snapToGrid/>
          <w:color w:val="auto"/>
          <w:w w:val="100"/>
          <w:kern w:val="2"/>
          <w:sz w:val="24"/>
          <w:szCs w:val="24"/>
          <w:lang w:eastAsia="zh-CN"/>
        </w:rPr>
        <w:t>技建设咨询有限公司会议中心（长沙市雨花区湘府中路117号高升金典商务楼18层）</w:t>
      </w:r>
      <w:r>
        <w:rPr>
          <w:rFonts w:hint="eastAsia" w:ascii="宋体" w:hAnsi="宋体" w:eastAsia="宋体" w:cs="宋体"/>
          <w:snapToGrid/>
          <w:color w:val="auto"/>
          <w:w w:val="100"/>
          <w:kern w:val="2"/>
          <w:sz w:val="24"/>
          <w:szCs w:val="24"/>
        </w:rPr>
        <w:t>，</w:t>
      </w:r>
      <w:r>
        <w:rPr>
          <w:rFonts w:hint="eastAsia" w:ascii="宋体" w:hAnsi="宋体" w:eastAsia="宋体" w:cs="宋体"/>
          <w:b/>
          <w:bCs/>
          <w:snapToGrid/>
          <w:color w:val="auto"/>
          <w:w w:val="100"/>
          <w:kern w:val="2"/>
          <w:sz w:val="24"/>
          <w:szCs w:val="24"/>
        </w:rPr>
        <w:t>逾期送达或者未送达指定地点或者未按照招标文件要求封装的纸质投标文件不予接收。</w:t>
      </w:r>
      <w:bookmarkStart w:id="28" w:name="_Toc3941"/>
      <w:bookmarkStart w:id="29" w:name="_Toc109124229"/>
    </w:p>
    <w:p w14:paraId="2D9AABFC">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6.3</w:t>
      </w:r>
      <w:r>
        <w:rPr>
          <w:rFonts w:hint="eastAsia" w:ascii="宋体" w:hAnsi="宋体" w:eastAsia="宋体" w:cs="宋体"/>
          <w:b/>
          <w:bCs/>
          <w:snapToGrid/>
          <w:color w:val="auto"/>
          <w:w w:val="100"/>
          <w:kern w:val="2"/>
          <w:sz w:val="24"/>
          <w:szCs w:val="24"/>
        </w:rPr>
        <w:t>本项目将于上述同一时间、地点进行开标</w:t>
      </w:r>
      <w:r>
        <w:rPr>
          <w:rFonts w:hint="eastAsia" w:ascii="宋体" w:hAnsi="宋体" w:eastAsia="宋体" w:cs="宋体"/>
          <w:snapToGrid/>
          <w:color w:val="auto"/>
          <w:w w:val="100"/>
          <w:kern w:val="2"/>
          <w:sz w:val="24"/>
          <w:szCs w:val="24"/>
        </w:rPr>
        <w:t>，招标人/招标代理机构邀请投标人代表准时参加。</w:t>
      </w:r>
    </w:p>
    <w:p w14:paraId="5B114F2B">
      <w:pPr>
        <w:spacing w:line="360" w:lineRule="auto"/>
        <w:ind w:firstLine="480" w:firstLineChars="200"/>
        <w:textAlignment w:val="baseline"/>
        <w:rPr>
          <w:rFonts w:hint="eastAsia" w:ascii="宋体" w:hAnsi="宋体" w:eastAsia="宋体" w:cs="宋体"/>
          <w:b/>
          <w:bCs/>
          <w:snapToGrid/>
          <w:color w:val="auto"/>
          <w:w w:val="100"/>
          <w:kern w:val="2"/>
          <w:sz w:val="24"/>
          <w:szCs w:val="24"/>
        </w:rPr>
      </w:pPr>
      <w:r>
        <w:rPr>
          <w:rFonts w:hint="eastAsia" w:ascii="宋体" w:hAnsi="宋体" w:eastAsia="宋体" w:cs="宋体"/>
          <w:snapToGrid/>
          <w:color w:val="auto"/>
          <w:w w:val="100"/>
          <w:kern w:val="2"/>
          <w:sz w:val="24"/>
          <w:szCs w:val="24"/>
        </w:rPr>
        <w:t>6.4</w:t>
      </w:r>
      <w:r>
        <w:rPr>
          <w:rFonts w:hint="eastAsia" w:ascii="宋体" w:hAnsi="宋体" w:eastAsia="宋体" w:cs="宋体"/>
          <w:b/>
          <w:bCs/>
          <w:snapToGrid/>
          <w:color w:val="auto"/>
          <w:w w:val="100"/>
          <w:kern w:val="2"/>
          <w:sz w:val="24"/>
          <w:szCs w:val="24"/>
        </w:rPr>
        <w:t>出现以下情形之一时，招标人/招标代理机构不予接收投标文件：</w:t>
      </w:r>
    </w:p>
    <w:p w14:paraId="2A69D4D2">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6.4.1  逾期送达或者未送达指定地点的；</w:t>
      </w:r>
    </w:p>
    <w:p w14:paraId="14A5B889">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6.4.2  未按照招标文件要求密封的；</w:t>
      </w:r>
    </w:p>
    <w:p w14:paraId="1F28C2CE">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6.4.3  未按照招标公告要求获取招标文件的。</w:t>
      </w:r>
    </w:p>
    <w:p w14:paraId="145C36AA">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 xml:space="preserve">6.4.4  </w:t>
      </w:r>
      <w:bookmarkStart w:id="30" w:name="OLE_LINK10"/>
      <w:r>
        <w:rPr>
          <w:rFonts w:hint="eastAsia" w:ascii="宋体" w:hAnsi="宋体" w:eastAsia="宋体" w:cs="宋体"/>
          <w:snapToGrid/>
          <w:color w:val="auto"/>
          <w:w w:val="100"/>
          <w:kern w:val="2"/>
          <w:sz w:val="24"/>
          <w:szCs w:val="24"/>
        </w:rPr>
        <w:t>现场递交人员非投标单位法人或非在投标单位购买近六个月社保（不得少于六个月）的授权代表。</w:t>
      </w:r>
      <w:bookmarkEnd w:id="30"/>
    </w:p>
    <w:p w14:paraId="6BA55E32">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lang w:val="en-US" w:eastAsia="zh-CN" w:bidi="ar-SA"/>
        </w:rPr>
      </w:pPr>
      <w:bookmarkStart w:id="31" w:name="_Toc23758"/>
      <w:r>
        <w:rPr>
          <w:rFonts w:hint="eastAsia" w:ascii="宋体" w:hAnsi="宋体" w:eastAsia="宋体" w:cs="宋体"/>
          <w:b/>
          <w:color w:val="auto"/>
          <w:kern w:val="2"/>
          <w:sz w:val="24"/>
          <w:lang w:val="en-US" w:eastAsia="zh-CN" w:bidi="ar-SA"/>
        </w:rPr>
        <w:t>七、发布公告的媒介</w:t>
      </w:r>
      <w:bookmarkEnd w:id="28"/>
      <w:bookmarkEnd w:id="29"/>
      <w:bookmarkEnd w:id="31"/>
    </w:p>
    <w:p w14:paraId="2E399C33">
      <w:pPr>
        <w:spacing w:line="360" w:lineRule="auto"/>
        <w:ind w:firstLine="480" w:firstLineChars="200"/>
        <w:textAlignment w:val="baseline"/>
        <w:rPr>
          <w:rFonts w:hint="eastAsia" w:ascii="宋体" w:hAnsi="宋体" w:eastAsia="宋体" w:cs="宋体"/>
          <w:snapToGrid/>
          <w:color w:val="auto"/>
          <w:w w:val="100"/>
          <w:kern w:val="2"/>
          <w:sz w:val="24"/>
          <w:szCs w:val="24"/>
        </w:rPr>
      </w:pPr>
      <w:bookmarkStart w:id="32" w:name="_Toc24187"/>
      <w:bookmarkStart w:id="33" w:name="_Toc24589"/>
      <w:bookmarkStart w:id="34" w:name="_Toc7046"/>
      <w:bookmarkStart w:id="35" w:name="_Toc109124230"/>
      <w:bookmarkStart w:id="36" w:name="_Toc26408"/>
      <w:bookmarkStart w:id="37" w:name="_Toc20415"/>
      <w:r>
        <w:rPr>
          <w:rFonts w:hint="eastAsia" w:ascii="宋体" w:hAnsi="宋体" w:eastAsia="宋体" w:cs="宋体"/>
          <w:snapToGrid/>
          <w:color w:val="auto"/>
          <w:w w:val="100"/>
          <w:kern w:val="2"/>
          <w:sz w:val="24"/>
          <w:szCs w:val="24"/>
        </w:rPr>
        <w:t>本项目招标公告同时在</w:t>
      </w:r>
      <w:r>
        <w:rPr>
          <w:rFonts w:hint="eastAsia" w:ascii="宋体" w:hAnsi="宋体" w:eastAsia="宋体" w:cs="宋体"/>
          <w:snapToGrid/>
          <w:color w:val="auto"/>
          <w:w w:val="100"/>
          <w:kern w:val="2"/>
          <w:sz w:val="24"/>
          <w:szCs w:val="24"/>
          <w:u w:val="single"/>
        </w:rPr>
        <w:t>中国招标投标公共服务平台（www.cebpubservice.com）</w:t>
      </w:r>
      <w:r>
        <w:rPr>
          <w:rFonts w:hint="eastAsia" w:ascii="宋体" w:hAnsi="宋体" w:eastAsia="宋体" w:cs="宋体"/>
          <w:snapToGrid/>
          <w:color w:val="auto"/>
          <w:w w:val="100"/>
          <w:kern w:val="2"/>
          <w:sz w:val="24"/>
          <w:szCs w:val="24"/>
        </w:rPr>
        <w:t>、</w:t>
      </w:r>
      <w:r>
        <w:rPr>
          <w:rFonts w:hint="eastAsia" w:ascii="宋体" w:hAnsi="宋体" w:eastAsia="宋体" w:cs="宋体"/>
          <w:snapToGrid/>
          <w:color w:val="auto"/>
          <w:w w:val="100"/>
          <w:kern w:val="2"/>
          <w:sz w:val="24"/>
          <w:szCs w:val="24"/>
          <w:u w:val="single"/>
        </w:rPr>
        <w:t>中国金融集中采购网（http://www.cfcpn.com）</w:t>
      </w:r>
      <w:r>
        <w:rPr>
          <w:rFonts w:hint="eastAsia" w:ascii="宋体" w:hAnsi="宋体" w:eastAsia="宋体" w:cs="宋体"/>
          <w:snapToGrid/>
          <w:color w:val="auto"/>
          <w:w w:val="100"/>
          <w:kern w:val="2"/>
          <w:sz w:val="24"/>
          <w:szCs w:val="24"/>
        </w:rPr>
        <w:t>、</w:t>
      </w:r>
      <w:r>
        <w:rPr>
          <w:rFonts w:hint="eastAsia" w:ascii="宋体" w:hAnsi="宋体" w:eastAsia="宋体" w:cs="宋体"/>
          <w:snapToGrid/>
          <w:color w:val="auto"/>
          <w:w w:val="100"/>
          <w:kern w:val="2"/>
          <w:sz w:val="21"/>
          <w:szCs w:val="20"/>
        </w:rPr>
        <w:fldChar w:fldCharType="begin"/>
      </w:r>
      <w:r>
        <w:rPr>
          <w:rFonts w:hint="eastAsia" w:ascii="宋体" w:hAnsi="宋体" w:eastAsia="宋体" w:cs="宋体"/>
          <w:snapToGrid/>
          <w:color w:val="auto"/>
          <w:w w:val="100"/>
          <w:kern w:val="2"/>
          <w:sz w:val="21"/>
          <w:szCs w:val="20"/>
        </w:rPr>
        <w:instrText xml:space="preserve"> HYPERLINK "https://www.chinabidding.com.cn/" </w:instrText>
      </w:r>
      <w:r>
        <w:rPr>
          <w:rFonts w:hint="eastAsia" w:ascii="宋体" w:hAnsi="宋体" w:eastAsia="宋体" w:cs="宋体"/>
          <w:snapToGrid/>
          <w:color w:val="auto"/>
          <w:w w:val="100"/>
          <w:kern w:val="2"/>
          <w:sz w:val="21"/>
          <w:szCs w:val="20"/>
        </w:rPr>
        <w:fldChar w:fldCharType="separate"/>
      </w:r>
      <w:r>
        <w:rPr>
          <w:rFonts w:hint="eastAsia" w:ascii="宋体" w:hAnsi="宋体" w:eastAsia="宋体" w:cs="宋体"/>
          <w:snapToGrid/>
          <w:color w:val="auto"/>
          <w:w w:val="100"/>
          <w:kern w:val="2"/>
          <w:sz w:val="24"/>
          <w:szCs w:val="24"/>
          <w:u w:val="single"/>
        </w:rPr>
        <w:t>中国采购与招标网 (chinabidding.com.cn)</w:t>
      </w:r>
      <w:r>
        <w:rPr>
          <w:rFonts w:hint="eastAsia" w:ascii="宋体" w:hAnsi="宋体" w:eastAsia="宋体" w:cs="宋体"/>
          <w:snapToGrid/>
          <w:color w:val="auto"/>
          <w:w w:val="100"/>
          <w:kern w:val="2"/>
          <w:sz w:val="24"/>
          <w:szCs w:val="24"/>
          <w:u w:val="single"/>
        </w:rPr>
        <w:fldChar w:fldCharType="end"/>
      </w:r>
      <w:r>
        <w:rPr>
          <w:rFonts w:hint="eastAsia" w:ascii="宋体" w:hAnsi="宋体" w:eastAsia="宋体" w:cs="宋体"/>
          <w:snapToGrid/>
          <w:color w:val="auto"/>
          <w:w w:val="100"/>
          <w:kern w:val="2"/>
          <w:sz w:val="24"/>
          <w:szCs w:val="24"/>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68DFFE04">
      <w:pPr>
        <w:keepNext/>
        <w:keepLines/>
        <w:widowControl w:val="0"/>
        <w:adjustRightInd w:val="0"/>
        <w:snapToGrid w:val="0"/>
        <w:spacing w:before="120" w:after="120" w:line="360" w:lineRule="auto"/>
        <w:jc w:val="left"/>
        <w:outlineLvl w:val="1"/>
        <w:rPr>
          <w:rFonts w:hint="eastAsia" w:ascii="宋体" w:hAnsi="宋体" w:eastAsia="宋体" w:cs="宋体"/>
          <w:b/>
          <w:color w:val="auto"/>
          <w:kern w:val="2"/>
          <w:sz w:val="24"/>
          <w:lang w:val="en-US" w:eastAsia="zh-CN" w:bidi="ar-SA"/>
        </w:rPr>
      </w:pPr>
      <w:r>
        <w:rPr>
          <w:rFonts w:hint="eastAsia" w:ascii="宋体" w:hAnsi="宋体" w:eastAsia="宋体" w:cs="宋体"/>
          <w:b/>
          <w:color w:val="auto"/>
          <w:kern w:val="2"/>
          <w:sz w:val="24"/>
          <w:lang w:val="en-US" w:eastAsia="zh-CN" w:bidi="ar-SA"/>
        </w:rPr>
        <w:t>八、联系方式</w:t>
      </w:r>
      <w:bookmarkEnd w:id="32"/>
      <w:bookmarkEnd w:id="33"/>
      <w:bookmarkEnd w:id="34"/>
      <w:bookmarkEnd w:id="35"/>
      <w:bookmarkEnd w:id="36"/>
      <w:bookmarkEnd w:id="37"/>
    </w:p>
    <w:p w14:paraId="343840EC">
      <w:pPr>
        <w:spacing w:line="360" w:lineRule="auto"/>
        <w:ind w:firstLine="482" w:firstLineChars="200"/>
        <w:textAlignment w:val="baseline"/>
        <w:rPr>
          <w:rFonts w:hint="eastAsia" w:ascii="宋体" w:hAnsi="宋体" w:eastAsia="宋体" w:cs="宋体"/>
          <w:b/>
          <w:snapToGrid/>
          <w:color w:val="auto"/>
          <w:w w:val="100"/>
          <w:kern w:val="2"/>
          <w:sz w:val="24"/>
          <w:szCs w:val="24"/>
          <w:lang w:eastAsia="zh-CN"/>
        </w:rPr>
      </w:pPr>
      <w:r>
        <w:rPr>
          <w:rFonts w:hint="eastAsia" w:ascii="宋体" w:hAnsi="宋体" w:eastAsia="宋体" w:cs="宋体"/>
          <w:b/>
          <w:snapToGrid/>
          <w:color w:val="auto"/>
          <w:w w:val="100"/>
          <w:kern w:val="2"/>
          <w:sz w:val="24"/>
          <w:szCs w:val="24"/>
        </w:rPr>
        <w:t>招标人：</w:t>
      </w:r>
      <w:r>
        <w:rPr>
          <w:rFonts w:hint="eastAsia" w:ascii="宋体" w:hAnsi="宋体" w:eastAsia="宋体" w:cs="宋体"/>
          <w:b/>
          <w:snapToGrid/>
          <w:color w:val="auto"/>
          <w:w w:val="100"/>
          <w:kern w:val="2"/>
          <w:sz w:val="24"/>
          <w:szCs w:val="24"/>
          <w:lang w:eastAsia="zh-CN"/>
        </w:rPr>
        <w:t>中国人民财产保险股份有限公司怀化市分公司</w:t>
      </w:r>
    </w:p>
    <w:p w14:paraId="64ACF52D">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 xml:space="preserve">地址：湖南省怀化市鹤城区迎丰中路760号 </w:t>
      </w:r>
    </w:p>
    <w:p w14:paraId="6C3186C7">
      <w:pPr>
        <w:spacing w:line="360" w:lineRule="auto"/>
        <w:ind w:firstLine="482" w:firstLineChars="200"/>
        <w:textAlignment w:val="baseline"/>
        <w:rPr>
          <w:rFonts w:hint="eastAsia" w:ascii="宋体" w:hAnsi="宋体" w:eastAsia="宋体" w:cs="宋体"/>
          <w:b/>
          <w:snapToGrid/>
          <w:color w:val="auto"/>
          <w:w w:val="100"/>
          <w:kern w:val="2"/>
          <w:sz w:val="24"/>
          <w:szCs w:val="24"/>
          <w:lang w:val="en-US" w:eastAsia="zh-CN"/>
        </w:rPr>
      </w:pPr>
    </w:p>
    <w:p w14:paraId="638666ED">
      <w:pPr>
        <w:spacing w:line="360" w:lineRule="auto"/>
        <w:ind w:firstLine="482" w:firstLineChars="200"/>
        <w:textAlignment w:val="baseline"/>
        <w:rPr>
          <w:rFonts w:hint="eastAsia" w:ascii="宋体" w:hAnsi="宋体" w:eastAsia="宋体" w:cs="宋体"/>
          <w:b/>
          <w:snapToGrid/>
          <w:color w:val="auto"/>
          <w:w w:val="100"/>
          <w:kern w:val="2"/>
          <w:sz w:val="24"/>
          <w:szCs w:val="24"/>
        </w:rPr>
      </w:pPr>
      <w:r>
        <w:rPr>
          <w:rFonts w:hint="eastAsia" w:ascii="宋体" w:hAnsi="宋体" w:eastAsia="宋体" w:cs="宋体"/>
          <w:b/>
          <w:snapToGrid/>
          <w:color w:val="auto"/>
          <w:w w:val="100"/>
          <w:kern w:val="2"/>
          <w:sz w:val="24"/>
          <w:szCs w:val="24"/>
          <w:lang w:val="en-US" w:eastAsia="zh-CN"/>
        </w:rPr>
        <w:t>招标</w:t>
      </w:r>
      <w:r>
        <w:rPr>
          <w:rFonts w:hint="eastAsia" w:ascii="宋体" w:hAnsi="宋体" w:eastAsia="宋体" w:cs="宋体"/>
          <w:b/>
          <w:snapToGrid/>
          <w:color w:val="auto"/>
          <w:w w:val="100"/>
          <w:kern w:val="2"/>
          <w:sz w:val="24"/>
          <w:szCs w:val="24"/>
        </w:rPr>
        <w:t>代理机构：中技建设咨询有限公司</w:t>
      </w:r>
    </w:p>
    <w:p w14:paraId="7CBA7E9E">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 xml:space="preserve">地址：长沙市雨花区湘府中路117号金典商务楼12层 </w:t>
      </w:r>
    </w:p>
    <w:p w14:paraId="1A73C78F">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联系人：李敏凯、杨邵芳、陈紫璇</w:t>
      </w:r>
    </w:p>
    <w:p w14:paraId="48AC643D">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电话：0731-84169659</w:t>
      </w:r>
    </w:p>
    <w:p w14:paraId="2DB3E0D8">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电子邮件：</w:t>
      </w:r>
      <w:r>
        <w:rPr>
          <w:rFonts w:hint="eastAsia" w:ascii="宋体" w:hAnsi="宋体" w:eastAsia="宋体" w:cs="宋体"/>
          <w:snapToGrid/>
          <w:color w:val="auto"/>
          <w:w w:val="100"/>
          <w:kern w:val="2"/>
          <w:sz w:val="24"/>
          <w:szCs w:val="24"/>
          <w:lang w:val="en-US" w:eastAsia="zh-CN"/>
        </w:rPr>
        <w:t>1452910996</w:t>
      </w:r>
      <w:r>
        <w:rPr>
          <w:rFonts w:hint="eastAsia" w:ascii="宋体" w:hAnsi="宋体" w:eastAsia="宋体" w:cs="宋体"/>
          <w:snapToGrid/>
          <w:color w:val="auto"/>
          <w:w w:val="100"/>
          <w:kern w:val="2"/>
          <w:sz w:val="24"/>
          <w:szCs w:val="24"/>
        </w:rPr>
        <w:t>@</w:t>
      </w:r>
      <w:r>
        <w:rPr>
          <w:rFonts w:hint="eastAsia" w:ascii="宋体" w:hAnsi="宋体" w:eastAsia="宋体" w:cs="宋体"/>
          <w:snapToGrid/>
          <w:color w:val="auto"/>
          <w:w w:val="100"/>
          <w:kern w:val="2"/>
          <w:sz w:val="24"/>
          <w:szCs w:val="24"/>
          <w:lang w:val="en-US" w:eastAsia="zh-CN"/>
        </w:rPr>
        <w:t>qq</w:t>
      </w:r>
      <w:r>
        <w:rPr>
          <w:rFonts w:hint="eastAsia" w:ascii="宋体" w:hAnsi="宋体" w:eastAsia="宋体" w:cs="宋体"/>
          <w:snapToGrid/>
          <w:color w:val="auto"/>
          <w:w w:val="100"/>
          <w:kern w:val="2"/>
          <w:sz w:val="24"/>
          <w:szCs w:val="24"/>
        </w:rPr>
        <w:t>.com</w:t>
      </w:r>
    </w:p>
    <w:p w14:paraId="00ADEE6D">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 xml:space="preserve">开户银行：兴业银行长沙湘府路支行   </w:t>
      </w:r>
    </w:p>
    <w:p w14:paraId="50E3C41D">
      <w:pPr>
        <w:spacing w:line="360" w:lineRule="auto"/>
        <w:ind w:firstLine="480" w:firstLineChars="200"/>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账号：368250100100004451</w:t>
      </w:r>
    </w:p>
    <w:p w14:paraId="7AD8076B">
      <w:pPr>
        <w:spacing w:line="360" w:lineRule="auto"/>
        <w:ind w:firstLine="420"/>
        <w:rPr>
          <w:rFonts w:hint="eastAsia" w:ascii="宋体" w:hAnsi="宋体" w:eastAsia="宋体" w:cs="宋体"/>
          <w:snapToGrid/>
          <w:color w:val="auto"/>
          <w:w w:val="100"/>
          <w:kern w:val="2"/>
          <w:sz w:val="24"/>
          <w:szCs w:val="24"/>
        </w:rPr>
      </w:pPr>
    </w:p>
    <w:p w14:paraId="617A22D2">
      <w:pPr>
        <w:spacing w:line="360" w:lineRule="auto"/>
        <w:ind w:firstLine="480" w:firstLineChars="200"/>
        <w:jc w:val="right"/>
        <w:textAlignment w:val="baseline"/>
        <w:rPr>
          <w:rFonts w:hint="eastAsia" w:ascii="宋体" w:hAnsi="宋体" w:eastAsia="宋体" w:cs="宋体"/>
          <w:snapToGrid/>
          <w:color w:val="auto"/>
          <w:w w:val="100"/>
          <w:kern w:val="2"/>
          <w:sz w:val="24"/>
          <w:szCs w:val="24"/>
        </w:rPr>
      </w:pPr>
    </w:p>
    <w:p w14:paraId="468ABF80">
      <w:pPr>
        <w:spacing w:line="360" w:lineRule="auto"/>
        <w:ind w:firstLine="480" w:firstLineChars="200"/>
        <w:jc w:val="right"/>
        <w:textAlignment w:val="baseline"/>
        <w:rPr>
          <w:rFonts w:hint="eastAsia" w:ascii="宋体" w:hAnsi="宋体" w:eastAsia="宋体" w:cs="宋体"/>
          <w:snapToGrid/>
          <w:color w:val="auto"/>
          <w:w w:val="100"/>
          <w:kern w:val="2"/>
          <w:sz w:val="24"/>
          <w:szCs w:val="24"/>
          <w:lang w:eastAsia="zh-CN"/>
        </w:rPr>
      </w:pPr>
      <w:r>
        <w:rPr>
          <w:rFonts w:hint="eastAsia" w:ascii="宋体" w:hAnsi="宋体" w:eastAsia="宋体" w:cs="宋体"/>
          <w:snapToGrid/>
          <w:color w:val="auto"/>
          <w:w w:val="100"/>
          <w:kern w:val="2"/>
          <w:sz w:val="24"/>
          <w:szCs w:val="24"/>
        </w:rPr>
        <w:t>招标人：</w:t>
      </w:r>
      <w:r>
        <w:rPr>
          <w:rFonts w:hint="eastAsia" w:ascii="宋体" w:hAnsi="宋体" w:eastAsia="宋体" w:cs="宋体"/>
          <w:snapToGrid/>
          <w:color w:val="auto"/>
          <w:w w:val="100"/>
          <w:kern w:val="2"/>
          <w:sz w:val="24"/>
          <w:szCs w:val="24"/>
          <w:lang w:eastAsia="zh-CN"/>
        </w:rPr>
        <w:t>中国人民财产保险股份有限公司怀化市分公司</w:t>
      </w:r>
    </w:p>
    <w:p w14:paraId="23DF23D3">
      <w:pPr>
        <w:spacing w:line="360" w:lineRule="auto"/>
        <w:ind w:firstLine="480" w:firstLineChars="200"/>
        <w:jc w:val="center"/>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lang w:val="en-US" w:eastAsia="zh-CN"/>
        </w:rPr>
        <w:t xml:space="preserve">               </w:t>
      </w:r>
      <w:r>
        <w:rPr>
          <w:rFonts w:hint="eastAsia" w:ascii="宋体" w:hAnsi="宋体" w:eastAsia="宋体" w:cs="宋体"/>
          <w:snapToGrid/>
          <w:color w:val="auto"/>
          <w:w w:val="100"/>
          <w:kern w:val="2"/>
          <w:sz w:val="24"/>
          <w:szCs w:val="24"/>
        </w:rPr>
        <w:t>招标代理机构：</w:t>
      </w:r>
      <w:r>
        <w:rPr>
          <w:rFonts w:hint="eastAsia" w:ascii="宋体" w:hAnsi="宋体" w:eastAsia="宋体" w:cs="宋体"/>
          <w:snapToGrid/>
          <w:color w:val="auto"/>
          <w:w w:val="100"/>
          <w:kern w:val="2"/>
          <w:sz w:val="24"/>
          <w:szCs w:val="24"/>
          <w:lang w:val="en-US" w:eastAsia="zh-CN"/>
        </w:rPr>
        <w:t>中技建设咨询</w:t>
      </w:r>
      <w:r>
        <w:rPr>
          <w:rFonts w:hint="eastAsia" w:ascii="宋体" w:hAnsi="宋体" w:eastAsia="宋体" w:cs="宋体"/>
          <w:snapToGrid/>
          <w:color w:val="auto"/>
          <w:w w:val="100"/>
          <w:kern w:val="2"/>
          <w:sz w:val="24"/>
          <w:szCs w:val="24"/>
        </w:rPr>
        <w:t>有限公司</w:t>
      </w:r>
    </w:p>
    <w:p w14:paraId="1CA4EB13">
      <w:pPr>
        <w:spacing w:line="360" w:lineRule="auto"/>
        <w:ind w:firstLine="5280" w:firstLineChars="2200"/>
        <w:jc w:val="both"/>
        <w:textAlignment w:val="baseline"/>
        <w:rPr>
          <w:rFonts w:hint="eastAsia" w:ascii="宋体" w:hAnsi="宋体" w:eastAsia="宋体" w:cs="宋体"/>
          <w:snapToGrid/>
          <w:color w:val="auto"/>
          <w:w w:val="100"/>
          <w:kern w:val="2"/>
          <w:sz w:val="24"/>
          <w:szCs w:val="24"/>
        </w:rPr>
      </w:pPr>
      <w:r>
        <w:rPr>
          <w:rFonts w:hint="eastAsia" w:ascii="宋体" w:hAnsi="宋体" w:eastAsia="宋体" w:cs="宋体"/>
          <w:snapToGrid/>
          <w:color w:val="auto"/>
          <w:w w:val="100"/>
          <w:kern w:val="2"/>
          <w:sz w:val="24"/>
          <w:szCs w:val="24"/>
        </w:rPr>
        <w:t>20</w:t>
      </w:r>
      <w:r>
        <w:rPr>
          <w:rFonts w:hint="eastAsia" w:ascii="宋体" w:hAnsi="宋体" w:eastAsia="宋体" w:cs="宋体"/>
          <w:snapToGrid/>
          <w:color w:val="auto"/>
          <w:w w:val="100"/>
          <w:kern w:val="2"/>
          <w:sz w:val="24"/>
          <w:szCs w:val="24"/>
          <w:lang w:val="en-US" w:eastAsia="zh-CN"/>
        </w:rPr>
        <w:t>25</w:t>
      </w:r>
      <w:r>
        <w:rPr>
          <w:rFonts w:hint="eastAsia" w:ascii="宋体" w:hAnsi="宋体" w:eastAsia="宋体" w:cs="宋体"/>
          <w:snapToGrid/>
          <w:color w:val="auto"/>
          <w:w w:val="100"/>
          <w:kern w:val="2"/>
          <w:sz w:val="24"/>
          <w:szCs w:val="24"/>
        </w:rPr>
        <w:t>年</w:t>
      </w:r>
      <w:r>
        <w:rPr>
          <w:rFonts w:hint="eastAsia" w:ascii="宋体" w:hAnsi="宋体" w:eastAsia="宋体" w:cs="宋体"/>
          <w:snapToGrid/>
          <w:color w:val="auto"/>
          <w:w w:val="100"/>
          <w:kern w:val="2"/>
          <w:sz w:val="24"/>
          <w:szCs w:val="24"/>
          <w:lang w:val="en-US" w:eastAsia="zh-CN"/>
        </w:rPr>
        <w:t>6</w:t>
      </w:r>
      <w:r>
        <w:rPr>
          <w:rFonts w:hint="eastAsia" w:ascii="宋体" w:hAnsi="宋体" w:eastAsia="宋体" w:cs="宋体"/>
          <w:snapToGrid/>
          <w:color w:val="auto"/>
          <w:w w:val="100"/>
          <w:kern w:val="2"/>
          <w:sz w:val="24"/>
          <w:szCs w:val="24"/>
        </w:rPr>
        <w:t>月</w:t>
      </w:r>
      <w:r>
        <w:rPr>
          <w:rFonts w:hint="eastAsia" w:ascii="宋体" w:hAnsi="宋体" w:eastAsia="宋体" w:cs="宋体"/>
          <w:snapToGrid/>
          <w:color w:val="auto"/>
          <w:w w:val="100"/>
          <w:kern w:val="2"/>
          <w:sz w:val="24"/>
          <w:szCs w:val="24"/>
          <w:lang w:val="en-US" w:eastAsia="zh-CN"/>
        </w:rPr>
        <w:t>18</w:t>
      </w:r>
      <w:r>
        <w:rPr>
          <w:rFonts w:hint="eastAsia" w:ascii="宋体" w:hAnsi="宋体" w:eastAsia="宋体" w:cs="宋体"/>
          <w:snapToGrid/>
          <w:color w:val="auto"/>
          <w:w w:val="100"/>
          <w:kern w:val="2"/>
          <w:sz w:val="24"/>
          <w:szCs w:val="24"/>
        </w:rPr>
        <w:t>日</w:t>
      </w:r>
    </w:p>
    <w:p w14:paraId="2BC39605"/>
    <w:sectPr>
      <w:pgSz w:w="11906" w:h="16838"/>
      <w:pgMar w:top="1440" w:right="1689"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AE0CE2"/>
    <w:rsid w:val="0A960328"/>
    <w:rsid w:val="18AE0CE2"/>
    <w:rsid w:val="1F5C4AE1"/>
    <w:rsid w:val="4FBB60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eastAsia="宋体" w:cs="宋体" w:asciiTheme="minorHAnsi" w:hAnsiTheme="minorHAnsi"/>
      <w:snapToGrid/>
      <w:w w:val="100"/>
      <w:kern w:val="21"/>
      <w:sz w:val="24"/>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autoRedefine/>
    <w:qFormat/>
    <w:uiPriority w:val="0"/>
    <w:pPr>
      <w:ind w:firstLine="420" w:firstLineChars="200"/>
    </w:pPr>
  </w:style>
  <w:style w:type="paragraph" w:styleId="3">
    <w:name w:val="Body Text Indent"/>
    <w:basedOn w:val="1"/>
    <w:autoRedefine/>
    <w:qFormat/>
    <w:uiPriority w:val="0"/>
    <w:pPr>
      <w:spacing w:after="120" w:afterLines="0" w:afterAutospacing="0"/>
      <w:ind w:left="420" w:leftChars="200"/>
    </w:pPr>
  </w:style>
  <w:style w:type="paragraph" w:styleId="4">
    <w:name w:val="footer"/>
    <w:basedOn w:val="1"/>
    <w:link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left"/>
    </w:pPr>
    <w:rPr>
      <w:rFonts w:ascii="Times New Roman" w:hAnsi="Times New Roman" w:eastAsia="宋体"/>
      <w:kern w:val="2"/>
      <w:sz w:val="18"/>
      <w:szCs w:val="18"/>
    </w:rPr>
  </w:style>
  <w:style w:type="character" w:customStyle="1" w:styleId="7">
    <w:name w:val="页脚 Char"/>
    <w:link w:val="4"/>
    <w:qFormat/>
    <w:uiPriority w:val="0"/>
    <w:rPr>
      <w:rFonts w:ascii="Times New Roman" w:hAnsi="Times New Roman" w:eastAsia="宋体"/>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2025-06-18T01:29:00Z</dcterms:created>
  <dc:creator>秋儿妈</dc:creator>
  <cp:lastModifiedBy>秋儿妈</cp:lastModifiedBy>
  <dcterms:modified xsi:type="dcterms:W3CDTF">2025-06-18T01:30:46Z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0291A10795A648CD96E58DAB34442044_11</vt:lpwstr>
  </property>
  <property fmtid="{D5CDD505-2E9C-101B-9397-08002B2CF9AE}" pid="4" name="KSOTemplateDocerSaveRecord">
    <vt:lpwstr>eyJoZGlkIjoiYTRhNzlhNmYyMjAwNDNlNGVmZjUyMjZkZmQzYmI1MGEiLCJ1c2VySWQiOiIzMDY5MTQ2NjMifQ==</vt:lpwstr>
  </property>
</Properties>
</file>