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38F204">
      <w:pPr>
        <w:pStyle w:val="2"/>
        <w:spacing w:before="0" w:after="0" w:line="360" w:lineRule="auto"/>
        <w:jc w:val="center"/>
        <w:rPr>
          <w:rFonts w:hint="eastAsia" w:ascii="仿宋" w:hAnsi="仿宋" w:eastAsia="仿宋" w:cs="仿宋"/>
          <w:bCs w:val="0"/>
          <w:color w:val="000000"/>
          <w:sz w:val="28"/>
          <w:szCs w:val="28"/>
          <w:highlight w:val="none"/>
        </w:rPr>
      </w:pPr>
      <w:r>
        <w:rPr>
          <w:rFonts w:hint="eastAsia" w:ascii="仿宋" w:hAnsi="仿宋" w:eastAsia="仿宋" w:cs="仿宋"/>
          <w:bCs w:val="0"/>
          <w:color w:val="000000"/>
          <w:sz w:val="28"/>
          <w:szCs w:val="28"/>
          <w:highlight w:val="none"/>
          <w:lang w:val="en-US" w:eastAsia="zh-CN"/>
        </w:rPr>
        <w:t>人保运营北京分公司代运营服务项目</w:t>
      </w:r>
      <w:r>
        <w:rPr>
          <w:rFonts w:hint="eastAsia" w:ascii="仿宋" w:hAnsi="仿宋" w:eastAsia="仿宋" w:cs="仿宋"/>
          <w:bCs w:val="0"/>
          <w:color w:val="000000"/>
          <w:sz w:val="28"/>
          <w:szCs w:val="28"/>
          <w:highlight w:val="none"/>
        </w:rPr>
        <w:t>竞争性磋商公告</w:t>
      </w:r>
    </w:p>
    <w:p w14:paraId="2C979271">
      <w:pPr>
        <w:wordWrap w:val="0"/>
        <w:spacing w:line="360" w:lineRule="auto"/>
        <w:ind w:firstLine="480" w:firstLineChars="200"/>
        <w:textAlignment w:val="baseline"/>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本项目</w:t>
      </w:r>
      <w:r>
        <w:rPr>
          <w:rFonts w:hint="eastAsia" w:ascii="仿宋" w:hAnsi="仿宋" w:eastAsia="仿宋" w:cs="仿宋"/>
          <w:color w:val="000000"/>
          <w:sz w:val="24"/>
          <w:highlight w:val="none"/>
          <w:u w:val="single"/>
          <w:lang w:val="en-US" w:eastAsia="zh-CN"/>
        </w:rPr>
        <w:t>人保运营北京分公司代运营服务项目</w:t>
      </w:r>
      <w:r>
        <w:rPr>
          <w:rFonts w:hint="eastAsia" w:ascii="仿宋" w:hAnsi="仿宋" w:eastAsia="仿宋" w:cs="宋体"/>
          <w:color w:val="000000"/>
          <w:sz w:val="24"/>
          <w:highlight w:val="none"/>
        </w:rPr>
        <w:t>（采购代理编号：</w:t>
      </w:r>
      <w:r>
        <w:rPr>
          <w:rFonts w:hint="eastAsia" w:ascii="仿宋" w:hAnsi="仿宋" w:eastAsia="仿宋" w:cs="宋体"/>
          <w:color w:val="000000"/>
          <w:sz w:val="24"/>
          <w:highlight w:val="none"/>
          <w:lang w:eastAsia="zh-CN"/>
        </w:rPr>
        <w:t>21-05-04F-2025-D-F-E15627</w:t>
      </w:r>
      <w:r>
        <w:rPr>
          <w:rFonts w:hint="eastAsia" w:ascii="仿宋" w:hAnsi="仿宋" w:eastAsia="仿宋" w:cs="宋体"/>
          <w:color w:val="000000"/>
          <w:sz w:val="24"/>
          <w:highlight w:val="none"/>
        </w:rPr>
        <w:t>）</w:t>
      </w:r>
      <w:r>
        <w:rPr>
          <w:rFonts w:hint="eastAsia" w:ascii="仿宋" w:hAnsi="仿宋" w:eastAsia="仿宋" w:cs="仿宋"/>
          <w:color w:val="000000"/>
          <w:sz w:val="24"/>
          <w:highlight w:val="none"/>
        </w:rPr>
        <w:t>由</w:t>
      </w:r>
      <w:r>
        <w:rPr>
          <w:rFonts w:hint="eastAsia" w:ascii="仿宋" w:hAnsi="仿宋" w:eastAsia="仿宋" w:cs="宋体"/>
          <w:color w:val="000000"/>
          <w:sz w:val="24"/>
          <w:highlight w:val="none"/>
          <w:u w:val="single"/>
        </w:rPr>
        <w:t>人保投控(北京)运营管理有限公司北京分公司</w:t>
      </w:r>
      <w:r>
        <w:rPr>
          <w:rFonts w:hint="eastAsia" w:ascii="仿宋" w:hAnsi="仿宋" w:eastAsia="仿宋" w:cs="仿宋"/>
          <w:color w:val="000000"/>
          <w:sz w:val="24"/>
          <w:highlight w:val="none"/>
        </w:rPr>
        <w:t>（以下简称“采购人”）</w:t>
      </w:r>
      <w:r>
        <w:rPr>
          <w:rFonts w:hint="eastAsia" w:ascii="仿宋" w:hAnsi="仿宋" w:eastAsia="仿宋" w:cs="Cambria Math"/>
          <w:sz w:val="24"/>
          <w:highlight w:val="none"/>
        </w:rPr>
        <w:t>批准并落实资金，组织磋商工作</w:t>
      </w:r>
      <w:r>
        <w:rPr>
          <w:rFonts w:hint="eastAsia" w:ascii="仿宋" w:hAnsi="仿宋" w:eastAsia="仿宋" w:cs="仿宋"/>
          <w:color w:val="000000"/>
          <w:sz w:val="24"/>
          <w:highlight w:val="none"/>
        </w:rPr>
        <w:t>，现委托</w:t>
      </w:r>
      <w:r>
        <w:rPr>
          <w:rFonts w:hint="eastAsia" w:ascii="仿宋" w:hAnsi="仿宋" w:eastAsia="仿宋" w:cs="仿宋"/>
          <w:color w:val="000000"/>
          <w:sz w:val="24"/>
          <w:highlight w:val="none"/>
          <w:u w:val="single"/>
        </w:rPr>
        <w:t xml:space="preserve"> </w:t>
      </w:r>
      <w:r>
        <w:rPr>
          <w:rFonts w:hint="eastAsia" w:ascii="仿宋" w:hAnsi="仿宋" w:eastAsia="仿宋" w:cs="仿宋"/>
          <w:sz w:val="24"/>
          <w:highlight w:val="none"/>
          <w:u w:val="single"/>
        </w:rPr>
        <w:t>公诚管理咨询有限公司</w:t>
      </w:r>
      <w:r>
        <w:rPr>
          <w:rFonts w:hint="eastAsia" w:ascii="仿宋" w:hAnsi="仿宋" w:eastAsia="仿宋" w:cs="仿宋"/>
          <w:color w:val="000000"/>
          <w:sz w:val="24"/>
          <w:highlight w:val="none"/>
        </w:rPr>
        <w:t>（以下简称“采购代理机构”）进行公开竞争性磋商，</w:t>
      </w:r>
      <w:r>
        <w:rPr>
          <w:rFonts w:hint="eastAsia" w:ascii="仿宋" w:hAnsi="仿宋" w:eastAsia="仿宋" w:cs="Cambria Math"/>
          <w:sz w:val="24"/>
          <w:highlight w:val="none"/>
        </w:rPr>
        <w:t>有意向且具有提供标的物能力的潜在供应商（以下简称“供应商”）可前来参与磋商响应。</w:t>
      </w:r>
      <w:r>
        <w:rPr>
          <w:rFonts w:hint="eastAsia" w:ascii="仿宋" w:hAnsi="仿宋" w:eastAsia="仿宋" w:cs="Cambria Math"/>
          <w:color w:val="000000"/>
          <w:sz w:val="24"/>
          <w:highlight w:val="none"/>
        </w:rPr>
        <w:t xml:space="preserve"> </w:t>
      </w:r>
    </w:p>
    <w:p w14:paraId="43A4E022">
      <w:pPr>
        <w:pStyle w:val="3"/>
        <w:ind w:firstLine="0" w:firstLineChars="0"/>
        <w:jc w:val="left"/>
        <w:rPr>
          <w:rFonts w:hint="eastAsia" w:ascii="仿宋" w:hAnsi="仿宋" w:eastAsia="仿宋" w:cs="仿宋"/>
          <w:color w:val="000000"/>
          <w:sz w:val="24"/>
          <w:szCs w:val="24"/>
          <w:highlight w:val="none"/>
        </w:rPr>
      </w:pPr>
      <w:bookmarkStart w:id="0" w:name="_Toc26892"/>
      <w:r>
        <w:rPr>
          <w:rFonts w:hint="eastAsia" w:ascii="仿宋" w:hAnsi="仿宋" w:eastAsia="仿宋" w:cs="仿宋"/>
          <w:color w:val="000000"/>
          <w:sz w:val="24"/>
          <w:szCs w:val="24"/>
          <w:highlight w:val="none"/>
        </w:rPr>
        <w:t>一、项目概况与采购范围</w:t>
      </w:r>
      <w:bookmarkEnd w:id="0"/>
    </w:p>
    <w:p w14:paraId="4E5B7A7E">
      <w:pPr>
        <w:wordWrap w:val="0"/>
        <w:spacing w:line="360" w:lineRule="auto"/>
        <w:ind w:firstLine="480" w:firstLineChars="200"/>
        <w:textAlignment w:val="baseline"/>
        <w:rPr>
          <w:rFonts w:hint="eastAsia" w:ascii="仿宋" w:hAnsi="仿宋" w:eastAsia="仿宋" w:cs="仿宋"/>
          <w:color w:val="000000"/>
          <w:sz w:val="24"/>
          <w:highlight w:val="none"/>
        </w:rPr>
      </w:pPr>
      <w:bookmarkStart w:id="1" w:name="_Hlk77264910"/>
      <w:r>
        <w:rPr>
          <w:rFonts w:hint="eastAsia" w:ascii="仿宋" w:hAnsi="仿宋" w:eastAsia="仿宋" w:cs="仿宋"/>
          <w:color w:val="000000"/>
          <w:sz w:val="24"/>
          <w:highlight w:val="none"/>
        </w:rPr>
        <w:t>1.1 项目名称：</w:t>
      </w:r>
      <w:r>
        <w:rPr>
          <w:rFonts w:hint="eastAsia" w:ascii="仿宋" w:hAnsi="仿宋" w:eastAsia="仿宋" w:cs="仿宋"/>
          <w:color w:val="000000"/>
          <w:sz w:val="24"/>
          <w:highlight w:val="none"/>
          <w:u w:val="single"/>
          <w:lang w:val="en-US" w:eastAsia="zh-CN"/>
        </w:rPr>
        <w:t>人保运营北京分公司代运营服务项目</w:t>
      </w:r>
      <w:r>
        <w:rPr>
          <w:rFonts w:hint="eastAsia" w:ascii="仿宋" w:hAnsi="仿宋" w:eastAsia="仿宋" w:cs="仿宋"/>
          <w:color w:val="000000"/>
          <w:sz w:val="24"/>
          <w:highlight w:val="none"/>
        </w:rPr>
        <w:t>。</w:t>
      </w:r>
    </w:p>
    <w:p w14:paraId="4006A480">
      <w:pPr>
        <w:wordWrap w:val="0"/>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1.2 采购范围：</w:t>
      </w:r>
      <w:bookmarkStart w:id="2" w:name="_Hlk69456860"/>
      <w:r>
        <w:rPr>
          <w:rFonts w:hint="eastAsia" w:ascii="仿宋" w:hAnsi="仿宋" w:eastAsia="仿宋" w:cs="仿宋"/>
          <w:color w:val="000000"/>
          <w:sz w:val="24"/>
          <w:highlight w:val="none"/>
        </w:rPr>
        <w:t>本项目拟采购1家供应商为</w:t>
      </w:r>
      <w:bookmarkEnd w:id="2"/>
      <w:r>
        <w:rPr>
          <w:rFonts w:hint="eastAsia" w:ascii="仿宋" w:hAnsi="仿宋" w:eastAsia="仿宋" w:cs="仿宋"/>
          <w:color w:val="000000"/>
          <w:sz w:val="24"/>
          <w:highlight w:val="none"/>
          <w:lang w:val="en-US" w:eastAsia="zh-CN"/>
        </w:rPr>
        <w:t>人保运营北京分公司提供代运营服务项目</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具体内容及要求见磋商文件第五章采购需求。</w:t>
      </w:r>
    </w:p>
    <w:p w14:paraId="626E4011">
      <w:pPr>
        <w:spacing w:line="360" w:lineRule="auto"/>
        <w:ind w:firstLine="480" w:firstLineChars="200"/>
        <w:textAlignment w:val="baseline"/>
        <w:rPr>
          <w:rFonts w:ascii="仿宋" w:hAnsi="仿宋" w:eastAsia="仿宋" w:cs="宋体"/>
          <w:color w:val="000000"/>
          <w:sz w:val="24"/>
          <w:highlight w:val="none"/>
        </w:rPr>
      </w:pPr>
      <w:r>
        <w:rPr>
          <w:rFonts w:ascii="仿宋" w:hAnsi="仿宋" w:eastAsia="仿宋" w:cs="仿宋"/>
          <w:sz w:val="24"/>
          <w:highlight w:val="none"/>
        </w:rPr>
        <w:t>1.3</w:t>
      </w:r>
      <w:r>
        <w:rPr>
          <w:rFonts w:ascii="仿宋" w:hAnsi="仿宋" w:cs="仿宋"/>
          <w:sz w:val="24"/>
          <w:highlight w:val="none"/>
        </w:rPr>
        <w:t xml:space="preserve"> </w:t>
      </w:r>
      <w:r>
        <w:rPr>
          <w:rFonts w:hint="eastAsia" w:ascii="仿宋" w:hAnsi="仿宋" w:eastAsia="仿宋" w:cs="仿宋"/>
          <w:color w:val="000000"/>
          <w:sz w:val="24"/>
          <w:highlight w:val="none"/>
        </w:rPr>
        <w:t>项目性质：服务。</w:t>
      </w:r>
    </w:p>
    <w:p w14:paraId="769E8C71">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仿宋"/>
          <w:sz w:val="24"/>
          <w:highlight w:val="none"/>
        </w:rPr>
        <w:t>标包划分：</w:t>
      </w:r>
      <w:bookmarkStart w:id="3" w:name="_Hlk116981841"/>
      <w:r>
        <w:rPr>
          <w:rFonts w:hint="eastAsia" w:ascii="仿宋" w:hAnsi="仿宋" w:eastAsia="仿宋" w:cs="仿宋"/>
          <w:sz w:val="24"/>
          <w:highlight w:val="none"/>
        </w:rPr>
        <w:t>本项目不划分标包</w:t>
      </w:r>
      <w:bookmarkEnd w:id="3"/>
      <w:r>
        <w:rPr>
          <w:rFonts w:hint="eastAsia" w:ascii="仿宋" w:hAnsi="仿宋" w:eastAsia="仿宋" w:cs="仿宋"/>
          <w:sz w:val="24"/>
          <w:highlight w:val="none"/>
        </w:rPr>
        <w:t>。</w:t>
      </w:r>
    </w:p>
    <w:bookmarkEnd w:id="1"/>
    <w:p w14:paraId="669F366D">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1.5服务期限：</w:t>
      </w:r>
      <w:r>
        <w:rPr>
          <w:rFonts w:hint="eastAsia" w:ascii="仿宋" w:hAnsi="仿宋" w:eastAsia="仿宋" w:cs="宋体"/>
          <w:color w:val="000000"/>
          <w:sz w:val="24"/>
          <w:highlight w:val="none"/>
          <w:lang w:val="en-US" w:eastAsia="zh-CN"/>
        </w:rPr>
        <w:t>自合同签订之日起</w:t>
      </w:r>
      <w:r>
        <w:rPr>
          <w:rFonts w:hint="eastAsia" w:ascii="仿宋" w:hAnsi="仿宋" w:eastAsia="仿宋" w:cs="宋体"/>
          <w:color w:val="000000"/>
          <w:sz w:val="24"/>
          <w:highlight w:val="none"/>
        </w:rPr>
        <w:t>一年。</w:t>
      </w:r>
    </w:p>
    <w:p w14:paraId="46B3AE96">
      <w:pPr>
        <w:pStyle w:val="3"/>
        <w:ind w:firstLine="0" w:firstLineChars="0"/>
        <w:jc w:val="left"/>
        <w:rPr>
          <w:rFonts w:hint="eastAsia" w:ascii="仿宋" w:hAnsi="仿宋" w:eastAsia="仿宋" w:cs="仿宋"/>
          <w:color w:val="000000"/>
          <w:sz w:val="24"/>
          <w:szCs w:val="24"/>
          <w:highlight w:val="none"/>
        </w:rPr>
      </w:pPr>
      <w:bookmarkStart w:id="4" w:name="_Toc15240"/>
      <w:r>
        <w:rPr>
          <w:rFonts w:hint="eastAsia" w:ascii="仿宋" w:hAnsi="仿宋" w:eastAsia="仿宋" w:cs="仿宋"/>
          <w:color w:val="000000"/>
          <w:sz w:val="24"/>
          <w:szCs w:val="24"/>
          <w:highlight w:val="none"/>
        </w:rPr>
        <w:t>二、供应商资格要求</w:t>
      </w:r>
      <w:bookmarkEnd w:id="4"/>
    </w:p>
    <w:p w14:paraId="1858080A">
      <w:pPr>
        <w:spacing w:line="360" w:lineRule="auto"/>
        <w:ind w:firstLine="480" w:firstLineChars="200"/>
        <w:textAlignment w:val="baseline"/>
        <w:rPr>
          <w:rFonts w:hint="eastAsia" w:ascii="仿宋" w:hAnsi="仿宋" w:eastAsia="仿宋" w:cs="宋体"/>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rPr>
        <w:t>.1</w:t>
      </w:r>
      <w:r>
        <w:rPr>
          <w:rFonts w:hint="eastAsia" w:ascii="仿宋" w:hAnsi="仿宋" w:eastAsia="仿宋" w:cs="Monaco"/>
          <w:color w:val="000000"/>
          <w:sz w:val="24"/>
          <w:highlight w:val="none"/>
        </w:rPr>
        <w:t>在中华人民共和国境内依法登记的法人或其他组织，</w:t>
      </w:r>
      <w:r>
        <w:rPr>
          <w:rFonts w:hint="eastAsia" w:ascii="仿宋" w:hAnsi="仿宋" w:eastAsia="仿宋" w:cs="Monaco"/>
          <w:b/>
          <w:bCs/>
          <w:color w:val="000000"/>
          <w:sz w:val="24"/>
          <w:highlight w:val="none"/>
        </w:rPr>
        <w:t>具有独立承担民事责任的能力</w:t>
      </w:r>
      <w:r>
        <w:rPr>
          <w:rFonts w:hint="eastAsia" w:ascii="仿宋" w:hAnsi="仿宋" w:eastAsia="仿宋" w:cs="Monaco"/>
          <w:color w:val="000000"/>
          <w:sz w:val="24"/>
          <w:highlight w:val="none"/>
        </w:rPr>
        <w:t>，供应商如为企业法人，须提供企业法人营业执照（复印件）；供应商如为事业单位或其他组织，须提供事业单位法人证书或登记证或组织机构代码证或其他有效证明文件（复印件）。</w:t>
      </w:r>
    </w:p>
    <w:p w14:paraId="3A5A1731">
      <w:pPr>
        <w:spacing w:line="360" w:lineRule="auto"/>
        <w:ind w:firstLine="480" w:firstLineChars="200"/>
        <w:textAlignment w:val="baseline"/>
        <w:rPr>
          <w:rFonts w:ascii="仿宋" w:hAnsi="仿宋" w:eastAsia="仿宋" w:cs="宋体"/>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rPr>
        <w:t>.</w:t>
      </w:r>
      <w:r>
        <w:rPr>
          <w:rFonts w:ascii="仿宋" w:hAnsi="仿宋" w:eastAsia="仿宋" w:cs="宋体"/>
          <w:color w:val="000000"/>
          <w:sz w:val="24"/>
          <w:highlight w:val="none"/>
        </w:rPr>
        <w:t>2</w:t>
      </w:r>
      <w:r>
        <w:rPr>
          <w:rFonts w:hint="eastAsia" w:ascii="仿宋" w:hAnsi="仿宋" w:eastAsia="仿宋" w:cs="宋体"/>
          <w:b/>
          <w:bCs/>
          <w:color w:val="000000"/>
          <w:sz w:val="24"/>
          <w:highlight w:val="none"/>
        </w:rPr>
        <w:t>具有良好的商业信誉和健全的财务会计制度</w:t>
      </w:r>
      <w:r>
        <w:rPr>
          <w:rFonts w:hint="eastAsia" w:ascii="仿宋" w:hAnsi="仿宋" w:eastAsia="仿宋" w:cs="宋体"/>
          <w:color w:val="000000"/>
          <w:sz w:val="24"/>
          <w:highlight w:val="none"/>
        </w:rPr>
        <w:t>，需提供2</w:t>
      </w:r>
      <w:r>
        <w:rPr>
          <w:rFonts w:ascii="仿宋" w:hAnsi="仿宋" w:eastAsia="仿宋" w:cs="宋体"/>
          <w:color w:val="000000"/>
          <w:sz w:val="24"/>
          <w:highlight w:val="none"/>
        </w:rPr>
        <w:t>02</w:t>
      </w:r>
      <w:r>
        <w:rPr>
          <w:rFonts w:hint="eastAsia" w:ascii="仿宋" w:hAnsi="仿宋" w:eastAsia="仿宋" w:cs="宋体"/>
          <w:color w:val="000000"/>
          <w:sz w:val="24"/>
          <w:highlight w:val="none"/>
        </w:rPr>
        <w:t>3年度或2024年度经会计师事务所或审计机构审计的财务审计报告及财务报表（至少包含会计师事务所或审计机构签章页、资产负债表、现金流量表、损益表/利润表）或者</w:t>
      </w:r>
      <w:r>
        <w:rPr>
          <w:rFonts w:hint="eastAsia" w:ascii="仿宋" w:hAnsi="仿宋" w:eastAsia="仿宋" w:cs="Cambria Math"/>
          <w:color w:val="000000"/>
          <w:sz w:val="24"/>
          <w:highlight w:val="none"/>
        </w:rPr>
        <w:t>响应文件递交截止日前</w:t>
      </w:r>
      <w:r>
        <w:rPr>
          <w:rFonts w:ascii="仿宋" w:hAnsi="仿宋" w:eastAsia="仿宋" w:cs="宋体"/>
          <w:color w:val="000000"/>
          <w:sz w:val="24"/>
          <w:highlight w:val="none"/>
        </w:rPr>
        <w:t>6</w:t>
      </w:r>
      <w:r>
        <w:rPr>
          <w:rFonts w:hint="eastAsia" w:ascii="仿宋" w:hAnsi="仿宋" w:eastAsia="仿宋" w:cs="宋体"/>
          <w:color w:val="000000"/>
          <w:sz w:val="24"/>
          <w:highlight w:val="none"/>
        </w:rPr>
        <w:t>个月内开具的银行资信证明。</w:t>
      </w:r>
    </w:p>
    <w:p w14:paraId="6D31B1EB">
      <w:pPr>
        <w:spacing w:line="360" w:lineRule="auto"/>
        <w:ind w:firstLine="540" w:firstLineChars="225"/>
        <w:textAlignment w:val="baseline"/>
        <w:rPr>
          <w:rFonts w:ascii="仿宋" w:hAnsi="仿宋" w:eastAsia="仿宋" w:cs="宋体"/>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rPr>
        <w:t>.</w:t>
      </w:r>
      <w:r>
        <w:rPr>
          <w:rFonts w:ascii="仿宋" w:hAnsi="仿宋" w:eastAsia="仿宋" w:cs="宋体"/>
          <w:color w:val="000000"/>
          <w:sz w:val="24"/>
          <w:highlight w:val="none"/>
        </w:rPr>
        <w:t xml:space="preserve">3 </w:t>
      </w:r>
      <w:r>
        <w:rPr>
          <w:rFonts w:hint="eastAsia" w:ascii="仿宋" w:hAnsi="仿宋" w:eastAsia="仿宋" w:cs="宋体"/>
          <w:b/>
          <w:bCs/>
          <w:color w:val="000000"/>
          <w:sz w:val="24"/>
          <w:highlight w:val="none"/>
        </w:rPr>
        <w:t>供应商应具有履行合同所必需的设备和专业技术能力</w:t>
      </w:r>
      <w:r>
        <w:rPr>
          <w:rFonts w:hint="eastAsia" w:ascii="仿宋" w:hAnsi="仿宋" w:eastAsia="仿宋" w:cs="宋体"/>
          <w:color w:val="000000"/>
          <w:sz w:val="24"/>
          <w:highlight w:val="none"/>
        </w:rPr>
        <w:t>，近三年（20</w:t>
      </w:r>
      <w:r>
        <w:rPr>
          <w:rFonts w:ascii="仿宋" w:hAnsi="仿宋" w:eastAsia="仿宋" w:cs="宋体"/>
          <w:color w:val="000000"/>
          <w:sz w:val="24"/>
          <w:highlight w:val="none"/>
        </w:rPr>
        <w:t>2</w:t>
      </w:r>
      <w:r>
        <w:rPr>
          <w:rFonts w:hint="eastAsia" w:ascii="仿宋" w:hAnsi="仿宋" w:eastAsia="仿宋" w:cs="宋体"/>
          <w:color w:val="000000"/>
          <w:sz w:val="24"/>
          <w:highlight w:val="none"/>
        </w:rPr>
        <w:t>2年1月1日至今）应具有</w:t>
      </w:r>
      <w:r>
        <w:rPr>
          <w:rFonts w:hint="eastAsia" w:ascii="仿宋" w:hAnsi="仿宋" w:eastAsia="仿宋" w:cs="宋体"/>
          <w:color w:val="000000"/>
          <w:sz w:val="24"/>
          <w:highlight w:val="none"/>
          <w:lang w:val="en-US" w:eastAsia="zh-CN"/>
        </w:rPr>
        <w:t>同类</w:t>
      </w:r>
      <w:r>
        <w:rPr>
          <w:rFonts w:hint="eastAsia" w:ascii="仿宋" w:hAnsi="仿宋" w:eastAsia="仿宋" w:cs="宋体"/>
          <w:color w:val="000000"/>
          <w:sz w:val="24"/>
          <w:highlight w:val="none"/>
        </w:rPr>
        <w:t>实施案例，并提供符合上述要求的合同关键页作为有效的业绩证明材料。合同关键页包含但不限于合同首页、合同标的页、签署日期页及盖章页等材料。</w:t>
      </w:r>
    </w:p>
    <w:p w14:paraId="10591047">
      <w:pPr>
        <w:spacing w:line="360" w:lineRule="auto"/>
        <w:ind w:firstLine="480" w:firstLineChars="200"/>
        <w:textAlignment w:val="baseline"/>
        <w:rPr>
          <w:rFonts w:hint="eastAsia" w:ascii="仿宋" w:hAnsi="仿宋" w:eastAsia="仿宋" w:cs="宋体"/>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rPr>
        <w:t>.4</w:t>
      </w:r>
      <w:r>
        <w:rPr>
          <w:rFonts w:hint="eastAsia" w:ascii="仿宋" w:hAnsi="仿宋" w:eastAsia="仿宋" w:cs="宋体"/>
          <w:b/>
          <w:bCs/>
          <w:color w:val="000000"/>
          <w:sz w:val="24"/>
          <w:highlight w:val="none"/>
        </w:rPr>
        <w:t>具有依法缴纳税收和社会保障资金的良好记录</w:t>
      </w:r>
      <w:r>
        <w:rPr>
          <w:rFonts w:hint="eastAsia" w:ascii="仿宋" w:hAnsi="仿宋" w:eastAsia="仿宋" w:cs="宋体"/>
          <w:color w:val="000000"/>
          <w:sz w:val="24"/>
          <w:highlight w:val="none"/>
        </w:rPr>
        <w:t>，提供近6个月任意一个月的税收缴纳凭证。</w:t>
      </w:r>
    </w:p>
    <w:p w14:paraId="5E011ED4">
      <w:pPr>
        <w:spacing w:line="360" w:lineRule="auto"/>
        <w:ind w:firstLine="480" w:firstLineChars="200"/>
        <w:textAlignment w:val="baseline"/>
        <w:rPr>
          <w:rFonts w:hint="eastAsia" w:ascii="仿宋" w:hAnsi="仿宋" w:eastAsia="仿宋" w:cs="Monaco"/>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rPr>
        <w:t>.5</w:t>
      </w:r>
      <w:r>
        <w:rPr>
          <w:rFonts w:hint="eastAsia" w:ascii="仿宋" w:hAnsi="仿宋" w:eastAsia="仿宋" w:cs="Monaco"/>
          <w:b/>
          <w:bCs/>
          <w:color w:val="000000"/>
          <w:sz w:val="24"/>
          <w:highlight w:val="none"/>
        </w:rPr>
        <w:t>供应商应经营状况良好，且近三年内（20</w:t>
      </w:r>
      <w:r>
        <w:rPr>
          <w:rFonts w:ascii="仿宋" w:hAnsi="仿宋" w:eastAsia="仿宋" w:cs="Monaco"/>
          <w:b/>
          <w:bCs/>
          <w:color w:val="000000"/>
          <w:sz w:val="24"/>
          <w:highlight w:val="none"/>
        </w:rPr>
        <w:t>2</w:t>
      </w:r>
      <w:r>
        <w:rPr>
          <w:rFonts w:hint="eastAsia" w:ascii="仿宋" w:hAnsi="仿宋" w:eastAsia="仿宋" w:cs="Monaco"/>
          <w:b/>
          <w:bCs/>
          <w:color w:val="000000"/>
          <w:sz w:val="24"/>
          <w:highlight w:val="none"/>
        </w:rPr>
        <w:t>2年</w:t>
      </w:r>
      <w:r>
        <w:rPr>
          <w:rFonts w:ascii="仿宋" w:hAnsi="仿宋" w:eastAsia="仿宋" w:cs="Monaco"/>
          <w:b/>
          <w:bCs/>
          <w:color w:val="000000"/>
          <w:sz w:val="24"/>
          <w:highlight w:val="none"/>
        </w:rPr>
        <w:t>1</w:t>
      </w:r>
      <w:r>
        <w:rPr>
          <w:rFonts w:hint="eastAsia" w:ascii="仿宋" w:hAnsi="仿宋" w:eastAsia="仿宋" w:cs="Monaco"/>
          <w:b/>
          <w:bCs/>
          <w:color w:val="000000"/>
          <w:sz w:val="24"/>
          <w:highlight w:val="none"/>
        </w:rPr>
        <w:t>月1日至今）无违法违规记录</w:t>
      </w:r>
      <w:r>
        <w:rPr>
          <w:rFonts w:hint="eastAsia" w:ascii="仿宋" w:hAnsi="仿宋" w:eastAsia="仿宋" w:cs="Monaco"/>
          <w:color w:val="000000"/>
          <w:sz w:val="24"/>
          <w:highlight w:val="none"/>
        </w:rPr>
        <w:t xml:space="preserve">。违法违规记录是指被“信用中国”列入失信被执行人、重大税收违法失信主体、政府采购严重违法失信行为记录名单。供应商需提供自磋商公告发布之日至响应文件递交截止之日期间对以上三项内容的查询截图。 </w:t>
      </w:r>
    </w:p>
    <w:p w14:paraId="167F1CB0">
      <w:pPr>
        <w:spacing w:line="360" w:lineRule="auto"/>
        <w:ind w:firstLine="480" w:firstLineChars="200"/>
        <w:textAlignment w:val="baseline"/>
        <w:rPr>
          <w:rFonts w:hint="eastAsia" w:ascii="仿宋" w:hAnsi="仿宋" w:eastAsia="仿宋" w:cs="Monaco"/>
          <w:color w:val="000000"/>
          <w:sz w:val="24"/>
          <w:highlight w:val="none"/>
        </w:rPr>
      </w:pPr>
      <w:r>
        <w:rPr>
          <w:rFonts w:hint="eastAsia" w:ascii="仿宋" w:hAnsi="仿宋" w:eastAsia="仿宋" w:cs="Monaco"/>
          <w:color w:val="000000"/>
          <w:sz w:val="24"/>
          <w:highlight w:val="none"/>
        </w:rPr>
        <w:t>信用中国查询网址：</w:t>
      </w:r>
      <w:r>
        <w:rPr>
          <w:rFonts w:hint="eastAsia" w:ascii="仿宋" w:hAnsi="仿宋" w:eastAsia="仿宋" w:cs="仿宋"/>
          <w:kern w:val="0"/>
          <w:sz w:val="24"/>
          <w:szCs w:val="24"/>
          <w:highlight w:val="none"/>
          <w:lang w:val="en-US" w:eastAsia="zh-CN"/>
        </w:rPr>
        <w:t>https://www.creditchina.gov.cn/</w:t>
      </w:r>
    </w:p>
    <w:p w14:paraId="34C8359E">
      <w:pPr>
        <w:spacing w:line="360" w:lineRule="auto"/>
        <w:ind w:firstLine="480" w:firstLineChars="200"/>
        <w:textAlignment w:val="baseline"/>
        <w:rPr>
          <w:rFonts w:hint="eastAsia" w:ascii="仿宋" w:hAnsi="仿宋" w:eastAsia="仿宋" w:cs="宋体"/>
          <w:color w:val="000000"/>
          <w:sz w:val="24"/>
          <w:highlight w:val="none"/>
        </w:rPr>
      </w:pPr>
      <w:r>
        <w:rPr>
          <w:rFonts w:ascii="仿宋" w:hAnsi="仿宋" w:eastAsia="仿宋" w:cs="宋体"/>
          <w:color w:val="000000"/>
          <w:sz w:val="24"/>
          <w:highlight w:val="none"/>
        </w:rPr>
        <w:t>2</w:t>
      </w:r>
      <w:r>
        <w:rPr>
          <w:rFonts w:hint="eastAsia" w:ascii="仿宋" w:hAnsi="仿宋" w:eastAsia="仿宋" w:cs="宋体"/>
          <w:color w:val="000000"/>
          <w:sz w:val="24"/>
          <w:highlight w:val="none"/>
        </w:rPr>
        <w:t>.</w:t>
      </w:r>
      <w:r>
        <w:rPr>
          <w:rFonts w:ascii="仿宋" w:hAnsi="仿宋" w:eastAsia="仿宋" w:cs="宋体"/>
          <w:color w:val="000000"/>
          <w:sz w:val="24"/>
          <w:highlight w:val="none"/>
        </w:rPr>
        <w:t>6</w:t>
      </w:r>
      <w:r>
        <w:rPr>
          <w:rFonts w:hint="eastAsia" w:ascii="仿宋" w:hAnsi="仿宋" w:eastAsia="仿宋" w:cs="宋体"/>
          <w:color w:val="000000"/>
          <w:sz w:val="24"/>
          <w:highlight w:val="none"/>
        </w:rPr>
        <w:t>单位负责人为同一人或存在控股、管理关系的不同单位，不得参加同一标段/标包的磋商响应或未划分标段/标包的同一采购项目的磋商响应，</w:t>
      </w:r>
      <w:r>
        <w:rPr>
          <w:rFonts w:hint="eastAsia" w:ascii="仿宋" w:hAnsi="仿宋" w:eastAsia="仿宋" w:cs="Monaco"/>
          <w:color w:val="000000"/>
          <w:sz w:val="24"/>
          <w:highlight w:val="none"/>
        </w:rPr>
        <w:t>需填写《供应商控股及管理关系情况申报表》。</w:t>
      </w:r>
    </w:p>
    <w:p w14:paraId="3BF2C929">
      <w:pPr>
        <w:spacing w:line="360" w:lineRule="auto"/>
        <w:ind w:firstLine="540" w:firstLineChars="225"/>
        <w:textAlignment w:val="baseline"/>
        <w:rPr>
          <w:rFonts w:hint="eastAsia" w:ascii="仿宋" w:hAnsi="仿宋" w:eastAsia="仿宋" w:cs="宋体"/>
          <w:color w:val="000000"/>
          <w:sz w:val="24"/>
          <w:highlight w:val="none"/>
        </w:rPr>
      </w:pPr>
      <w:r>
        <w:rPr>
          <w:rFonts w:ascii="仿宋" w:hAnsi="仿宋" w:eastAsia="仿宋" w:cs="宋体"/>
          <w:color w:val="000000"/>
          <w:sz w:val="24"/>
          <w:highlight w:val="none"/>
        </w:rPr>
        <w:t>2.7</w:t>
      </w:r>
      <w:r>
        <w:rPr>
          <w:rFonts w:hint="eastAsia" w:ascii="仿宋" w:hAnsi="仿宋" w:eastAsia="仿宋" w:cs="Cambria Math"/>
          <w:color w:val="000000"/>
          <w:sz w:val="24"/>
          <w:highlight w:val="none"/>
        </w:rPr>
        <w:t>本项目不接受联合体磋商响应</w:t>
      </w:r>
      <w:r>
        <w:rPr>
          <w:rFonts w:hint="eastAsia" w:ascii="仿宋" w:hAnsi="仿宋" w:eastAsia="仿宋" w:cs="宋体"/>
          <w:color w:val="000000"/>
          <w:sz w:val="24"/>
          <w:highlight w:val="none"/>
        </w:rPr>
        <w:t>。</w:t>
      </w:r>
    </w:p>
    <w:p w14:paraId="79F71AD6">
      <w:pPr>
        <w:spacing w:line="360" w:lineRule="auto"/>
        <w:ind w:firstLine="540" w:firstLineChars="225"/>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2.8根据《中国人民保险集团供应商管理办法》及《人保投控（北京）运营管理有限公司供应商管理办法》规定，严禁列入中国人民保险集团及人保投控（北京）运营管理有限公司黑名单且在禁入期内的供应商参与采购活动。</w:t>
      </w:r>
    </w:p>
    <w:p w14:paraId="69BDFB53">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2.9供应商须具有人力资源部门颁发的在有效期内的《人力资源服务许可证》</w:t>
      </w:r>
      <w:r>
        <w:rPr>
          <w:rFonts w:hint="eastAsia" w:ascii="仿宋" w:hAnsi="仿宋" w:eastAsia="仿宋" w:cs="仿宋"/>
          <w:color w:val="000000"/>
          <w:sz w:val="24"/>
          <w:highlight w:val="none"/>
          <w:lang w:val="en-US" w:eastAsia="zh-CN"/>
        </w:rPr>
        <w:t>或《人力资源服务许可备案》，需提供复印件</w:t>
      </w:r>
      <w:r>
        <w:rPr>
          <w:rFonts w:hint="eastAsia" w:ascii="仿宋" w:hAnsi="仿宋" w:eastAsia="仿宋" w:cs="仿宋"/>
          <w:color w:val="000000"/>
          <w:sz w:val="24"/>
          <w:highlight w:val="none"/>
        </w:rPr>
        <w:t>。</w:t>
      </w:r>
    </w:p>
    <w:p w14:paraId="0B9E288B">
      <w:pPr>
        <w:pStyle w:val="3"/>
        <w:ind w:firstLine="0" w:firstLineChars="0"/>
        <w:jc w:val="left"/>
        <w:rPr>
          <w:rFonts w:hint="eastAsia" w:ascii="仿宋" w:hAnsi="仿宋" w:eastAsia="仿宋" w:cs="仿宋"/>
          <w:color w:val="000000"/>
          <w:sz w:val="24"/>
          <w:szCs w:val="24"/>
          <w:highlight w:val="none"/>
        </w:rPr>
      </w:pPr>
      <w:bookmarkStart w:id="5" w:name="_Toc17033"/>
      <w:r>
        <w:rPr>
          <w:rFonts w:hint="eastAsia" w:ascii="仿宋" w:hAnsi="仿宋" w:eastAsia="仿宋" w:cs="仿宋"/>
          <w:color w:val="000000"/>
          <w:sz w:val="24"/>
          <w:szCs w:val="24"/>
          <w:highlight w:val="none"/>
        </w:rPr>
        <w:t>三、磋商文件的领取</w:t>
      </w:r>
      <w:bookmarkEnd w:id="5"/>
    </w:p>
    <w:p w14:paraId="78C991EA">
      <w:pPr>
        <w:spacing w:line="360" w:lineRule="auto"/>
        <w:ind w:firstLine="480" w:firstLineChars="200"/>
        <w:textAlignment w:val="baseline"/>
        <w:rPr>
          <w:rFonts w:ascii="仿宋" w:hAnsi="仿宋" w:eastAsia="仿宋" w:cs="仿宋"/>
          <w:color w:val="000000"/>
          <w:sz w:val="24"/>
          <w:highlight w:val="none"/>
        </w:rPr>
      </w:pPr>
      <w:r>
        <w:rPr>
          <w:rFonts w:ascii="仿宋" w:hAnsi="仿宋" w:eastAsia="仿宋" w:cs="仿宋"/>
          <w:color w:val="000000"/>
          <w:sz w:val="24"/>
          <w:highlight w:val="none"/>
        </w:rPr>
        <w:t>3</w:t>
      </w:r>
      <w:r>
        <w:rPr>
          <w:rFonts w:hint="eastAsia" w:ascii="仿宋" w:hAnsi="仿宋" w:eastAsia="仿宋" w:cs="仿宋"/>
          <w:color w:val="000000"/>
          <w:sz w:val="24"/>
          <w:highlight w:val="none"/>
        </w:rPr>
        <w:t>.1竞争性磋商文件获取时间：</w:t>
      </w:r>
      <w:r>
        <w:rPr>
          <w:rFonts w:hint="eastAsia" w:ascii="仿宋" w:hAnsi="仿宋" w:eastAsia="仿宋" w:cs="仿宋"/>
          <w:b/>
          <w:color w:val="000000"/>
          <w:sz w:val="24"/>
          <w:highlight w:val="none"/>
          <w:u w:val="single"/>
        </w:rPr>
        <w:t>2025年</w:t>
      </w:r>
      <w:r>
        <w:rPr>
          <w:rFonts w:hint="eastAsia" w:ascii="仿宋" w:hAnsi="仿宋" w:eastAsia="仿宋" w:cs="仿宋"/>
          <w:b/>
          <w:color w:val="000000"/>
          <w:sz w:val="24"/>
          <w:highlight w:val="none"/>
          <w:u w:val="single"/>
          <w:lang w:val="en-US" w:eastAsia="zh-CN"/>
        </w:rPr>
        <w:t>7</w:t>
      </w:r>
      <w:r>
        <w:rPr>
          <w:rFonts w:hint="eastAsia" w:ascii="仿宋" w:hAnsi="仿宋" w:eastAsia="仿宋" w:cs="仿宋"/>
          <w:b/>
          <w:color w:val="000000"/>
          <w:sz w:val="24"/>
          <w:highlight w:val="none"/>
          <w:u w:val="single"/>
        </w:rPr>
        <w:t>月</w:t>
      </w:r>
      <w:r>
        <w:rPr>
          <w:rFonts w:hint="eastAsia" w:ascii="仿宋" w:hAnsi="仿宋" w:eastAsia="仿宋" w:cs="仿宋"/>
          <w:b/>
          <w:color w:val="000000"/>
          <w:sz w:val="24"/>
          <w:highlight w:val="none"/>
          <w:u w:val="single"/>
          <w:lang w:val="en-US" w:eastAsia="zh-CN"/>
        </w:rPr>
        <w:t>2</w:t>
      </w:r>
      <w:r>
        <w:rPr>
          <w:rFonts w:hint="eastAsia" w:ascii="仿宋" w:hAnsi="仿宋" w:eastAsia="仿宋" w:cs="仿宋"/>
          <w:b/>
          <w:color w:val="000000"/>
          <w:sz w:val="24"/>
          <w:highlight w:val="none"/>
          <w:u w:val="single"/>
        </w:rPr>
        <w:t>日</w:t>
      </w:r>
      <w:r>
        <w:rPr>
          <w:rFonts w:hint="eastAsia" w:ascii="仿宋" w:hAnsi="仿宋" w:eastAsia="仿宋" w:cs="仿宋"/>
          <w:b/>
          <w:color w:val="000000"/>
          <w:sz w:val="24"/>
          <w:highlight w:val="none"/>
        </w:rPr>
        <w:t>至</w:t>
      </w:r>
      <w:r>
        <w:rPr>
          <w:rFonts w:hint="eastAsia" w:ascii="仿宋" w:hAnsi="仿宋" w:eastAsia="仿宋" w:cs="仿宋"/>
          <w:b/>
          <w:color w:val="000000"/>
          <w:sz w:val="24"/>
          <w:highlight w:val="none"/>
          <w:u w:val="single"/>
        </w:rPr>
        <w:t>2025年</w:t>
      </w:r>
      <w:r>
        <w:rPr>
          <w:rFonts w:hint="eastAsia" w:ascii="仿宋" w:hAnsi="仿宋" w:eastAsia="仿宋" w:cs="仿宋"/>
          <w:b/>
          <w:color w:val="000000"/>
          <w:sz w:val="24"/>
          <w:highlight w:val="none"/>
          <w:u w:val="single"/>
          <w:lang w:val="en-US" w:eastAsia="zh-CN"/>
        </w:rPr>
        <w:t>7</w:t>
      </w:r>
      <w:r>
        <w:rPr>
          <w:rFonts w:hint="eastAsia" w:ascii="仿宋" w:hAnsi="仿宋" w:eastAsia="仿宋" w:cs="仿宋"/>
          <w:b/>
          <w:color w:val="000000"/>
          <w:sz w:val="24"/>
          <w:highlight w:val="none"/>
          <w:u w:val="single"/>
        </w:rPr>
        <w:t>月</w:t>
      </w:r>
      <w:r>
        <w:rPr>
          <w:rFonts w:hint="eastAsia" w:ascii="仿宋" w:hAnsi="仿宋" w:eastAsia="仿宋" w:cs="仿宋"/>
          <w:b/>
          <w:color w:val="000000"/>
          <w:sz w:val="24"/>
          <w:highlight w:val="none"/>
          <w:u w:val="single"/>
          <w:lang w:val="en-US" w:eastAsia="zh-CN"/>
        </w:rPr>
        <w:t>8</w:t>
      </w:r>
      <w:r>
        <w:rPr>
          <w:rFonts w:hint="eastAsia" w:ascii="仿宋" w:hAnsi="仿宋" w:eastAsia="仿宋" w:cs="仿宋"/>
          <w:b/>
          <w:color w:val="000000"/>
          <w:sz w:val="24"/>
          <w:highlight w:val="none"/>
          <w:u w:val="single"/>
        </w:rPr>
        <w:t>日，</w:t>
      </w:r>
      <w:r>
        <w:rPr>
          <w:rFonts w:hint="eastAsia" w:ascii="仿宋" w:hAnsi="仿宋" w:eastAsia="仿宋" w:cs="仿宋"/>
          <w:color w:val="000000"/>
          <w:sz w:val="24"/>
          <w:highlight w:val="none"/>
        </w:rPr>
        <w:t>上午9时至12时，下午14时至17时（北京时间，下同）。</w:t>
      </w:r>
    </w:p>
    <w:p w14:paraId="6D3BFDD8">
      <w:pPr>
        <w:spacing w:line="360" w:lineRule="auto"/>
        <w:ind w:firstLine="480" w:firstLineChars="200"/>
        <w:textAlignment w:val="baseline"/>
        <w:rPr>
          <w:rFonts w:hint="eastAsia" w:ascii="仿宋" w:hAnsi="仿宋" w:eastAsia="仿宋" w:cs="仿宋"/>
          <w:color w:val="000000"/>
          <w:sz w:val="24"/>
          <w:highlight w:val="none"/>
        </w:rPr>
      </w:pPr>
      <w:r>
        <w:rPr>
          <w:rFonts w:ascii="仿宋" w:hAnsi="仿宋" w:eastAsia="仿宋" w:cs="仿宋"/>
          <w:color w:val="000000"/>
          <w:sz w:val="24"/>
          <w:highlight w:val="none"/>
        </w:rPr>
        <w:t>3</w:t>
      </w:r>
      <w:r>
        <w:rPr>
          <w:rFonts w:hint="eastAsia" w:ascii="仿宋" w:hAnsi="仿宋" w:eastAsia="仿宋" w:cs="仿宋"/>
          <w:color w:val="000000"/>
          <w:sz w:val="24"/>
          <w:highlight w:val="none"/>
        </w:rPr>
        <w:t>.</w:t>
      </w:r>
      <w:r>
        <w:rPr>
          <w:rFonts w:ascii="仿宋" w:hAnsi="仿宋" w:eastAsia="仿宋" w:cs="仿宋"/>
          <w:color w:val="000000"/>
          <w:sz w:val="24"/>
          <w:highlight w:val="none"/>
        </w:rPr>
        <w:t>2</w:t>
      </w:r>
      <w:r>
        <w:rPr>
          <w:rFonts w:hint="eastAsia" w:ascii="仿宋" w:hAnsi="仿宋" w:eastAsia="仿宋" w:cs="仿宋"/>
          <w:color w:val="000000"/>
          <w:sz w:val="24"/>
          <w:highlight w:val="none"/>
        </w:rPr>
        <w:t>诚E招电子采购交易平台注册入库</w:t>
      </w:r>
    </w:p>
    <w:p w14:paraId="722EAF25">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1）注册：输入网址https://www.chengezhao.com/，点击【新用户注册】（注册步骤详见门户网站：【投标人操作指南】-【注册指引】）。登陆账号后点击【常用文件】，下载《投标人&amp;供应商操作手册》。</w:t>
      </w:r>
    </w:p>
    <w:p w14:paraId="0AECF861">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2）购买与下载：注册成功后登录平台，点击【商机发现】，检索本项目，根据平台提示完成支付后自行下载磋商文件。</w:t>
      </w:r>
    </w:p>
    <w:p w14:paraId="72262A41">
      <w:pPr>
        <w:spacing w:line="360" w:lineRule="auto"/>
        <w:ind w:firstLine="600" w:firstLineChars="250"/>
        <w:textAlignment w:val="baseline"/>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本项目仅在网上发售电子版磋商文件，不再出售纸质磋商文件，磋商文件</w:t>
      </w:r>
      <w:r>
        <w:rPr>
          <w:rFonts w:hint="eastAsia" w:ascii="仿宋" w:hAnsi="仿宋" w:eastAsia="仿宋" w:cs="仿宋"/>
          <w:sz w:val="24"/>
          <w:highlight w:val="none"/>
        </w:rPr>
        <w:t>售价</w:t>
      </w:r>
      <w:r>
        <w:rPr>
          <w:rFonts w:hint="eastAsia" w:ascii="仿宋" w:hAnsi="仿宋" w:eastAsia="仿宋" w:cs="仿宋"/>
          <w:sz w:val="24"/>
          <w:highlight w:val="none"/>
          <w:u w:val="single"/>
        </w:rPr>
        <w:t>400</w:t>
      </w:r>
      <w:r>
        <w:rPr>
          <w:rFonts w:hint="eastAsia" w:ascii="仿宋" w:hAnsi="仿宋" w:eastAsia="仿宋" w:cs="仿宋"/>
          <w:color w:val="000000"/>
          <w:sz w:val="24"/>
          <w:highlight w:val="none"/>
        </w:rPr>
        <w:t>元，售后不退。支付方式（三选一）：①网上支付（微信/支付宝扫码）、②电汇（须上传汇款凭证）、③钱包支付（点击“钱包管理”，充值后即可支付）</w:t>
      </w:r>
      <w:r>
        <w:rPr>
          <w:rFonts w:hint="eastAsia" w:ascii="仿宋" w:hAnsi="仿宋" w:eastAsia="仿宋" w:cs="Cambria Math"/>
          <w:color w:val="000000"/>
          <w:sz w:val="24"/>
          <w:highlight w:val="none"/>
        </w:rPr>
        <w:t>，支付完成后请及时下载竞争性磋商文件。</w:t>
      </w:r>
    </w:p>
    <w:p w14:paraId="04B78859">
      <w:pPr>
        <w:spacing w:line="360" w:lineRule="auto"/>
        <w:ind w:firstLine="600" w:firstLineChars="25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3）疑问反馈：客服热线:020-89524219，服务时间:工作日上午9时至12时，下午14时至17时30分。</w:t>
      </w:r>
    </w:p>
    <w:p w14:paraId="13EAA7CA">
      <w:pPr>
        <w:spacing w:line="360" w:lineRule="auto"/>
        <w:ind w:firstLine="480" w:firstLineChars="200"/>
        <w:textAlignment w:val="baseline"/>
        <w:rPr>
          <w:rFonts w:hint="eastAsia" w:ascii="仿宋" w:hAnsi="仿宋" w:eastAsia="仿宋" w:cs="仿宋"/>
          <w:color w:val="000000"/>
          <w:sz w:val="24"/>
          <w:highlight w:val="none"/>
        </w:rPr>
      </w:pPr>
      <w:r>
        <w:rPr>
          <w:rFonts w:ascii="仿宋" w:hAnsi="仿宋" w:eastAsia="仿宋" w:cs="仿宋"/>
          <w:color w:val="000000"/>
          <w:sz w:val="24"/>
          <w:highlight w:val="none"/>
        </w:rPr>
        <w:t>3</w:t>
      </w:r>
      <w:r>
        <w:rPr>
          <w:rFonts w:hint="eastAsia" w:ascii="仿宋" w:hAnsi="仿宋" w:eastAsia="仿宋" w:cs="仿宋"/>
          <w:color w:val="000000"/>
          <w:sz w:val="24"/>
          <w:highlight w:val="none"/>
        </w:rPr>
        <w:t>.</w:t>
      </w:r>
      <w:r>
        <w:rPr>
          <w:rFonts w:ascii="仿宋" w:hAnsi="仿宋" w:eastAsia="仿宋" w:cs="仿宋"/>
          <w:color w:val="000000"/>
          <w:sz w:val="24"/>
          <w:highlight w:val="none"/>
        </w:rPr>
        <w:t>4</w:t>
      </w:r>
      <w:r>
        <w:rPr>
          <w:rFonts w:hint="eastAsia" w:ascii="仿宋" w:hAnsi="仿宋" w:eastAsia="仿宋" w:cs="仿宋"/>
          <w:color w:val="000000"/>
          <w:sz w:val="24"/>
          <w:highlight w:val="none"/>
          <w:u w:val="single"/>
        </w:rPr>
        <w:t>诚E招电子采购交易平台（https://www.chengezhao.com/）</w:t>
      </w:r>
      <w:r>
        <w:rPr>
          <w:rFonts w:hint="eastAsia" w:ascii="仿宋" w:hAnsi="仿宋" w:eastAsia="仿宋" w:cs="仿宋"/>
          <w:color w:val="000000"/>
          <w:sz w:val="24"/>
          <w:highlight w:val="none"/>
        </w:rPr>
        <w:t>为本项目获取磋商文件的唯一渠道，其他渠道获取磋商文件均属无效，递交的响应文件将不予接收。</w:t>
      </w:r>
    </w:p>
    <w:p w14:paraId="280713A1">
      <w:pPr>
        <w:pStyle w:val="3"/>
        <w:ind w:firstLine="0" w:firstLineChars="0"/>
        <w:jc w:val="left"/>
        <w:rPr>
          <w:rFonts w:hint="eastAsia" w:ascii="仿宋" w:hAnsi="仿宋" w:eastAsia="仿宋" w:cs="仿宋"/>
          <w:color w:val="000000"/>
          <w:sz w:val="24"/>
          <w:szCs w:val="24"/>
          <w:highlight w:val="none"/>
        </w:rPr>
      </w:pPr>
      <w:bookmarkStart w:id="6" w:name="_Toc13272"/>
      <w:r>
        <w:rPr>
          <w:rFonts w:hint="eastAsia" w:ascii="仿宋" w:hAnsi="仿宋" w:eastAsia="仿宋" w:cs="仿宋"/>
          <w:color w:val="000000"/>
          <w:sz w:val="24"/>
          <w:szCs w:val="24"/>
          <w:highlight w:val="none"/>
        </w:rPr>
        <w:t>四、响应文件的递交</w:t>
      </w:r>
      <w:bookmarkEnd w:id="6"/>
    </w:p>
    <w:p w14:paraId="75472F1D">
      <w:pPr>
        <w:spacing w:line="360" w:lineRule="auto"/>
        <w:ind w:firstLine="480" w:firstLineChars="200"/>
        <w:textAlignment w:val="baseline"/>
        <w:rPr>
          <w:rFonts w:ascii="仿宋" w:hAnsi="仿宋" w:eastAsia="仿宋" w:cs="宋体"/>
          <w:bCs/>
          <w:color w:val="000000"/>
          <w:sz w:val="24"/>
          <w:highlight w:val="none"/>
          <w:u w:val="single"/>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.1响应文件递交截止时间：</w:t>
      </w:r>
      <w:r>
        <w:rPr>
          <w:rFonts w:hint="eastAsia" w:ascii="仿宋" w:hAnsi="仿宋" w:eastAsia="仿宋" w:cs="宋体"/>
          <w:color w:val="000000"/>
          <w:sz w:val="24"/>
          <w:highlight w:val="none"/>
          <w:u w:val="single"/>
        </w:rPr>
        <w:t>2025年</w:t>
      </w:r>
      <w:r>
        <w:rPr>
          <w:rFonts w:hint="eastAsia" w:ascii="仿宋" w:hAnsi="仿宋" w:eastAsia="仿宋" w:cs="宋体"/>
          <w:color w:val="000000"/>
          <w:sz w:val="24"/>
          <w:highlight w:val="none"/>
          <w:u w:val="single"/>
          <w:lang w:val="en-US" w:eastAsia="zh-CN"/>
        </w:rPr>
        <w:t>7</w:t>
      </w:r>
      <w:r>
        <w:rPr>
          <w:rFonts w:hint="eastAsia" w:ascii="仿宋" w:hAnsi="仿宋" w:eastAsia="仿宋" w:cs="宋体"/>
          <w:color w:val="000000"/>
          <w:sz w:val="24"/>
          <w:highlight w:val="none"/>
          <w:u w:val="single"/>
        </w:rPr>
        <w:t>月</w:t>
      </w:r>
      <w:r>
        <w:rPr>
          <w:rFonts w:hint="eastAsia" w:ascii="仿宋" w:hAnsi="仿宋" w:eastAsia="仿宋" w:cs="宋体"/>
          <w:color w:val="000000"/>
          <w:sz w:val="24"/>
          <w:highlight w:val="none"/>
          <w:u w:val="single"/>
          <w:lang w:val="en-US" w:eastAsia="zh-CN"/>
        </w:rPr>
        <w:t>16</w:t>
      </w:r>
      <w:r>
        <w:rPr>
          <w:rFonts w:hint="eastAsia" w:ascii="仿宋" w:hAnsi="仿宋" w:eastAsia="仿宋" w:cs="宋体"/>
          <w:color w:val="000000"/>
          <w:sz w:val="24"/>
          <w:highlight w:val="none"/>
          <w:u w:val="single"/>
        </w:rPr>
        <w:t>日09时30分。</w:t>
      </w:r>
    </w:p>
    <w:p w14:paraId="287A2334">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bCs/>
          <w:color w:val="000000"/>
          <w:sz w:val="24"/>
          <w:highlight w:val="none"/>
        </w:rPr>
        <w:t>4.2</w:t>
      </w:r>
      <w:r>
        <w:rPr>
          <w:rFonts w:hint="eastAsia" w:ascii="仿宋" w:hAnsi="仿宋" w:eastAsia="仿宋" w:cs="宋体"/>
          <w:color w:val="000000"/>
          <w:sz w:val="24"/>
          <w:highlight w:val="none"/>
        </w:rPr>
        <w:t>响应文件递交地点：</w:t>
      </w:r>
      <w:r>
        <w:rPr>
          <w:rFonts w:hint="eastAsia" w:ascii="仿宋" w:hAnsi="仿宋" w:eastAsia="仿宋" w:cs="宋体"/>
          <w:color w:val="000000"/>
          <w:sz w:val="24"/>
          <w:highlight w:val="none"/>
          <w:u w:val="single"/>
        </w:rPr>
        <w:t>北京市西城区宣武门外大街6号庄胜广场西翼11层招标投标中心</w:t>
      </w:r>
      <w:r>
        <w:rPr>
          <w:rFonts w:hint="eastAsia" w:ascii="仿宋" w:hAnsi="仿宋" w:eastAsia="仿宋" w:cs="宋体"/>
          <w:color w:val="000000"/>
          <w:sz w:val="24"/>
          <w:highlight w:val="none"/>
        </w:rPr>
        <w:t>。</w:t>
      </w:r>
    </w:p>
    <w:p w14:paraId="42992B89">
      <w:pPr>
        <w:spacing w:line="360" w:lineRule="auto"/>
        <w:ind w:firstLine="480" w:firstLineChars="200"/>
        <w:textAlignment w:val="baseline"/>
        <w:rPr>
          <w:rFonts w:ascii="仿宋" w:hAnsi="仿宋" w:eastAsia="仿宋" w:cs="宋体"/>
          <w:color w:val="000000"/>
          <w:sz w:val="24"/>
          <w:highlight w:val="none"/>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.3磋商会议将于递交截止时间当日进行，会议地点同响应文件递交地点，供应商至少应派法定代表人（负责人）或其授权委托人准时参会。</w:t>
      </w:r>
    </w:p>
    <w:p w14:paraId="67F8A8A3">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4.4出现以下情形之一时，采购人/采购代理机构不予接收响应文件：</w:t>
      </w:r>
    </w:p>
    <w:p w14:paraId="2AE71FC6">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4.4.1  逾期送达或者未送达指定地点的；</w:t>
      </w:r>
    </w:p>
    <w:p w14:paraId="0201E6DE">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4.4.2  未按照竞争性磋商文件要求密封的；</w:t>
      </w:r>
    </w:p>
    <w:p w14:paraId="2EE3ECB6">
      <w:pPr>
        <w:spacing w:line="360" w:lineRule="auto"/>
        <w:ind w:firstLine="480" w:firstLineChars="200"/>
        <w:textAlignment w:val="baseline"/>
        <w:rPr>
          <w:rFonts w:ascii="仿宋" w:hAnsi="仿宋" w:eastAsia="仿宋" w:cs="宋体"/>
          <w:color w:val="000000"/>
          <w:sz w:val="24"/>
          <w:highlight w:val="none"/>
        </w:rPr>
      </w:pPr>
      <w:r>
        <w:rPr>
          <w:rFonts w:hint="eastAsia" w:ascii="仿宋" w:hAnsi="仿宋" w:eastAsia="仿宋" w:cs="宋体"/>
          <w:color w:val="000000"/>
          <w:sz w:val="24"/>
          <w:highlight w:val="none"/>
        </w:rPr>
        <w:t>4.4.3  未按照竞争性磋商公告要求获取竞争性磋商文件的。</w:t>
      </w:r>
    </w:p>
    <w:p w14:paraId="6AE41142">
      <w:pPr>
        <w:pStyle w:val="3"/>
        <w:ind w:firstLine="0" w:firstLineChars="0"/>
        <w:jc w:val="left"/>
        <w:rPr>
          <w:rFonts w:hint="eastAsia" w:ascii="仿宋" w:hAnsi="仿宋" w:eastAsia="仿宋" w:cs="仿宋"/>
          <w:color w:val="000000"/>
          <w:sz w:val="24"/>
          <w:szCs w:val="24"/>
          <w:highlight w:val="none"/>
        </w:rPr>
      </w:pPr>
      <w:bookmarkStart w:id="7" w:name="_Toc2022"/>
      <w:r>
        <w:rPr>
          <w:rFonts w:hint="eastAsia" w:ascii="仿宋" w:hAnsi="仿宋" w:eastAsia="仿宋" w:cs="仿宋"/>
          <w:color w:val="000000"/>
          <w:sz w:val="24"/>
          <w:szCs w:val="24"/>
          <w:highlight w:val="none"/>
        </w:rPr>
        <w:t>五、发布公告的媒介</w:t>
      </w:r>
      <w:bookmarkEnd w:id="7"/>
    </w:p>
    <w:p w14:paraId="7A43B4DA">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w:t>
      </w:r>
      <w:r>
        <w:rPr>
          <w:rFonts w:hint="eastAsia" w:ascii="仿宋" w:hAnsi="仿宋" w:eastAsia="仿宋" w:cs="宋体"/>
          <w:color w:val="000000"/>
          <w:sz w:val="24"/>
          <w:highlight w:val="none"/>
        </w:rPr>
        <w:t>磋商公告同时在</w:t>
      </w:r>
      <w:r>
        <w:rPr>
          <w:rFonts w:hint="eastAsia" w:ascii="仿宋" w:hAnsi="仿宋" w:eastAsia="仿宋" w:cs="宋体"/>
          <w:color w:val="000000"/>
          <w:sz w:val="24"/>
          <w:u w:val="single"/>
        </w:rPr>
        <w:t>人保e采外网门户（https://ec.picc.com/）、</w:t>
      </w:r>
      <w:r>
        <w:rPr>
          <w:rFonts w:hint="eastAsia" w:ascii="仿宋" w:hAnsi="仿宋" w:eastAsia="仿宋" w:cs="宋体"/>
          <w:color w:val="000000"/>
          <w:sz w:val="24"/>
          <w:highlight w:val="none"/>
          <w:u w:val="single"/>
        </w:rPr>
        <w:t>中国招标投标公共服务平台（www.cebpubservice.com）、元博网采购与招标网（www.chinabidding.cn）、中国金融集中采购</w:t>
      </w:r>
      <w:r>
        <w:rPr>
          <w:rFonts w:ascii="仿宋" w:hAnsi="仿宋" w:eastAsia="仿宋" w:cs="宋体"/>
          <w:color w:val="000000"/>
          <w:sz w:val="24"/>
          <w:highlight w:val="none"/>
          <w:u w:val="single"/>
        </w:rPr>
        <w:t>网</w:t>
      </w:r>
      <w:r>
        <w:rPr>
          <w:rFonts w:hint="eastAsia" w:ascii="仿宋" w:hAnsi="仿宋" w:eastAsia="仿宋" w:cs="宋体"/>
          <w:color w:val="000000"/>
          <w:sz w:val="24"/>
          <w:highlight w:val="none"/>
          <w:u w:val="single"/>
        </w:rPr>
        <w:t>（www.cfcpn.com）</w:t>
      </w:r>
      <w:r>
        <w:rPr>
          <w:rFonts w:hint="eastAsia" w:ascii="仿宋" w:hAnsi="仿宋" w:eastAsia="仿宋" w:cs="宋体"/>
          <w:color w:val="000000"/>
          <w:sz w:val="24"/>
          <w:highlight w:val="none"/>
        </w:rPr>
        <w:t>上发布，</w:t>
      </w:r>
      <w:r>
        <w:rPr>
          <w:rFonts w:hint="eastAsia" w:ascii="仿宋" w:hAnsi="仿宋" w:eastAsia="仿宋" w:cs="仿宋"/>
          <w:color w:val="000000"/>
          <w:sz w:val="24"/>
          <w:highlight w:val="none"/>
        </w:rPr>
        <w:t>其他媒介转载无效。对于非法转载、篡改采购公告信息的组织或个人，采购人/采购代理机构保留追究其法律责任的权利。</w:t>
      </w:r>
    </w:p>
    <w:p w14:paraId="2780D352">
      <w:pPr>
        <w:pStyle w:val="3"/>
        <w:ind w:firstLine="0" w:firstLineChars="0"/>
        <w:jc w:val="left"/>
        <w:rPr>
          <w:rFonts w:hint="eastAsia" w:ascii="仿宋" w:hAnsi="仿宋" w:eastAsia="仿宋" w:cs="仿宋"/>
          <w:color w:val="000000"/>
          <w:sz w:val="24"/>
          <w:szCs w:val="24"/>
          <w:highlight w:val="none"/>
        </w:rPr>
      </w:pPr>
      <w:bookmarkStart w:id="8" w:name="_Toc8958"/>
      <w:r>
        <w:rPr>
          <w:rFonts w:hint="eastAsia" w:ascii="仿宋" w:hAnsi="仿宋" w:eastAsia="仿宋" w:cs="仿宋"/>
          <w:color w:val="000000"/>
          <w:sz w:val="24"/>
          <w:szCs w:val="24"/>
          <w:highlight w:val="none"/>
        </w:rPr>
        <w:t>六、联系方式</w:t>
      </w:r>
      <w:bookmarkEnd w:id="8"/>
    </w:p>
    <w:p w14:paraId="55AF2BA0">
      <w:pPr>
        <w:spacing w:line="360" w:lineRule="auto"/>
        <w:ind w:firstLine="482" w:firstLineChars="200"/>
        <w:textAlignment w:val="baseline"/>
        <w:rPr>
          <w:rFonts w:hint="eastAsia" w:ascii="仿宋" w:hAnsi="仿宋" w:eastAsia="仿宋" w:cs="宋体"/>
          <w:b/>
          <w:color w:val="000000"/>
          <w:sz w:val="24"/>
          <w:highlight w:val="none"/>
        </w:rPr>
      </w:pPr>
      <w:bookmarkStart w:id="9" w:name="_Hlk69457004"/>
      <w:r>
        <w:rPr>
          <w:rFonts w:hint="eastAsia" w:ascii="仿宋" w:hAnsi="仿宋" w:eastAsia="仿宋" w:cs="宋体"/>
          <w:b/>
          <w:color w:val="000000"/>
          <w:sz w:val="24"/>
          <w:highlight w:val="none"/>
        </w:rPr>
        <w:t>采购人：人保投控(北京)运营管理有限公司北京分公司</w:t>
      </w:r>
    </w:p>
    <w:p w14:paraId="2ECAD725">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地址：北京市西城区西长安街88号</w:t>
      </w:r>
    </w:p>
    <w:p w14:paraId="517F0A93">
      <w:pPr>
        <w:spacing w:line="360" w:lineRule="auto"/>
        <w:ind w:firstLine="422" w:firstLineChars="175"/>
        <w:jc w:val="left"/>
        <w:rPr>
          <w:rFonts w:ascii="仿宋" w:hAnsi="仿宋" w:eastAsia="仿宋" w:cs="仿宋"/>
          <w:color w:val="000000"/>
          <w:sz w:val="24"/>
          <w:highlight w:val="none"/>
        </w:rPr>
      </w:pPr>
      <w:r>
        <w:rPr>
          <w:rFonts w:hint="eastAsia" w:ascii="仿宋" w:hAnsi="仿宋" w:eastAsia="仿宋" w:cs="宋体"/>
          <w:b/>
          <w:color w:val="000000"/>
          <w:sz w:val="24"/>
          <w:highlight w:val="none"/>
        </w:rPr>
        <w:t>采购代理机构：公诚管理咨询有限公司</w:t>
      </w:r>
    </w:p>
    <w:p w14:paraId="765FE6EA">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地址：北京市西城区宣武门外大街6号庄胜广场西翼11层1111室</w:t>
      </w:r>
    </w:p>
    <w:p w14:paraId="5ED9100F">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联系人：高姝轩、赵亮、肖奇、朱志豪、马霄</w:t>
      </w:r>
    </w:p>
    <w:p w14:paraId="3ECB7F03">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电话：13511059558</w:t>
      </w:r>
    </w:p>
    <w:p w14:paraId="502EDF20">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电子邮件：gaoshuxuan.gcmc.gd@chinaccs.cn</w:t>
      </w:r>
    </w:p>
    <w:p w14:paraId="09B81D83">
      <w:pPr>
        <w:spacing w:line="360" w:lineRule="auto"/>
        <w:ind w:firstLine="480" w:firstLineChars="200"/>
        <w:textAlignment w:val="baseline"/>
        <w:rPr>
          <w:rFonts w:hint="eastAsia" w:ascii="仿宋" w:hAnsi="仿宋" w:eastAsia="仿宋" w:cs="仿宋"/>
          <w:bCs/>
          <w:color w:val="000000"/>
          <w:sz w:val="24"/>
          <w:highlight w:val="none"/>
        </w:rPr>
      </w:pPr>
      <w:bookmarkStart w:id="10" w:name="_Hlk112069734"/>
      <w:r>
        <w:rPr>
          <w:rFonts w:hint="eastAsia" w:ascii="仿宋" w:hAnsi="仿宋" w:eastAsia="仿宋" w:cs="仿宋"/>
          <w:bCs/>
          <w:color w:val="000000"/>
          <w:sz w:val="24"/>
          <w:highlight w:val="none"/>
        </w:rPr>
        <w:t xml:space="preserve">开户银行：中信银行广州花园支行   </w:t>
      </w:r>
    </w:p>
    <w:p w14:paraId="1B98C43D">
      <w:pPr>
        <w:spacing w:line="360" w:lineRule="auto"/>
        <w:ind w:firstLine="480" w:firstLineChars="200"/>
        <w:textAlignment w:val="baseline"/>
        <w:rPr>
          <w:rFonts w:ascii="仿宋" w:hAnsi="仿宋" w:eastAsia="仿宋" w:cs="仿宋"/>
          <w:bCs/>
          <w:color w:val="000000"/>
          <w:sz w:val="24"/>
          <w:highlight w:val="none"/>
        </w:rPr>
      </w:pPr>
      <w:r>
        <w:rPr>
          <w:rFonts w:hint="eastAsia" w:ascii="仿宋" w:hAnsi="仿宋" w:eastAsia="仿宋" w:cs="仿宋"/>
          <w:bCs/>
          <w:color w:val="000000"/>
          <w:sz w:val="24"/>
          <w:highlight w:val="none"/>
        </w:rPr>
        <w:t>账号：</w:t>
      </w:r>
      <w:r>
        <w:rPr>
          <w:rFonts w:hint="eastAsia" w:ascii="仿宋" w:hAnsi="仿宋" w:eastAsia="仿宋" w:cs="仿宋"/>
          <w:bCs/>
          <w:color w:val="000000"/>
          <w:sz w:val="24"/>
          <w:highlight w:val="none"/>
          <w:lang w:val="en-US" w:eastAsia="zh-CN"/>
        </w:rPr>
        <w:t>3110910037672515627</w:t>
      </w:r>
      <w:r>
        <w:rPr>
          <w:rFonts w:hint="eastAsia" w:ascii="仿宋" w:hAnsi="仿宋" w:eastAsia="仿宋" w:cs="仿宋"/>
          <w:bCs/>
          <w:color w:val="000000"/>
          <w:sz w:val="24"/>
          <w:highlight w:val="none"/>
        </w:rPr>
        <w:t>（</w:t>
      </w:r>
      <w:r>
        <w:rPr>
          <w:rFonts w:hint="eastAsia" w:ascii="仿宋" w:hAnsi="仿宋" w:eastAsia="仿宋" w:cs="仿宋"/>
          <w:color w:val="000000"/>
          <w:sz w:val="24"/>
          <w:highlight w:val="none"/>
        </w:rPr>
        <w:t>每个项目对应1个独立的银行子账号，供应商须严格按照本账户信息进行汇款，避免出错带来的影响</w:t>
      </w:r>
      <w:r>
        <w:rPr>
          <w:rFonts w:hint="eastAsia" w:ascii="仿宋" w:hAnsi="仿宋" w:eastAsia="仿宋" w:cs="仿宋"/>
          <w:bCs/>
          <w:color w:val="000000"/>
          <w:sz w:val="24"/>
          <w:highlight w:val="none"/>
        </w:rPr>
        <w:t>）</w:t>
      </w:r>
      <w:bookmarkEnd w:id="10"/>
    </w:p>
    <w:bookmarkEnd w:id="9"/>
    <w:p w14:paraId="6D07284C">
      <w:pPr>
        <w:spacing w:line="360" w:lineRule="auto"/>
        <w:ind w:firstLine="480" w:firstLineChars="200"/>
        <w:jc w:val="right"/>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采购人：人保投控(北京)运营管理有限公司北京分公司</w:t>
      </w:r>
    </w:p>
    <w:p w14:paraId="43CA39D8">
      <w:pPr>
        <w:spacing w:line="360" w:lineRule="auto"/>
        <w:ind w:firstLine="480" w:firstLineChars="200"/>
        <w:jc w:val="right"/>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采购代理机构：公诚管理咨询有限公司</w:t>
      </w:r>
    </w:p>
    <w:p w14:paraId="0766DE27">
      <w:pPr>
        <w:spacing w:line="360" w:lineRule="auto"/>
        <w:ind w:firstLine="480" w:firstLineChars="200"/>
        <w:jc w:val="right"/>
        <w:textAlignment w:val="baseline"/>
        <w:rPr>
          <w:rFonts w:ascii="仿宋" w:hAnsi="仿宋" w:eastAsia="仿宋" w:cs="仿宋"/>
          <w:color w:val="000000"/>
          <w:sz w:val="28"/>
          <w:szCs w:val="28"/>
          <w:highlight w:val="none"/>
        </w:rPr>
      </w:pPr>
      <w:r>
        <w:rPr>
          <w:rFonts w:hint="eastAsia" w:ascii="仿宋" w:hAnsi="仿宋" w:eastAsia="仿宋" w:cs="宋体"/>
          <w:color w:val="000000"/>
          <w:sz w:val="24"/>
          <w:highlight w:val="none"/>
        </w:rPr>
        <w:t>2025年</w:t>
      </w:r>
      <w:r>
        <w:rPr>
          <w:rFonts w:hint="eastAsia" w:ascii="仿宋" w:hAnsi="仿宋" w:eastAsia="仿宋" w:cs="宋体"/>
          <w:color w:val="000000"/>
          <w:sz w:val="24"/>
          <w:highlight w:val="none"/>
          <w:lang w:val="en-US" w:eastAsia="zh-CN"/>
        </w:rPr>
        <w:t>7</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lang w:val="en-US" w:eastAsia="zh-CN"/>
        </w:rPr>
        <w:t>2</w:t>
      </w:r>
      <w:r>
        <w:rPr>
          <w:rFonts w:hint="eastAsia" w:ascii="仿宋" w:hAnsi="仿宋" w:eastAsia="仿宋" w:cs="宋体"/>
          <w:color w:val="000000"/>
          <w:sz w:val="24"/>
          <w:highlight w:val="none"/>
        </w:rPr>
        <w:t>日</w:t>
      </w:r>
    </w:p>
    <w:p w14:paraId="786349EF">
      <w:pPr>
        <w:spacing w:line="360" w:lineRule="auto"/>
        <w:ind w:firstLine="560" w:firstLineChars="200"/>
        <w:jc w:val="right"/>
        <w:textAlignment w:val="baseline"/>
        <w:rPr>
          <w:rFonts w:ascii="仿宋" w:hAnsi="仿宋" w:eastAsia="仿宋" w:cs="仿宋"/>
          <w:color w:val="000000"/>
          <w:sz w:val="28"/>
          <w:szCs w:val="28"/>
          <w:highlight w:val="none"/>
        </w:rPr>
      </w:pPr>
      <w:bookmarkStart w:id="11" w:name="_GoBack"/>
      <w:bookmarkEnd w:id="11"/>
    </w:p>
    <w:p w14:paraId="5D34D6ED"/>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E05DA"/>
    <w:rsid w:val="08EC736B"/>
    <w:rsid w:val="0B1269FC"/>
    <w:rsid w:val="113268E4"/>
    <w:rsid w:val="15BB724D"/>
    <w:rsid w:val="1AEE2C94"/>
    <w:rsid w:val="1B7A3B7E"/>
    <w:rsid w:val="1BE6332B"/>
    <w:rsid w:val="208C7F77"/>
    <w:rsid w:val="20B85AB6"/>
    <w:rsid w:val="24CC47DA"/>
    <w:rsid w:val="297A0164"/>
    <w:rsid w:val="2C1C473C"/>
    <w:rsid w:val="31F54E5C"/>
    <w:rsid w:val="38853055"/>
    <w:rsid w:val="38F00716"/>
    <w:rsid w:val="397C6597"/>
    <w:rsid w:val="39F35F6E"/>
    <w:rsid w:val="3DFD54A4"/>
    <w:rsid w:val="404B0DA9"/>
    <w:rsid w:val="40AA51EB"/>
    <w:rsid w:val="421D6467"/>
    <w:rsid w:val="46F7565A"/>
    <w:rsid w:val="4C6D54AC"/>
    <w:rsid w:val="4CCA5DA9"/>
    <w:rsid w:val="4DD3134C"/>
    <w:rsid w:val="52BB0D17"/>
    <w:rsid w:val="55AF6EFC"/>
    <w:rsid w:val="56F064CD"/>
    <w:rsid w:val="580A409E"/>
    <w:rsid w:val="5B84222C"/>
    <w:rsid w:val="6411214B"/>
    <w:rsid w:val="64EF08A7"/>
    <w:rsid w:val="66503BE2"/>
    <w:rsid w:val="6B234F87"/>
    <w:rsid w:val="6E1F47DB"/>
    <w:rsid w:val="7360522E"/>
    <w:rsid w:val="76033109"/>
    <w:rsid w:val="7AE173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1"/>
    <w:semiHidden/>
    <w:unhideWhenUsed/>
    <w:qFormat/>
    <w:uiPriority w:val="0"/>
    <w:pPr>
      <w:keepNext/>
      <w:keepLines/>
      <w:spacing w:line="360" w:lineRule="auto"/>
      <w:ind w:firstLine="560" w:firstLineChars="200"/>
      <w:jc w:val="left"/>
      <w:outlineLvl w:val="1"/>
    </w:pPr>
    <w:rPr>
      <w:rFonts w:ascii="Arial" w:hAnsi="Arial" w:eastAsia="仿宋"/>
      <w:b/>
      <w:bCs/>
      <w:color w:val="000000" w:themeColor="text1"/>
      <w:sz w:val="24"/>
      <w:szCs w:val="32"/>
      <w14:textFill>
        <w14:solidFill>
          <w14:schemeClr w14:val="tx1"/>
        </w14:solidFill>
      </w14:textFill>
    </w:rPr>
  </w:style>
  <w:style w:type="paragraph" w:styleId="4">
    <w:name w:val="heading 3"/>
    <w:basedOn w:val="1"/>
    <w:next w:val="1"/>
    <w:link w:val="13"/>
    <w:autoRedefine/>
    <w:semiHidden/>
    <w:unhideWhenUsed/>
    <w:qFormat/>
    <w:uiPriority w:val="0"/>
    <w:pPr>
      <w:keepNext/>
      <w:keepLines/>
      <w:spacing w:beforeLines="0" w:afterLines="0" w:line="360" w:lineRule="auto"/>
      <w:outlineLvl w:val="2"/>
    </w:pPr>
    <w:rPr>
      <w:rFonts w:ascii="Times New Roman" w:hAnsi="Times New Roman" w:eastAsia="华文仿宋"/>
      <w:b/>
      <w:bCs/>
      <w:sz w:val="24"/>
      <w:szCs w:val="32"/>
    </w:rPr>
  </w:style>
  <w:style w:type="paragraph" w:styleId="5">
    <w:name w:val="heading 4"/>
    <w:basedOn w:val="1"/>
    <w:next w:val="1"/>
    <w:link w:val="12"/>
    <w:autoRedefine/>
    <w:semiHidden/>
    <w:unhideWhenUsed/>
    <w:qFormat/>
    <w:uiPriority w:val="0"/>
    <w:pPr>
      <w:keepNext/>
      <w:keepLines/>
      <w:spacing w:beforeLines="0" w:afterLines="0" w:line="360" w:lineRule="auto"/>
      <w:outlineLvl w:val="3"/>
    </w:pPr>
    <w:rPr>
      <w:rFonts w:ascii="Arial" w:hAnsi="Arial" w:eastAsia="仿宋"/>
      <w:b/>
      <w:bCs/>
      <w:sz w:val="24"/>
      <w:szCs w:val="28"/>
    </w:rPr>
  </w:style>
  <w:style w:type="paragraph" w:styleId="6">
    <w:name w:val="heading 5"/>
    <w:basedOn w:val="1"/>
    <w:next w:val="1"/>
    <w:link w:val="14"/>
    <w:semiHidden/>
    <w:unhideWhenUsed/>
    <w:qFormat/>
    <w:uiPriority w:val="0"/>
    <w:pPr>
      <w:keepNext/>
      <w:keepLines/>
      <w:spacing w:line="360" w:lineRule="auto"/>
      <w:outlineLvl w:val="4"/>
    </w:pPr>
    <w:rPr>
      <w:rFonts w:ascii="Times New Roman" w:hAnsi="Times New Roman" w:eastAsia="华文仿宋"/>
      <w:b/>
      <w:bCs/>
      <w:sz w:val="24"/>
      <w:szCs w:val="28"/>
    </w:rPr>
  </w:style>
  <w:style w:type="character" w:default="1" w:styleId="10">
    <w:name w:val="Default Paragraph Font"/>
    <w:autoRedefine/>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7">
    <w:name w:val="Normal Indent"/>
    <w:basedOn w:val="1"/>
    <w:autoRedefine/>
    <w:qFormat/>
    <w:uiPriority w:val="0"/>
    <w:pPr>
      <w:ind w:firstLine="420" w:firstLineChars="200"/>
    </w:pPr>
  </w:style>
  <w:style w:type="paragraph" w:styleId="8">
    <w:name w:val="Body Text 2"/>
    <w:basedOn w:val="1"/>
    <w:qFormat/>
    <w:uiPriority w:val="0"/>
    <w:rPr>
      <w:sz w:val="28"/>
    </w:rPr>
  </w:style>
  <w:style w:type="character" w:customStyle="1" w:styleId="11">
    <w:name w:val="标题 2 字符"/>
    <w:link w:val="3"/>
    <w:qFormat/>
    <w:uiPriority w:val="9"/>
    <w:rPr>
      <w:rFonts w:ascii="Arial" w:hAnsi="Arial" w:eastAsia="仿宋"/>
      <w:b/>
      <w:bCs/>
      <w:color w:val="000000" w:themeColor="text1"/>
      <w:kern w:val="2"/>
      <w:sz w:val="24"/>
      <w:szCs w:val="32"/>
      <w14:textFill>
        <w14:solidFill>
          <w14:schemeClr w14:val="tx1"/>
        </w14:solidFill>
      </w14:textFill>
    </w:rPr>
  </w:style>
  <w:style w:type="character" w:customStyle="1" w:styleId="12">
    <w:name w:val="标题 4 字符"/>
    <w:link w:val="5"/>
    <w:autoRedefine/>
    <w:qFormat/>
    <w:uiPriority w:val="0"/>
    <w:rPr>
      <w:rFonts w:ascii="Arial" w:hAnsi="Arial" w:eastAsia="仿宋"/>
      <w:b/>
      <w:bCs/>
      <w:kern w:val="2"/>
      <w:sz w:val="24"/>
      <w:szCs w:val="28"/>
    </w:rPr>
  </w:style>
  <w:style w:type="character" w:customStyle="1" w:styleId="13">
    <w:name w:val="标题 3 字符"/>
    <w:link w:val="4"/>
    <w:autoRedefine/>
    <w:qFormat/>
    <w:uiPriority w:val="0"/>
    <w:rPr>
      <w:rFonts w:ascii="Times New Roman" w:hAnsi="Times New Roman" w:eastAsia="宋体"/>
      <w:b/>
      <w:bCs/>
      <w:kern w:val="2"/>
      <w:sz w:val="32"/>
      <w:szCs w:val="32"/>
    </w:rPr>
  </w:style>
  <w:style w:type="character" w:customStyle="1" w:styleId="14">
    <w:name w:val="标题 5 Char"/>
    <w:link w:val="6"/>
    <w:autoRedefine/>
    <w:semiHidden/>
    <w:qFormat/>
    <w:uiPriority w:val="9"/>
    <w:rPr>
      <w:rFonts w:ascii="Times New Roman" w:hAnsi="Times New Roman" w:eastAsia="华文仿宋"/>
      <w:b/>
      <w:bCs/>
      <w:kern w:val="2"/>
      <w:sz w:val="24"/>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2157</Words>
  <Characters>2497</Characters>
  <Lines>0</Lines>
  <Paragraphs>0</Paragraphs>
  <TotalTime>0</TotalTime>
  <ScaleCrop>false</ScaleCrop>
  <LinksUpToDate>false</LinksUpToDate>
  <CharactersWithSpaces>2538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2022-10-26T06:37:00Z</dcterms:created>
  <dc:creator>高姝轩</dc:creator>
  <cp:lastModifiedBy>高姝轩</cp:lastModifiedBy>
  <dcterms:modified xsi:type="dcterms:W3CDTF">2025-07-02T03:02:36Z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5D0D13A98A00465DAEA8801CBF441C07</vt:lpwstr>
  </property>
  <property fmtid="{D5CDD505-2E9C-101B-9397-08002B2CF9AE}" pid="4" name="KSOTemplateDocerSaveRecord">
    <vt:lpwstr>eyJoZGlkIjoiODNhNzI1ZDRkYjY5YTExNDc0MjhhOGUwMGRhZmU0OTkiLCJ1c2VySWQiOiI3MTM4MjEzNTAifQ==</vt:lpwstr>
  </property>
</Properties>
</file>