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B3E5276">
      <w:pPr>
        <w:jc w:val="both"/>
        <w:rPr>
          <w:rFonts w:hint="eastAsia" w:ascii="宋体" w:hAnsi="宋体" w:eastAsia="宋体" w:cs="宋体"/>
          <w:b/>
          <w:color w:val="000000"/>
          <w:highlight w:val="none"/>
          <w:u w:val="single"/>
        </w:rPr>
      </w:pPr>
    </w:p>
    <w:p w14:paraId="1DE721BB">
      <w:pPr>
        <w:jc w:val="center"/>
        <w:rPr>
          <w:rFonts w:hint="eastAsia" w:ascii="宋体" w:hAnsi="宋体" w:eastAsia="宋体" w:cs="宋体"/>
          <w:b/>
          <w:color w:val="auto"/>
          <w:sz w:val="28"/>
          <w:szCs w:val="28"/>
          <w:highlight w:val="none"/>
        </w:rPr>
      </w:pPr>
      <w:r>
        <w:rPr>
          <w:rFonts w:hint="eastAsia" w:ascii="宋体" w:hAnsi="宋体" w:cs="宋体"/>
          <w:b/>
          <w:color w:val="auto"/>
          <w:spacing w:val="40"/>
          <w:sz w:val="48"/>
          <w:szCs w:val="48"/>
          <w:highlight w:val="none"/>
          <w:lang w:eastAsia="zh-CN"/>
        </w:rPr>
        <w:t>人保财险南京市分公司营业用房零星维修服务供应商项目</w:t>
      </w:r>
    </w:p>
    <w:p w14:paraId="3F90B138">
      <w:pPr>
        <w:jc w:val="center"/>
        <w:rPr>
          <w:rFonts w:hint="eastAsia" w:ascii="宋体" w:hAnsi="宋体" w:eastAsia="宋体" w:cs="宋体"/>
          <w:b/>
          <w:color w:val="auto"/>
          <w:sz w:val="28"/>
          <w:szCs w:val="28"/>
          <w:highlight w:val="none"/>
        </w:rPr>
      </w:pPr>
    </w:p>
    <w:p w14:paraId="078102F9">
      <w:pPr>
        <w:jc w:val="center"/>
        <w:rPr>
          <w:rFonts w:hint="eastAsia" w:ascii="宋体" w:hAnsi="宋体" w:eastAsia="宋体" w:cs="宋体"/>
          <w:b/>
          <w:color w:val="auto"/>
          <w:sz w:val="32"/>
          <w:szCs w:val="32"/>
          <w:highlight w:val="none"/>
        </w:rPr>
      </w:pPr>
    </w:p>
    <w:p w14:paraId="20B274EC">
      <w:pPr>
        <w:jc w:val="center"/>
        <w:rPr>
          <w:rFonts w:hint="eastAsia" w:ascii="宋体" w:hAnsi="宋体" w:eastAsia="宋体" w:cs="宋体"/>
          <w:b/>
          <w:color w:val="auto"/>
          <w:sz w:val="32"/>
          <w:szCs w:val="32"/>
          <w:highlight w:val="none"/>
          <w:u w:val="single"/>
          <w:lang w:eastAsia="zh-CN"/>
        </w:rPr>
      </w:pPr>
      <w:r>
        <w:rPr>
          <w:rFonts w:hint="eastAsia" w:ascii="宋体" w:hAnsi="宋体" w:eastAsia="宋体" w:cs="宋体"/>
          <w:b/>
          <w:color w:val="auto"/>
          <w:sz w:val="32"/>
          <w:szCs w:val="32"/>
          <w:highlight w:val="none"/>
        </w:rPr>
        <w:t>招标代理项目编号：</w:t>
      </w:r>
      <w:r>
        <w:rPr>
          <w:rFonts w:hint="eastAsia" w:ascii="宋体" w:hAnsi="宋体" w:cs="宋体"/>
          <w:b/>
          <w:color w:val="auto"/>
          <w:sz w:val="32"/>
          <w:szCs w:val="32"/>
          <w:highlight w:val="none"/>
          <w:lang w:eastAsia="zh-CN"/>
        </w:rPr>
        <w:t>02-10-04A-2025-D-F-E12622</w:t>
      </w:r>
    </w:p>
    <w:p w14:paraId="4DB9D884">
      <w:pPr>
        <w:jc w:val="center"/>
        <w:rPr>
          <w:rFonts w:hint="eastAsia" w:ascii="宋体" w:hAnsi="宋体" w:eastAsia="宋体" w:cs="宋体"/>
          <w:b/>
          <w:color w:val="000000"/>
          <w:sz w:val="28"/>
          <w:szCs w:val="28"/>
          <w:highlight w:val="none"/>
          <w:u w:val="single"/>
        </w:rPr>
      </w:pPr>
    </w:p>
    <w:p w14:paraId="50EC3B21">
      <w:pPr>
        <w:jc w:val="both"/>
        <w:rPr>
          <w:rFonts w:hint="eastAsia" w:ascii="宋体" w:hAnsi="宋体" w:eastAsia="宋体" w:cs="宋体"/>
          <w:b/>
          <w:color w:val="000000"/>
          <w:spacing w:val="40"/>
          <w:sz w:val="72"/>
          <w:szCs w:val="72"/>
          <w:highlight w:val="none"/>
        </w:rPr>
      </w:pPr>
    </w:p>
    <w:p w14:paraId="71AAF3A5">
      <w:pPr>
        <w:ind w:left="0" w:leftChars="0" w:right="0" w:rightChars="0" w:firstLine="0" w:firstLineChars="0"/>
        <w:jc w:val="center"/>
        <w:rPr>
          <w:rFonts w:hint="eastAsia" w:ascii="宋体" w:hAnsi="宋体" w:eastAsia="宋体" w:cs="宋体"/>
          <w:b/>
          <w:color w:val="000000"/>
          <w:spacing w:val="40"/>
          <w:sz w:val="72"/>
          <w:szCs w:val="72"/>
          <w:highlight w:val="none"/>
        </w:rPr>
      </w:pPr>
      <w:r>
        <w:rPr>
          <w:rFonts w:hint="eastAsia" w:ascii="宋体" w:hAnsi="宋体" w:eastAsia="宋体" w:cs="宋体"/>
          <w:b/>
          <w:color w:val="000000"/>
          <w:spacing w:val="40"/>
          <w:sz w:val="72"/>
          <w:szCs w:val="72"/>
          <w:highlight w:val="none"/>
        </w:rPr>
        <w:t>招标文件</w:t>
      </w:r>
    </w:p>
    <w:p w14:paraId="02011C53">
      <w:pPr>
        <w:spacing w:after="120" w:line="400" w:lineRule="exact"/>
        <w:jc w:val="center"/>
        <w:rPr>
          <w:rFonts w:hint="eastAsia" w:ascii="宋体" w:hAnsi="宋体" w:eastAsia="宋体" w:cs="宋体"/>
          <w:b/>
          <w:color w:val="000000"/>
          <w:sz w:val="28"/>
          <w:szCs w:val="28"/>
          <w:highlight w:val="none"/>
        </w:rPr>
      </w:pPr>
    </w:p>
    <w:p w14:paraId="26E9C746">
      <w:pPr>
        <w:spacing w:after="120" w:line="400" w:lineRule="exact"/>
        <w:jc w:val="center"/>
        <w:rPr>
          <w:rFonts w:hint="eastAsia" w:ascii="宋体" w:hAnsi="宋体" w:eastAsia="宋体" w:cs="宋体"/>
          <w:b/>
          <w:color w:val="000000"/>
          <w:sz w:val="28"/>
          <w:szCs w:val="28"/>
          <w:highlight w:val="none"/>
        </w:rPr>
      </w:pPr>
      <w:r>
        <w:rPr>
          <w:rFonts w:hint="eastAsia" w:ascii="宋体" w:hAnsi="宋体" w:eastAsia="宋体" w:cs="宋体"/>
          <w:color w:val="auto"/>
        </w:rPr>
        <w:drawing>
          <wp:anchor distT="0" distB="0" distL="114300" distR="114300" simplePos="0" relativeHeight="251660288" behindDoc="0" locked="0" layoutInCell="1" allowOverlap="1">
            <wp:simplePos x="0" y="0"/>
            <wp:positionH relativeFrom="column">
              <wp:posOffset>2212340</wp:posOffset>
            </wp:positionH>
            <wp:positionV relativeFrom="paragraph">
              <wp:posOffset>212090</wp:posOffset>
            </wp:positionV>
            <wp:extent cx="1673860" cy="1593215"/>
            <wp:effectExtent l="0" t="0" r="2540" b="6985"/>
            <wp:wrapSquare wrapText="bothSides"/>
            <wp:docPr id="7" name="图片 1" descr="公司标志标准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descr="公司标志标准图"/>
                    <pic:cNvPicPr>
                      <a:picLocks noChangeAspect="1"/>
                    </pic:cNvPicPr>
                  </pic:nvPicPr>
                  <pic:blipFill>
                    <a:blip r:embed="rId16"/>
                    <a:stretch>
                      <a:fillRect/>
                    </a:stretch>
                  </pic:blipFill>
                  <pic:spPr>
                    <a:xfrm>
                      <a:off x="0" y="0"/>
                      <a:ext cx="1673860" cy="1593215"/>
                    </a:xfrm>
                    <a:prstGeom prst="rect">
                      <a:avLst/>
                    </a:prstGeom>
                    <a:noFill/>
                    <a:ln>
                      <a:noFill/>
                    </a:ln>
                  </pic:spPr>
                </pic:pic>
              </a:graphicData>
            </a:graphic>
          </wp:anchor>
        </w:drawing>
      </w:r>
    </w:p>
    <w:p w14:paraId="6AC6FC5D">
      <w:pPr>
        <w:spacing w:after="120" w:line="400" w:lineRule="exact"/>
        <w:jc w:val="center"/>
        <w:rPr>
          <w:rFonts w:hint="eastAsia" w:ascii="宋体" w:hAnsi="宋体" w:eastAsia="宋体" w:cs="宋体"/>
          <w:b/>
          <w:color w:val="000000"/>
          <w:sz w:val="28"/>
          <w:szCs w:val="28"/>
          <w:highlight w:val="none"/>
        </w:rPr>
      </w:pPr>
    </w:p>
    <w:p w14:paraId="2580C44E">
      <w:pPr>
        <w:spacing w:after="120" w:line="400" w:lineRule="exact"/>
        <w:jc w:val="center"/>
        <w:rPr>
          <w:rFonts w:hint="eastAsia" w:ascii="宋体" w:hAnsi="宋体" w:eastAsia="宋体" w:cs="宋体"/>
          <w:b/>
          <w:color w:val="000000"/>
          <w:sz w:val="28"/>
          <w:szCs w:val="28"/>
          <w:highlight w:val="none"/>
        </w:rPr>
      </w:pPr>
    </w:p>
    <w:p w14:paraId="7CFAF25B">
      <w:pPr>
        <w:spacing w:after="120" w:line="400" w:lineRule="exact"/>
        <w:jc w:val="center"/>
        <w:rPr>
          <w:rFonts w:hint="eastAsia" w:ascii="宋体" w:hAnsi="宋体" w:eastAsia="宋体" w:cs="宋体"/>
          <w:b/>
          <w:color w:val="000000"/>
          <w:sz w:val="28"/>
          <w:szCs w:val="28"/>
          <w:highlight w:val="none"/>
        </w:rPr>
      </w:pPr>
    </w:p>
    <w:p w14:paraId="41F08AE8">
      <w:pPr>
        <w:spacing w:after="120" w:line="400" w:lineRule="exact"/>
        <w:jc w:val="center"/>
        <w:rPr>
          <w:rFonts w:hint="eastAsia" w:ascii="宋体" w:hAnsi="宋体" w:eastAsia="宋体" w:cs="宋体"/>
          <w:b/>
          <w:color w:val="000000"/>
          <w:sz w:val="28"/>
          <w:szCs w:val="28"/>
          <w:highlight w:val="none"/>
        </w:rPr>
      </w:pPr>
    </w:p>
    <w:p w14:paraId="3D21F45D">
      <w:pPr>
        <w:spacing w:after="120" w:line="400" w:lineRule="exact"/>
        <w:jc w:val="center"/>
        <w:rPr>
          <w:rFonts w:hint="eastAsia" w:ascii="宋体" w:hAnsi="宋体" w:eastAsia="宋体" w:cs="宋体"/>
          <w:b/>
          <w:color w:val="000000"/>
          <w:sz w:val="28"/>
          <w:szCs w:val="28"/>
          <w:highlight w:val="none"/>
        </w:rPr>
      </w:pPr>
    </w:p>
    <w:p w14:paraId="397BCCDB">
      <w:pPr>
        <w:spacing w:after="120" w:line="400" w:lineRule="exact"/>
        <w:jc w:val="center"/>
        <w:rPr>
          <w:rFonts w:hint="eastAsia" w:ascii="宋体" w:hAnsi="宋体" w:eastAsia="宋体" w:cs="宋体"/>
          <w:b/>
          <w:color w:val="000000"/>
          <w:sz w:val="28"/>
          <w:szCs w:val="28"/>
          <w:highlight w:val="none"/>
        </w:rPr>
      </w:pPr>
    </w:p>
    <w:p w14:paraId="51E517EF">
      <w:pPr>
        <w:spacing w:after="120" w:line="400" w:lineRule="exact"/>
        <w:jc w:val="center"/>
        <w:rPr>
          <w:rFonts w:hint="eastAsia" w:ascii="宋体" w:hAnsi="宋体" w:eastAsia="宋体" w:cs="宋体"/>
          <w:b/>
          <w:color w:val="000000"/>
          <w:sz w:val="28"/>
          <w:szCs w:val="28"/>
          <w:highlight w:val="none"/>
        </w:rPr>
      </w:pPr>
    </w:p>
    <w:p w14:paraId="1B1262B7">
      <w:pPr>
        <w:spacing w:after="120" w:line="400" w:lineRule="exact"/>
        <w:jc w:val="center"/>
        <w:rPr>
          <w:rFonts w:hint="eastAsia" w:ascii="宋体" w:hAnsi="宋体" w:eastAsia="宋体" w:cs="宋体"/>
          <w:b/>
          <w:color w:val="000000"/>
          <w:sz w:val="28"/>
          <w:szCs w:val="28"/>
          <w:highlight w:val="none"/>
        </w:rPr>
      </w:pPr>
    </w:p>
    <w:p w14:paraId="5DD31593">
      <w:pPr>
        <w:spacing w:line="360" w:lineRule="auto"/>
        <w:ind w:left="0" w:leftChars="0" w:right="0" w:rightChars="0" w:firstLine="0" w:firstLineChars="0"/>
        <w:jc w:val="both"/>
        <w:textAlignment w:val="baseline"/>
        <w:rPr>
          <w:rFonts w:hint="eastAsia" w:ascii="宋体" w:hAnsi="宋体" w:eastAsia="宋体" w:cs="宋体"/>
          <w:color w:val="000000"/>
          <w:sz w:val="24"/>
          <w:szCs w:val="24"/>
          <w:highlight w:val="none"/>
          <w:lang w:val="en-US" w:eastAsia="zh-CN"/>
        </w:rPr>
      </w:pPr>
    </w:p>
    <w:p w14:paraId="115DF4A5">
      <w:pPr>
        <w:spacing w:line="360" w:lineRule="auto"/>
        <w:ind w:left="0" w:leftChars="0" w:right="0" w:rightChars="0" w:firstLine="0" w:firstLineChars="0"/>
        <w:jc w:val="center"/>
        <w:textAlignment w:val="baseline"/>
        <w:rPr>
          <w:rFonts w:hint="eastAsia" w:ascii="宋体" w:hAnsi="宋体" w:eastAsia="宋体" w:cs="宋体"/>
          <w:color w:val="000000"/>
          <w:sz w:val="24"/>
          <w:szCs w:val="24"/>
          <w:highlight w:val="none"/>
          <w:lang w:val="en-US" w:eastAsia="zh-CN"/>
        </w:rPr>
      </w:pPr>
    </w:p>
    <w:p w14:paraId="408D123C">
      <w:pPr>
        <w:spacing w:line="360" w:lineRule="auto"/>
        <w:ind w:left="0" w:leftChars="0" w:right="0" w:rightChars="0" w:firstLine="0" w:firstLineChars="0"/>
        <w:jc w:val="center"/>
        <w:textAlignment w:val="baseline"/>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招标人：</w:t>
      </w:r>
      <w:r>
        <w:rPr>
          <w:rFonts w:hint="eastAsia" w:ascii="宋体" w:hAnsi="宋体" w:cs="宋体"/>
          <w:color w:val="000000"/>
          <w:sz w:val="24"/>
          <w:szCs w:val="24"/>
          <w:highlight w:val="none"/>
          <w:lang w:val="en-US" w:eastAsia="zh-CN"/>
        </w:rPr>
        <w:t>中国人民财产保险股份有限公司南京市分公司</w:t>
      </w:r>
    </w:p>
    <w:p w14:paraId="64DA5CA7">
      <w:pPr>
        <w:spacing w:line="360" w:lineRule="auto"/>
        <w:ind w:left="0" w:leftChars="0" w:right="0" w:rightChars="0" w:firstLine="0" w:firstLineChars="0"/>
        <w:jc w:val="center"/>
        <w:textAlignment w:val="baseline"/>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招标代理机构：公诚管理咨询有限公司</w:t>
      </w:r>
    </w:p>
    <w:p w14:paraId="2CF24DAB">
      <w:pPr>
        <w:spacing w:line="360" w:lineRule="auto"/>
        <w:ind w:left="0" w:leftChars="0" w:right="0" w:rightChars="0" w:firstLine="0" w:firstLineChars="0"/>
        <w:jc w:val="center"/>
        <w:textAlignment w:val="baseline"/>
        <w:rPr>
          <w:rFonts w:hint="eastAsia" w:ascii="宋体" w:hAnsi="宋体" w:eastAsia="宋体" w:cs="宋体"/>
          <w:color w:val="000000"/>
          <w:sz w:val="24"/>
          <w:szCs w:val="24"/>
          <w:highlight w:val="none"/>
          <w:lang w:val="en-US" w:eastAsia="zh-CN"/>
        </w:rPr>
        <w:sectPr>
          <w:footerReference r:id="rId7" w:type="first"/>
          <w:headerReference r:id="rId5" w:type="default"/>
          <w:footerReference r:id="rId6" w:type="default"/>
          <w:pgSz w:w="11906" w:h="16838"/>
          <w:pgMar w:top="1417" w:right="1134" w:bottom="1134" w:left="1134" w:header="851" w:footer="992" w:gutter="0"/>
          <w:cols w:space="720" w:num="1"/>
          <w:titlePg/>
          <w:docGrid w:type="lines" w:linePitch="312" w:charSpace="0"/>
        </w:sectPr>
      </w:pPr>
      <w:r>
        <w:rPr>
          <w:rFonts w:hint="eastAsia" w:ascii="宋体" w:hAnsi="宋体" w:eastAsia="宋体" w:cs="宋体"/>
          <w:color w:val="000000"/>
          <w:sz w:val="24"/>
          <w:szCs w:val="24"/>
          <w:highlight w:val="none"/>
          <w:lang w:val="en-US" w:eastAsia="zh-CN"/>
        </w:rPr>
        <w:t>日期：2025年</w:t>
      </w:r>
      <w:r>
        <w:rPr>
          <w:rFonts w:hint="eastAsia" w:ascii="宋体" w:hAnsi="宋体" w:cs="宋体"/>
          <w:color w:val="000000"/>
          <w:sz w:val="24"/>
          <w:szCs w:val="24"/>
          <w:highlight w:val="none"/>
          <w:lang w:val="en-US" w:eastAsia="zh-CN"/>
        </w:rPr>
        <w:t>8</w:t>
      </w:r>
      <w:r>
        <w:rPr>
          <w:rFonts w:hint="eastAsia" w:ascii="宋体" w:hAnsi="宋体" w:eastAsia="宋体" w:cs="宋体"/>
          <w:color w:val="000000"/>
          <w:sz w:val="24"/>
          <w:szCs w:val="24"/>
          <w:highlight w:val="none"/>
          <w:lang w:val="en-US" w:eastAsia="zh-CN"/>
        </w:rPr>
        <w:t>月</w:t>
      </w:r>
    </w:p>
    <w:p w14:paraId="2E35DC5F">
      <w:pPr>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目  录</w:t>
      </w:r>
    </w:p>
    <w:p w14:paraId="3EE89458">
      <w:pPr>
        <w:pStyle w:val="26"/>
        <w:tabs>
          <w:tab w:val="right" w:leader="dot" w:pos="9638"/>
        </w:tabs>
      </w:pPr>
      <w:r>
        <w:rPr>
          <w:rFonts w:hint="eastAsia" w:ascii="宋体" w:hAnsi="宋体" w:eastAsia="宋体" w:cs="宋体"/>
          <w:color w:val="000000"/>
          <w:szCs w:val="21"/>
          <w:highlight w:val="none"/>
        </w:rPr>
        <w:fldChar w:fldCharType="begin"/>
      </w:r>
      <w:r>
        <w:rPr>
          <w:rFonts w:hint="eastAsia" w:ascii="宋体" w:hAnsi="宋体" w:eastAsia="宋体" w:cs="宋体"/>
          <w:color w:val="000000"/>
          <w:szCs w:val="21"/>
          <w:highlight w:val="none"/>
        </w:rPr>
        <w:instrText xml:space="preserve">TOC \o "1-3" \h  \u </w:instrText>
      </w:r>
      <w:r>
        <w:rPr>
          <w:rFonts w:hint="eastAsia" w:ascii="宋体" w:hAnsi="宋体" w:eastAsia="宋体" w:cs="宋体"/>
          <w:color w:val="000000"/>
          <w:szCs w:val="21"/>
          <w:highlight w:val="none"/>
        </w:rPr>
        <w:fldChar w:fldCharType="separate"/>
      </w:r>
      <w:r>
        <w:rPr>
          <w:rFonts w:hint="eastAsia" w:ascii="宋体" w:hAnsi="宋体" w:eastAsia="宋体" w:cs="宋体"/>
          <w:color w:val="000000"/>
          <w:szCs w:val="21"/>
          <w:highlight w:val="none"/>
        </w:rPr>
        <w:fldChar w:fldCharType="begin"/>
      </w:r>
      <w:r>
        <w:rPr>
          <w:rFonts w:hint="eastAsia" w:ascii="宋体" w:hAnsi="宋体" w:eastAsia="宋体" w:cs="宋体"/>
          <w:szCs w:val="21"/>
          <w:highlight w:val="none"/>
        </w:rPr>
        <w:instrText xml:space="preserve"> HYPERLINK \l _Toc28081 </w:instrText>
      </w:r>
      <w:r>
        <w:rPr>
          <w:rFonts w:hint="eastAsia" w:ascii="宋体" w:hAnsi="宋体" w:eastAsia="宋体" w:cs="宋体"/>
          <w:szCs w:val="21"/>
          <w:highlight w:val="none"/>
        </w:rPr>
        <w:fldChar w:fldCharType="separate"/>
      </w:r>
      <w:r>
        <w:rPr>
          <w:rFonts w:hint="eastAsia" w:ascii="宋体" w:hAnsi="宋体" w:eastAsia="宋体" w:cs="宋体"/>
          <w:highlight w:val="none"/>
        </w:rPr>
        <w:t>第一章 招标公告</w:t>
      </w:r>
      <w:r>
        <w:tab/>
      </w:r>
      <w:r>
        <w:fldChar w:fldCharType="begin"/>
      </w:r>
      <w:r>
        <w:instrText xml:space="preserve"> PAGEREF _Toc28081 \h </w:instrText>
      </w:r>
      <w:r>
        <w:fldChar w:fldCharType="separate"/>
      </w:r>
      <w:r>
        <w:t>5</w:t>
      </w:r>
      <w:r>
        <w:fldChar w:fldCharType="end"/>
      </w:r>
      <w:r>
        <w:rPr>
          <w:rFonts w:hint="eastAsia" w:ascii="宋体" w:hAnsi="宋体" w:eastAsia="宋体" w:cs="宋体"/>
          <w:color w:val="000000"/>
          <w:szCs w:val="21"/>
          <w:highlight w:val="none"/>
        </w:rPr>
        <w:fldChar w:fldCharType="end"/>
      </w:r>
    </w:p>
    <w:p w14:paraId="32499D9C">
      <w:pPr>
        <w:pStyle w:val="31"/>
        <w:tabs>
          <w:tab w:val="right" w:leader="dot" w:pos="9638"/>
        </w:tabs>
      </w:pPr>
      <w:r>
        <w:rPr>
          <w:rFonts w:hint="eastAsia" w:ascii="宋体" w:hAnsi="宋体" w:eastAsia="宋体" w:cs="宋体"/>
          <w:color w:val="000000"/>
          <w:szCs w:val="21"/>
          <w:highlight w:val="none"/>
        </w:rPr>
        <w:fldChar w:fldCharType="begin"/>
      </w:r>
      <w:r>
        <w:rPr>
          <w:rFonts w:hint="eastAsia" w:ascii="宋体" w:hAnsi="宋体" w:eastAsia="宋体" w:cs="宋体"/>
          <w:szCs w:val="21"/>
          <w:highlight w:val="none"/>
        </w:rPr>
        <w:instrText xml:space="preserve"> HYPERLINK \l _Toc910 </w:instrText>
      </w:r>
      <w:r>
        <w:rPr>
          <w:rFonts w:hint="eastAsia" w:ascii="宋体" w:hAnsi="宋体" w:eastAsia="宋体" w:cs="宋体"/>
          <w:szCs w:val="21"/>
          <w:highlight w:val="none"/>
        </w:rPr>
        <w:fldChar w:fldCharType="separate"/>
      </w:r>
      <w:r>
        <w:rPr>
          <w:rFonts w:hint="eastAsia" w:ascii="宋体" w:hAnsi="宋体" w:eastAsia="宋体" w:cs="宋体"/>
          <w:szCs w:val="24"/>
          <w:highlight w:val="none"/>
        </w:rPr>
        <w:t>一、招标条件</w:t>
      </w:r>
      <w:r>
        <w:tab/>
      </w:r>
      <w:r>
        <w:fldChar w:fldCharType="begin"/>
      </w:r>
      <w:r>
        <w:instrText xml:space="preserve"> PAGEREF _Toc910 \h </w:instrText>
      </w:r>
      <w:r>
        <w:fldChar w:fldCharType="separate"/>
      </w:r>
      <w:r>
        <w:t>5</w:t>
      </w:r>
      <w:r>
        <w:fldChar w:fldCharType="end"/>
      </w:r>
      <w:r>
        <w:rPr>
          <w:rFonts w:hint="eastAsia" w:ascii="宋体" w:hAnsi="宋体" w:eastAsia="宋体" w:cs="宋体"/>
          <w:color w:val="000000"/>
          <w:szCs w:val="21"/>
          <w:highlight w:val="none"/>
        </w:rPr>
        <w:fldChar w:fldCharType="end"/>
      </w:r>
    </w:p>
    <w:p w14:paraId="698BD48A">
      <w:pPr>
        <w:pStyle w:val="31"/>
        <w:tabs>
          <w:tab w:val="right" w:leader="dot" w:pos="9638"/>
        </w:tabs>
      </w:pPr>
      <w:r>
        <w:rPr>
          <w:rFonts w:hint="eastAsia" w:ascii="宋体" w:hAnsi="宋体" w:eastAsia="宋体" w:cs="宋体"/>
          <w:color w:val="000000"/>
          <w:szCs w:val="21"/>
          <w:highlight w:val="none"/>
        </w:rPr>
        <w:fldChar w:fldCharType="begin"/>
      </w:r>
      <w:r>
        <w:rPr>
          <w:rFonts w:hint="eastAsia" w:ascii="宋体" w:hAnsi="宋体" w:eastAsia="宋体" w:cs="宋体"/>
          <w:szCs w:val="21"/>
          <w:highlight w:val="none"/>
        </w:rPr>
        <w:instrText xml:space="preserve"> HYPERLINK \l _Toc17821 </w:instrText>
      </w:r>
      <w:r>
        <w:rPr>
          <w:rFonts w:hint="eastAsia" w:ascii="宋体" w:hAnsi="宋体" w:eastAsia="宋体" w:cs="宋体"/>
          <w:szCs w:val="21"/>
          <w:highlight w:val="none"/>
        </w:rPr>
        <w:fldChar w:fldCharType="separate"/>
      </w:r>
      <w:r>
        <w:rPr>
          <w:rFonts w:hint="eastAsia" w:ascii="宋体" w:hAnsi="宋体" w:eastAsia="宋体" w:cs="宋体"/>
          <w:szCs w:val="24"/>
          <w:highlight w:val="none"/>
        </w:rPr>
        <w:t>二、项目概况与招标范围</w:t>
      </w:r>
      <w:r>
        <w:tab/>
      </w:r>
      <w:r>
        <w:fldChar w:fldCharType="begin"/>
      </w:r>
      <w:r>
        <w:instrText xml:space="preserve"> PAGEREF _Toc17821 \h </w:instrText>
      </w:r>
      <w:r>
        <w:fldChar w:fldCharType="separate"/>
      </w:r>
      <w:r>
        <w:t>5</w:t>
      </w:r>
      <w:r>
        <w:fldChar w:fldCharType="end"/>
      </w:r>
      <w:r>
        <w:rPr>
          <w:rFonts w:hint="eastAsia" w:ascii="宋体" w:hAnsi="宋体" w:eastAsia="宋体" w:cs="宋体"/>
          <w:color w:val="000000"/>
          <w:szCs w:val="21"/>
          <w:highlight w:val="none"/>
        </w:rPr>
        <w:fldChar w:fldCharType="end"/>
      </w:r>
    </w:p>
    <w:p w14:paraId="7FB12697">
      <w:pPr>
        <w:pStyle w:val="31"/>
        <w:tabs>
          <w:tab w:val="right" w:leader="dot" w:pos="9638"/>
        </w:tabs>
      </w:pPr>
      <w:r>
        <w:rPr>
          <w:rFonts w:hint="eastAsia" w:ascii="宋体" w:hAnsi="宋体" w:eastAsia="宋体" w:cs="宋体"/>
          <w:color w:val="000000"/>
          <w:szCs w:val="21"/>
          <w:highlight w:val="none"/>
        </w:rPr>
        <w:fldChar w:fldCharType="begin"/>
      </w:r>
      <w:r>
        <w:rPr>
          <w:rFonts w:hint="eastAsia" w:ascii="宋体" w:hAnsi="宋体" w:eastAsia="宋体" w:cs="宋体"/>
          <w:szCs w:val="21"/>
          <w:highlight w:val="none"/>
        </w:rPr>
        <w:instrText xml:space="preserve"> HYPERLINK \l _Toc553 </w:instrText>
      </w:r>
      <w:r>
        <w:rPr>
          <w:rFonts w:hint="eastAsia" w:ascii="宋体" w:hAnsi="宋体" w:eastAsia="宋体" w:cs="宋体"/>
          <w:szCs w:val="21"/>
          <w:highlight w:val="none"/>
        </w:rPr>
        <w:fldChar w:fldCharType="separate"/>
      </w:r>
      <w:r>
        <w:rPr>
          <w:rFonts w:hint="eastAsia" w:ascii="宋体" w:hAnsi="宋体" w:eastAsia="宋体" w:cs="宋体"/>
          <w:szCs w:val="24"/>
          <w:highlight w:val="none"/>
        </w:rPr>
        <w:t>三、投标人资格要求</w:t>
      </w:r>
      <w:r>
        <w:tab/>
      </w:r>
      <w:r>
        <w:fldChar w:fldCharType="begin"/>
      </w:r>
      <w:r>
        <w:instrText xml:space="preserve"> PAGEREF _Toc553 \h </w:instrText>
      </w:r>
      <w:r>
        <w:fldChar w:fldCharType="separate"/>
      </w:r>
      <w:r>
        <w:t>5</w:t>
      </w:r>
      <w:r>
        <w:fldChar w:fldCharType="end"/>
      </w:r>
      <w:r>
        <w:rPr>
          <w:rFonts w:hint="eastAsia" w:ascii="宋体" w:hAnsi="宋体" w:eastAsia="宋体" w:cs="宋体"/>
          <w:color w:val="000000"/>
          <w:szCs w:val="21"/>
          <w:highlight w:val="none"/>
        </w:rPr>
        <w:fldChar w:fldCharType="end"/>
      </w:r>
    </w:p>
    <w:p w14:paraId="6B460940">
      <w:pPr>
        <w:pStyle w:val="31"/>
        <w:tabs>
          <w:tab w:val="right" w:leader="dot" w:pos="9638"/>
        </w:tabs>
      </w:pPr>
      <w:r>
        <w:rPr>
          <w:rFonts w:hint="eastAsia" w:ascii="宋体" w:hAnsi="宋体" w:eastAsia="宋体" w:cs="宋体"/>
          <w:color w:val="000000"/>
          <w:szCs w:val="21"/>
          <w:highlight w:val="none"/>
        </w:rPr>
        <w:fldChar w:fldCharType="begin"/>
      </w:r>
      <w:r>
        <w:rPr>
          <w:rFonts w:hint="eastAsia" w:ascii="宋体" w:hAnsi="宋体" w:eastAsia="宋体" w:cs="宋体"/>
          <w:szCs w:val="21"/>
          <w:highlight w:val="none"/>
        </w:rPr>
        <w:instrText xml:space="preserve"> HYPERLINK \l _Toc23370 </w:instrText>
      </w:r>
      <w:r>
        <w:rPr>
          <w:rFonts w:hint="eastAsia" w:ascii="宋体" w:hAnsi="宋体" w:eastAsia="宋体" w:cs="宋体"/>
          <w:szCs w:val="21"/>
          <w:highlight w:val="none"/>
        </w:rPr>
        <w:fldChar w:fldCharType="separate"/>
      </w:r>
      <w:r>
        <w:rPr>
          <w:rFonts w:hint="eastAsia" w:ascii="宋体" w:hAnsi="宋体" w:eastAsia="宋体" w:cs="宋体"/>
          <w:highlight w:val="none"/>
        </w:rPr>
        <w:t>四、资格审查方法</w:t>
      </w:r>
      <w:r>
        <w:tab/>
      </w:r>
      <w:r>
        <w:fldChar w:fldCharType="begin"/>
      </w:r>
      <w:r>
        <w:instrText xml:space="preserve"> PAGEREF _Toc23370 \h </w:instrText>
      </w:r>
      <w:r>
        <w:fldChar w:fldCharType="separate"/>
      </w:r>
      <w:r>
        <w:t>6</w:t>
      </w:r>
      <w:r>
        <w:fldChar w:fldCharType="end"/>
      </w:r>
      <w:r>
        <w:rPr>
          <w:rFonts w:hint="eastAsia" w:ascii="宋体" w:hAnsi="宋体" w:eastAsia="宋体" w:cs="宋体"/>
          <w:color w:val="000000"/>
          <w:szCs w:val="21"/>
          <w:highlight w:val="none"/>
        </w:rPr>
        <w:fldChar w:fldCharType="end"/>
      </w:r>
    </w:p>
    <w:p w14:paraId="644490B6">
      <w:pPr>
        <w:pStyle w:val="31"/>
        <w:tabs>
          <w:tab w:val="right" w:leader="dot" w:pos="9638"/>
        </w:tabs>
      </w:pPr>
      <w:r>
        <w:rPr>
          <w:rFonts w:hint="eastAsia" w:ascii="宋体" w:hAnsi="宋体" w:eastAsia="宋体" w:cs="宋体"/>
          <w:color w:val="000000"/>
          <w:szCs w:val="21"/>
          <w:highlight w:val="none"/>
        </w:rPr>
        <w:fldChar w:fldCharType="begin"/>
      </w:r>
      <w:r>
        <w:rPr>
          <w:rFonts w:hint="eastAsia" w:ascii="宋体" w:hAnsi="宋体" w:eastAsia="宋体" w:cs="宋体"/>
          <w:szCs w:val="21"/>
          <w:highlight w:val="none"/>
        </w:rPr>
        <w:instrText xml:space="preserve"> HYPERLINK \l _Toc7880 </w:instrText>
      </w:r>
      <w:r>
        <w:rPr>
          <w:rFonts w:hint="eastAsia" w:ascii="宋体" w:hAnsi="宋体" w:eastAsia="宋体" w:cs="宋体"/>
          <w:szCs w:val="21"/>
          <w:highlight w:val="none"/>
        </w:rPr>
        <w:fldChar w:fldCharType="separate"/>
      </w:r>
      <w:r>
        <w:rPr>
          <w:rFonts w:hint="eastAsia" w:ascii="宋体" w:hAnsi="宋体" w:eastAsia="宋体" w:cs="宋体"/>
          <w:szCs w:val="24"/>
          <w:highlight w:val="none"/>
        </w:rPr>
        <w:t>五、招标文件的获取</w:t>
      </w:r>
      <w:r>
        <w:tab/>
      </w:r>
      <w:r>
        <w:fldChar w:fldCharType="begin"/>
      </w:r>
      <w:r>
        <w:instrText xml:space="preserve"> PAGEREF _Toc7880 \h </w:instrText>
      </w:r>
      <w:r>
        <w:fldChar w:fldCharType="separate"/>
      </w:r>
      <w:r>
        <w:t>7</w:t>
      </w:r>
      <w:r>
        <w:fldChar w:fldCharType="end"/>
      </w:r>
      <w:r>
        <w:rPr>
          <w:rFonts w:hint="eastAsia" w:ascii="宋体" w:hAnsi="宋体" w:eastAsia="宋体" w:cs="宋体"/>
          <w:color w:val="000000"/>
          <w:szCs w:val="21"/>
          <w:highlight w:val="none"/>
        </w:rPr>
        <w:fldChar w:fldCharType="end"/>
      </w:r>
    </w:p>
    <w:p w14:paraId="6694C00F">
      <w:pPr>
        <w:pStyle w:val="31"/>
        <w:tabs>
          <w:tab w:val="right" w:leader="dot" w:pos="9638"/>
        </w:tabs>
      </w:pPr>
      <w:r>
        <w:rPr>
          <w:rFonts w:hint="eastAsia" w:ascii="宋体" w:hAnsi="宋体" w:eastAsia="宋体" w:cs="宋体"/>
          <w:color w:val="000000"/>
          <w:szCs w:val="21"/>
          <w:highlight w:val="none"/>
        </w:rPr>
        <w:fldChar w:fldCharType="begin"/>
      </w:r>
      <w:r>
        <w:rPr>
          <w:rFonts w:hint="eastAsia" w:ascii="宋体" w:hAnsi="宋体" w:eastAsia="宋体" w:cs="宋体"/>
          <w:szCs w:val="21"/>
          <w:highlight w:val="none"/>
        </w:rPr>
        <w:instrText xml:space="preserve"> HYPERLINK \l _Toc13853 </w:instrText>
      </w:r>
      <w:r>
        <w:rPr>
          <w:rFonts w:hint="eastAsia" w:ascii="宋体" w:hAnsi="宋体" w:eastAsia="宋体" w:cs="宋体"/>
          <w:szCs w:val="21"/>
          <w:highlight w:val="none"/>
        </w:rPr>
        <w:fldChar w:fldCharType="separate"/>
      </w:r>
      <w:r>
        <w:rPr>
          <w:rFonts w:hint="eastAsia" w:ascii="宋体" w:hAnsi="宋体" w:eastAsia="宋体" w:cs="宋体"/>
          <w:highlight w:val="none"/>
        </w:rPr>
        <w:t>六、投标文件的递交</w:t>
      </w:r>
      <w:r>
        <w:tab/>
      </w:r>
      <w:r>
        <w:fldChar w:fldCharType="begin"/>
      </w:r>
      <w:r>
        <w:instrText xml:space="preserve"> PAGEREF _Toc13853 \h </w:instrText>
      </w:r>
      <w:r>
        <w:fldChar w:fldCharType="separate"/>
      </w:r>
      <w:r>
        <w:t>7</w:t>
      </w:r>
      <w:r>
        <w:fldChar w:fldCharType="end"/>
      </w:r>
      <w:r>
        <w:rPr>
          <w:rFonts w:hint="eastAsia" w:ascii="宋体" w:hAnsi="宋体" w:eastAsia="宋体" w:cs="宋体"/>
          <w:color w:val="000000"/>
          <w:szCs w:val="21"/>
          <w:highlight w:val="none"/>
        </w:rPr>
        <w:fldChar w:fldCharType="end"/>
      </w:r>
    </w:p>
    <w:p w14:paraId="1CBF9EA7">
      <w:pPr>
        <w:pStyle w:val="31"/>
        <w:tabs>
          <w:tab w:val="right" w:leader="dot" w:pos="9638"/>
        </w:tabs>
      </w:pPr>
      <w:r>
        <w:rPr>
          <w:rFonts w:hint="eastAsia" w:ascii="宋体" w:hAnsi="宋体" w:eastAsia="宋体" w:cs="宋体"/>
          <w:color w:val="000000"/>
          <w:szCs w:val="21"/>
          <w:highlight w:val="none"/>
        </w:rPr>
        <w:fldChar w:fldCharType="begin"/>
      </w:r>
      <w:r>
        <w:rPr>
          <w:rFonts w:hint="eastAsia" w:ascii="宋体" w:hAnsi="宋体" w:eastAsia="宋体" w:cs="宋体"/>
          <w:szCs w:val="21"/>
          <w:highlight w:val="none"/>
        </w:rPr>
        <w:instrText xml:space="preserve"> HYPERLINK \l _Toc8037 </w:instrText>
      </w:r>
      <w:r>
        <w:rPr>
          <w:rFonts w:hint="eastAsia" w:ascii="宋体" w:hAnsi="宋体" w:eastAsia="宋体" w:cs="宋体"/>
          <w:szCs w:val="21"/>
          <w:highlight w:val="none"/>
        </w:rPr>
        <w:fldChar w:fldCharType="separate"/>
      </w:r>
      <w:r>
        <w:rPr>
          <w:rFonts w:hint="eastAsia" w:ascii="宋体" w:hAnsi="宋体" w:eastAsia="宋体" w:cs="宋体"/>
          <w:highlight w:val="none"/>
          <w:lang w:val="en-US" w:eastAsia="zh-CN"/>
        </w:rPr>
        <w:t>七</w:t>
      </w:r>
      <w:r>
        <w:rPr>
          <w:rFonts w:hint="eastAsia" w:ascii="宋体" w:hAnsi="宋体" w:eastAsia="宋体" w:cs="宋体"/>
          <w:highlight w:val="none"/>
        </w:rPr>
        <w:t>、发布公告的媒介</w:t>
      </w:r>
      <w:r>
        <w:tab/>
      </w:r>
      <w:r>
        <w:fldChar w:fldCharType="begin"/>
      </w:r>
      <w:r>
        <w:instrText xml:space="preserve"> PAGEREF _Toc8037 \h </w:instrText>
      </w:r>
      <w:r>
        <w:fldChar w:fldCharType="separate"/>
      </w:r>
      <w:r>
        <w:t>8</w:t>
      </w:r>
      <w:r>
        <w:fldChar w:fldCharType="end"/>
      </w:r>
      <w:r>
        <w:rPr>
          <w:rFonts w:hint="eastAsia" w:ascii="宋体" w:hAnsi="宋体" w:eastAsia="宋体" w:cs="宋体"/>
          <w:color w:val="000000"/>
          <w:szCs w:val="21"/>
          <w:highlight w:val="none"/>
        </w:rPr>
        <w:fldChar w:fldCharType="end"/>
      </w:r>
    </w:p>
    <w:p w14:paraId="465454A7">
      <w:pPr>
        <w:pStyle w:val="31"/>
        <w:tabs>
          <w:tab w:val="right" w:leader="dot" w:pos="9638"/>
        </w:tabs>
      </w:pPr>
      <w:r>
        <w:rPr>
          <w:rFonts w:hint="eastAsia" w:ascii="宋体" w:hAnsi="宋体" w:eastAsia="宋体" w:cs="宋体"/>
          <w:color w:val="000000"/>
          <w:szCs w:val="21"/>
          <w:highlight w:val="none"/>
        </w:rPr>
        <w:fldChar w:fldCharType="begin"/>
      </w:r>
      <w:r>
        <w:rPr>
          <w:rFonts w:hint="eastAsia" w:ascii="宋体" w:hAnsi="宋体" w:eastAsia="宋体" w:cs="宋体"/>
          <w:szCs w:val="21"/>
          <w:highlight w:val="none"/>
        </w:rPr>
        <w:instrText xml:space="preserve"> HYPERLINK \l _Toc6054 </w:instrText>
      </w:r>
      <w:r>
        <w:rPr>
          <w:rFonts w:hint="eastAsia" w:ascii="宋体" w:hAnsi="宋体" w:eastAsia="宋体" w:cs="宋体"/>
          <w:szCs w:val="21"/>
          <w:highlight w:val="none"/>
        </w:rPr>
        <w:fldChar w:fldCharType="separate"/>
      </w:r>
      <w:r>
        <w:rPr>
          <w:rFonts w:hint="eastAsia" w:ascii="宋体" w:hAnsi="宋体" w:eastAsia="宋体" w:cs="宋体"/>
          <w:highlight w:val="none"/>
          <w:lang w:val="en-US" w:eastAsia="zh-CN"/>
        </w:rPr>
        <w:t>八</w:t>
      </w:r>
      <w:r>
        <w:rPr>
          <w:rFonts w:hint="eastAsia" w:ascii="宋体" w:hAnsi="宋体" w:eastAsia="宋体" w:cs="宋体"/>
          <w:highlight w:val="none"/>
        </w:rPr>
        <w:t>、</w:t>
      </w:r>
      <w:r>
        <w:rPr>
          <w:rFonts w:hint="eastAsia" w:hAnsi="宋体" w:eastAsia="宋体" w:cs="宋体"/>
          <w:highlight w:val="none"/>
          <w:lang w:val="en-US" w:eastAsia="zh-CN"/>
        </w:rPr>
        <w:t>特别事项说明</w:t>
      </w:r>
      <w:r>
        <w:tab/>
      </w:r>
      <w:r>
        <w:fldChar w:fldCharType="begin"/>
      </w:r>
      <w:r>
        <w:instrText xml:space="preserve"> PAGEREF _Toc6054 \h </w:instrText>
      </w:r>
      <w:r>
        <w:fldChar w:fldCharType="separate"/>
      </w:r>
      <w:r>
        <w:t>8</w:t>
      </w:r>
      <w:r>
        <w:fldChar w:fldCharType="end"/>
      </w:r>
      <w:r>
        <w:rPr>
          <w:rFonts w:hint="eastAsia" w:ascii="宋体" w:hAnsi="宋体" w:eastAsia="宋体" w:cs="宋体"/>
          <w:color w:val="000000"/>
          <w:szCs w:val="21"/>
          <w:highlight w:val="none"/>
        </w:rPr>
        <w:fldChar w:fldCharType="end"/>
      </w:r>
    </w:p>
    <w:p w14:paraId="2802E8CD">
      <w:pPr>
        <w:pStyle w:val="31"/>
        <w:tabs>
          <w:tab w:val="right" w:leader="dot" w:pos="9638"/>
        </w:tabs>
      </w:pPr>
      <w:r>
        <w:rPr>
          <w:rFonts w:hint="eastAsia" w:ascii="宋体" w:hAnsi="宋体" w:eastAsia="宋体" w:cs="宋体"/>
          <w:color w:val="000000"/>
          <w:szCs w:val="21"/>
          <w:highlight w:val="none"/>
        </w:rPr>
        <w:fldChar w:fldCharType="begin"/>
      </w:r>
      <w:r>
        <w:rPr>
          <w:rFonts w:hint="eastAsia" w:ascii="宋体" w:hAnsi="宋体" w:eastAsia="宋体" w:cs="宋体"/>
          <w:szCs w:val="21"/>
          <w:highlight w:val="none"/>
        </w:rPr>
        <w:instrText xml:space="preserve"> HYPERLINK \l _Toc3271 </w:instrText>
      </w:r>
      <w:r>
        <w:rPr>
          <w:rFonts w:hint="eastAsia" w:ascii="宋体" w:hAnsi="宋体" w:eastAsia="宋体" w:cs="宋体"/>
          <w:szCs w:val="21"/>
          <w:highlight w:val="none"/>
        </w:rPr>
        <w:fldChar w:fldCharType="separate"/>
      </w:r>
      <w:r>
        <w:rPr>
          <w:rFonts w:hint="eastAsia" w:hAnsi="宋体" w:eastAsia="宋体" w:cs="宋体"/>
          <w:highlight w:val="none"/>
          <w:lang w:val="en-US" w:eastAsia="zh-CN"/>
        </w:rPr>
        <w:t>九</w:t>
      </w:r>
      <w:r>
        <w:rPr>
          <w:rFonts w:hint="eastAsia" w:ascii="宋体" w:hAnsi="宋体" w:eastAsia="宋体" w:cs="宋体"/>
          <w:highlight w:val="none"/>
        </w:rPr>
        <w:t>、联系方式</w:t>
      </w:r>
      <w:r>
        <w:tab/>
      </w:r>
      <w:r>
        <w:fldChar w:fldCharType="begin"/>
      </w:r>
      <w:r>
        <w:instrText xml:space="preserve"> PAGEREF _Toc3271 \h </w:instrText>
      </w:r>
      <w:r>
        <w:fldChar w:fldCharType="separate"/>
      </w:r>
      <w:r>
        <w:t>8</w:t>
      </w:r>
      <w:r>
        <w:fldChar w:fldCharType="end"/>
      </w:r>
      <w:r>
        <w:rPr>
          <w:rFonts w:hint="eastAsia" w:ascii="宋体" w:hAnsi="宋体" w:eastAsia="宋体" w:cs="宋体"/>
          <w:color w:val="000000"/>
          <w:szCs w:val="21"/>
          <w:highlight w:val="none"/>
        </w:rPr>
        <w:fldChar w:fldCharType="end"/>
      </w:r>
    </w:p>
    <w:p w14:paraId="333AF277">
      <w:pPr>
        <w:pStyle w:val="26"/>
        <w:tabs>
          <w:tab w:val="right" w:leader="dot" w:pos="9638"/>
        </w:tabs>
      </w:pPr>
      <w:r>
        <w:rPr>
          <w:rFonts w:hint="eastAsia" w:ascii="宋体" w:hAnsi="宋体" w:eastAsia="宋体" w:cs="宋体"/>
          <w:color w:val="000000"/>
          <w:szCs w:val="21"/>
          <w:highlight w:val="none"/>
        </w:rPr>
        <w:fldChar w:fldCharType="begin"/>
      </w:r>
      <w:r>
        <w:rPr>
          <w:rFonts w:hint="eastAsia" w:ascii="宋体" w:hAnsi="宋体" w:eastAsia="宋体" w:cs="宋体"/>
          <w:szCs w:val="21"/>
          <w:highlight w:val="none"/>
        </w:rPr>
        <w:instrText xml:space="preserve"> HYPERLINK \l _Toc25892 </w:instrText>
      </w:r>
      <w:r>
        <w:rPr>
          <w:rFonts w:hint="eastAsia" w:ascii="宋体" w:hAnsi="宋体" w:eastAsia="宋体" w:cs="宋体"/>
          <w:szCs w:val="21"/>
          <w:highlight w:val="none"/>
        </w:rPr>
        <w:fldChar w:fldCharType="separate"/>
      </w:r>
      <w:r>
        <w:rPr>
          <w:rFonts w:hint="eastAsia" w:ascii="宋体" w:hAnsi="宋体" w:eastAsia="宋体" w:cs="宋体"/>
          <w:highlight w:val="none"/>
        </w:rPr>
        <w:t>第二章 投标人须知</w:t>
      </w:r>
      <w:r>
        <w:tab/>
      </w:r>
      <w:r>
        <w:fldChar w:fldCharType="begin"/>
      </w:r>
      <w:r>
        <w:instrText xml:space="preserve"> PAGEREF _Toc25892 \h </w:instrText>
      </w:r>
      <w:r>
        <w:fldChar w:fldCharType="separate"/>
      </w:r>
      <w:r>
        <w:t>10</w:t>
      </w:r>
      <w:r>
        <w:fldChar w:fldCharType="end"/>
      </w:r>
      <w:r>
        <w:rPr>
          <w:rFonts w:hint="eastAsia" w:ascii="宋体" w:hAnsi="宋体" w:eastAsia="宋体" w:cs="宋体"/>
          <w:color w:val="000000"/>
          <w:szCs w:val="21"/>
          <w:highlight w:val="none"/>
        </w:rPr>
        <w:fldChar w:fldCharType="end"/>
      </w:r>
    </w:p>
    <w:p w14:paraId="186B3A1F">
      <w:pPr>
        <w:pStyle w:val="31"/>
        <w:tabs>
          <w:tab w:val="right" w:leader="dot" w:pos="9638"/>
        </w:tabs>
      </w:pPr>
      <w:r>
        <w:rPr>
          <w:rFonts w:hint="eastAsia" w:ascii="宋体" w:hAnsi="宋体" w:eastAsia="宋体" w:cs="宋体"/>
          <w:color w:val="000000"/>
          <w:szCs w:val="21"/>
          <w:highlight w:val="none"/>
        </w:rPr>
        <w:fldChar w:fldCharType="begin"/>
      </w:r>
      <w:r>
        <w:rPr>
          <w:rFonts w:hint="eastAsia" w:ascii="宋体" w:hAnsi="宋体" w:eastAsia="宋体" w:cs="宋体"/>
          <w:szCs w:val="21"/>
          <w:highlight w:val="none"/>
        </w:rPr>
        <w:instrText xml:space="preserve"> HYPERLINK \l _Toc127 </w:instrText>
      </w:r>
      <w:r>
        <w:rPr>
          <w:rFonts w:hint="eastAsia" w:ascii="宋体" w:hAnsi="宋体" w:eastAsia="宋体" w:cs="宋体"/>
          <w:szCs w:val="21"/>
          <w:highlight w:val="none"/>
        </w:rPr>
        <w:fldChar w:fldCharType="separate"/>
      </w:r>
      <w:r>
        <w:rPr>
          <w:rFonts w:hint="eastAsia" w:ascii="宋体" w:hAnsi="宋体" w:eastAsia="宋体" w:cs="宋体"/>
          <w:szCs w:val="24"/>
          <w:highlight w:val="none"/>
        </w:rPr>
        <w:t>投标人须知前附表</w:t>
      </w:r>
      <w:r>
        <w:tab/>
      </w:r>
      <w:r>
        <w:fldChar w:fldCharType="begin"/>
      </w:r>
      <w:r>
        <w:instrText xml:space="preserve"> PAGEREF _Toc127 \h </w:instrText>
      </w:r>
      <w:r>
        <w:fldChar w:fldCharType="separate"/>
      </w:r>
      <w:r>
        <w:t>10</w:t>
      </w:r>
      <w:r>
        <w:fldChar w:fldCharType="end"/>
      </w:r>
      <w:r>
        <w:rPr>
          <w:rFonts w:hint="eastAsia" w:ascii="宋体" w:hAnsi="宋体" w:eastAsia="宋体" w:cs="宋体"/>
          <w:color w:val="000000"/>
          <w:szCs w:val="21"/>
          <w:highlight w:val="none"/>
        </w:rPr>
        <w:fldChar w:fldCharType="end"/>
      </w:r>
    </w:p>
    <w:p w14:paraId="4F4488C4">
      <w:pPr>
        <w:pStyle w:val="31"/>
        <w:tabs>
          <w:tab w:val="right" w:leader="dot" w:pos="9638"/>
        </w:tabs>
      </w:pPr>
      <w:r>
        <w:rPr>
          <w:rFonts w:hint="eastAsia" w:ascii="宋体" w:hAnsi="宋体" w:eastAsia="宋体" w:cs="宋体"/>
          <w:color w:val="000000"/>
          <w:szCs w:val="21"/>
          <w:highlight w:val="none"/>
        </w:rPr>
        <w:fldChar w:fldCharType="begin"/>
      </w:r>
      <w:r>
        <w:rPr>
          <w:rFonts w:hint="eastAsia" w:ascii="宋体" w:hAnsi="宋体" w:eastAsia="宋体" w:cs="宋体"/>
          <w:szCs w:val="21"/>
          <w:highlight w:val="none"/>
        </w:rPr>
        <w:instrText xml:space="preserve"> HYPERLINK \l _Toc7687 </w:instrText>
      </w:r>
      <w:r>
        <w:rPr>
          <w:rFonts w:hint="eastAsia" w:ascii="宋体" w:hAnsi="宋体" w:eastAsia="宋体" w:cs="宋体"/>
          <w:szCs w:val="21"/>
          <w:highlight w:val="none"/>
        </w:rPr>
        <w:fldChar w:fldCharType="separate"/>
      </w:r>
      <w:r>
        <w:rPr>
          <w:rFonts w:hint="eastAsia" w:ascii="宋体" w:hAnsi="宋体" w:eastAsia="宋体" w:cs="宋体"/>
          <w:szCs w:val="24"/>
          <w:highlight w:val="none"/>
        </w:rPr>
        <w:t>1.总则</w:t>
      </w:r>
      <w:r>
        <w:tab/>
      </w:r>
      <w:r>
        <w:fldChar w:fldCharType="begin"/>
      </w:r>
      <w:r>
        <w:instrText xml:space="preserve"> PAGEREF _Toc7687 \h </w:instrText>
      </w:r>
      <w:r>
        <w:fldChar w:fldCharType="separate"/>
      </w:r>
      <w:r>
        <w:t>17</w:t>
      </w:r>
      <w:r>
        <w:fldChar w:fldCharType="end"/>
      </w:r>
      <w:r>
        <w:rPr>
          <w:rFonts w:hint="eastAsia" w:ascii="宋体" w:hAnsi="宋体" w:eastAsia="宋体" w:cs="宋体"/>
          <w:color w:val="000000"/>
          <w:szCs w:val="21"/>
          <w:highlight w:val="none"/>
        </w:rPr>
        <w:fldChar w:fldCharType="end"/>
      </w:r>
    </w:p>
    <w:p w14:paraId="5FB95EDF">
      <w:pPr>
        <w:pStyle w:val="18"/>
        <w:tabs>
          <w:tab w:val="right" w:leader="dot" w:pos="9638"/>
        </w:tabs>
      </w:pPr>
      <w:r>
        <w:rPr>
          <w:rFonts w:hint="eastAsia" w:ascii="宋体" w:hAnsi="宋体" w:eastAsia="宋体" w:cs="宋体"/>
          <w:color w:val="000000"/>
          <w:szCs w:val="21"/>
          <w:highlight w:val="none"/>
        </w:rPr>
        <w:fldChar w:fldCharType="begin"/>
      </w:r>
      <w:r>
        <w:rPr>
          <w:rFonts w:hint="eastAsia" w:ascii="宋体" w:hAnsi="宋体" w:eastAsia="宋体" w:cs="宋体"/>
          <w:szCs w:val="21"/>
          <w:highlight w:val="none"/>
        </w:rPr>
        <w:instrText xml:space="preserve"> HYPERLINK \l _Toc8151 </w:instrText>
      </w:r>
      <w:r>
        <w:rPr>
          <w:rFonts w:hint="eastAsia" w:ascii="宋体" w:hAnsi="宋体" w:eastAsia="宋体" w:cs="宋体"/>
          <w:szCs w:val="21"/>
          <w:highlight w:val="none"/>
        </w:rPr>
        <w:fldChar w:fldCharType="separate"/>
      </w:r>
      <w:r>
        <w:rPr>
          <w:rFonts w:hint="eastAsia" w:ascii="宋体" w:hAnsi="宋体" w:eastAsia="宋体" w:cs="宋体"/>
          <w:highlight w:val="none"/>
        </w:rPr>
        <w:t>1.1 项目概况</w:t>
      </w:r>
      <w:r>
        <w:tab/>
      </w:r>
      <w:r>
        <w:fldChar w:fldCharType="begin"/>
      </w:r>
      <w:r>
        <w:instrText xml:space="preserve"> PAGEREF _Toc8151 \h </w:instrText>
      </w:r>
      <w:r>
        <w:fldChar w:fldCharType="separate"/>
      </w:r>
      <w:r>
        <w:t>17</w:t>
      </w:r>
      <w:r>
        <w:fldChar w:fldCharType="end"/>
      </w:r>
      <w:r>
        <w:rPr>
          <w:rFonts w:hint="eastAsia" w:ascii="宋体" w:hAnsi="宋体" w:eastAsia="宋体" w:cs="宋体"/>
          <w:color w:val="000000"/>
          <w:szCs w:val="21"/>
          <w:highlight w:val="none"/>
        </w:rPr>
        <w:fldChar w:fldCharType="end"/>
      </w:r>
    </w:p>
    <w:p w14:paraId="129A7870">
      <w:pPr>
        <w:pStyle w:val="18"/>
        <w:tabs>
          <w:tab w:val="right" w:leader="dot" w:pos="9638"/>
        </w:tabs>
      </w:pPr>
      <w:r>
        <w:rPr>
          <w:rFonts w:hint="eastAsia" w:ascii="宋体" w:hAnsi="宋体" w:eastAsia="宋体" w:cs="宋体"/>
          <w:color w:val="000000"/>
          <w:szCs w:val="21"/>
          <w:highlight w:val="none"/>
        </w:rPr>
        <w:fldChar w:fldCharType="begin"/>
      </w:r>
      <w:r>
        <w:rPr>
          <w:rFonts w:hint="eastAsia" w:ascii="宋体" w:hAnsi="宋体" w:eastAsia="宋体" w:cs="宋体"/>
          <w:szCs w:val="21"/>
          <w:highlight w:val="none"/>
        </w:rPr>
        <w:instrText xml:space="preserve"> HYPERLINK \l _Toc20387 </w:instrText>
      </w:r>
      <w:r>
        <w:rPr>
          <w:rFonts w:hint="eastAsia" w:ascii="宋体" w:hAnsi="宋体" w:eastAsia="宋体" w:cs="宋体"/>
          <w:szCs w:val="21"/>
          <w:highlight w:val="none"/>
        </w:rPr>
        <w:fldChar w:fldCharType="separate"/>
      </w:r>
      <w:r>
        <w:rPr>
          <w:rFonts w:hint="eastAsia" w:ascii="宋体" w:hAnsi="宋体" w:eastAsia="宋体" w:cs="宋体"/>
          <w:highlight w:val="none"/>
        </w:rPr>
        <w:t>1.2 资金来源和落实情况</w:t>
      </w:r>
      <w:r>
        <w:tab/>
      </w:r>
      <w:r>
        <w:fldChar w:fldCharType="begin"/>
      </w:r>
      <w:r>
        <w:instrText xml:space="preserve"> PAGEREF _Toc20387 \h </w:instrText>
      </w:r>
      <w:r>
        <w:fldChar w:fldCharType="separate"/>
      </w:r>
      <w:r>
        <w:t>17</w:t>
      </w:r>
      <w:r>
        <w:fldChar w:fldCharType="end"/>
      </w:r>
      <w:r>
        <w:rPr>
          <w:rFonts w:hint="eastAsia" w:ascii="宋体" w:hAnsi="宋体" w:eastAsia="宋体" w:cs="宋体"/>
          <w:color w:val="000000"/>
          <w:szCs w:val="21"/>
          <w:highlight w:val="none"/>
        </w:rPr>
        <w:fldChar w:fldCharType="end"/>
      </w:r>
    </w:p>
    <w:p w14:paraId="3AF26B2D">
      <w:pPr>
        <w:pStyle w:val="18"/>
        <w:tabs>
          <w:tab w:val="right" w:leader="dot" w:pos="9638"/>
        </w:tabs>
      </w:pPr>
      <w:r>
        <w:rPr>
          <w:rFonts w:hint="eastAsia" w:ascii="宋体" w:hAnsi="宋体" w:eastAsia="宋体" w:cs="宋体"/>
          <w:color w:val="000000"/>
          <w:szCs w:val="21"/>
          <w:highlight w:val="none"/>
        </w:rPr>
        <w:fldChar w:fldCharType="begin"/>
      </w:r>
      <w:r>
        <w:rPr>
          <w:rFonts w:hint="eastAsia" w:ascii="宋体" w:hAnsi="宋体" w:eastAsia="宋体" w:cs="宋体"/>
          <w:szCs w:val="21"/>
          <w:highlight w:val="none"/>
        </w:rPr>
        <w:instrText xml:space="preserve"> HYPERLINK \l _Toc14202 </w:instrText>
      </w:r>
      <w:r>
        <w:rPr>
          <w:rFonts w:hint="eastAsia" w:ascii="宋体" w:hAnsi="宋体" w:eastAsia="宋体" w:cs="宋体"/>
          <w:szCs w:val="21"/>
          <w:highlight w:val="none"/>
        </w:rPr>
        <w:fldChar w:fldCharType="separate"/>
      </w:r>
      <w:r>
        <w:rPr>
          <w:rFonts w:hint="eastAsia" w:ascii="宋体" w:hAnsi="宋体" w:eastAsia="宋体" w:cs="宋体"/>
          <w:highlight w:val="none"/>
        </w:rPr>
        <w:t>1.3招标方式</w:t>
      </w:r>
      <w:r>
        <w:tab/>
      </w:r>
      <w:r>
        <w:fldChar w:fldCharType="begin"/>
      </w:r>
      <w:r>
        <w:instrText xml:space="preserve"> PAGEREF _Toc14202 \h </w:instrText>
      </w:r>
      <w:r>
        <w:fldChar w:fldCharType="separate"/>
      </w:r>
      <w:r>
        <w:t>17</w:t>
      </w:r>
      <w:r>
        <w:fldChar w:fldCharType="end"/>
      </w:r>
      <w:r>
        <w:rPr>
          <w:rFonts w:hint="eastAsia" w:ascii="宋体" w:hAnsi="宋体" w:eastAsia="宋体" w:cs="宋体"/>
          <w:color w:val="000000"/>
          <w:szCs w:val="21"/>
          <w:highlight w:val="none"/>
        </w:rPr>
        <w:fldChar w:fldCharType="end"/>
      </w:r>
    </w:p>
    <w:p w14:paraId="11745FC1">
      <w:pPr>
        <w:pStyle w:val="18"/>
        <w:tabs>
          <w:tab w:val="right" w:leader="dot" w:pos="9638"/>
        </w:tabs>
      </w:pPr>
      <w:r>
        <w:rPr>
          <w:rFonts w:hint="eastAsia" w:ascii="宋体" w:hAnsi="宋体" w:eastAsia="宋体" w:cs="宋体"/>
          <w:color w:val="000000"/>
          <w:szCs w:val="21"/>
          <w:highlight w:val="none"/>
        </w:rPr>
        <w:fldChar w:fldCharType="begin"/>
      </w:r>
      <w:r>
        <w:rPr>
          <w:rFonts w:hint="eastAsia" w:ascii="宋体" w:hAnsi="宋体" w:eastAsia="宋体" w:cs="宋体"/>
          <w:szCs w:val="21"/>
          <w:highlight w:val="none"/>
        </w:rPr>
        <w:instrText xml:space="preserve"> HYPERLINK \l _Toc1498 </w:instrText>
      </w:r>
      <w:r>
        <w:rPr>
          <w:rFonts w:hint="eastAsia" w:ascii="宋体" w:hAnsi="宋体" w:eastAsia="宋体" w:cs="宋体"/>
          <w:szCs w:val="21"/>
          <w:highlight w:val="none"/>
        </w:rPr>
        <w:fldChar w:fldCharType="separate"/>
      </w:r>
      <w:r>
        <w:rPr>
          <w:rFonts w:hint="eastAsia" w:ascii="宋体" w:hAnsi="宋体" w:eastAsia="宋体" w:cs="宋体"/>
          <w:highlight w:val="none"/>
        </w:rPr>
        <w:t>1.4招标组织形式</w:t>
      </w:r>
      <w:r>
        <w:tab/>
      </w:r>
      <w:r>
        <w:fldChar w:fldCharType="begin"/>
      </w:r>
      <w:r>
        <w:instrText xml:space="preserve"> PAGEREF _Toc1498 \h </w:instrText>
      </w:r>
      <w:r>
        <w:fldChar w:fldCharType="separate"/>
      </w:r>
      <w:r>
        <w:t>17</w:t>
      </w:r>
      <w:r>
        <w:fldChar w:fldCharType="end"/>
      </w:r>
      <w:r>
        <w:rPr>
          <w:rFonts w:hint="eastAsia" w:ascii="宋体" w:hAnsi="宋体" w:eastAsia="宋体" w:cs="宋体"/>
          <w:color w:val="000000"/>
          <w:szCs w:val="21"/>
          <w:highlight w:val="none"/>
        </w:rPr>
        <w:fldChar w:fldCharType="end"/>
      </w:r>
    </w:p>
    <w:p w14:paraId="09251452">
      <w:pPr>
        <w:pStyle w:val="18"/>
        <w:tabs>
          <w:tab w:val="right" w:leader="dot" w:pos="9638"/>
        </w:tabs>
      </w:pPr>
      <w:r>
        <w:rPr>
          <w:rFonts w:hint="eastAsia" w:ascii="宋体" w:hAnsi="宋体" w:eastAsia="宋体" w:cs="宋体"/>
          <w:color w:val="000000"/>
          <w:szCs w:val="21"/>
          <w:highlight w:val="none"/>
        </w:rPr>
        <w:fldChar w:fldCharType="begin"/>
      </w:r>
      <w:r>
        <w:rPr>
          <w:rFonts w:hint="eastAsia" w:ascii="宋体" w:hAnsi="宋体" w:eastAsia="宋体" w:cs="宋体"/>
          <w:szCs w:val="21"/>
          <w:highlight w:val="none"/>
        </w:rPr>
        <w:instrText xml:space="preserve"> HYPERLINK \l _Toc4287 </w:instrText>
      </w:r>
      <w:r>
        <w:rPr>
          <w:rFonts w:hint="eastAsia" w:ascii="宋体" w:hAnsi="宋体" w:eastAsia="宋体" w:cs="宋体"/>
          <w:szCs w:val="21"/>
          <w:highlight w:val="none"/>
        </w:rPr>
        <w:fldChar w:fldCharType="separate"/>
      </w:r>
      <w:r>
        <w:rPr>
          <w:rFonts w:hint="eastAsia" w:ascii="宋体" w:hAnsi="宋体" w:eastAsia="宋体" w:cs="宋体"/>
          <w:highlight w:val="none"/>
        </w:rPr>
        <w:t>1.5资格审查</w:t>
      </w:r>
      <w:r>
        <w:tab/>
      </w:r>
      <w:r>
        <w:fldChar w:fldCharType="begin"/>
      </w:r>
      <w:r>
        <w:instrText xml:space="preserve"> PAGEREF _Toc4287 \h </w:instrText>
      </w:r>
      <w:r>
        <w:fldChar w:fldCharType="separate"/>
      </w:r>
      <w:r>
        <w:t>17</w:t>
      </w:r>
      <w:r>
        <w:fldChar w:fldCharType="end"/>
      </w:r>
      <w:r>
        <w:rPr>
          <w:rFonts w:hint="eastAsia" w:ascii="宋体" w:hAnsi="宋体" w:eastAsia="宋体" w:cs="宋体"/>
          <w:color w:val="000000"/>
          <w:szCs w:val="21"/>
          <w:highlight w:val="none"/>
        </w:rPr>
        <w:fldChar w:fldCharType="end"/>
      </w:r>
    </w:p>
    <w:p w14:paraId="63CBA0D8">
      <w:pPr>
        <w:pStyle w:val="18"/>
        <w:tabs>
          <w:tab w:val="right" w:leader="dot" w:pos="9638"/>
        </w:tabs>
      </w:pPr>
      <w:r>
        <w:rPr>
          <w:rFonts w:hint="eastAsia" w:ascii="宋体" w:hAnsi="宋体" w:eastAsia="宋体" w:cs="宋体"/>
          <w:color w:val="000000"/>
          <w:szCs w:val="21"/>
          <w:highlight w:val="none"/>
        </w:rPr>
        <w:fldChar w:fldCharType="begin"/>
      </w:r>
      <w:r>
        <w:rPr>
          <w:rFonts w:hint="eastAsia" w:ascii="宋体" w:hAnsi="宋体" w:eastAsia="宋体" w:cs="宋体"/>
          <w:szCs w:val="21"/>
          <w:highlight w:val="none"/>
        </w:rPr>
        <w:instrText xml:space="preserve"> HYPERLINK \l _Toc22445 </w:instrText>
      </w:r>
      <w:r>
        <w:rPr>
          <w:rFonts w:hint="eastAsia" w:ascii="宋体" w:hAnsi="宋体" w:eastAsia="宋体" w:cs="宋体"/>
          <w:szCs w:val="21"/>
          <w:highlight w:val="none"/>
        </w:rPr>
        <w:fldChar w:fldCharType="separate"/>
      </w:r>
      <w:r>
        <w:rPr>
          <w:rFonts w:hint="eastAsia" w:ascii="宋体" w:hAnsi="宋体" w:eastAsia="宋体" w:cs="宋体"/>
          <w:highlight w:val="none"/>
        </w:rPr>
        <w:t>1.6投标费用</w:t>
      </w:r>
      <w:r>
        <w:tab/>
      </w:r>
      <w:r>
        <w:fldChar w:fldCharType="begin"/>
      </w:r>
      <w:r>
        <w:instrText xml:space="preserve"> PAGEREF _Toc22445 \h </w:instrText>
      </w:r>
      <w:r>
        <w:fldChar w:fldCharType="separate"/>
      </w:r>
      <w:r>
        <w:t>17</w:t>
      </w:r>
      <w:r>
        <w:fldChar w:fldCharType="end"/>
      </w:r>
      <w:r>
        <w:rPr>
          <w:rFonts w:hint="eastAsia" w:ascii="宋体" w:hAnsi="宋体" w:eastAsia="宋体" w:cs="宋体"/>
          <w:color w:val="000000"/>
          <w:szCs w:val="21"/>
          <w:highlight w:val="none"/>
        </w:rPr>
        <w:fldChar w:fldCharType="end"/>
      </w:r>
    </w:p>
    <w:p w14:paraId="3F289B5D">
      <w:pPr>
        <w:pStyle w:val="18"/>
        <w:tabs>
          <w:tab w:val="right" w:leader="dot" w:pos="9638"/>
        </w:tabs>
      </w:pPr>
      <w:r>
        <w:rPr>
          <w:rFonts w:hint="eastAsia" w:ascii="宋体" w:hAnsi="宋体" w:eastAsia="宋体" w:cs="宋体"/>
          <w:color w:val="000000"/>
          <w:szCs w:val="21"/>
          <w:highlight w:val="none"/>
        </w:rPr>
        <w:fldChar w:fldCharType="begin"/>
      </w:r>
      <w:r>
        <w:rPr>
          <w:rFonts w:hint="eastAsia" w:ascii="宋体" w:hAnsi="宋体" w:eastAsia="宋体" w:cs="宋体"/>
          <w:szCs w:val="21"/>
          <w:highlight w:val="none"/>
        </w:rPr>
        <w:instrText xml:space="preserve"> HYPERLINK \l _Toc12033 </w:instrText>
      </w:r>
      <w:r>
        <w:rPr>
          <w:rFonts w:hint="eastAsia" w:ascii="宋体" w:hAnsi="宋体" w:eastAsia="宋体" w:cs="宋体"/>
          <w:szCs w:val="21"/>
          <w:highlight w:val="none"/>
        </w:rPr>
        <w:fldChar w:fldCharType="separate"/>
      </w:r>
      <w:r>
        <w:rPr>
          <w:rFonts w:hint="eastAsia" w:ascii="宋体" w:hAnsi="宋体" w:eastAsia="宋体" w:cs="宋体"/>
          <w:highlight w:val="none"/>
        </w:rPr>
        <w:t>1.7保密</w:t>
      </w:r>
      <w:r>
        <w:tab/>
      </w:r>
      <w:r>
        <w:fldChar w:fldCharType="begin"/>
      </w:r>
      <w:r>
        <w:instrText xml:space="preserve"> PAGEREF _Toc12033 \h </w:instrText>
      </w:r>
      <w:r>
        <w:fldChar w:fldCharType="separate"/>
      </w:r>
      <w:r>
        <w:t>17</w:t>
      </w:r>
      <w:r>
        <w:fldChar w:fldCharType="end"/>
      </w:r>
      <w:r>
        <w:rPr>
          <w:rFonts w:hint="eastAsia" w:ascii="宋体" w:hAnsi="宋体" w:eastAsia="宋体" w:cs="宋体"/>
          <w:color w:val="000000"/>
          <w:szCs w:val="21"/>
          <w:highlight w:val="none"/>
        </w:rPr>
        <w:fldChar w:fldCharType="end"/>
      </w:r>
    </w:p>
    <w:p w14:paraId="7629E062">
      <w:pPr>
        <w:pStyle w:val="18"/>
        <w:tabs>
          <w:tab w:val="right" w:leader="dot" w:pos="9638"/>
        </w:tabs>
      </w:pPr>
      <w:r>
        <w:rPr>
          <w:rFonts w:hint="eastAsia" w:ascii="宋体" w:hAnsi="宋体" w:eastAsia="宋体" w:cs="宋体"/>
          <w:color w:val="000000"/>
          <w:szCs w:val="21"/>
          <w:highlight w:val="none"/>
        </w:rPr>
        <w:fldChar w:fldCharType="begin"/>
      </w:r>
      <w:r>
        <w:rPr>
          <w:rFonts w:hint="eastAsia" w:ascii="宋体" w:hAnsi="宋体" w:eastAsia="宋体" w:cs="宋体"/>
          <w:szCs w:val="21"/>
          <w:highlight w:val="none"/>
        </w:rPr>
        <w:instrText xml:space="preserve"> HYPERLINK \l _Toc15329 </w:instrText>
      </w:r>
      <w:r>
        <w:rPr>
          <w:rFonts w:hint="eastAsia" w:ascii="宋体" w:hAnsi="宋体" w:eastAsia="宋体" w:cs="宋体"/>
          <w:szCs w:val="21"/>
          <w:highlight w:val="none"/>
        </w:rPr>
        <w:fldChar w:fldCharType="separate"/>
      </w:r>
      <w:r>
        <w:rPr>
          <w:rFonts w:hint="eastAsia" w:ascii="宋体" w:hAnsi="宋体" w:eastAsia="宋体" w:cs="宋体"/>
          <w:highlight w:val="none"/>
        </w:rPr>
        <w:t>1.8计量单位</w:t>
      </w:r>
      <w:r>
        <w:tab/>
      </w:r>
      <w:r>
        <w:fldChar w:fldCharType="begin"/>
      </w:r>
      <w:r>
        <w:instrText xml:space="preserve"> PAGEREF _Toc15329 \h </w:instrText>
      </w:r>
      <w:r>
        <w:fldChar w:fldCharType="separate"/>
      </w:r>
      <w:r>
        <w:t>17</w:t>
      </w:r>
      <w:r>
        <w:fldChar w:fldCharType="end"/>
      </w:r>
      <w:r>
        <w:rPr>
          <w:rFonts w:hint="eastAsia" w:ascii="宋体" w:hAnsi="宋体" w:eastAsia="宋体" w:cs="宋体"/>
          <w:color w:val="000000"/>
          <w:szCs w:val="21"/>
          <w:highlight w:val="none"/>
        </w:rPr>
        <w:fldChar w:fldCharType="end"/>
      </w:r>
    </w:p>
    <w:p w14:paraId="52FC8AA6">
      <w:pPr>
        <w:pStyle w:val="31"/>
        <w:tabs>
          <w:tab w:val="right" w:leader="dot" w:pos="9638"/>
        </w:tabs>
      </w:pPr>
      <w:r>
        <w:rPr>
          <w:rFonts w:hint="eastAsia" w:ascii="宋体" w:hAnsi="宋体" w:eastAsia="宋体" w:cs="宋体"/>
          <w:color w:val="000000"/>
          <w:szCs w:val="21"/>
          <w:highlight w:val="none"/>
        </w:rPr>
        <w:fldChar w:fldCharType="begin"/>
      </w:r>
      <w:r>
        <w:rPr>
          <w:rFonts w:hint="eastAsia" w:ascii="宋体" w:hAnsi="宋体" w:eastAsia="宋体" w:cs="宋体"/>
          <w:szCs w:val="21"/>
          <w:highlight w:val="none"/>
        </w:rPr>
        <w:instrText xml:space="preserve"> HYPERLINK \l _Toc22301 </w:instrText>
      </w:r>
      <w:r>
        <w:rPr>
          <w:rFonts w:hint="eastAsia" w:ascii="宋体" w:hAnsi="宋体" w:eastAsia="宋体" w:cs="宋体"/>
          <w:szCs w:val="21"/>
          <w:highlight w:val="none"/>
        </w:rPr>
        <w:fldChar w:fldCharType="separate"/>
      </w:r>
      <w:r>
        <w:rPr>
          <w:rFonts w:hint="eastAsia" w:ascii="宋体" w:hAnsi="宋体" w:eastAsia="宋体" w:cs="宋体"/>
        </w:rPr>
        <w:t>2.招标文件</w:t>
      </w:r>
      <w:r>
        <w:tab/>
      </w:r>
      <w:r>
        <w:fldChar w:fldCharType="begin"/>
      </w:r>
      <w:r>
        <w:instrText xml:space="preserve"> PAGEREF _Toc22301 \h </w:instrText>
      </w:r>
      <w:r>
        <w:fldChar w:fldCharType="separate"/>
      </w:r>
      <w:r>
        <w:t>18</w:t>
      </w:r>
      <w:r>
        <w:fldChar w:fldCharType="end"/>
      </w:r>
      <w:r>
        <w:rPr>
          <w:rFonts w:hint="eastAsia" w:ascii="宋体" w:hAnsi="宋体" w:eastAsia="宋体" w:cs="宋体"/>
          <w:color w:val="000000"/>
          <w:szCs w:val="21"/>
          <w:highlight w:val="none"/>
        </w:rPr>
        <w:fldChar w:fldCharType="end"/>
      </w:r>
    </w:p>
    <w:p w14:paraId="27BFCA5A">
      <w:pPr>
        <w:pStyle w:val="18"/>
        <w:tabs>
          <w:tab w:val="right" w:leader="dot" w:pos="9638"/>
        </w:tabs>
      </w:pPr>
      <w:r>
        <w:rPr>
          <w:rFonts w:hint="eastAsia" w:ascii="宋体" w:hAnsi="宋体" w:eastAsia="宋体" w:cs="宋体"/>
          <w:color w:val="000000"/>
          <w:szCs w:val="21"/>
          <w:highlight w:val="none"/>
        </w:rPr>
        <w:fldChar w:fldCharType="begin"/>
      </w:r>
      <w:r>
        <w:rPr>
          <w:rFonts w:hint="eastAsia" w:ascii="宋体" w:hAnsi="宋体" w:eastAsia="宋体" w:cs="宋体"/>
          <w:szCs w:val="21"/>
          <w:highlight w:val="none"/>
        </w:rPr>
        <w:instrText xml:space="preserve"> HYPERLINK \l _Toc4227 </w:instrText>
      </w:r>
      <w:r>
        <w:rPr>
          <w:rFonts w:hint="eastAsia" w:ascii="宋体" w:hAnsi="宋体" w:eastAsia="宋体" w:cs="宋体"/>
          <w:szCs w:val="21"/>
          <w:highlight w:val="none"/>
        </w:rPr>
        <w:fldChar w:fldCharType="separate"/>
      </w:r>
      <w:r>
        <w:rPr>
          <w:rFonts w:hint="eastAsia" w:ascii="宋体" w:hAnsi="宋体" w:eastAsia="宋体" w:cs="宋体"/>
          <w:highlight w:val="none"/>
        </w:rPr>
        <w:t>2.1招标文件的组成</w:t>
      </w:r>
      <w:r>
        <w:tab/>
      </w:r>
      <w:r>
        <w:fldChar w:fldCharType="begin"/>
      </w:r>
      <w:r>
        <w:instrText xml:space="preserve"> PAGEREF _Toc4227 \h </w:instrText>
      </w:r>
      <w:r>
        <w:fldChar w:fldCharType="separate"/>
      </w:r>
      <w:r>
        <w:t>18</w:t>
      </w:r>
      <w:r>
        <w:fldChar w:fldCharType="end"/>
      </w:r>
      <w:r>
        <w:rPr>
          <w:rFonts w:hint="eastAsia" w:ascii="宋体" w:hAnsi="宋体" w:eastAsia="宋体" w:cs="宋体"/>
          <w:color w:val="000000"/>
          <w:szCs w:val="21"/>
          <w:highlight w:val="none"/>
        </w:rPr>
        <w:fldChar w:fldCharType="end"/>
      </w:r>
    </w:p>
    <w:p w14:paraId="283CCFED">
      <w:pPr>
        <w:pStyle w:val="18"/>
        <w:tabs>
          <w:tab w:val="right" w:leader="dot" w:pos="9638"/>
        </w:tabs>
      </w:pPr>
      <w:r>
        <w:rPr>
          <w:rFonts w:hint="eastAsia" w:ascii="宋体" w:hAnsi="宋体" w:eastAsia="宋体" w:cs="宋体"/>
          <w:color w:val="000000"/>
          <w:szCs w:val="21"/>
          <w:highlight w:val="none"/>
        </w:rPr>
        <w:fldChar w:fldCharType="begin"/>
      </w:r>
      <w:r>
        <w:rPr>
          <w:rFonts w:hint="eastAsia" w:ascii="宋体" w:hAnsi="宋体" w:eastAsia="宋体" w:cs="宋体"/>
          <w:szCs w:val="21"/>
          <w:highlight w:val="none"/>
        </w:rPr>
        <w:instrText xml:space="preserve"> HYPERLINK \l _Toc4336 </w:instrText>
      </w:r>
      <w:r>
        <w:rPr>
          <w:rFonts w:hint="eastAsia" w:ascii="宋体" w:hAnsi="宋体" w:eastAsia="宋体" w:cs="宋体"/>
          <w:szCs w:val="21"/>
          <w:highlight w:val="none"/>
        </w:rPr>
        <w:fldChar w:fldCharType="separate"/>
      </w:r>
      <w:r>
        <w:rPr>
          <w:rFonts w:hint="eastAsia" w:ascii="宋体" w:hAnsi="宋体" w:eastAsia="宋体" w:cs="宋体"/>
          <w:highlight w:val="none"/>
        </w:rPr>
        <w:t>2.2踏勘现场</w:t>
      </w:r>
      <w:r>
        <w:tab/>
      </w:r>
      <w:r>
        <w:fldChar w:fldCharType="begin"/>
      </w:r>
      <w:r>
        <w:instrText xml:space="preserve"> PAGEREF _Toc4336 \h </w:instrText>
      </w:r>
      <w:r>
        <w:fldChar w:fldCharType="separate"/>
      </w:r>
      <w:r>
        <w:t>18</w:t>
      </w:r>
      <w:r>
        <w:fldChar w:fldCharType="end"/>
      </w:r>
      <w:r>
        <w:rPr>
          <w:rFonts w:hint="eastAsia" w:ascii="宋体" w:hAnsi="宋体" w:eastAsia="宋体" w:cs="宋体"/>
          <w:color w:val="000000"/>
          <w:szCs w:val="21"/>
          <w:highlight w:val="none"/>
        </w:rPr>
        <w:fldChar w:fldCharType="end"/>
      </w:r>
    </w:p>
    <w:p w14:paraId="04FF0178">
      <w:pPr>
        <w:pStyle w:val="18"/>
        <w:tabs>
          <w:tab w:val="right" w:leader="dot" w:pos="9638"/>
        </w:tabs>
      </w:pPr>
      <w:r>
        <w:rPr>
          <w:rFonts w:hint="eastAsia" w:ascii="宋体" w:hAnsi="宋体" w:eastAsia="宋体" w:cs="宋体"/>
          <w:color w:val="000000"/>
          <w:szCs w:val="21"/>
          <w:highlight w:val="none"/>
        </w:rPr>
        <w:fldChar w:fldCharType="begin"/>
      </w:r>
      <w:r>
        <w:rPr>
          <w:rFonts w:hint="eastAsia" w:ascii="宋体" w:hAnsi="宋体" w:eastAsia="宋体" w:cs="宋体"/>
          <w:szCs w:val="21"/>
          <w:highlight w:val="none"/>
        </w:rPr>
        <w:instrText xml:space="preserve"> HYPERLINK \l _Toc24569 </w:instrText>
      </w:r>
      <w:r>
        <w:rPr>
          <w:rFonts w:hint="eastAsia" w:ascii="宋体" w:hAnsi="宋体" w:eastAsia="宋体" w:cs="宋体"/>
          <w:szCs w:val="21"/>
          <w:highlight w:val="none"/>
        </w:rPr>
        <w:fldChar w:fldCharType="separate"/>
      </w:r>
      <w:r>
        <w:rPr>
          <w:rFonts w:hint="eastAsia" w:ascii="宋体" w:hAnsi="宋体" w:eastAsia="宋体" w:cs="宋体"/>
          <w:highlight w:val="none"/>
        </w:rPr>
        <w:t>2.3投标预备会</w:t>
      </w:r>
      <w:r>
        <w:tab/>
      </w:r>
      <w:r>
        <w:fldChar w:fldCharType="begin"/>
      </w:r>
      <w:r>
        <w:instrText xml:space="preserve"> PAGEREF _Toc24569 \h </w:instrText>
      </w:r>
      <w:r>
        <w:fldChar w:fldCharType="separate"/>
      </w:r>
      <w:r>
        <w:t>18</w:t>
      </w:r>
      <w:r>
        <w:fldChar w:fldCharType="end"/>
      </w:r>
      <w:r>
        <w:rPr>
          <w:rFonts w:hint="eastAsia" w:ascii="宋体" w:hAnsi="宋体" w:eastAsia="宋体" w:cs="宋体"/>
          <w:color w:val="000000"/>
          <w:szCs w:val="21"/>
          <w:highlight w:val="none"/>
        </w:rPr>
        <w:fldChar w:fldCharType="end"/>
      </w:r>
    </w:p>
    <w:p w14:paraId="4EFBD5BB">
      <w:pPr>
        <w:pStyle w:val="18"/>
        <w:tabs>
          <w:tab w:val="right" w:leader="dot" w:pos="9638"/>
        </w:tabs>
      </w:pPr>
      <w:r>
        <w:rPr>
          <w:rFonts w:hint="eastAsia" w:ascii="宋体" w:hAnsi="宋体" w:eastAsia="宋体" w:cs="宋体"/>
          <w:color w:val="000000"/>
          <w:szCs w:val="21"/>
          <w:highlight w:val="none"/>
        </w:rPr>
        <w:fldChar w:fldCharType="begin"/>
      </w:r>
      <w:r>
        <w:rPr>
          <w:rFonts w:hint="eastAsia" w:ascii="宋体" w:hAnsi="宋体" w:eastAsia="宋体" w:cs="宋体"/>
          <w:szCs w:val="21"/>
          <w:highlight w:val="none"/>
        </w:rPr>
        <w:instrText xml:space="preserve"> HYPERLINK \l _Toc16221 </w:instrText>
      </w:r>
      <w:r>
        <w:rPr>
          <w:rFonts w:hint="eastAsia" w:ascii="宋体" w:hAnsi="宋体" w:eastAsia="宋体" w:cs="宋体"/>
          <w:szCs w:val="21"/>
          <w:highlight w:val="none"/>
        </w:rPr>
        <w:fldChar w:fldCharType="separate"/>
      </w:r>
      <w:r>
        <w:rPr>
          <w:rFonts w:hint="eastAsia" w:ascii="宋体" w:hAnsi="宋体" w:eastAsia="宋体" w:cs="宋体"/>
          <w:highlight w:val="none"/>
        </w:rPr>
        <w:t>2.4招标文件的修改</w:t>
      </w:r>
      <w:r>
        <w:tab/>
      </w:r>
      <w:r>
        <w:fldChar w:fldCharType="begin"/>
      </w:r>
      <w:r>
        <w:instrText xml:space="preserve"> PAGEREF _Toc16221 \h </w:instrText>
      </w:r>
      <w:r>
        <w:fldChar w:fldCharType="separate"/>
      </w:r>
      <w:r>
        <w:t>18</w:t>
      </w:r>
      <w:r>
        <w:fldChar w:fldCharType="end"/>
      </w:r>
      <w:r>
        <w:rPr>
          <w:rFonts w:hint="eastAsia" w:ascii="宋体" w:hAnsi="宋体" w:eastAsia="宋体" w:cs="宋体"/>
          <w:color w:val="000000"/>
          <w:szCs w:val="21"/>
          <w:highlight w:val="none"/>
        </w:rPr>
        <w:fldChar w:fldCharType="end"/>
      </w:r>
    </w:p>
    <w:p w14:paraId="183348AB">
      <w:pPr>
        <w:pStyle w:val="18"/>
        <w:tabs>
          <w:tab w:val="right" w:leader="dot" w:pos="9638"/>
        </w:tabs>
      </w:pPr>
      <w:r>
        <w:rPr>
          <w:rFonts w:hint="eastAsia" w:ascii="宋体" w:hAnsi="宋体" w:eastAsia="宋体" w:cs="宋体"/>
          <w:color w:val="000000"/>
          <w:szCs w:val="21"/>
          <w:highlight w:val="none"/>
        </w:rPr>
        <w:fldChar w:fldCharType="begin"/>
      </w:r>
      <w:r>
        <w:rPr>
          <w:rFonts w:hint="eastAsia" w:ascii="宋体" w:hAnsi="宋体" w:eastAsia="宋体" w:cs="宋体"/>
          <w:szCs w:val="21"/>
          <w:highlight w:val="none"/>
        </w:rPr>
        <w:instrText xml:space="preserve"> HYPERLINK \l _Toc17255 </w:instrText>
      </w:r>
      <w:r>
        <w:rPr>
          <w:rFonts w:hint="eastAsia" w:ascii="宋体" w:hAnsi="宋体" w:eastAsia="宋体" w:cs="宋体"/>
          <w:szCs w:val="21"/>
          <w:highlight w:val="none"/>
        </w:rPr>
        <w:fldChar w:fldCharType="separate"/>
      </w:r>
      <w:r>
        <w:rPr>
          <w:rFonts w:hint="eastAsia" w:ascii="宋体" w:hAnsi="宋体" w:eastAsia="宋体" w:cs="宋体"/>
          <w:highlight w:val="none"/>
        </w:rPr>
        <w:t>2.5招标文件的异议</w:t>
      </w:r>
      <w:r>
        <w:tab/>
      </w:r>
      <w:r>
        <w:fldChar w:fldCharType="begin"/>
      </w:r>
      <w:r>
        <w:instrText xml:space="preserve"> PAGEREF _Toc17255 \h </w:instrText>
      </w:r>
      <w:r>
        <w:fldChar w:fldCharType="separate"/>
      </w:r>
      <w:r>
        <w:t>19</w:t>
      </w:r>
      <w:r>
        <w:fldChar w:fldCharType="end"/>
      </w:r>
      <w:r>
        <w:rPr>
          <w:rFonts w:hint="eastAsia" w:ascii="宋体" w:hAnsi="宋体" w:eastAsia="宋体" w:cs="宋体"/>
          <w:color w:val="000000"/>
          <w:szCs w:val="21"/>
          <w:highlight w:val="none"/>
        </w:rPr>
        <w:fldChar w:fldCharType="end"/>
      </w:r>
    </w:p>
    <w:p w14:paraId="21FD10CE">
      <w:pPr>
        <w:pStyle w:val="31"/>
        <w:tabs>
          <w:tab w:val="right" w:leader="dot" w:pos="9638"/>
        </w:tabs>
      </w:pPr>
      <w:r>
        <w:rPr>
          <w:rFonts w:hint="eastAsia" w:ascii="宋体" w:hAnsi="宋体" w:eastAsia="宋体" w:cs="宋体"/>
          <w:color w:val="000000"/>
          <w:szCs w:val="21"/>
          <w:highlight w:val="none"/>
        </w:rPr>
        <w:fldChar w:fldCharType="begin"/>
      </w:r>
      <w:r>
        <w:rPr>
          <w:rFonts w:hint="eastAsia" w:ascii="宋体" w:hAnsi="宋体" w:eastAsia="宋体" w:cs="宋体"/>
          <w:szCs w:val="21"/>
          <w:highlight w:val="none"/>
        </w:rPr>
        <w:instrText xml:space="preserve"> HYPERLINK \l _Toc31128 </w:instrText>
      </w:r>
      <w:r>
        <w:rPr>
          <w:rFonts w:hint="eastAsia" w:ascii="宋体" w:hAnsi="宋体" w:eastAsia="宋体" w:cs="宋体"/>
          <w:szCs w:val="21"/>
          <w:highlight w:val="none"/>
        </w:rPr>
        <w:fldChar w:fldCharType="separate"/>
      </w:r>
      <w:r>
        <w:rPr>
          <w:rFonts w:hint="eastAsia" w:ascii="宋体" w:hAnsi="宋体" w:eastAsia="宋体" w:cs="宋体"/>
        </w:rPr>
        <w:t>3.投标文件</w:t>
      </w:r>
      <w:r>
        <w:tab/>
      </w:r>
      <w:r>
        <w:fldChar w:fldCharType="begin"/>
      </w:r>
      <w:r>
        <w:instrText xml:space="preserve"> PAGEREF _Toc31128 \h </w:instrText>
      </w:r>
      <w:r>
        <w:fldChar w:fldCharType="separate"/>
      </w:r>
      <w:r>
        <w:t>19</w:t>
      </w:r>
      <w:r>
        <w:fldChar w:fldCharType="end"/>
      </w:r>
      <w:r>
        <w:rPr>
          <w:rFonts w:hint="eastAsia" w:ascii="宋体" w:hAnsi="宋体" w:eastAsia="宋体" w:cs="宋体"/>
          <w:color w:val="000000"/>
          <w:szCs w:val="21"/>
          <w:highlight w:val="none"/>
        </w:rPr>
        <w:fldChar w:fldCharType="end"/>
      </w:r>
    </w:p>
    <w:p w14:paraId="6CD008F8">
      <w:pPr>
        <w:pStyle w:val="18"/>
        <w:tabs>
          <w:tab w:val="right" w:leader="dot" w:pos="9638"/>
        </w:tabs>
      </w:pPr>
      <w:r>
        <w:rPr>
          <w:rFonts w:hint="eastAsia" w:ascii="宋体" w:hAnsi="宋体" w:eastAsia="宋体" w:cs="宋体"/>
          <w:color w:val="000000"/>
          <w:szCs w:val="21"/>
          <w:highlight w:val="none"/>
        </w:rPr>
        <w:fldChar w:fldCharType="begin"/>
      </w:r>
      <w:r>
        <w:rPr>
          <w:rFonts w:hint="eastAsia" w:ascii="宋体" w:hAnsi="宋体" w:eastAsia="宋体" w:cs="宋体"/>
          <w:szCs w:val="21"/>
          <w:highlight w:val="none"/>
        </w:rPr>
        <w:instrText xml:space="preserve"> HYPERLINK \l _Toc21832 </w:instrText>
      </w:r>
      <w:r>
        <w:rPr>
          <w:rFonts w:hint="eastAsia" w:ascii="宋体" w:hAnsi="宋体" w:eastAsia="宋体" w:cs="宋体"/>
          <w:szCs w:val="21"/>
          <w:highlight w:val="none"/>
        </w:rPr>
        <w:fldChar w:fldCharType="separate"/>
      </w:r>
      <w:r>
        <w:rPr>
          <w:rFonts w:hint="eastAsia" w:ascii="宋体" w:hAnsi="宋体" w:eastAsia="宋体" w:cs="宋体"/>
          <w:highlight w:val="none"/>
        </w:rPr>
        <w:t>3.1 投标文件的组成</w:t>
      </w:r>
      <w:r>
        <w:tab/>
      </w:r>
      <w:r>
        <w:fldChar w:fldCharType="begin"/>
      </w:r>
      <w:r>
        <w:instrText xml:space="preserve"> PAGEREF _Toc21832 \h </w:instrText>
      </w:r>
      <w:r>
        <w:fldChar w:fldCharType="separate"/>
      </w:r>
      <w:r>
        <w:t>19</w:t>
      </w:r>
      <w:r>
        <w:fldChar w:fldCharType="end"/>
      </w:r>
      <w:r>
        <w:rPr>
          <w:rFonts w:hint="eastAsia" w:ascii="宋体" w:hAnsi="宋体" w:eastAsia="宋体" w:cs="宋体"/>
          <w:color w:val="000000"/>
          <w:szCs w:val="21"/>
          <w:highlight w:val="none"/>
        </w:rPr>
        <w:fldChar w:fldCharType="end"/>
      </w:r>
    </w:p>
    <w:p w14:paraId="15DB247C">
      <w:pPr>
        <w:pStyle w:val="18"/>
        <w:tabs>
          <w:tab w:val="right" w:leader="dot" w:pos="9638"/>
        </w:tabs>
      </w:pPr>
      <w:r>
        <w:rPr>
          <w:rFonts w:hint="eastAsia" w:ascii="宋体" w:hAnsi="宋体" w:eastAsia="宋体" w:cs="宋体"/>
          <w:color w:val="000000"/>
          <w:szCs w:val="21"/>
          <w:highlight w:val="none"/>
        </w:rPr>
        <w:fldChar w:fldCharType="begin"/>
      </w:r>
      <w:r>
        <w:rPr>
          <w:rFonts w:hint="eastAsia" w:ascii="宋体" w:hAnsi="宋体" w:eastAsia="宋体" w:cs="宋体"/>
          <w:szCs w:val="21"/>
          <w:highlight w:val="none"/>
        </w:rPr>
        <w:instrText xml:space="preserve"> HYPERLINK \l _Toc14308 </w:instrText>
      </w:r>
      <w:r>
        <w:rPr>
          <w:rFonts w:hint="eastAsia" w:ascii="宋体" w:hAnsi="宋体" w:eastAsia="宋体" w:cs="宋体"/>
          <w:szCs w:val="21"/>
          <w:highlight w:val="none"/>
        </w:rPr>
        <w:fldChar w:fldCharType="separate"/>
      </w:r>
      <w:r>
        <w:rPr>
          <w:rFonts w:hint="eastAsia" w:ascii="宋体" w:hAnsi="宋体" w:eastAsia="宋体" w:cs="宋体"/>
          <w:highlight w:val="none"/>
        </w:rPr>
        <w:t>3.2 投标文件的编制</w:t>
      </w:r>
      <w:r>
        <w:tab/>
      </w:r>
      <w:r>
        <w:fldChar w:fldCharType="begin"/>
      </w:r>
      <w:r>
        <w:instrText xml:space="preserve"> PAGEREF _Toc14308 \h </w:instrText>
      </w:r>
      <w:r>
        <w:fldChar w:fldCharType="separate"/>
      </w:r>
      <w:r>
        <w:t>19</w:t>
      </w:r>
      <w:r>
        <w:fldChar w:fldCharType="end"/>
      </w:r>
      <w:r>
        <w:rPr>
          <w:rFonts w:hint="eastAsia" w:ascii="宋体" w:hAnsi="宋体" w:eastAsia="宋体" w:cs="宋体"/>
          <w:color w:val="000000"/>
          <w:szCs w:val="21"/>
          <w:highlight w:val="none"/>
        </w:rPr>
        <w:fldChar w:fldCharType="end"/>
      </w:r>
    </w:p>
    <w:p w14:paraId="6AB9525C">
      <w:pPr>
        <w:pStyle w:val="18"/>
        <w:tabs>
          <w:tab w:val="right" w:leader="dot" w:pos="9638"/>
        </w:tabs>
      </w:pPr>
      <w:r>
        <w:rPr>
          <w:rFonts w:hint="eastAsia" w:ascii="宋体" w:hAnsi="宋体" w:eastAsia="宋体" w:cs="宋体"/>
          <w:color w:val="000000"/>
          <w:szCs w:val="21"/>
          <w:highlight w:val="none"/>
        </w:rPr>
        <w:fldChar w:fldCharType="begin"/>
      </w:r>
      <w:r>
        <w:rPr>
          <w:rFonts w:hint="eastAsia" w:ascii="宋体" w:hAnsi="宋体" w:eastAsia="宋体" w:cs="宋体"/>
          <w:szCs w:val="21"/>
          <w:highlight w:val="none"/>
        </w:rPr>
        <w:instrText xml:space="preserve"> HYPERLINK \l _Toc7610 </w:instrText>
      </w:r>
      <w:r>
        <w:rPr>
          <w:rFonts w:hint="eastAsia" w:ascii="宋体" w:hAnsi="宋体" w:eastAsia="宋体" w:cs="宋体"/>
          <w:szCs w:val="21"/>
          <w:highlight w:val="none"/>
        </w:rPr>
        <w:fldChar w:fldCharType="separate"/>
      </w:r>
      <w:r>
        <w:rPr>
          <w:rFonts w:hint="eastAsia" w:ascii="宋体" w:hAnsi="宋体" w:eastAsia="宋体" w:cs="宋体"/>
          <w:highlight w:val="none"/>
        </w:rPr>
        <w:t>3.3 投标报价</w:t>
      </w:r>
      <w:r>
        <w:tab/>
      </w:r>
      <w:r>
        <w:fldChar w:fldCharType="begin"/>
      </w:r>
      <w:r>
        <w:instrText xml:space="preserve"> PAGEREF _Toc7610 \h </w:instrText>
      </w:r>
      <w:r>
        <w:fldChar w:fldCharType="separate"/>
      </w:r>
      <w:r>
        <w:t>20</w:t>
      </w:r>
      <w:r>
        <w:fldChar w:fldCharType="end"/>
      </w:r>
      <w:r>
        <w:rPr>
          <w:rFonts w:hint="eastAsia" w:ascii="宋体" w:hAnsi="宋体" w:eastAsia="宋体" w:cs="宋体"/>
          <w:color w:val="000000"/>
          <w:szCs w:val="21"/>
          <w:highlight w:val="none"/>
        </w:rPr>
        <w:fldChar w:fldCharType="end"/>
      </w:r>
    </w:p>
    <w:p w14:paraId="64D2D901">
      <w:pPr>
        <w:pStyle w:val="18"/>
        <w:tabs>
          <w:tab w:val="right" w:leader="dot" w:pos="9638"/>
        </w:tabs>
      </w:pPr>
      <w:r>
        <w:rPr>
          <w:rFonts w:hint="eastAsia" w:ascii="宋体" w:hAnsi="宋体" w:eastAsia="宋体" w:cs="宋体"/>
          <w:color w:val="000000"/>
          <w:szCs w:val="21"/>
          <w:highlight w:val="none"/>
        </w:rPr>
        <w:fldChar w:fldCharType="begin"/>
      </w:r>
      <w:r>
        <w:rPr>
          <w:rFonts w:hint="eastAsia" w:ascii="宋体" w:hAnsi="宋体" w:eastAsia="宋体" w:cs="宋体"/>
          <w:szCs w:val="21"/>
          <w:highlight w:val="none"/>
        </w:rPr>
        <w:instrText xml:space="preserve"> HYPERLINK \l _Toc14115 </w:instrText>
      </w:r>
      <w:r>
        <w:rPr>
          <w:rFonts w:hint="eastAsia" w:ascii="宋体" w:hAnsi="宋体" w:eastAsia="宋体" w:cs="宋体"/>
          <w:szCs w:val="21"/>
          <w:highlight w:val="none"/>
        </w:rPr>
        <w:fldChar w:fldCharType="separate"/>
      </w:r>
      <w:r>
        <w:rPr>
          <w:rFonts w:hint="eastAsia" w:ascii="宋体" w:hAnsi="宋体" w:eastAsia="宋体" w:cs="宋体"/>
          <w:highlight w:val="none"/>
        </w:rPr>
        <w:t>3.4 投标有效期</w:t>
      </w:r>
      <w:r>
        <w:tab/>
      </w:r>
      <w:r>
        <w:fldChar w:fldCharType="begin"/>
      </w:r>
      <w:r>
        <w:instrText xml:space="preserve"> PAGEREF _Toc14115 \h </w:instrText>
      </w:r>
      <w:r>
        <w:fldChar w:fldCharType="separate"/>
      </w:r>
      <w:r>
        <w:t>20</w:t>
      </w:r>
      <w:r>
        <w:fldChar w:fldCharType="end"/>
      </w:r>
      <w:r>
        <w:rPr>
          <w:rFonts w:hint="eastAsia" w:ascii="宋体" w:hAnsi="宋体" w:eastAsia="宋体" w:cs="宋体"/>
          <w:color w:val="000000"/>
          <w:szCs w:val="21"/>
          <w:highlight w:val="none"/>
        </w:rPr>
        <w:fldChar w:fldCharType="end"/>
      </w:r>
    </w:p>
    <w:p w14:paraId="6941074F">
      <w:pPr>
        <w:pStyle w:val="18"/>
        <w:tabs>
          <w:tab w:val="right" w:leader="dot" w:pos="9638"/>
        </w:tabs>
      </w:pPr>
      <w:r>
        <w:rPr>
          <w:rFonts w:hint="eastAsia" w:ascii="宋体" w:hAnsi="宋体" w:eastAsia="宋体" w:cs="宋体"/>
          <w:color w:val="000000"/>
          <w:szCs w:val="21"/>
          <w:highlight w:val="none"/>
        </w:rPr>
        <w:fldChar w:fldCharType="begin"/>
      </w:r>
      <w:r>
        <w:rPr>
          <w:rFonts w:hint="eastAsia" w:ascii="宋体" w:hAnsi="宋体" w:eastAsia="宋体" w:cs="宋体"/>
          <w:szCs w:val="21"/>
          <w:highlight w:val="none"/>
        </w:rPr>
        <w:instrText xml:space="preserve"> HYPERLINK \l _Toc28248 </w:instrText>
      </w:r>
      <w:r>
        <w:rPr>
          <w:rFonts w:hint="eastAsia" w:ascii="宋体" w:hAnsi="宋体" w:eastAsia="宋体" w:cs="宋体"/>
          <w:szCs w:val="21"/>
          <w:highlight w:val="none"/>
        </w:rPr>
        <w:fldChar w:fldCharType="separate"/>
      </w:r>
      <w:r>
        <w:rPr>
          <w:rFonts w:hint="eastAsia" w:ascii="宋体" w:hAnsi="宋体" w:eastAsia="宋体" w:cs="宋体"/>
          <w:highlight w:val="none"/>
        </w:rPr>
        <w:t>3.5 投标保证金</w:t>
      </w:r>
      <w:r>
        <w:tab/>
      </w:r>
      <w:r>
        <w:fldChar w:fldCharType="begin"/>
      </w:r>
      <w:r>
        <w:instrText xml:space="preserve"> PAGEREF _Toc28248 \h </w:instrText>
      </w:r>
      <w:r>
        <w:fldChar w:fldCharType="separate"/>
      </w:r>
      <w:r>
        <w:t>20</w:t>
      </w:r>
      <w:r>
        <w:fldChar w:fldCharType="end"/>
      </w:r>
      <w:r>
        <w:rPr>
          <w:rFonts w:hint="eastAsia" w:ascii="宋体" w:hAnsi="宋体" w:eastAsia="宋体" w:cs="宋体"/>
          <w:color w:val="000000"/>
          <w:szCs w:val="21"/>
          <w:highlight w:val="none"/>
        </w:rPr>
        <w:fldChar w:fldCharType="end"/>
      </w:r>
    </w:p>
    <w:p w14:paraId="4357583F">
      <w:pPr>
        <w:pStyle w:val="18"/>
        <w:tabs>
          <w:tab w:val="right" w:leader="dot" w:pos="9638"/>
        </w:tabs>
      </w:pPr>
      <w:r>
        <w:rPr>
          <w:rFonts w:hint="eastAsia" w:ascii="宋体" w:hAnsi="宋体" w:eastAsia="宋体" w:cs="宋体"/>
          <w:color w:val="000000"/>
          <w:szCs w:val="21"/>
          <w:highlight w:val="none"/>
        </w:rPr>
        <w:fldChar w:fldCharType="begin"/>
      </w:r>
      <w:r>
        <w:rPr>
          <w:rFonts w:hint="eastAsia" w:ascii="宋体" w:hAnsi="宋体" w:eastAsia="宋体" w:cs="宋体"/>
          <w:szCs w:val="21"/>
          <w:highlight w:val="none"/>
        </w:rPr>
        <w:instrText xml:space="preserve"> HYPERLINK \l _Toc20959 </w:instrText>
      </w:r>
      <w:r>
        <w:rPr>
          <w:rFonts w:hint="eastAsia" w:ascii="宋体" w:hAnsi="宋体" w:eastAsia="宋体" w:cs="宋体"/>
          <w:szCs w:val="21"/>
          <w:highlight w:val="none"/>
        </w:rPr>
        <w:fldChar w:fldCharType="separate"/>
      </w:r>
      <w:r>
        <w:rPr>
          <w:rFonts w:hint="eastAsia" w:ascii="宋体" w:hAnsi="宋体" w:eastAsia="宋体" w:cs="宋体"/>
          <w:highlight w:val="none"/>
        </w:rPr>
        <w:t>3.6 备选投标方案</w:t>
      </w:r>
      <w:r>
        <w:tab/>
      </w:r>
      <w:r>
        <w:fldChar w:fldCharType="begin"/>
      </w:r>
      <w:r>
        <w:instrText xml:space="preserve"> PAGEREF _Toc20959 \h </w:instrText>
      </w:r>
      <w:r>
        <w:fldChar w:fldCharType="separate"/>
      </w:r>
      <w:r>
        <w:t>21</w:t>
      </w:r>
      <w:r>
        <w:fldChar w:fldCharType="end"/>
      </w:r>
      <w:r>
        <w:rPr>
          <w:rFonts w:hint="eastAsia" w:ascii="宋体" w:hAnsi="宋体" w:eastAsia="宋体" w:cs="宋体"/>
          <w:color w:val="000000"/>
          <w:szCs w:val="21"/>
          <w:highlight w:val="none"/>
        </w:rPr>
        <w:fldChar w:fldCharType="end"/>
      </w:r>
    </w:p>
    <w:p w14:paraId="00000C06">
      <w:pPr>
        <w:pStyle w:val="18"/>
        <w:tabs>
          <w:tab w:val="right" w:leader="dot" w:pos="9638"/>
        </w:tabs>
      </w:pPr>
      <w:r>
        <w:rPr>
          <w:rFonts w:hint="eastAsia" w:ascii="宋体" w:hAnsi="宋体" w:eastAsia="宋体" w:cs="宋体"/>
          <w:color w:val="000000"/>
          <w:szCs w:val="21"/>
          <w:highlight w:val="none"/>
        </w:rPr>
        <w:fldChar w:fldCharType="begin"/>
      </w:r>
      <w:r>
        <w:rPr>
          <w:rFonts w:hint="eastAsia" w:ascii="宋体" w:hAnsi="宋体" w:eastAsia="宋体" w:cs="宋体"/>
          <w:szCs w:val="21"/>
          <w:highlight w:val="none"/>
        </w:rPr>
        <w:instrText xml:space="preserve"> HYPERLINK \l _Toc4488 </w:instrText>
      </w:r>
      <w:r>
        <w:rPr>
          <w:rFonts w:hint="eastAsia" w:ascii="宋体" w:hAnsi="宋体" w:eastAsia="宋体" w:cs="宋体"/>
          <w:szCs w:val="21"/>
          <w:highlight w:val="none"/>
        </w:rPr>
        <w:fldChar w:fldCharType="separate"/>
      </w:r>
      <w:r>
        <w:rPr>
          <w:rFonts w:hint="eastAsia" w:ascii="宋体" w:hAnsi="宋体" w:eastAsia="宋体" w:cs="宋体"/>
          <w:highlight w:val="none"/>
        </w:rPr>
        <w:t>3.7 纸质投标文件的式样、密封和标记</w:t>
      </w:r>
      <w:r>
        <w:tab/>
      </w:r>
      <w:r>
        <w:fldChar w:fldCharType="begin"/>
      </w:r>
      <w:r>
        <w:instrText xml:space="preserve"> PAGEREF _Toc4488 \h </w:instrText>
      </w:r>
      <w:r>
        <w:fldChar w:fldCharType="separate"/>
      </w:r>
      <w:r>
        <w:t>21</w:t>
      </w:r>
      <w:r>
        <w:fldChar w:fldCharType="end"/>
      </w:r>
      <w:r>
        <w:rPr>
          <w:rFonts w:hint="eastAsia" w:ascii="宋体" w:hAnsi="宋体" w:eastAsia="宋体" w:cs="宋体"/>
          <w:color w:val="000000"/>
          <w:szCs w:val="21"/>
          <w:highlight w:val="none"/>
        </w:rPr>
        <w:fldChar w:fldCharType="end"/>
      </w:r>
    </w:p>
    <w:p w14:paraId="7093CFA6">
      <w:pPr>
        <w:pStyle w:val="18"/>
        <w:tabs>
          <w:tab w:val="right" w:leader="dot" w:pos="9638"/>
        </w:tabs>
      </w:pPr>
      <w:r>
        <w:rPr>
          <w:rFonts w:hint="eastAsia" w:ascii="宋体" w:hAnsi="宋体" w:eastAsia="宋体" w:cs="宋体"/>
          <w:color w:val="000000"/>
          <w:szCs w:val="21"/>
          <w:highlight w:val="none"/>
        </w:rPr>
        <w:fldChar w:fldCharType="begin"/>
      </w:r>
      <w:r>
        <w:rPr>
          <w:rFonts w:hint="eastAsia" w:ascii="宋体" w:hAnsi="宋体" w:eastAsia="宋体" w:cs="宋体"/>
          <w:szCs w:val="21"/>
          <w:highlight w:val="none"/>
        </w:rPr>
        <w:instrText xml:space="preserve"> HYPERLINK \l _Toc17087 </w:instrText>
      </w:r>
      <w:r>
        <w:rPr>
          <w:rFonts w:hint="eastAsia" w:ascii="宋体" w:hAnsi="宋体" w:eastAsia="宋体" w:cs="宋体"/>
          <w:szCs w:val="21"/>
          <w:highlight w:val="none"/>
        </w:rPr>
        <w:fldChar w:fldCharType="separate"/>
      </w:r>
      <w:r>
        <w:rPr>
          <w:rFonts w:hint="eastAsia" w:ascii="宋体" w:hAnsi="宋体" w:eastAsia="宋体" w:cs="宋体"/>
          <w:highlight w:val="none"/>
        </w:rPr>
        <w:t>3.8 电子招投标的投标文件上传形式</w:t>
      </w:r>
      <w:r>
        <w:tab/>
      </w:r>
      <w:r>
        <w:fldChar w:fldCharType="begin"/>
      </w:r>
      <w:r>
        <w:instrText xml:space="preserve"> PAGEREF _Toc17087 \h </w:instrText>
      </w:r>
      <w:r>
        <w:fldChar w:fldCharType="separate"/>
      </w:r>
      <w:r>
        <w:t>21</w:t>
      </w:r>
      <w:r>
        <w:fldChar w:fldCharType="end"/>
      </w:r>
      <w:r>
        <w:rPr>
          <w:rFonts w:hint="eastAsia" w:ascii="宋体" w:hAnsi="宋体" w:eastAsia="宋体" w:cs="宋体"/>
          <w:color w:val="000000"/>
          <w:szCs w:val="21"/>
          <w:highlight w:val="none"/>
        </w:rPr>
        <w:fldChar w:fldCharType="end"/>
      </w:r>
    </w:p>
    <w:p w14:paraId="0C3C3017">
      <w:pPr>
        <w:pStyle w:val="31"/>
        <w:tabs>
          <w:tab w:val="right" w:leader="dot" w:pos="9638"/>
        </w:tabs>
      </w:pPr>
      <w:r>
        <w:rPr>
          <w:rFonts w:hint="eastAsia" w:ascii="宋体" w:hAnsi="宋体" w:eastAsia="宋体" w:cs="宋体"/>
          <w:color w:val="000000"/>
          <w:szCs w:val="21"/>
          <w:highlight w:val="none"/>
        </w:rPr>
        <w:fldChar w:fldCharType="begin"/>
      </w:r>
      <w:r>
        <w:rPr>
          <w:rFonts w:hint="eastAsia" w:ascii="宋体" w:hAnsi="宋体" w:eastAsia="宋体" w:cs="宋体"/>
          <w:szCs w:val="21"/>
          <w:highlight w:val="none"/>
        </w:rPr>
        <w:instrText xml:space="preserve"> HYPERLINK \l _Toc9092 </w:instrText>
      </w:r>
      <w:r>
        <w:rPr>
          <w:rFonts w:hint="eastAsia" w:ascii="宋体" w:hAnsi="宋体" w:eastAsia="宋体" w:cs="宋体"/>
          <w:szCs w:val="21"/>
          <w:highlight w:val="none"/>
        </w:rPr>
        <w:fldChar w:fldCharType="separate"/>
      </w:r>
      <w:r>
        <w:rPr>
          <w:rFonts w:hint="eastAsia" w:ascii="宋体" w:hAnsi="宋体" w:eastAsia="宋体" w:cs="宋体"/>
        </w:rPr>
        <w:t>4.投标</w:t>
      </w:r>
      <w:r>
        <w:tab/>
      </w:r>
      <w:r>
        <w:fldChar w:fldCharType="begin"/>
      </w:r>
      <w:r>
        <w:instrText xml:space="preserve"> PAGEREF _Toc9092 \h </w:instrText>
      </w:r>
      <w:r>
        <w:fldChar w:fldCharType="separate"/>
      </w:r>
      <w:r>
        <w:t>21</w:t>
      </w:r>
      <w:r>
        <w:fldChar w:fldCharType="end"/>
      </w:r>
      <w:r>
        <w:rPr>
          <w:rFonts w:hint="eastAsia" w:ascii="宋体" w:hAnsi="宋体" w:eastAsia="宋体" w:cs="宋体"/>
          <w:color w:val="000000"/>
          <w:szCs w:val="21"/>
          <w:highlight w:val="none"/>
        </w:rPr>
        <w:fldChar w:fldCharType="end"/>
      </w:r>
    </w:p>
    <w:p w14:paraId="1CD29BBC">
      <w:pPr>
        <w:pStyle w:val="18"/>
        <w:tabs>
          <w:tab w:val="right" w:leader="dot" w:pos="9638"/>
        </w:tabs>
      </w:pPr>
      <w:r>
        <w:rPr>
          <w:rFonts w:hint="eastAsia" w:ascii="宋体" w:hAnsi="宋体" w:eastAsia="宋体" w:cs="宋体"/>
          <w:color w:val="000000"/>
          <w:szCs w:val="21"/>
          <w:highlight w:val="none"/>
        </w:rPr>
        <w:fldChar w:fldCharType="begin"/>
      </w:r>
      <w:r>
        <w:rPr>
          <w:rFonts w:hint="eastAsia" w:ascii="宋体" w:hAnsi="宋体" w:eastAsia="宋体" w:cs="宋体"/>
          <w:szCs w:val="21"/>
          <w:highlight w:val="none"/>
        </w:rPr>
        <w:instrText xml:space="preserve"> HYPERLINK \l _Toc16059 </w:instrText>
      </w:r>
      <w:r>
        <w:rPr>
          <w:rFonts w:hint="eastAsia" w:ascii="宋体" w:hAnsi="宋体" w:eastAsia="宋体" w:cs="宋体"/>
          <w:szCs w:val="21"/>
          <w:highlight w:val="none"/>
        </w:rPr>
        <w:fldChar w:fldCharType="separate"/>
      </w:r>
      <w:r>
        <w:rPr>
          <w:rFonts w:hint="eastAsia" w:ascii="宋体" w:hAnsi="宋体" w:eastAsia="宋体" w:cs="宋体"/>
          <w:highlight w:val="none"/>
        </w:rPr>
        <w:t>4.1 投标文件的递交</w:t>
      </w:r>
      <w:r>
        <w:tab/>
      </w:r>
      <w:r>
        <w:fldChar w:fldCharType="begin"/>
      </w:r>
      <w:r>
        <w:instrText xml:space="preserve"> PAGEREF _Toc16059 \h </w:instrText>
      </w:r>
      <w:r>
        <w:fldChar w:fldCharType="separate"/>
      </w:r>
      <w:r>
        <w:t>21</w:t>
      </w:r>
      <w:r>
        <w:fldChar w:fldCharType="end"/>
      </w:r>
      <w:r>
        <w:rPr>
          <w:rFonts w:hint="eastAsia" w:ascii="宋体" w:hAnsi="宋体" w:eastAsia="宋体" w:cs="宋体"/>
          <w:color w:val="000000"/>
          <w:szCs w:val="21"/>
          <w:highlight w:val="none"/>
        </w:rPr>
        <w:fldChar w:fldCharType="end"/>
      </w:r>
    </w:p>
    <w:p w14:paraId="468EF239">
      <w:pPr>
        <w:pStyle w:val="18"/>
        <w:tabs>
          <w:tab w:val="right" w:leader="dot" w:pos="9638"/>
        </w:tabs>
      </w:pPr>
      <w:r>
        <w:rPr>
          <w:rFonts w:hint="eastAsia" w:ascii="宋体" w:hAnsi="宋体" w:eastAsia="宋体" w:cs="宋体"/>
          <w:color w:val="000000"/>
          <w:szCs w:val="21"/>
          <w:highlight w:val="none"/>
        </w:rPr>
        <w:fldChar w:fldCharType="begin"/>
      </w:r>
      <w:r>
        <w:rPr>
          <w:rFonts w:hint="eastAsia" w:ascii="宋体" w:hAnsi="宋体" w:eastAsia="宋体" w:cs="宋体"/>
          <w:szCs w:val="21"/>
          <w:highlight w:val="none"/>
        </w:rPr>
        <w:instrText xml:space="preserve"> HYPERLINK \l _Toc21759 </w:instrText>
      </w:r>
      <w:r>
        <w:rPr>
          <w:rFonts w:hint="eastAsia" w:ascii="宋体" w:hAnsi="宋体" w:eastAsia="宋体" w:cs="宋体"/>
          <w:szCs w:val="21"/>
          <w:highlight w:val="none"/>
        </w:rPr>
        <w:fldChar w:fldCharType="separate"/>
      </w:r>
      <w:r>
        <w:rPr>
          <w:rFonts w:hint="eastAsia" w:ascii="宋体" w:hAnsi="宋体" w:eastAsia="宋体" w:cs="宋体"/>
          <w:highlight w:val="none"/>
        </w:rPr>
        <w:t>4.2 投标文件的修改</w:t>
      </w:r>
      <w:r>
        <w:rPr>
          <w:rFonts w:hint="eastAsia" w:ascii="宋体" w:hAnsi="宋体" w:eastAsia="宋体" w:cs="宋体"/>
          <w:highlight w:val="none"/>
          <w:lang w:eastAsia="zh-CN"/>
        </w:rPr>
        <w:t>、</w:t>
      </w:r>
      <w:r>
        <w:rPr>
          <w:rFonts w:hint="eastAsia" w:ascii="宋体" w:hAnsi="宋体" w:eastAsia="宋体" w:cs="宋体"/>
          <w:highlight w:val="none"/>
          <w:lang w:val="en-US" w:eastAsia="zh-CN"/>
        </w:rPr>
        <w:t>撤回</w:t>
      </w:r>
      <w:r>
        <w:rPr>
          <w:rFonts w:hint="eastAsia" w:ascii="宋体" w:hAnsi="宋体" w:eastAsia="宋体" w:cs="宋体"/>
          <w:highlight w:val="none"/>
        </w:rPr>
        <w:t>和撤销</w:t>
      </w:r>
      <w:r>
        <w:tab/>
      </w:r>
      <w:r>
        <w:fldChar w:fldCharType="begin"/>
      </w:r>
      <w:r>
        <w:instrText xml:space="preserve"> PAGEREF _Toc21759 \h </w:instrText>
      </w:r>
      <w:r>
        <w:fldChar w:fldCharType="separate"/>
      </w:r>
      <w:r>
        <w:t>22</w:t>
      </w:r>
      <w:r>
        <w:fldChar w:fldCharType="end"/>
      </w:r>
      <w:r>
        <w:rPr>
          <w:rFonts w:hint="eastAsia" w:ascii="宋体" w:hAnsi="宋体" w:eastAsia="宋体" w:cs="宋体"/>
          <w:color w:val="000000"/>
          <w:szCs w:val="21"/>
          <w:highlight w:val="none"/>
        </w:rPr>
        <w:fldChar w:fldCharType="end"/>
      </w:r>
    </w:p>
    <w:p w14:paraId="63CDC616">
      <w:pPr>
        <w:pStyle w:val="31"/>
        <w:tabs>
          <w:tab w:val="right" w:leader="dot" w:pos="9638"/>
        </w:tabs>
      </w:pPr>
      <w:r>
        <w:rPr>
          <w:rFonts w:hint="eastAsia" w:ascii="宋体" w:hAnsi="宋体" w:eastAsia="宋体" w:cs="宋体"/>
          <w:color w:val="000000"/>
          <w:szCs w:val="21"/>
          <w:highlight w:val="none"/>
        </w:rPr>
        <w:fldChar w:fldCharType="begin"/>
      </w:r>
      <w:r>
        <w:rPr>
          <w:rFonts w:hint="eastAsia" w:ascii="宋体" w:hAnsi="宋体" w:eastAsia="宋体" w:cs="宋体"/>
          <w:szCs w:val="21"/>
          <w:highlight w:val="none"/>
        </w:rPr>
        <w:instrText xml:space="preserve"> HYPERLINK \l _Toc3247 </w:instrText>
      </w:r>
      <w:r>
        <w:rPr>
          <w:rFonts w:hint="eastAsia" w:ascii="宋体" w:hAnsi="宋体" w:eastAsia="宋体" w:cs="宋体"/>
          <w:szCs w:val="21"/>
          <w:highlight w:val="none"/>
        </w:rPr>
        <w:fldChar w:fldCharType="separate"/>
      </w:r>
      <w:r>
        <w:rPr>
          <w:rFonts w:hint="eastAsia" w:ascii="宋体" w:hAnsi="宋体" w:eastAsia="宋体" w:cs="宋体"/>
        </w:rPr>
        <w:t>5.开标</w:t>
      </w:r>
      <w:r>
        <w:tab/>
      </w:r>
      <w:r>
        <w:fldChar w:fldCharType="begin"/>
      </w:r>
      <w:r>
        <w:instrText xml:space="preserve"> PAGEREF _Toc3247 \h </w:instrText>
      </w:r>
      <w:r>
        <w:fldChar w:fldCharType="separate"/>
      </w:r>
      <w:r>
        <w:t>22</w:t>
      </w:r>
      <w:r>
        <w:fldChar w:fldCharType="end"/>
      </w:r>
      <w:r>
        <w:rPr>
          <w:rFonts w:hint="eastAsia" w:ascii="宋体" w:hAnsi="宋体" w:eastAsia="宋体" w:cs="宋体"/>
          <w:color w:val="000000"/>
          <w:szCs w:val="21"/>
          <w:highlight w:val="none"/>
        </w:rPr>
        <w:fldChar w:fldCharType="end"/>
      </w:r>
    </w:p>
    <w:p w14:paraId="3D8F64EA">
      <w:pPr>
        <w:pStyle w:val="18"/>
        <w:tabs>
          <w:tab w:val="right" w:leader="dot" w:pos="9638"/>
        </w:tabs>
      </w:pPr>
      <w:r>
        <w:rPr>
          <w:rFonts w:hint="eastAsia" w:ascii="宋体" w:hAnsi="宋体" w:eastAsia="宋体" w:cs="宋体"/>
          <w:color w:val="000000"/>
          <w:szCs w:val="21"/>
          <w:highlight w:val="none"/>
        </w:rPr>
        <w:fldChar w:fldCharType="begin"/>
      </w:r>
      <w:r>
        <w:rPr>
          <w:rFonts w:hint="eastAsia" w:ascii="宋体" w:hAnsi="宋体" w:eastAsia="宋体" w:cs="宋体"/>
          <w:szCs w:val="21"/>
          <w:highlight w:val="none"/>
        </w:rPr>
        <w:instrText xml:space="preserve"> HYPERLINK \l _Toc8091 </w:instrText>
      </w:r>
      <w:r>
        <w:rPr>
          <w:rFonts w:hint="eastAsia" w:ascii="宋体" w:hAnsi="宋体" w:eastAsia="宋体" w:cs="宋体"/>
          <w:szCs w:val="21"/>
          <w:highlight w:val="none"/>
        </w:rPr>
        <w:fldChar w:fldCharType="separate"/>
      </w:r>
      <w:r>
        <w:rPr>
          <w:rFonts w:hint="eastAsia" w:ascii="宋体" w:hAnsi="宋体" w:eastAsia="宋体" w:cs="宋体"/>
          <w:highlight w:val="none"/>
        </w:rPr>
        <w:t>5.1 开标时间</w:t>
      </w:r>
      <w:r>
        <w:tab/>
      </w:r>
      <w:r>
        <w:fldChar w:fldCharType="begin"/>
      </w:r>
      <w:r>
        <w:instrText xml:space="preserve"> PAGEREF _Toc8091 \h </w:instrText>
      </w:r>
      <w:r>
        <w:fldChar w:fldCharType="separate"/>
      </w:r>
      <w:r>
        <w:t>22</w:t>
      </w:r>
      <w:r>
        <w:fldChar w:fldCharType="end"/>
      </w:r>
      <w:r>
        <w:rPr>
          <w:rFonts w:hint="eastAsia" w:ascii="宋体" w:hAnsi="宋体" w:eastAsia="宋体" w:cs="宋体"/>
          <w:color w:val="000000"/>
          <w:szCs w:val="21"/>
          <w:highlight w:val="none"/>
        </w:rPr>
        <w:fldChar w:fldCharType="end"/>
      </w:r>
    </w:p>
    <w:p w14:paraId="223FD459">
      <w:pPr>
        <w:pStyle w:val="18"/>
        <w:tabs>
          <w:tab w:val="right" w:leader="dot" w:pos="9638"/>
        </w:tabs>
      </w:pPr>
      <w:r>
        <w:rPr>
          <w:rFonts w:hint="eastAsia" w:ascii="宋体" w:hAnsi="宋体" w:eastAsia="宋体" w:cs="宋体"/>
          <w:color w:val="000000"/>
          <w:szCs w:val="21"/>
          <w:highlight w:val="none"/>
        </w:rPr>
        <w:fldChar w:fldCharType="begin"/>
      </w:r>
      <w:r>
        <w:rPr>
          <w:rFonts w:hint="eastAsia" w:ascii="宋体" w:hAnsi="宋体" w:eastAsia="宋体" w:cs="宋体"/>
          <w:szCs w:val="21"/>
          <w:highlight w:val="none"/>
        </w:rPr>
        <w:instrText xml:space="preserve"> HYPERLINK \l _Toc31886 </w:instrText>
      </w:r>
      <w:r>
        <w:rPr>
          <w:rFonts w:hint="eastAsia" w:ascii="宋体" w:hAnsi="宋体" w:eastAsia="宋体" w:cs="宋体"/>
          <w:szCs w:val="21"/>
          <w:highlight w:val="none"/>
        </w:rPr>
        <w:fldChar w:fldCharType="separate"/>
      </w:r>
      <w:r>
        <w:rPr>
          <w:rFonts w:hint="eastAsia" w:ascii="宋体" w:hAnsi="宋体" w:eastAsia="宋体" w:cs="宋体"/>
          <w:highlight w:val="none"/>
        </w:rPr>
        <w:t>5.2 开标程序</w:t>
      </w:r>
      <w:r>
        <w:tab/>
      </w:r>
      <w:r>
        <w:fldChar w:fldCharType="begin"/>
      </w:r>
      <w:r>
        <w:instrText xml:space="preserve"> PAGEREF _Toc31886 \h </w:instrText>
      </w:r>
      <w:r>
        <w:fldChar w:fldCharType="separate"/>
      </w:r>
      <w:r>
        <w:t>22</w:t>
      </w:r>
      <w:r>
        <w:fldChar w:fldCharType="end"/>
      </w:r>
      <w:r>
        <w:rPr>
          <w:rFonts w:hint="eastAsia" w:ascii="宋体" w:hAnsi="宋体" w:eastAsia="宋体" w:cs="宋体"/>
          <w:color w:val="000000"/>
          <w:szCs w:val="21"/>
          <w:highlight w:val="none"/>
        </w:rPr>
        <w:fldChar w:fldCharType="end"/>
      </w:r>
    </w:p>
    <w:p w14:paraId="235465F5">
      <w:pPr>
        <w:pStyle w:val="18"/>
        <w:tabs>
          <w:tab w:val="right" w:leader="dot" w:pos="9638"/>
        </w:tabs>
      </w:pPr>
      <w:r>
        <w:rPr>
          <w:rFonts w:hint="eastAsia" w:ascii="宋体" w:hAnsi="宋体" w:eastAsia="宋体" w:cs="宋体"/>
          <w:color w:val="000000"/>
          <w:szCs w:val="21"/>
          <w:highlight w:val="none"/>
        </w:rPr>
        <w:fldChar w:fldCharType="begin"/>
      </w:r>
      <w:r>
        <w:rPr>
          <w:rFonts w:hint="eastAsia" w:ascii="宋体" w:hAnsi="宋体" w:eastAsia="宋体" w:cs="宋体"/>
          <w:szCs w:val="21"/>
          <w:highlight w:val="none"/>
        </w:rPr>
        <w:instrText xml:space="preserve"> HYPERLINK \l _Toc6525 </w:instrText>
      </w:r>
      <w:r>
        <w:rPr>
          <w:rFonts w:hint="eastAsia" w:ascii="宋体" w:hAnsi="宋体" w:eastAsia="宋体" w:cs="宋体"/>
          <w:szCs w:val="21"/>
          <w:highlight w:val="none"/>
        </w:rPr>
        <w:fldChar w:fldCharType="separate"/>
      </w:r>
      <w:r>
        <w:rPr>
          <w:rFonts w:hint="eastAsia" w:ascii="宋体" w:hAnsi="宋体" w:eastAsia="宋体" w:cs="宋体"/>
          <w:highlight w:val="none"/>
        </w:rPr>
        <w:t>5.3 开标异议</w:t>
      </w:r>
      <w:r>
        <w:tab/>
      </w:r>
      <w:r>
        <w:fldChar w:fldCharType="begin"/>
      </w:r>
      <w:r>
        <w:instrText xml:space="preserve"> PAGEREF _Toc6525 \h </w:instrText>
      </w:r>
      <w:r>
        <w:fldChar w:fldCharType="separate"/>
      </w:r>
      <w:r>
        <w:t>22</w:t>
      </w:r>
      <w:r>
        <w:fldChar w:fldCharType="end"/>
      </w:r>
      <w:r>
        <w:rPr>
          <w:rFonts w:hint="eastAsia" w:ascii="宋体" w:hAnsi="宋体" w:eastAsia="宋体" w:cs="宋体"/>
          <w:color w:val="000000"/>
          <w:szCs w:val="21"/>
          <w:highlight w:val="none"/>
        </w:rPr>
        <w:fldChar w:fldCharType="end"/>
      </w:r>
    </w:p>
    <w:p w14:paraId="10FF4C12">
      <w:pPr>
        <w:pStyle w:val="18"/>
        <w:tabs>
          <w:tab w:val="right" w:leader="dot" w:pos="9638"/>
        </w:tabs>
      </w:pPr>
      <w:r>
        <w:rPr>
          <w:rFonts w:hint="eastAsia" w:ascii="宋体" w:hAnsi="宋体" w:eastAsia="宋体" w:cs="宋体"/>
          <w:color w:val="000000"/>
          <w:szCs w:val="21"/>
          <w:highlight w:val="none"/>
        </w:rPr>
        <w:fldChar w:fldCharType="begin"/>
      </w:r>
      <w:r>
        <w:rPr>
          <w:rFonts w:hint="eastAsia" w:ascii="宋体" w:hAnsi="宋体" w:eastAsia="宋体" w:cs="宋体"/>
          <w:szCs w:val="21"/>
          <w:highlight w:val="none"/>
        </w:rPr>
        <w:instrText xml:space="preserve"> HYPERLINK \l _Toc2187 </w:instrText>
      </w:r>
      <w:r>
        <w:rPr>
          <w:rFonts w:hint="eastAsia" w:ascii="宋体" w:hAnsi="宋体" w:eastAsia="宋体" w:cs="宋体"/>
          <w:szCs w:val="21"/>
          <w:highlight w:val="none"/>
        </w:rPr>
        <w:fldChar w:fldCharType="separate"/>
      </w:r>
      <w:r>
        <w:rPr>
          <w:rFonts w:hint="eastAsia" w:ascii="宋体" w:hAnsi="宋体" w:eastAsia="宋体" w:cs="宋体"/>
          <w:highlight w:val="none"/>
        </w:rPr>
        <w:t>5.4 电子招投标的其他开标要求及异常处理</w:t>
      </w:r>
      <w:r>
        <w:tab/>
      </w:r>
      <w:r>
        <w:fldChar w:fldCharType="begin"/>
      </w:r>
      <w:r>
        <w:instrText xml:space="preserve"> PAGEREF _Toc2187 \h </w:instrText>
      </w:r>
      <w:r>
        <w:fldChar w:fldCharType="separate"/>
      </w:r>
      <w:r>
        <w:t>22</w:t>
      </w:r>
      <w:r>
        <w:fldChar w:fldCharType="end"/>
      </w:r>
      <w:r>
        <w:rPr>
          <w:rFonts w:hint="eastAsia" w:ascii="宋体" w:hAnsi="宋体" w:eastAsia="宋体" w:cs="宋体"/>
          <w:color w:val="000000"/>
          <w:szCs w:val="21"/>
          <w:highlight w:val="none"/>
        </w:rPr>
        <w:fldChar w:fldCharType="end"/>
      </w:r>
    </w:p>
    <w:p w14:paraId="22C68599">
      <w:pPr>
        <w:pStyle w:val="18"/>
        <w:tabs>
          <w:tab w:val="right" w:leader="dot" w:pos="9638"/>
        </w:tabs>
      </w:pPr>
      <w:r>
        <w:rPr>
          <w:rFonts w:hint="eastAsia" w:ascii="宋体" w:hAnsi="宋体" w:eastAsia="宋体" w:cs="宋体"/>
          <w:color w:val="000000"/>
          <w:szCs w:val="21"/>
          <w:highlight w:val="none"/>
        </w:rPr>
        <w:fldChar w:fldCharType="begin"/>
      </w:r>
      <w:r>
        <w:rPr>
          <w:rFonts w:hint="eastAsia" w:ascii="宋体" w:hAnsi="宋体" w:eastAsia="宋体" w:cs="宋体"/>
          <w:szCs w:val="21"/>
          <w:highlight w:val="none"/>
        </w:rPr>
        <w:instrText xml:space="preserve"> HYPERLINK \l _Toc1598 </w:instrText>
      </w:r>
      <w:r>
        <w:rPr>
          <w:rFonts w:hint="eastAsia" w:ascii="宋体" w:hAnsi="宋体" w:eastAsia="宋体" w:cs="宋体"/>
          <w:szCs w:val="21"/>
          <w:highlight w:val="none"/>
        </w:rPr>
        <w:fldChar w:fldCharType="separate"/>
      </w:r>
      <w:r>
        <w:rPr>
          <w:rFonts w:hint="eastAsia" w:ascii="宋体" w:hAnsi="宋体" w:eastAsia="宋体" w:cs="宋体"/>
          <w:highlight w:val="none"/>
        </w:rPr>
        <w:t>5.5不得开标的情形</w:t>
      </w:r>
      <w:r>
        <w:tab/>
      </w:r>
      <w:r>
        <w:fldChar w:fldCharType="begin"/>
      </w:r>
      <w:r>
        <w:instrText xml:space="preserve"> PAGEREF _Toc1598 \h </w:instrText>
      </w:r>
      <w:r>
        <w:fldChar w:fldCharType="separate"/>
      </w:r>
      <w:r>
        <w:t>22</w:t>
      </w:r>
      <w:r>
        <w:fldChar w:fldCharType="end"/>
      </w:r>
      <w:r>
        <w:rPr>
          <w:rFonts w:hint="eastAsia" w:ascii="宋体" w:hAnsi="宋体" w:eastAsia="宋体" w:cs="宋体"/>
          <w:color w:val="000000"/>
          <w:szCs w:val="21"/>
          <w:highlight w:val="none"/>
        </w:rPr>
        <w:fldChar w:fldCharType="end"/>
      </w:r>
    </w:p>
    <w:p w14:paraId="18AFF0E6">
      <w:pPr>
        <w:pStyle w:val="31"/>
        <w:tabs>
          <w:tab w:val="right" w:leader="dot" w:pos="9638"/>
        </w:tabs>
      </w:pPr>
      <w:r>
        <w:rPr>
          <w:rFonts w:hint="eastAsia" w:ascii="宋体" w:hAnsi="宋体" w:eastAsia="宋体" w:cs="宋体"/>
          <w:color w:val="000000"/>
          <w:szCs w:val="21"/>
          <w:highlight w:val="none"/>
        </w:rPr>
        <w:fldChar w:fldCharType="begin"/>
      </w:r>
      <w:r>
        <w:rPr>
          <w:rFonts w:hint="eastAsia" w:ascii="宋体" w:hAnsi="宋体" w:eastAsia="宋体" w:cs="宋体"/>
          <w:szCs w:val="21"/>
          <w:highlight w:val="none"/>
        </w:rPr>
        <w:instrText xml:space="preserve"> HYPERLINK \l _Toc5956 </w:instrText>
      </w:r>
      <w:r>
        <w:rPr>
          <w:rFonts w:hint="eastAsia" w:ascii="宋体" w:hAnsi="宋体" w:eastAsia="宋体" w:cs="宋体"/>
          <w:szCs w:val="21"/>
          <w:highlight w:val="none"/>
        </w:rPr>
        <w:fldChar w:fldCharType="separate"/>
      </w:r>
      <w:r>
        <w:rPr>
          <w:rFonts w:hint="eastAsia" w:ascii="宋体" w:hAnsi="宋体" w:eastAsia="宋体" w:cs="宋体"/>
        </w:rPr>
        <w:t>6.评标</w:t>
      </w:r>
      <w:r>
        <w:tab/>
      </w:r>
      <w:r>
        <w:fldChar w:fldCharType="begin"/>
      </w:r>
      <w:r>
        <w:instrText xml:space="preserve"> PAGEREF _Toc5956 \h </w:instrText>
      </w:r>
      <w:r>
        <w:fldChar w:fldCharType="separate"/>
      </w:r>
      <w:r>
        <w:t>23</w:t>
      </w:r>
      <w:r>
        <w:fldChar w:fldCharType="end"/>
      </w:r>
      <w:r>
        <w:rPr>
          <w:rFonts w:hint="eastAsia" w:ascii="宋体" w:hAnsi="宋体" w:eastAsia="宋体" w:cs="宋体"/>
          <w:color w:val="000000"/>
          <w:szCs w:val="21"/>
          <w:highlight w:val="none"/>
        </w:rPr>
        <w:fldChar w:fldCharType="end"/>
      </w:r>
    </w:p>
    <w:p w14:paraId="74D63C37">
      <w:pPr>
        <w:pStyle w:val="18"/>
        <w:tabs>
          <w:tab w:val="right" w:leader="dot" w:pos="9638"/>
        </w:tabs>
      </w:pPr>
      <w:r>
        <w:rPr>
          <w:rFonts w:hint="eastAsia" w:ascii="宋体" w:hAnsi="宋体" w:eastAsia="宋体" w:cs="宋体"/>
          <w:color w:val="000000"/>
          <w:szCs w:val="21"/>
          <w:highlight w:val="none"/>
        </w:rPr>
        <w:fldChar w:fldCharType="begin"/>
      </w:r>
      <w:r>
        <w:rPr>
          <w:rFonts w:hint="eastAsia" w:ascii="宋体" w:hAnsi="宋体" w:eastAsia="宋体" w:cs="宋体"/>
          <w:szCs w:val="21"/>
          <w:highlight w:val="none"/>
        </w:rPr>
        <w:instrText xml:space="preserve"> HYPERLINK \l _Toc17861 </w:instrText>
      </w:r>
      <w:r>
        <w:rPr>
          <w:rFonts w:hint="eastAsia" w:ascii="宋体" w:hAnsi="宋体" w:eastAsia="宋体" w:cs="宋体"/>
          <w:szCs w:val="21"/>
          <w:highlight w:val="none"/>
        </w:rPr>
        <w:fldChar w:fldCharType="separate"/>
      </w:r>
      <w:r>
        <w:rPr>
          <w:rFonts w:hint="eastAsia" w:ascii="宋体" w:hAnsi="宋体" w:eastAsia="宋体" w:cs="宋体"/>
          <w:highlight w:val="none"/>
        </w:rPr>
        <w:t>6.1 评标委员会</w:t>
      </w:r>
      <w:r>
        <w:tab/>
      </w:r>
      <w:r>
        <w:fldChar w:fldCharType="begin"/>
      </w:r>
      <w:r>
        <w:instrText xml:space="preserve"> PAGEREF _Toc17861 \h </w:instrText>
      </w:r>
      <w:r>
        <w:fldChar w:fldCharType="separate"/>
      </w:r>
      <w:r>
        <w:t>23</w:t>
      </w:r>
      <w:r>
        <w:fldChar w:fldCharType="end"/>
      </w:r>
      <w:r>
        <w:rPr>
          <w:rFonts w:hint="eastAsia" w:ascii="宋体" w:hAnsi="宋体" w:eastAsia="宋体" w:cs="宋体"/>
          <w:color w:val="000000"/>
          <w:szCs w:val="21"/>
          <w:highlight w:val="none"/>
        </w:rPr>
        <w:fldChar w:fldCharType="end"/>
      </w:r>
    </w:p>
    <w:p w14:paraId="79BD0D38">
      <w:pPr>
        <w:pStyle w:val="18"/>
        <w:tabs>
          <w:tab w:val="right" w:leader="dot" w:pos="9638"/>
        </w:tabs>
      </w:pPr>
      <w:r>
        <w:rPr>
          <w:rFonts w:hint="eastAsia" w:ascii="宋体" w:hAnsi="宋体" w:eastAsia="宋体" w:cs="宋体"/>
          <w:color w:val="000000"/>
          <w:szCs w:val="21"/>
          <w:highlight w:val="none"/>
        </w:rPr>
        <w:fldChar w:fldCharType="begin"/>
      </w:r>
      <w:r>
        <w:rPr>
          <w:rFonts w:hint="eastAsia" w:ascii="宋体" w:hAnsi="宋体" w:eastAsia="宋体" w:cs="宋体"/>
          <w:szCs w:val="21"/>
          <w:highlight w:val="none"/>
        </w:rPr>
        <w:instrText xml:space="preserve"> HYPERLINK \l _Toc21947 </w:instrText>
      </w:r>
      <w:r>
        <w:rPr>
          <w:rFonts w:hint="eastAsia" w:ascii="宋体" w:hAnsi="宋体" w:eastAsia="宋体" w:cs="宋体"/>
          <w:szCs w:val="21"/>
          <w:highlight w:val="none"/>
        </w:rPr>
        <w:fldChar w:fldCharType="separate"/>
      </w:r>
      <w:r>
        <w:rPr>
          <w:rFonts w:hint="eastAsia" w:ascii="宋体" w:hAnsi="宋体" w:eastAsia="宋体" w:cs="宋体"/>
          <w:highlight w:val="none"/>
        </w:rPr>
        <w:t>6.2 评标原则</w:t>
      </w:r>
      <w:r>
        <w:tab/>
      </w:r>
      <w:r>
        <w:fldChar w:fldCharType="begin"/>
      </w:r>
      <w:r>
        <w:instrText xml:space="preserve"> PAGEREF _Toc21947 \h </w:instrText>
      </w:r>
      <w:r>
        <w:fldChar w:fldCharType="separate"/>
      </w:r>
      <w:r>
        <w:t>23</w:t>
      </w:r>
      <w:r>
        <w:fldChar w:fldCharType="end"/>
      </w:r>
      <w:r>
        <w:rPr>
          <w:rFonts w:hint="eastAsia" w:ascii="宋体" w:hAnsi="宋体" w:eastAsia="宋体" w:cs="宋体"/>
          <w:color w:val="000000"/>
          <w:szCs w:val="21"/>
          <w:highlight w:val="none"/>
        </w:rPr>
        <w:fldChar w:fldCharType="end"/>
      </w:r>
    </w:p>
    <w:p w14:paraId="58BC91E8">
      <w:pPr>
        <w:pStyle w:val="18"/>
        <w:tabs>
          <w:tab w:val="right" w:leader="dot" w:pos="9638"/>
        </w:tabs>
      </w:pPr>
      <w:r>
        <w:rPr>
          <w:rFonts w:hint="eastAsia" w:ascii="宋体" w:hAnsi="宋体" w:eastAsia="宋体" w:cs="宋体"/>
          <w:color w:val="000000"/>
          <w:szCs w:val="21"/>
          <w:highlight w:val="none"/>
        </w:rPr>
        <w:fldChar w:fldCharType="begin"/>
      </w:r>
      <w:r>
        <w:rPr>
          <w:rFonts w:hint="eastAsia" w:ascii="宋体" w:hAnsi="宋体" w:eastAsia="宋体" w:cs="宋体"/>
          <w:szCs w:val="21"/>
          <w:highlight w:val="none"/>
        </w:rPr>
        <w:instrText xml:space="preserve"> HYPERLINK \l _Toc21213 </w:instrText>
      </w:r>
      <w:r>
        <w:rPr>
          <w:rFonts w:hint="eastAsia" w:ascii="宋体" w:hAnsi="宋体" w:eastAsia="宋体" w:cs="宋体"/>
          <w:szCs w:val="21"/>
          <w:highlight w:val="none"/>
        </w:rPr>
        <w:fldChar w:fldCharType="separate"/>
      </w:r>
      <w:r>
        <w:rPr>
          <w:rFonts w:hint="eastAsia" w:ascii="宋体" w:hAnsi="宋体" w:eastAsia="宋体" w:cs="宋体"/>
          <w:highlight w:val="none"/>
        </w:rPr>
        <w:t>6.3 评标方法</w:t>
      </w:r>
      <w:r>
        <w:tab/>
      </w:r>
      <w:r>
        <w:fldChar w:fldCharType="begin"/>
      </w:r>
      <w:r>
        <w:instrText xml:space="preserve"> PAGEREF _Toc21213 \h </w:instrText>
      </w:r>
      <w:r>
        <w:fldChar w:fldCharType="separate"/>
      </w:r>
      <w:r>
        <w:t>23</w:t>
      </w:r>
      <w:r>
        <w:fldChar w:fldCharType="end"/>
      </w:r>
      <w:r>
        <w:rPr>
          <w:rFonts w:hint="eastAsia" w:ascii="宋体" w:hAnsi="宋体" w:eastAsia="宋体" w:cs="宋体"/>
          <w:color w:val="000000"/>
          <w:szCs w:val="21"/>
          <w:highlight w:val="none"/>
        </w:rPr>
        <w:fldChar w:fldCharType="end"/>
      </w:r>
    </w:p>
    <w:p w14:paraId="6879D93C">
      <w:pPr>
        <w:pStyle w:val="18"/>
        <w:tabs>
          <w:tab w:val="right" w:leader="dot" w:pos="9638"/>
        </w:tabs>
      </w:pPr>
      <w:r>
        <w:rPr>
          <w:rFonts w:hint="eastAsia" w:ascii="宋体" w:hAnsi="宋体" w:eastAsia="宋体" w:cs="宋体"/>
          <w:color w:val="000000"/>
          <w:szCs w:val="21"/>
          <w:highlight w:val="none"/>
        </w:rPr>
        <w:fldChar w:fldCharType="begin"/>
      </w:r>
      <w:r>
        <w:rPr>
          <w:rFonts w:hint="eastAsia" w:ascii="宋体" w:hAnsi="宋体" w:eastAsia="宋体" w:cs="宋体"/>
          <w:szCs w:val="21"/>
          <w:highlight w:val="none"/>
        </w:rPr>
        <w:instrText xml:space="preserve"> HYPERLINK \l _Toc5657 </w:instrText>
      </w:r>
      <w:r>
        <w:rPr>
          <w:rFonts w:hint="eastAsia" w:ascii="宋体" w:hAnsi="宋体" w:eastAsia="宋体" w:cs="宋体"/>
          <w:szCs w:val="21"/>
          <w:highlight w:val="none"/>
        </w:rPr>
        <w:fldChar w:fldCharType="separate"/>
      </w:r>
      <w:r>
        <w:rPr>
          <w:rFonts w:hint="eastAsia" w:ascii="宋体" w:hAnsi="宋体" w:eastAsia="宋体" w:cs="宋体"/>
          <w:highlight w:val="none"/>
        </w:rPr>
        <w:t>6.4 中标候选人推荐原则</w:t>
      </w:r>
      <w:r>
        <w:tab/>
      </w:r>
      <w:r>
        <w:fldChar w:fldCharType="begin"/>
      </w:r>
      <w:r>
        <w:instrText xml:space="preserve"> PAGEREF _Toc5657 \h </w:instrText>
      </w:r>
      <w:r>
        <w:fldChar w:fldCharType="separate"/>
      </w:r>
      <w:r>
        <w:t>23</w:t>
      </w:r>
      <w:r>
        <w:fldChar w:fldCharType="end"/>
      </w:r>
      <w:r>
        <w:rPr>
          <w:rFonts w:hint="eastAsia" w:ascii="宋体" w:hAnsi="宋体" w:eastAsia="宋体" w:cs="宋体"/>
          <w:color w:val="000000"/>
          <w:szCs w:val="21"/>
          <w:highlight w:val="none"/>
        </w:rPr>
        <w:fldChar w:fldCharType="end"/>
      </w:r>
    </w:p>
    <w:p w14:paraId="4652CA51">
      <w:pPr>
        <w:pStyle w:val="18"/>
        <w:tabs>
          <w:tab w:val="right" w:leader="dot" w:pos="9638"/>
        </w:tabs>
      </w:pPr>
      <w:r>
        <w:rPr>
          <w:rFonts w:hint="eastAsia" w:ascii="宋体" w:hAnsi="宋体" w:eastAsia="宋体" w:cs="宋体"/>
          <w:color w:val="000000"/>
          <w:szCs w:val="21"/>
          <w:highlight w:val="none"/>
        </w:rPr>
        <w:fldChar w:fldCharType="begin"/>
      </w:r>
      <w:r>
        <w:rPr>
          <w:rFonts w:hint="eastAsia" w:ascii="宋体" w:hAnsi="宋体" w:eastAsia="宋体" w:cs="宋体"/>
          <w:szCs w:val="21"/>
          <w:highlight w:val="none"/>
        </w:rPr>
        <w:instrText xml:space="preserve"> HYPERLINK \l _Toc5998 </w:instrText>
      </w:r>
      <w:r>
        <w:rPr>
          <w:rFonts w:hint="eastAsia" w:ascii="宋体" w:hAnsi="宋体" w:eastAsia="宋体" w:cs="宋体"/>
          <w:szCs w:val="21"/>
          <w:highlight w:val="none"/>
        </w:rPr>
        <w:fldChar w:fldCharType="separate"/>
      </w:r>
      <w:r>
        <w:rPr>
          <w:rFonts w:hint="eastAsia" w:ascii="宋体" w:hAnsi="宋体" w:eastAsia="宋体" w:cs="宋体"/>
          <w:highlight w:val="none"/>
        </w:rPr>
        <w:t>6.5 评标报告</w:t>
      </w:r>
      <w:r>
        <w:tab/>
      </w:r>
      <w:r>
        <w:fldChar w:fldCharType="begin"/>
      </w:r>
      <w:r>
        <w:instrText xml:space="preserve"> PAGEREF _Toc5998 \h </w:instrText>
      </w:r>
      <w:r>
        <w:fldChar w:fldCharType="separate"/>
      </w:r>
      <w:r>
        <w:t>23</w:t>
      </w:r>
      <w:r>
        <w:fldChar w:fldCharType="end"/>
      </w:r>
      <w:r>
        <w:rPr>
          <w:rFonts w:hint="eastAsia" w:ascii="宋体" w:hAnsi="宋体" w:eastAsia="宋体" w:cs="宋体"/>
          <w:color w:val="000000"/>
          <w:szCs w:val="21"/>
          <w:highlight w:val="none"/>
        </w:rPr>
        <w:fldChar w:fldCharType="end"/>
      </w:r>
    </w:p>
    <w:p w14:paraId="579CE024">
      <w:pPr>
        <w:pStyle w:val="31"/>
        <w:tabs>
          <w:tab w:val="right" w:leader="dot" w:pos="9638"/>
        </w:tabs>
      </w:pPr>
      <w:r>
        <w:rPr>
          <w:rFonts w:hint="eastAsia" w:ascii="宋体" w:hAnsi="宋体" w:eastAsia="宋体" w:cs="宋体"/>
          <w:color w:val="000000"/>
          <w:szCs w:val="21"/>
          <w:highlight w:val="none"/>
        </w:rPr>
        <w:fldChar w:fldCharType="begin"/>
      </w:r>
      <w:r>
        <w:rPr>
          <w:rFonts w:hint="eastAsia" w:ascii="宋体" w:hAnsi="宋体" w:eastAsia="宋体" w:cs="宋体"/>
          <w:szCs w:val="21"/>
          <w:highlight w:val="none"/>
        </w:rPr>
        <w:instrText xml:space="preserve"> HYPERLINK \l _Toc384 </w:instrText>
      </w:r>
      <w:r>
        <w:rPr>
          <w:rFonts w:hint="eastAsia" w:ascii="宋体" w:hAnsi="宋体" w:eastAsia="宋体" w:cs="宋体"/>
          <w:szCs w:val="21"/>
          <w:highlight w:val="none"/>
        </w:rPr>
        <w:fldChar w:fldCharType="separate"/>
      </w:r>
      <w:r>
        <w:rPr>
          <w:rFonts w:hint="eastAsia" w:ascii="宋体" w:hAnsi="宋体" w:eastAsia="宋体" w:cs="宋体"/>
        </w:rPr>
        <w:t>7.中标</w:t>
      </w:r>
      <w:r>
        <w:tab/>
      </w:r>
      <w:r>
        <w:fldChar w:fldCharType="begin"/>
      </w:r>
      <w:r>
        <w:instrText xml:space="preserve"> PAGEREF _Toc384 \h </w:instrText>
      </w:r>
      <w:r>
        <w:fldChar w:fldCharType="separate"/>
      </w:r>
      <w:r>
        <w:t>24</w:t>
      </w:r>
      <w:r>
        <w:fldChar w:fldCharType="end"/>
      </w:r>
      <w:r>
        <w:rPr>
          <w:rFonts w:hint="eastAsia" w:ascii="宋体" w:hAnsi="宋体" w:eastAsia="宋体" w:cs="宋体"/>
          <w:color w:val="000000"/>
          <w:szCs w:val="21"/>
          <w:highlight w:val="none"/>
        </w:rPr>
        <w:fldChar w:fldCharType="end"/>
      </w:r>
    </w:p>
    <w:p w14:paraId="6803A56D">
      <w:pPr>
        <w:pStyle w:val="18"/>
        <w:tabs>
          <w:tab w:val="right" w:leader="dot" w:pos="9638"/>
        </w:tabs>
      </w:pPr>
      <w:r>
        <w:rPr>
          <w:rFonts w:hint="eastAsia" w:ascii="宋体" w:hAnsi="宋体" w:eastAsia="宋体" w:cs="宋体"/>
          <w:color w:val="000000"/>
          <w:szCs w:val="21"/>
          <w:highlight w:val="none"/>
        </w:rPr>
        <w:fldChar w:fldCharType="begin"/>
      </w:r>
      <w:r>
        <w:rPr>
          <w:rFonts w:hint="eastAsia" w:ascii="宋体" w:hAnsi="宋体" w:eastAsia="宋体" w:cs="宋体"/>
          <w:szCs w:val="21"/>
          <w:highlight w:val="none"/>
        </w:rPr>
        <w:instrText xml:space="preserve"> HYPERLINK \l _Toc19333 </w:instrText>
      </w:r>
      <w:r>
        <w:rPr>
          <w:rFonts w:hint="eastAsia" w:ascii="宋体" w:hAnsi="宋体" w:eastAsia="宋体" w:cs="宋体"/>
          <w:szCs w:val="21"/>
          <w:highlight w:val="none"/>
        </w:rPr>
        <w:fldChar w:fldCharType="separate"/>
      </w:r>
      <w:r>
        <w:rPr>
          <w:rFonts w:hint="eastAsia" w:ascii="宋体" w:hAnsi="宋体" w:eastAsia="宋体" w:cs="宋体"/>
          <w:highlight w:val="none"/>
        </w:rPr>
        <w:t>7.1 中标候选人公示</w:t>
      </w:r>
      <w:r>
        <w:tab/>
      </w:r>
      <w:r>
        <w:fldChar w:fldCharType="begin"/>
      </w:r>
      <w:r>
        <w:instrText xml:space="preserve"> PAGEREF _Toc19333 \h </w:instrText>
      </w:r>
      <w:r>
        <w:fldChar w:fldCharType="separate"/>
      </w:r>
      <w:r>
        <w:t>24</w:t>
      </w:r>
      <w:r>
        <w:fldChar w:fldCharType="end"/>
      </w:r>
      <w:r>
        <w:rPr>
          <w:rFonts w:hint="eastAsia" w:ascii="宋体" w:hAnsi="宋体" w:eastAsia="宋体" w:cs="宋体"/>
          <w:color w:val="000000"/>
          <w:szCs w:val="21"/>
          <w:highlight w:val="none"/>
        </w:rPr>
        <w:fldChar w:fldCharType="end"/>
      </w:r>
    </w:p>
    <w:p w14:paraId="3D1C79E5">
      <w:pPr>
        <w:pStyle w:val="18"/>
        <w:tabs>
          <w:tab w:val="right" w:leader="dot" w:pos="9638"/>
        </w:tabs>
      </w:pPr>
      <w:r>
        <w:rPr>
          <w:rFonts w:hint="eastAsia" w:ascii="宋体" w:hAnsi="宋体" w:eastAsia="宋体" w:cs="宋体"/>
          <w:color w:val="000000"/>
          <w:szCs w:val="21"/>
          <w:highlight w:val="none"/>
        </w:rPr>
        <w:fldChar w:fldCharType="begin"/>
      </w:r>
      <w:r>
        <w:rPr>
          <w:rFonts w:hint="eastAsia" w:ascii="宋体" w:hAnsi="宋体" w:eastAsia="宋体" w:cs="宋体"/>
          <w:szCs w:val="21"/>
          <w:highlight w:val="none"/>
        </w:rPr>
        <w:instrText xml:space="preserve"> HYPERLINK \l _Toc7545 </w:instrText>
      </w:r>
      <w:r>
        <w:rPr>
          <w:rFonts w:hint="eastAsia" w:ascii="宋体" w:hAnsi="宋体" w:eastAsia="宋体" w:cs="宋体"/>
          <w:szCs w:val="21"/>
          <w:highlight w:val="none"/>
        </w:rPr>
        <w:fldChar w:fldCharType="separate"/>
      </w:r>
      <w:r>
        <w:rPr>
          <w:rFonts w:hint="eastAsia" w:ascii="宋体" w:hAnsi="宋体" w:eastAsia="宋体" w:cs="宋体"/>
          <w:highlight w:val="none"/>
        </w:rPr>
        <w:t>7.2 确定中标人</w:t>
      </w:r>
      <w:r>
        <w:tab/>
      </w:r>
      <w:r>
        <w:fldChar w:fldCharType="begin"/>
      </w:r>
      <w:r>
        <w:instrText xml:space="preserve"> PAGEREF _Toc7545 \h </w:instrText>
      </w:r>
      <w:r>
        <w:fldChar w:fldCharType="separate"/>
      </w:r>
      <w:r>
        <w:t>24</w:t>
      </w:r>
      <w:r>
        <w:fldChar w:fldCharType="end"/>
      </w:r>
      <w:r>
        <w:rPr>
          <w:rFonts w:hint="eastAsia" w:ascii="宋体" w:hAnsi="宋体" w:eastAsia="宋体" w:cs="宋体"/>
          <w:color w:val="000000"/>
          <w:szCs w:val="21"/>
          <w:highlight w:val="none"/>
        </w:rPr>
        <w:fldChar w:fldCharType="end"/>
      </w:r>
    </w:p>
    <w:p w14:paraId="33ECB8EC">
      <w:pPr>
        <w:pStyle w:val="18"/>
        <w:tabs>
          <w:tab w:val="right" w:leader="dot" w:pos="9638"/>
        </w:tabs>
      </w:pPr>
      <w:r>
        <w:rPr>
          <w:rFonts w:hint="eastAsia" w:ascii="宋体" w:hAnsi="宋体" w:eastAsia="宋体" w:cs="宋体"/>
          <w:color w:val="000000"/>
          <w:szCs w:val="21"/>
          <w:highlight w:val="none"/>
        </w:rPr>
        <w:fldChar w:fldCharType="begin"/>
      </w:r>
      <w:r>
        <w:rPr>
          <w:rFonts w:hint="eastAsia" w:ascii="宋体" w:hAnsi="宋体" w:eastAsia="宋体" w:cs="宋体"/>
          <w:szCs w:val="21"/>
          <w:highlight w:val="none"/>
        </w:rPr>
        <w:instrText xml:space="preserve"> HYPERLINK \l _Toc32138 </w:instrText>
      </w:r>
      <w:r>
        <w:rPr>
          <w:rFonts w:hint="eastAsia" w:ascii="宋体" w:hAnsi="宋体" w:eastAsia="宋体" w:cs="宋体"/>
          <w:szCs w:val="21"/>
          <w:highlight w:val="none"/>
        </w:rPr>
        <w:fldChar w:fldCharType="separate"/>
      </w:r>
      <w:r>
        <w:rPr>
          <w:rFonts w:hint="eastAsia" w:ascii="宋体" w:hAnsi="宋体" w:eastAsia="宋体" w:cs="宋体"/>
          <w:highlight w:val="none"/>
        </w:rPr>
        <w:t>7.3 中标结果公示</w:t>
      </w:r>
      <w:r>
        <w:tab/>
      </w:r>
      <w:r>
        <w:fldChar w:fldCharType="begin"/>
      </w:r>
      <w:r>
        <w:instrText xml:space="preserve"> PAGEREF _Toc32138 \h </w:instrText>
      </w:r>
      <w:r>
        <w:fldChar w:fldCharType="separate"/>
      </w:r>
      <w:r>
        <w:t>25</w:t>
      </w:r>
      <w:r>
        <w:fldChar w:fldCharType="end"/>
      </w:r>
      <w:r>
        <w:rPr>
          <w:rFonts w:hint="eastAsia" w:ascii="宋体" w:hAnsi="宋体" w:eastAsia="宋体" w:cs="宋体"/>
          <w:color w:val="000000"/>
          <w:szCs w:val="21"/>
          <w:highlight w:val="none"/>
        </w:rPr>
        <w:fldChar w:fldCharType="end"/>
      </w:r>
    </w:p>
    <w:p w14:paraId="365D7A5F">
      <w:pPr>
        <w:pStyle w:val="18"/>
        <w:tabs>
          <w:tab w:val="right" w:leader="dot" w:pos="9638"/>
        </w:tabs>
      </w:pPr>
      <w:r>
        <w:rPr>
          <w:rFonts w:hint="eastAsia" w:ascii="宋体" w:hAnsi="宋体" w:eastAsia="宋体" w:cs="宋体"/>
          <w:color w:val="000000"/>
          <w:szCs w:val="21"/>
          <w:highlight w:val="none"/>
        </w:rPr>
        <w:fldChar w:fldCharType="begin"/>
      </w:r>
      <w:r>
        <w:rPr>
          <w:rFonts w:hint="eastAsia" w:ascii="宋体" w:hAnsi="宋体" w:eastAsia="宋体" w:cs="宋体"/>
          <w:szCs w:val="21"/>
          <w:highlight w:val="none"/>
        </w:rPr>
        <w:instrText xml:space="preserve"> HYPERLINK \l _Toc27069 </w:instrText>
      </w:r>
      <w:r>
        <w:rPr>
          <w:rFonts w:hint="eastAsia" w:ascii="宋体" w:hAnsi="宋体" w:eastAsia="宋体" w:cs="宋体"/>
          <w:szCs w:val="21"/>
          <w:highlight w:val="none"/>
        </w:rPr>
        <w:fldChar w:fldCharType="separate"/>
      </w:r>
      <w:r>
        <w:rPr>
          <w:rFonts w:hint="eastAsia" w:ascii="宋体" w:hAnsi="宋体" w:eastAsia="宋体" w:cs="宋体"/>
          <w:highlight w:val="none"/>
        </w:rPr>
        <w:t>7.4 中标通知</w:t>
      </w:r>
      <w:r>
        <w:tab/>
      </w:r>
      <w:r>
        <w:fldChar w:fldCharType="begin"/>
      </w:r>
      <w:r>
        <w:instrText xml:space="preserve"> PAGEREF _Toc27069 \h </w:instrText>
      </w:r>
      <w:r>
        <w:fldChar w:fldCharType="separate"/>
      </w:r>
      <w:r>
        <w:t>25</w:t>
      </w:r>
      <w:r>
        <w:fldChar w:fldCharType="end"/>
      </w:r>
      <w:r>
        <w:rPr>
          <w:rFonts w:hint="eastAsia" w:ascii="宋体" w:hAnsi="宋体" w:eastAsia="宋体" w:cs="宋体"/>
          <w:color w:val="000000"/>
          <w:szCs w:val="21"/>
          <w:highlight w:val="none"/>
        </w:rPr>
        <w:fldChar w:fldCharType="end"/>
      </w:r>
    </w:p>
    <w:p w14:paraId="7D80277D">
      <w:pPr>
        <w:pStyle w:val="31"/>
        <w:tabs>
          <w:tab w:val="right" w:leader="dot" w:pos="9638"/>
        </w:tabs>
      </w:pPr>
      <w:r>
        <w:rPr>
          <w:rFonts w:hint="eastAsia" w:ascii="宋体" w:hAnsi="宋体" w:eastAsia="宋体" w:cs="宋体"/>
          <w:color w:val="000000"/>
          <w:szCs w:val="21"/>
          <w:highlight w:val="none"/>
        </w:rPr>
        <w:fldChar w:fldCharType="begin"/>
      </w:r>
      <w:r>
        <w:rPr>
          <w:rFonts w:hint="eastAsia" w:ascii="宋体" w:hAnsi="宋体" w:eastAsia="宋体" w:cs="宋体"/>
          <w:szCs w:val="21"/>
          <w:highlight w:val="none"/>
        </w:rPr>
        <w:instrText xml:space="preserve"> HYPERLINK \l _Toc5473 </w:instrText>
      </w:r>
      <w:r>
        <w:rPr>
          <w:rFonts w:hint="eastAsia" w:ascii="宋体" w:hAnsi="宋体" w:eastAsia="宋体" w:cs="宋体"/>
          <w:szCs w:val="21"/>
          <w:highlight w:val="none"/>
        </w:rPr>
        <w:fldChar w:fldCharType="separate"/>
      </w:r>
      <w:r>
        <w:rPr>
          <w:rFonts w:hint="eastAsia" w:ascii="宋体" w:hAnsi="宋体" w:eastAsia="宋体" w:cs="宋体"/>
        </w:rPr>
        <w:t>8.合同签订</w:t>
      </w:r>
      <w:r>
        <w:tab/>
      </w:r>
      <w:r>
        <w:fldChar w:fldCharType="begin"/>
      </w:r>
      <w:r>
        <w:instrText xml:space="preserve"> PAGEREF _Toc5473 \h </w:instrText>
      </w:r>
      <w:r>
        <w:fldChar w:fldCharType="separate"/>
      </w:r>
      <w:r>
        <w:t>25</w:t>
      </w:r>
      <w:r>
        <w:fldChar w:fldCharType="end"/>
      </w:r>
      <w:r>
        <w:rPr>
          <w:rFonts w:hint="eastAsia" w:ascii="宋体" w:hAnsi="宋体" w:eastAsia="宋体" w:cs="宋体"/>
          <w:color w:val="000000"/>
          <w:szCs w:val="21"/>
          <w:highlight w:val="none"/>
        </w:rPr>
        <w:fldChar w:fldCharType="end"/>
      </w:r>
    </w:p>
    <w:p w14:paraId="326A99AD">
      <w:pPr>
        <w:pStyle w:val="18"/>
        <w:tabs>
          <w:tab w:val="right" w:leader="dot" w:pos="9638"/>
        </w:tabs>
      </w:pPr>
      <w:r>
        <w:rPr>
          <w:rFonts w:hint="eastAsia" w:ascii="宋体" w:hAnsi="宋体" w:eastAsia="宋体" w:cs="宋体"/>
          <w:color w:val="000000"/>
          <w:szCs w:val="21"/>
          <w:highlight w:val="none"/>
        </w:rPr>
        <w:fldChar w:fldCharType="begin"/>
      </w:r>
      <w:r>
        <w:rPr>
          <w:rFonts w:hint="eastAsia" w:ascii="宋体" w:hAnsi="宋体" w:eastAsia="宋体" w:cs="宋体"/>
          <w:szCs w:val="21"/>
          <w:highlight w:val="none"/>
        </w:rPr>
        <w:instrText xml:space="preserve"> HYPERLINK \l _Toc16752 </w:instrText>
      </w:r>
      <w:r>
        <w:rPr>
          <w:rFonts w:hint="eastAsia" w:ascii="宋体" w:hAnsi="宋体" w:eastAsia="宋体" w:cs="宋体"/>
          <w:szCs w:val="21"/>
          <w:highlight w:val="none"/>
        </w:rPr>
        <w:fldChar w:fldCharType="separate"/>
      </w:r>
      <w:r>
        <w:rPr>
          <w:rFonts w:hint="eastAsia" w:ascii="宋体" w:hAnsi="宋体" w:eastAsia="宋体" w:cs="宋体"/>
          <w:highlight w:val="none"/>
        </w:rPr>
        <w:t>8.1 履约保证金</w:t>
      </w:r>
      <w:r>
        <w:tab/>
      </w:r>
      <w:r>
        <w:fldChar w:fldCharType="begin"/>
      </w:r>
      <w:r>
        <w:instrText xml:space="preserve"> PAGEREF _Toc16752 \h </w:instrText>
      </w:r>
      <w:r>
        <w:fldChar w:fldCharType="separate"/>
      </w:r>
      <w:r>
        <w:t>25</w:t>
      </w:r>
      <w:r>
        <w:fldChar w:fldCharType="end"/>
      </w:r>
      <w:r>
        <w:rPr>
          <w:rFonts w:hint="eastAsia" w:ascii="宋体" w:hAnsi="宋体" w:eastAsia="宋体" w:cs="宋体"/>
          <w:color w:val="000000"/>
          <w:szCs w:val="21"/>
          <w:highlight w:val="none"/>
        </w:rPr>
        <w:fldChar w:fldCharType="end"/>
      </w:r>
    </w:p>
    <w:p w14:paraId="6558633E">
      <w:pPr>
        <w:pStyle w:val="18"/>
        <w:tabs>
          <w:tab w:val="right" w:leader="dot" w:pos="9638"/>
        </w:tabs>
      </w:pPr>
      <w:r>
        <w:rPr>
          <w:rFonts w:hint="eastAsia" w:ascii="宋体" w:hAnsi="宋体" w:eastAsia="宋体" w:cs="宋体"/>
          <w:color w:val="000000"/>
          <w:szCs w:val="21"/>
          <w:highlight w:val="none"/>
        </w:rPr>
        <w:fldChar w:fldCharType="begin"/>
      </w:r>
      <w:r>
        <w:rPr>
          <w:rFonts w:hint="eastAsia" w:ascii="宋体" w:hAnsi="宋体" w:eastAsia="宋体" w:cs="宋体"/>
          <w:szCs w:val="21"/>
          <w:highlight w:val="none"/>
        </w:rPr>
        <w:instrText xml:space="preserve"> HYPERLINK \l _Toc28993 </w:instrText>
      </w:r>
      <w:r>
        <w:rPr>
          <w:rFonts w:hint="eastAsia" w:ascii="宋体" w:hAnsi="宋体" w:eastAsia="宋体" w:cs="宋体"/>
          <w:szCs w:val="21"/>
          <w:highlight w:val="none"/>
        </w:rPr>
        <w:fldChar w:fldCharType="separate"/>
      </w:r>
      <w:r>
        <w:rPr>
          <w:rFonts w:hint="eastAsia" w:ascii="宋体" w:hAnsi="宋体" w:eastAsia="宋体" w:cs="宋体"/>
          <w:highlight w:val="none"/>
        </w:rPr>
        <w:t>8.2 合同签订</w:t>
      </w:r>
      <w:r>
        <w:tab/>
      </w:r>
      <w:r>
        <w:fldChar w:fldCharType="begin"/>
      </w:r>
      <w:r>
        <w:instrText xml:space="preserve"> PAGEREF _Toc28993 \h </w:instrText>
      </w:r>
      <w:r>
        <w:fldChar w:fldCharType="separate"/>
      </w:r>
      <w:r>
        <w:t>25</w:t>
      </w:r>
      <w:r>
        <w:fldChar w:fldCharType="end"/>
      </w:r>
      <w:r>
        <w:rPr>
          <w:rFonts w:hint="eastAsia" w:ascii="宋体" w:hAnsi="宋体" w:eastAsia="宋体" w:cs="宋体"/>
          <w:color w:val="000000"/>
          <w:szCs w:val="21"/>
          <w:highlight w:val="none"/>
        </w:rPr>
        <w:fldChar w:fldCharType="end"/>
      </w:r>
    </w:p>
    <w:p w14:paraId="62F9AFAB">
      <w:pPr>
        <w:pStyle w:val="31"/>
        <w:tabs>
          <w:tab w:val="right" w:leader="dot" w:pos="9638"/>
        </w:tabs>
      </w:pPr>
      <w:r>
        <w:rPr>
          <w:rFonts w:hint="eastAsia" w:ascii="宋体" w:hAnsi="宋体" w:eastAsia="宋体" w:cs="宋体"/>
          <w:color w:val="000000"/>
          <w:szCs w:val="21"/>
          <w:highlight w:val="none"/>
        </w:rPr>
        <w:fldChar w:fldCharType="begin"/>
      </w:r>
      <w:r>
        <w:rPr>
          <w:rFonts w:hint="eastAsia" w:ascii="宋体" w:hAnsi="宋体" w:eastAsia="宋体" w:cs="宋体"/>
          <w:szCs w:val="21"/>
          <w:highlight w:val="none"/>
        </w:rPr>
        <w:instrText xml:space="preserve"> HYPERLINK \l _Toc17158 </w:instrText>
      </w:r>
      <w:r>
        <w:rPr>
          <w:rFonts w:hint="eastAsia" w:ascii="宋体" w:hAnsi="宋体" w:eastAsia="宋体" w:cs="宋体"/>
          <w:szCs w:val="21"/>
          <w:highlight w:val="none"/>
        </w:rPr>
        <w:fldChar w:fldCharType="separate"/>
      </w:r>
      <w:r>
        <w:rPr>
          <w:rFonts w:hint="eastAsia" w:ascii="宋体" w:hAnsi="宋体" w:eastAsia="宋体" w:cs="宋体"/>
        </w:rPr>
        <w:t>9.招标代理服务费</w:t>
      </w:r>
      <w:r>
        <w:tab/>
      </w:r>
      <w:r>
        <w:fldChar w:fldCharType="begin"/>
      </w:r>
      <w:r>
        <w:instrText xml:space="preserve"> PAGEREF _Toc17158 \h </w:instrText>
      </w:r>
      <w:r>
        <w:fldChar w:fldCharType="separate"/>
      </w:r>
      <w:r>
        <w:t>26</w:t>
      </w:r>
      <w:r>
        <w:fldChar w:fldCharType="end"/>
      </w:r>
      <w:r>
        <w:rPr>
          <w:rFonts w:hint="eastAsia" w:ascii="宋体" w:hAnsi="宋体" w:eastAsia="宋体" w:cs="宋体"/>
          <w:color w:val="000000"/>
          <w:szCs w:val="21"/>
          <w:highlight w:val="none"/>
        </w:rPr>
        <w:fldChar w:fldCharType="end"/>
      </w:r>
    </w:p>
    <w:p w14:paraId="02E71053">
      <w:pPr>
        <w:pStyle w:val="31"/>
        <w:tabs>
          <w:tab w:val="right" w:leader="dot" w:pos="9638"/>
        </w:tabs>
      </w:pPr>
      <w:r>
        <w:rPr>
          <w:rFonts w:hint="eastAsia" w:ascii="宋体" w:hAnsi="宋体" w:eastAsia="宋体" w:cs="宋体"/>
          <w:color w:val="000000"/>
          <w:szCs w:val="21"/>
          <w:highlight w:val="none"/>
        </w:rPr>
        <w:fldChar w:fldCharType="begin"/>
      </w:r>
      <w:r>
        <w:rPr>
          <w:rFonts w:hint="eastAsia" w:ascii="宋体" w:hAnsi="宋体" w:eastAsia="宋体" w:cs="宋体"/>
          <w:szCs w:val="21"/>
          <w:highlight w:val="none"/>
        </w:rPr>
        <w:instrText xml:space="preserve"> HYPERLINK \l _Toc29313 </w:instrText>
      </w:r>
      <w:r>
        <w:rPr>
          <w:rFonts w:hint="eastAsia" w:ascii="宋体" w:hAnsi="宋体" w:eastAsia="宋体" w:cs="宋体"/>
          <w:szCs w:val="21"/>
          <w:highlight w:val="none"/>
        </w:rPr>
        <w:fldChar w:fldCharType="separate"/>
      </w:r>
      <w:r>
        <w:rPr>
          <w:rFonts w:hint="eastAsia" w:ascii="宋体" w:hAnsi="宋体" w:eastAsia="宋体" w:cs="宋体"/>
        </w:rPr>
        <w:t>10.纪律和监督</w:t>
      </w:r>
      <w:r>
        <w:tab/>
      </w:r>
      <w:r>
        <w:fldChar w:fldCharType="begin"/>
      </w:r>
      <w:r>
        <w:instrText xml:space="preserve"> PAGEREF _Toc29313 \h </w:instrText>
      </w:r>
      <w:r>
        <w:fldChar w:fldCharType="separate"/>
      </w:r>
      <w:r>
        <w:t>26</w:t>
      </w:r>
      <w:r>
        <w:fldChar w:fldCharType="end"/>
      </w:r>
      <w:r>
        <w:rPr>
          <w:rFonts w:hint="eastAsia" w:ascii="宋体" w:hAnsi="宋体" w:eastAsia="宋体" w:cs="宋体"/>
          <w:color w:val="000000"/>
          <w:szCs w:val="21"/>
          <w:highlight w:val="none"/>
        </w:rPr>
        <w:fldChar w:fldCharType="end"/>
      </w:r>
    </w:p>
    <w:p w14:paraId="09F3C1AF">
      <w:pPr>
        <w:pStyle w:val="18"/>
        <w:tabs>
          <w:tab w:val="right" w:leader="dot" w:pos="9638"/>
        </w:tabs>
      </w:pPr>
      <w:r>
        <w:rPr>
          <w:rFonts w:hint="eastAsia" w:ascii="宋体" w:hAnsi="宋体" w:eastAsia="宋体" w:cs="宋体"/>
          <w:color w:val="000000"/>
          <w:szCs w:val="21"/>
          <w:highlight w:val="none"/>
        </w:rPr>
        <w:fldChar w:fldCharType="begin"/>
      </w:r>
      <w:r>
        <w:rPr>
          <w:rFonts w:hint="eastAsia" w:ascii="宋体" w:hAnsi="宋体" w:eastAsia="宋体" w:cs="宋体"/>
          <w:szCs w:val="21"/>
          <w:highlight w:val="none"/>
        </w:rPr>
        <w:instrText xml:space="preserve"> HYPERLINK \l _Toc23650 </w:instrText>
      </w:r>
      <w:r>
        <w:rPr>
          <w:rFonts w:hint="eastAsia" w:ascii="宋体" w:hAnsi="宋体" w:eastAsia="宋体" w:cs="宋体"/>
          <w:szCs w:val="21"/>
          <w:highlight w:val="none"/>
        </w:rPr>
        <w:fldChar w:fldCharType="separate"/>
      </w:r>
      <w:r>
        <w:rPr>
          <w:rFonts w:hint="eastAsia" w:ascii="宋体" w:hAnsi="宋体" w:eastAsia="宋体" w:cs="宋体"/>
          <w:highlight w:val="none"/>
        </w:rPr>
        <w:t>10.1 对招标人的纪律要求</w:t>
      </w:r>
      <w:r>
        <w:tab/>
      </w:r>
      <w:r>
        <w:fldChar w:fldCharType="begin"/>
      </w:r>
      <w:r>
        <w:instrText xml:space="preserve"> PAGEREF _Toc23650 \h </w:instrText>
      </w:r>
      <w:r>
        <w:fldChar w:fldCharType="separate"/>
      </w:r>
      <w:r>
        <w:t>26</w:t>
      </w:r>
      <w:r>
        <w:fldChar w:fldCharType="end"/>
      </w:r>
      <w:r>
        <w:rPr>
          <w:rFonts w:hint="eastAsia" w:ascii="宋体" w:hAnsi="宋体" w:eastAsia="宋体" w:cs="宋体"/>
          <w:color w:val="000000"/>
          <w:szCs w:val="21"/>
          <w:highlight w:val="none"/>
        </w:rPr>
        <w:fldChar w:fldCharType="end"/>
      </w:r>
    </w:p>
    <w:p w14:paraId="36ED3BBC">
      <w:pPr>
        <w:pStyle w:val="18"/>
        <w:tabs>
          <w:tab w:val="right" w:leader="dot" w:pos="9638"/>
        </w:tabs>
      </w:pPr>
      <w:r>
        <w:rPr>
          <w:rFonts w:hint="eastAsia" w:ascii="宋体" w:hAnsi="宋体" w:eastAsia="宋体" w:cs="宋体"/>
          <w:color w:val="000000"/>
          <w:szCs w:val="21"/>
          <w:highlight w:val="none"/>
        </w:rPr>
        <w:fldChar w:fldCharType="begin"/>
      </w:r>
      <w:r>
        <w:rPr>
          <w:rFonts w:hint="eastAsia" w:ascii="宋体" w:hAnsi="宋体" w:eastAsia="宋体" w:cs="宋体"/>
          <w:szCs w:val="21"/>
          <w:highlight w:val="none"/>
        </w:rPr>
        <w:instrText xml:space="preserve"> HYPERLINK \l _Toc16824 </w:instrText>
      </w:r>
      <w:r>
        <w:rPr>
          <w:rFonts w:hint="eastAsia" w:ascii="宋体" w:hAnsi="宋体" w:eastAsia="宋体" w:cs="宋体"/>
          <w:szCs w:val="21"/>
          <w:highlight w:val="none"/>
        </w:rPr>
        <w:fldChar w:fldCharType="separate"/>
      </w:r>
      <w:r>
        <w:rPr>
          <w:rFonts w:hint="eastAsia" w:ascii="宋体" w:hAnsi="宋体" w:eastAsia="宋体" w:cs="宋体"/>
          <w:highlight w:val="none"/>
        </w:rPr>
        <w:t>10.2 对投标人的纪律要求</w:t>
      </w:r>
      <w:r>
        <w:tab/>
      </w:r>
      <w:r>
        <w:fldChar w:fldCharType="begin"/>
      </w:r>
      <w:r>
        <w:instrText xml:space="preserve"> PAGEREF _Toc16824 \h </w:instrText>
      </w:r>
      <w:r>
        <w:fldChar w:fldCharType="separate"/>
      </w:r>
      <w:r>
        <w:t>26</w:t>
      </w:r>
      <w:r>
        <w:fldChar w:fldCharType="end"/>
      </w:r>
      <w:r>
        <w:rPr>
          <w:rFonts w:hint="eastAsia" w:ascii="宋体" w:hAnsi="宋体" w:eastAsia="宋体" w:cs="宋体"/>
          <w:color w:val="000000"/>
          <w:szCs w:val="21"/>
          <w:highlight w:val="none"/>
        </w:rPr>
        <w:fldChar w:fldCharType="end"/>
      </w:r>
    </w:p>
    <w:p w14:paraId="43A409B2">
      <w:pPr>
        <w:pStyle w:val="18"/>
        <w:tabs>
          <w:tab w:val="right" w:leader="dot" w:pos="9638"/>
        </w:tabs>
      </w:pPr>
      <w:r>
        <w:rPr>
          <w:rFonts w:hint="eastAsia" w:ascii="宋体" w:hAnsi="宋体" w:eastAsia="宋体" w:cs="宋体"/>
          <w:color w:val="000000"/>
          <w:szCs w:val="21"/>
          <w:highlight w:val="none"/>
        </w:rPr>
        <w:fldChar w:fldCharType="begin"/>
      </w:r>
      <w:r>
        <w:rPr>
          <w:rFonts w:hint="eastAsia" w:ascii="宋体" w:hAnsi="宋体" w:eastAsia="宋体" w:cs="宋体"/>
          <w:szCs w:val="21"/>
          <w:highlight w:val="none"/>
        </w:rPr>
        <w:instrText xml:space="preserve"> HYPERLINK \l _Toc17657 </w:instrText>
      </w:r>
      <w:r>
        <w:rPr>
          <w:rFonts w:hint="eastAsia" w:ascii="宋体" w:hAnsi="宋体" w:eastAsia="宋体" w:cs="宋体"/>
          <w:szCs w:val="21"/>
          <w:highlight w:val="none"/>
        </w:rPr>
        <w:fldChar w:fldCharType="separate"/>
      </w:r>
      <w:r>
        <w:rPr>
          <w:rFonts w:hint="eastAsia" w:ascii="宋体" w:hAnsi="宋体" w:eastAsia="宋体" w:cs="宋体"/>
          <w:highlight w:val="none"/>
        </w:rPr>
        <w:t>10.3 对评标委员会成员的纪律要求</w:t>
      </w:r>
      <w:r>
        <w:tab/>
      </w:r>
      <w:r>
        <w:fldChar w:fldCharType="begin"/>
      </w:r>
      <w:r>
        <w:instrText xml:space="preserve"> PAGEREF _Toc17657 \h </w:instrText>
      </w:r>
      <w:r>
        <w:fldChar w:fldCharType="separate"/>
      </w:r>
      <w:r>
        <w:t>26</w:t>
      </w:r>
      <w:r>
        <w:fldChar w:fldCharType="end"/>
      </w:r>
      <w:r>
        <w:rPr>
          <w:rFonts w:hint="eastAsia" w:ascii="宋体" w:hAnsi="宋体" w:eastAsia="宋体" w:cs="宋体"/>
          <w:color w:val="000000"/>
          <w:szCs w:val="21"/>
          <w:highlight w:val="none"/>
        </w:rPr>
        <w:fldChar w:fldCharType="end"/>
      </w:r>
    </w:p>
    <w:p w14:paraId="50ABC37F">
      <w:pPr>
        <w:pStyle w:val="18"/>
        <w:tabs>
          <w:tab w:val="right" w:leader="dot" w:pos="9638"/>
        </w:tabs>
      </w:pPr>
      <w:r>
        <w:rPr>
          <w:rFonts w:hint="eastAsia" w:ascii="宋体" w:hAnsi="宋体" w:eastAsia="宋体" w:cs="宋体"/>
          <w:color w:val="000000"/>
          <w:szCs w:val="21"/>
          <w:highlight w:val="none"/>
        </w:rPr>
        <w:fldChar w:fldCharType="begin"/>
      </w:r>
      <w:r>
        <w:rPr>
          <w:rFonts w:hint="eastAsia" w:ascii="宋体" w:hAnsi="宋体" w:eastAsia="宋体" w:cs="宋体"/>
          <w:szCs w:val="21"/>
          <w:highlight w:val="none"/>
        </w:rPr>
        <w:instrText xml:space="preserve"> HYPERLINK \l _Toc3290 </w:instrText>
      </w:r>
      <w:r>
        <w:rPr>
          <w:rFonts w:hint="eastAsia" w:ascii="宋体" w:hAnsi="宋体" w:eastAsia="宋体" w:cs="宋体"/>
          <w:szCs w:val="21"/>
          <w:highlight w:val="none"/>
        </w:rPr>
        <w:fldChar w:fldCharType="separate"/>
      </w:r>
      <w:r>
        <w:rPr>
          <w:rFonts w:hint="eastAsia" w:ascii="宋体" w:hAnsi="宋体" w:eastAsia="宋体" w:cs="宋体"/>
          <w:highlight w:val="none"/>
        </w:rPr>
        <w:t>10.4 对招标代理机构的纪律要求</w:t>
      </w:r>
      <w:r>
        <w:tab/>
      </w:r>
      <w:r>
        <w:fldChar w:fldCharType="begin"/>
      </w:r>
      <w:r>
        <w:instrText xml:space="preserve"> PAGEREF _Toc3290 \h </w:instrText>
      </w:r>
      <w:r>
        <w:fldChar w:fldCharType="separate"/>
      </w:r>
      <w:r>
        <w:t>27</w:t>
      </w:r>
      <w:r>
        <w:fldChar w:fldCharType="end"/>
      </w:r>
      <w:r>
        <w:rPr>
          <w:rFonts w:hint="eastAsia" w:ascii="宋体" w:hAnsi="宋体" w:eastAsia="宋体" w:cs="宋体"/>
          <w:color w:val="000000"/>
          <w:szCs w:val="21"/>
          <w:highlight w:val="none"/>
        </w:rPr>
        <w:fldChar w:fldCharType="end"/>
      </w:r>
    </w:p>
    <w:p w14:paraId="0976D3AF">
      <w:pPr>
        <w:pStyle w:val="18"/>
        <w:tabs>
          <w:tab w:val="right" w:leader="dot" w:pos="9638"/>
        </w:tabs>
      </w:pPr>
      <w:r>
        <w:rPr>
          <w:rFonts w:hint="eastAsia" w:ascii="宋体" w:hAnsi="宋体" w:eastAsia="宋体" w:cs="宋体"/>
          <w:color w:val="000000"/>
          <w:szCs w:val="21"/>
          <w:highlight w:val="none"/>
        </w:rPr>
        <w:fldChar w:fldCharType="begin"/>
      </w:r>
      <w:r>
        <w:rPr>
          <w:rFonts w:hint="eastAsia" w:ascii="宋体" w:hAnsi="宋体" w:eastAsia="宋体" w:cs="宋体"/>
          <w:szCs w:val="21"/>
          <w:highlight w:val="none"/>
        </w:rPr>
        <w:instrText xml:space="preserve"> HYPERLINK \l _Toc15868 </w:instrText>
      </w:r>
      <w:r>
        <w:rPr>
          <w:rFonts w:hint="eastAsia" w:ascii="宋体" w:hAnsi="宋体" w:eastAsia="宋体" w:cs="宋体"/>
          <w:szCs w:val="21"/>
          <w:highlight w:val="none"/>
        </w:rPr>
        <w:fldChar w:fldCharType="separate"/>
      </w:r>
      <w:r>
        <w:rPr>
          <w:rFonts w:hint="eastAsia" w:ascii="宋体" w:hAnsi="宋体" w:eastAsia="宋体" w:cs="宋体"/>
          <w:highlight w:val="none"/>
        </w:rPr>
        <w:t>10.5 对与评标活动有关的工作人员的纪律要求</w:t>
      </w:r>
      <w:r>
        <w:tab/>
      </w:r>
      <w:r>
        <w:fldChar w:fldCharType="begin"/>
      </w:r>
      <w:r>
        <w:instrText xml:space="preserve"> PAGEREF _Toc15868 \h </w:instrText>
      </w:r>
      <w:r>
        <w:fldChar w:fldCharType="separate"/>
      </w:r>
      <w:r>
        <w:t>27</w:t>
      </w:r>
      <w:r>
        <w:fldChar w:fldCharType="end"/>
      </w:r>
      <w:r>
        <w:rPr>
          <w:rFonts w:hint="eastAsia" w:ascii="宋体" w:hAnsi="宋体" w:eastAsia="宋体" w:cs="宋体"/>
          <w:color w:val="000000"/>
          <w:szCs w:val="21"/>
          <w:highlight w:val="none"/>
        </w:rPr>
        <w:fldChar w:fldCharType="end"/>
      </w:r>
    </w:p>
    <w:p w14:paraId="0C0EECBC">
      <w:pPr>
        <w:pStyle w:val="31"/>
        <w:tabs>
          <w:tab w:val="right" w:leader="dot" w:pos="9638"/>
        </w:tabs>
      </w:pPr>
      <w:r>
        <w:rPr>
          <w:rFonts w:hint="eastAsia" w:ascii="宋体" w:hAnsi="宋体" w:eastAsia="宋体" w:cs="宋体"/>
          <w:color w:val="000000"/>
          <w:szCs w:val="21"/>
          <w:highlight w:val="none"/>
        </w:rPr>
        <w:fldChar w:fldCharType="begin"/>
      </w:r>
      <w:r>
        <w:rPr>
          <w:rFonts w:hint="eastAsia" w:ascii="宋体" w:hAnsi="宋体" w:eastAsia="宋体" w:cs="宋体"/>
          <w:szCs w:val="21"/>
          <w:highlight w:val="none"/>
        </w:rPr>
        <w:instrText xml:space="preserve"> HYPERLINK \l _Toc22328 </w:instrText>
      </w:r>
      <w:r>
        <w:rPr>
          <w:rFonts w:hint="eastAsia" w:ascii="宋体" w:hAnsi="宋体" w:eastAsia="宋体" w:cs="宋体"/>
          <w:szCs w:val="21"/>
          <w:highlight w:val="none"/>
        </w:rPr>
        <w:fldChar w:fldCharType="separate"/>
      </w:r>
      <w:r>
        <w:rPr>
          <w:rFonts w:hint="eastAsia" w:ascii="宋体" w:hAnsi="宋体" w:eastAsia="宋体" w:cs="宋体"/>
        </w:rPr>
        <w:t>11. 需要补充的其他内容</w:t>
      </w:r>
      <w:r>
        <w:tab/>
      </w:r>
      <w:r>
        <w:fldChar w:fldCharType="begin"/>
      </w:r>
      <w:r>
        <w:instrText xml:space="preserve"> PAGEREF _Toc22328 \h </w:instrText>
      </w:r>
      <w:r>
        <w:fldChar w:fldCharType="separate"/>
      </w:r>
      <w:r>
        <w:t>27</w:t>
      </w:r>
      <w:r>
        <w:fldChar w:fldCharType="end"/>
      </w:r>
      <w:r>
        <w:rPr>
          <w:rFonts w:hint="eastAsia" w:ascii="宋体" w:hAnsi="宋体" w:eastAsia="宋体" w:cs="宋体"/>
          <w:color w:val="000000"/>
          <w:szCs w:val="21"/>
          <w:highlight w:val="none"/>
        </w:rPr>
        <w:fldChar w:fldCharType="end"/>
      </w:r>
    </w:p>
    <w:p w14:paraId="43BD0737">
      <w:pPr>
        <w:pStyle w:val="26"/>
        <w:tabs>
          <w:tab w:val="right" w:leader="dot" w:pos="9638"/>
        </w:tabs>
      </w:pPr>
      <w:r>
        <w:rPr>
          <w:rFonts w:hint="eastAsia" w:ascii="宋体" w:hAnsi="宋体" w:eastAsia="宋体" w:cs="宋体"/>
          <w:color w:val="000000"/>
          <w:szCs w:val="21"/>
          <w:highlight w:val="none"/>
        </w:rPr>
        <w:fldChar w:fldCharType="begin"/>
      </w:r>
      <w:r>
        <w:rPr>
          <w:rFonts w:hint="eastAsia" w:ascii="宋体" w:hAnsi="宋体" w:eastAsia="宋体" w:cs="宋体"/>
          <w:szCs w:val="21"/>
          <w:highlight w:val="none"/>
        </w:rPr>
        <w:instrText xml:space="preserve"> HYPERLINK \l _Toc28881 </w:instrText>
      </w:r>
      <w:r>
        <w:rPr>
          <w:rFonts w:hint="eastAsia" w:ascii="宋体" w:hAnsi="宋体" w:eastAsia="宋体" w:cs="宋体"/>
          <w:szCs w:val="21"/>
          <w:highlight w:val="none"/>
        </w:rPr>
        <w:fldChar w:fldCharType="separate"/>
      </w:r>
      <w:r>
        <w:rPr>
          <w:rFonts w:hint="eastAsia" w:ascii="宋体" w:hAnsi="宋体" w:eastAsia="宋体" w:cs="宋体"/>
          <w:highlight w:val="none"/>
        </w:rPr>
        <w:t>第三章 评标办法</w:t>
      </w:r>
      <w:r>
        <w:tab/>
      </w:r>
      <w:r>
        <w:fldChar w:fldCharType="begin"/>
      </w:r>
      <w:r>
        <w:instrText xml:space="preserve"> PAGEREF _Toc28881 \h </w:instrText>
      </w:r>
      <w:r>
        <w:fldChar w:fldCharType="separate"/>
      </w:r>
      <w:r>
        <w:t>28</w:t>
      </w:r>
      <w:r>
        <w:fldChar w:fldCharType="end"/>
      </w:r>
      <w:r>
        <w:rPr>
          <w:rFonts w:hint="eastAsia" w:ascii="宋体" w:hAnsi="宋体" w:eastAsia="宋体" w:cs="宋体"/>
          <w:color w:val="000000"/>
          <w:szCs w:val="21"/>
          <w:highlight w:val="none"/>
        </w:rPr>
        <w:fldChar w:fldCharType="end"/>
      </w:r>
    </w:p>
    <w:p w14:paraId="58A9E76D">
      <w:pPr>
        <w:pStyle w:val="31"/>
        <w:tabs>
          <w:tab w:val="right" w:leader="dot" w:pos="9638"/>
        </w:tabs>
      </w:pPr>
      <w:r>
        <w:rPr>
          <w:rFonts w:hint="eastAsia" w:ascii="宋体" w:hAnsi="宋体" w:eastAsia="宋体" w:cs="宋体"/>
          <w:color w:val="000000"/>
          <w:szCs w:val="21"/>
          <w:highlight w:val="none"/>
        </w:rPr>
        <w:fldChar w:fldCharType="begin"/>
      </w:r>
      <w:r>
        <w:rPr>
          <w:rFonts w:hint="eastAsia" w:ascii="宋体" w:hAnsi="宋体" w:eastAsia="宋体" w:cs="宋体"/>
          <w:szCs w:val="21"/>
          <w:highlight w:val="none"/>
        </w:rPr>
        <w:instrText xml:space="preserve"> HYPERLINK \l _Toc29326 </w:instrText>
      </w:r>
      <w:r>
        <w:rPr>
          <w:rFonts w:hint="eastAsia" w:ascii="宋体" w:hAnsi="宋体" w:eastAsia="宋体" w:cs="宋体"/>
          <w:szCs w:val="21"/>
          <w:highlight w:val="none"/>
        </w:rPr>
        <w:fldChar w:fldCharType="separate"/>
      </w:r>
      <w:r>
        <w:rPr>
          <w:rFonts w:hint="eastAsia" w:ascii="宋体" w:hAnsi="宋体" w:eastAsia="宋体" w:cs="宋体"/>
          <w:szCs w:val="24"/>
          <w:highlight w:val="none"/>
        </w:rPr>
        <w:t>评标办法前附表</w:t>
      </w:r>
      <w:r>
        <w:tab/>
      </w:r>
      <w:r>
        <w:fldChar w:fldCharType="begin"/>
      </w:r>
      <w:r>
        <w:instrText xml:space="preserve"> PAGEREF _Toc29326 \h </w:instrText>
      </w:r>
      <w:r>
        <w:fldChar w:fldCharType="separate"/>
      </w:r>
      <w:r>
        <w:t>28</w:t>
      </w:r>
      <w:r>
        <w:fldChar w:fldCharType="end"/>
      </w:r>
      <w:r>
        <w:rPr>
          <w:rFonts w:hint="eastAsia" w:ascii="宋体" w:hAnsi="宋体" w:eastAsia="宋体" w:cs="宋体"/>
          <w:color w:val="000000"/>
          <w:szCs w:val="21"/>
          <w:highlight w:val="none"/>
        </w:rPr>
        <w:fldChar w:fldCharType="end"/>
      </w:r>
    </w:p>
    <w:p w14:paraId="55F73C3B">
      <w:pPr>
        <w:pStyle w:val="18"/>
        <w:tabs>
          <w:tab w:val="right" w:leader="dot" w:pos="9638"/>
        </w:tabs>
      </w:pPr>
      <w:r>
        <w:rPr>
          <w:rFonts w:hint="eastAsia" w:ascii="宋体" w:hAnsi="宋体" w:eastAsia="宋体" w:cs="宋体"/>
          <w:color w:val="000000"/>
          <w:szCs w:val="21"/>
          <w:highlight w:val="none"/>
        </w:rPr>
        <w:fldChar w:fldCharType="begin"/>
      </w:r>
      <w:r>
        <w:rPr>
          <w:rFonts w:hint="eastAsia" w:ascii="宋体" w:hAnsi="宋体" w:eastAsia="宋体" w:cs="宋体"/>
          <w:szCs w:val="21"/>
          <w:highlight w:val="none"/>
        </w:rPr>
        <w:instrText xml:space="preserve"> HYPERLINK \l _Toc18026 </w:instrText>
      </w:r>
      <w:r>
        <w:rPr>
          <w:rFonts w:hint="eastAsia" w:ascii="宋体" w:hAnsi="宋体" w:eastAsia="宋体" w:cs="宋体"/>
          <w:szCs w:val="21"/>
          <w:highlight w:val="none"/>
        </w:rPr>
        <w:fldChar w:fldCharType="separate"/>
      </w:r>
      <w:r>
        <w:rPr>
          <w:rFonts w:hint="eastAsia" w:ascii="宋体" w:hAnsi="宋体" w:eastAsia="宋体" w:cs="宋体"/>
        </w:rPr>
        <w:t>1、初步评审标准</w:t>
      </w:r>
      <w:r>
        <w:tab/>
      </w:r>
      <w:r>
        <w:fldChar w:fldCharType="begin"/>
      </w:r>
      <w:r>
        <w:instrText xml:space="preserve"> PAGEREF _Toc18026 \h </w:instrText>
      </w:r>
      <w:r>
        <w:fldChar w:fldCharType="separate"/>
      </w:r>
      <w:r>
        <w:t>28</w:t>
      </w:r>
      <w:r>
        <w:fldChar w:fldCharType="end"/>
      </w:r>
      <w:r>
        <w:rPr>
          <w:rFonts w:hint="eastAsia" w:ascii="宋体" w:hAnsi="宋体" w:eastAsia="宋体" w:cs="宋体"/>
          <w:color w:val="000000"/>
          <w:szCs w:val="21"/>
          <w:highlight w:val="none"/>
        </w:rPr>
        <w:fldChar w:fldCharType="end"/>
      </w:r>
    </w:p>
    <w:p w14:paraId="4D75A182">
      <w:pPr>
        <w:pStyle w:val="18"/>
        <w:tabs>
          <w:tab w:val="right" w:leader="dot" w:pos="9638"/>
        </w:tabs>
      </w:pPr>
      <w:r>
        <w:rPr>
          <w:rFonts w:hint="eastAsia" w:ascii="宋体" w:hAnsi="宋体" w:eastAsia="宋体" w:cs="宋体"/>
          <w:color w:val="000000"/>
          <w:szCs w:val="21"/>
          <w:highlight w:val="none"/>
        </w:rPr>
        <w:fldChar w:fldCharType="begin"/>
      </w:r>
      <w:r>
        <w:rPr>
          <w:rFonts w:hint="eastAsia" w:ascii="宋体" w:hAnsi="宋体" w:eastAsia="宋体" w:cs="宋体"/>
          <w:szCs w:val="21"/>
          <w:highlight w:val="none"/>
        </w:rPr>
        <w:instrText xml:space="preserve"> HYPERLINK \l _Toc12684 </w:instrText>
      </w:r>
      <w:r>
        <w:rPr>
          <w:rFonts w:hint="eastAsia" w:ascii="宋体" w:hAnsi="宋体" w:eastAsia="宋体" w:cs="宋体"/>
          <w:szCs w:val="21"/>
          <w:highlight w:val="none"/>
        </w:rPr>
        <w:fldChar w:fldCharType="separate"/>
      </w:r>
      <w:r>
        <w:rPr>
          <w:rFonts w:hint="eastAsia" w:ascii="宋体" w:hAnsi="宋体" w:eastAsia="宋体" w:cs="宋体"/>
        </w:rPr>
        <w:t>2、否决投标情形汇总</w:t>
      </w:r>
      <w:r>
        <w:tab/>
      </w:r>
      <w:r>
        <w:fldChar w:fldCharType="begin"/>
      </w:r>
      <w:r>
        <w:instrText xml:space="preserve"> PAGEREF _Toc12684 \h </w:instrText>
      </w:r>
      <w:r>
        <w:fldChar w:fldCharType="separate"/>
      </w:r>
      <w:r>
        <w:t>31</w:t>
      </w:r>
      <w:r>
        <w:fldChar w:fldCharType="end"/>
      </w:r>
      <w:r>
        <w:rPr>
          <w:rFonts w:hint="eastAsia" w:ascii="宋体" w:hAnsi="宋体" w:eastAsia="宋体" w:cs="宋体"/>
          <w:color w:val="000000"/>
          <w:szCs w:val="21"/>
          <w:highlight w:val="none"/>
        </w:rPr>
        <w:fldChar w:fldCharType="end"/>
      </w:r>
    </w:p>
    <w:p w14:paraId="21683E78">
      <w:pPr>
        <w:pStyle w:val="18"/>
        <w:tabs>
          <w:tab w:val="right" w:leader="dot" w:pos="9638"/>
        </w:tabs>
      </w:pPr>
      <w:r>
        <w:rPr>
          <w:rFonts w:hint="eastAsia" w:ascii="宋体" w:hAnsi="宋体" w:eastAsia="宋体" w:cs="宋体"/>
          <w:color w:val="000000"/>
          <w:szCs w:val="21"/>
          <w:highlight w:val="none"/>
        </w:rPr>
        <w:fldChar w:fldCharType="begin"/>
      </w:r>
      <w:r>
        <w:rPr>
          <w:rFonts w:hint="eastAsia" w:ascii="宋体" w:hAnsi="宋体" w:eastAsia="宋体" w:cs="宋体"/>
          <w:szCs w:val="21"/>
          <w:highlight w:val="none"/>
        </w:rPr>
        <w:instrText xml:space="preserve"> HYPERLINK \l _Toc9784 </w:instrText>
      </w:r>
      <w:r>
        <w:rPr>
          <w:rFonts w:hint="eastAsia" w:ascii="宋体" w:hAnsi="宋体" w:eastAsia="宋体" w:cs="宋体"/>
          <w:szCs w:val="21"/>
          <w:highlight w:val="none"/>
        </w:rPr>
        <w:fldChar w:fldCharType="separate"/>
      </w:r>
      <w:r>
        <w:rPr>
          <w:rFonts w:hint="eastAsia"/>
        </w:rPr>
        <w:t xml:space="preserve">3、 </w:t>
      </w:r>
      <w:r>
        <w:rPr>
          <w:rFonts w:hint="eastAsia" w:ascii="宋体" w:hAnsi="宋体" w:eastAsia="宋体" w:cs="宋体"/>
          <w:highlight w:val="none"/>
        </w:rPr>
        <w:t>详细评审标准</w:t>
      </w:r>
      <w:r>
        <w:tab/>
      </w:r>
      <w:r>
        <w:fldChar w:fldCharType="begin"/>
      </w:r>
      <w:r>
        <w:instrText xml:space="preserve"> PAGEREF _Toc9784 \h </w:instrText>
      </w:r>
      <w:r>
        <w:fldChar w:fldCharType="separate"/>
      </w:r>
      <w:r>
        <w:t>33</w:t>
      </w:r>
      <w:r>
        <w:fldChar w:fldCharType="end"/>
      </w:r>
      <w:r>
        <w:rPr>
          <w:rFonts w:hint="eastAsia" w:ascii="宋体" w:hAnsi="宋体" w:eastAsia="宋体" w:cs="宋体"/>
          <w:color w:val="000000"/>
          <w:szCs w:val="21"/>
          <w:highlight w:val="none"/>
        </w:rPr>
        <w:fldChar w:fldCharType="end"/>
      </w:r>
    </w:p>
    <w:p w14:paraId="3926CDEE">
      <w:pPr>
        <w:pStyle w:val="31"/>
        <w:tabs>
          <w:tab w:val="right" w:leader="dot" w:pos="9638"/>
        </w:tabs>
      </w:pPr>
      <w:r>
        <w:rPr>
          <w:rFonts w:hint="eastAsia" w:ascii="宋体" w:hAnsi="宋体" w:eastAsia="宋体" w:cs="宋体"/>
          <w:color w:val="000000"/>
          <w:szCs w:val="21"/>
          <w:highlight w:val="none"/>
        </w:rPr>
        <w:fldChar w:fldCharType="begin"/>
      </w:r>
      <w:r>
        <w:rPr>
          <w:rFonts w:hint="eastAsia" w:ascii="宋体" w:hAnsi="宋体" w:eastAsia="宋体" w:cs="宋体"/>
          <w:szCs w:val="21"/>
          <w:highlight w:val="none"/>
        </w:rPr>
        <w:instrText xml:space="preserve"> HYPERLINK \l _Toc10094 </w:instrText>
      </w:r>
      <w:r>
        <w:rPr>
          <w:rFonts w:hint="eastAsia" w:ascii="宋体" w:hAnsi="宋体" w:eastAsia="宋体" w:cs="宋体"/>
          <w:szCs w:val="21"/>
          <w:highlight w:val="none"/>
        </w:rPr>
        <w:fldChar w:fldCharType="separate"/>
      </w:r>
      <w:r>
        <w:rPr>
          <w:rFonts w:hint="eastAsia" w:ascii="宋体" w:hAnsi="宋体" w:eastAsia="宋体" w:cs="宋体"/>
          <w:szCs w:val="24"/>
          <w:highlight w:val="none"/>
        </w:rPr>
        <w:t>一、评标方法</w:t>
      </w:r>
      <w:r>
        <w:tab/>
      </w:r>
      <w:r>
        <w:fldChar w:fldCharType="begin"/>
      </w:r>
      <w:r>
        <w:instrText xml:space="preserve"> PAGEREF _Toc10094 \h </w:instrText>
      </w:r>
      <w:r>
        <w:fldChar w:fldCharType="separate"/>
      </w:r>
      <w:r>
        <w:t>35</w:t>
      </w:r>
      <w:r>
        <w:fldChar w:fldCharType="end"/>
      </w:r>
      <w:r>
        <w:rPr>
          <w:rFonts w:hint="eastAsia" w:ascii="宋体" w:hAnsi="宋体" w:eastAsia="宋体" w:cs="宋体"/>
          <w:color w:val="000000"/>
          <w:szCs w:val="21"/>
          <w:highlight w:val="none"/>
        </w:rPr>
        <w:fldChar w:fldCharType="end"/>
      </w:r>
    </w:p>
    <w:p w14:paraId="1D6F4786">
      <w:pPr>
        <w:pStyle w:val="31"/>
        <w:tabs>
          <w:tab w:val="right" w:leader="dot" w:pos="9638"/>
        </w:tabs>
      </w:pPr>
      <w:r>
        <w:rPr>
          <w:rFonts w:hint="eastAsia" w:ascii="宋体" w:hAnsi="宋体" w:eastAsia="宋体" w:cs="宋体"/>
          <w:color w:val="000000"/>
          <w:szCs w:val="21"/>
          <w:highlight w:val="none"/>
        </w:rPr>
        <w:fldChar w:fldCharType="begin"/>
      </w:r>
      <w:r>
        <w:rPr>
          <w:rFonts w:hint="eastAsia" w:ascii="宋体" w:hAnsi="宋体" w:eastAsia="宋体" w:cs="宋体"/>
          <w:szCs w:val="21"/>
          <w:highlight w:val="none"/>
        </w:rPr>
        <w:instrText xml:space="preserve"> HYPERLINK \l _Toc16842 </w:instrText>
      </w:r>
      <w:r>
        <w:rPr>
          <w:rFonts w:hint="eastAsia" w:ascii="宋体" w:hAnsi="宋体" w:eastAsia="宋体" w:cs="宋体"/>
          <w:szCs w:val="21"/>
          <w:highlight w:val="none"/>
        </w:rPr>
        <w:fldChar w:fldCharType="separate"/>
      </w:r>
      <w:r>
        <w:rPr>
          <w:rFonts w:hint="eastAsia" w:ascii="宋体" w:hAnsi="宋体" w:eastAsia="宋体" w:cs="宋体"/>
          <w:szCs w:val="24"/>
          <w:highlight w:val="none"/>
        </w:rPr>
        <w:t>二、评审标准</w:t>
      </w:r>
      <w:r>
        <w:tab/>
      </w:r>
      <w:r>
        <w:fldChar w:fldCharType="begin"/>
      </w:r>
      <w:r>
        <w:instrText xml:space="preserve"> PAGEREF _Toc16842 \h </w:instrText>
      </w:r>
      <w:r>
        <w:fldChar w:fldCharType="separate"/>
      </w:r>
      <w:r>
        <w:t>35</w:t>
      </w:r>
      <w:r>
        <w:fldChar w:fldCharType="end"/>
      </w:r>
      <w:r>
        <w:rPr>
          <w:rFonts w:hint="eastAsia" w:ascii="宋体" w:hAnsi="宋体" w:eastAsia="宋体" w:cs="宋体"/>
          <w:color w:val="000000"/>
          <w:szCs w:val="21"/>
          <w:highlight w:val="none"/>
        </w:rPr>
        <w:fldChar w:fldCharType="end"/>
      </w:r>
    </w:p>
    <w:p w14:paraId="70586C92">
      <w:pPr>
        <w:pStyle w:val="31"/>
        <w:tabs>
          <w:tab w:val="right" w:leader="dot" w:pos="9638"/>
        </w:tabs>
      </w:pPr>
      <w:r>
        <w:rPr>
          <w:rFonts w:hint="eastAsia" w:ascii="宋体" w:hAnsi="宋体" w:eastAsia="宋体" w:cs="宋体"/>
          <w:color w:val="000000"/>
          <w:szCs w:val="21"/>
          <w:highlight w:val="none"/>
        </w:rPr>
        <w:fldChar w:fldCharType="begin"/>
      </w:r>
      <w:r>
        <w:rPr>
          <w:rFonts w:hint="eastAsia" w:ascii="宋体" w:hAnsi="宋体" w:eastAsia="宋体" w:cs="宋体"/>
          <w:szCs w:val="21"/>
          <w:highlight w:val="none"/>
        </w:rPr>
        <w:instrText xml:space="preserve"> HYPERLINK \l _Toc9642 </w:instrText>
      </w:r>
      <w:r>
        <w:rPr>
          <w:rFonts w:hint="eastAsia" w:ascii="宋体" w:hAnsi="宋体" w:eastAsia="宋体" w:cs="宋体"/>
          <w:szCs w:val="21"/>
          <w:highlight w:val="none"/>
        </w:rPr>
        <w:fldChar w:fldCharType="separate"/>
      </w:r>
      <w:r>
        <w:rPr>
          <w:rFonts w:hint="eastAsia" w:ascii="宋体" w:hAnsi="宋体" w:eastAsia="宋体" w:cs="宋体"/>
          <w:szCs w:val="24"/>
          <w:highlight w:val="none"/>
        </w:rPr>
        <w:t>三、评标程序</w:t>
      </w:r>
      <w:r>
        <w:tab/>
      </w:r>
      <w:r>
        <w:fldChar w:fldCharType="begin"/>
      </w:r>
      <w:r>
        <w:instrText xml:space="preserve"> PAGEREF _Toc9642 \h </w:instrText>
      </w:r>
      <w:r>
        <w:fldChar w:fldCharType="separate"/>
      </w:r>
      <w:r>
        <w:t>35</w:t>
      </w:r>
      <w:r>
        <w:fldChar w:fldCharType="end"/>
      </w:r>
      <w:r>
        <w:rPr>
          <w:rFonts w:hint="eastAsia" w:ascii="宋体" w:hAnsi="宋体" w:eastAsia="宋体" w:cs="宋体"/>
          <w:color w:val="000000"/>
          <w:szCs w:val="21"/>
          <w:highlight w:val="none"/>
        </w:rPr>
        <w:fldChar w:fldCharType="end"/>
      </w:r>
    </w:p>
    <w:p w14:paraId="1B9A9851">
      <w:pPr>
        <w:pStyle w:val="18"/>
        <w:tabs>
          <w:tab w:val="right" w:leader="dot" w:pos="9638"/>
        </w:tabs>
      </w:pPr>
      <w:r>
        <w:rPr>
          <w:rFonts w:hint="eastAsia" w:ascii="宋体" w:hAnsi="宋体" w:eastAsia="宋体" w:cs="宋体"/>
          <w:color w:val="000000"/>
          <w:szCs w:val="21"/>
          <w:highlight w:val="none"/>
        </w:rPr>
        <w:fldChar w:fldCharType="begin"/>
      </w:r>
      <w:r>
        <w:rPr>
          <w:rFonts w:hint="eastAsia" w:ascii="宋体" w:hAnsi="宋体" w:eastAsia="宋体" w:cs="宋体"/>
          <w:szCs w:val="21"/>
          <w:highlight w:val="none"/>
        </w:rPr>
        <w:instrText xml:space="preserve"> HYPERLINK \l _Toc31325 </w:instrText>
      </w:r>
      <w:r>
        <w:rPr>
          <w:rFonts w:hint="eastAsia" w:ascii="宋体" w:hAnsi="宋体" w:eastAsia="宋体" w:cs="宋体"/>
          <w:szCs w:val="21"/>
          <w:highlight w:val="none"/>
        </w:rPr>
        <w:fldChar w:fldCharType="separate"/>
      </w:r>
      <w:r>
        <w:rPr>
          <w:rFonts w:hint="eastAsia" w:ascii="宋体" w:hAnsi="宋体" w:eastAsia="宋体" w:cs="宋体"/>
        </w:rPr>
        <w:t>3.1初步评审</w:t>
      </w:r>
      <w:r>
        <w:tab/>
      </w:r>
      <w:r>
        <w:fldChar w:fldCharType="begin"/>
      </w:r>
      <w:r>
        <w:instrText xml:space="preserve"> PAGEREF _Toc31325 \h </w:instrText>
      </w:r>
      <w:r>
        <w:fldChar w:fldCharType="separate"/>
      </w:r>
      <w:r>
        <w:t>35</w:t>
      </w:r>
      <w:r>
        <w:fldChar w:fldCharType="end"/>
      </w:r>
      <w:r>
        <w:rPr>
          <w:rFonts w:hint="eastAsia" w:ascii="宋体" w:hAnsi="宋体" w:eastAsia="宋体" w:cs="宋体"/>
          <w:color w:val="000000"/>
          <w:szCs w:val="21"/>
          <w:highlight w:val="none"/>
        </w:rPr>
        <w:fldChar w:fldCharType="end"/>
      </w:r>
    </w:p>
    <w:p w14:paraId="3B20D9CB">
      <w:pPr>
        <w:pStyle w:val="18"/>
        <w:tabs>
          <w:tab w:val="right" w:leader="dot" w:pos="9638"/>
        </w:tabs>
      </w:pPr>
      <w:r>
        <w:rPr>
          <w:rFonts w:hint="eastAsia" w:ascii="宋体" w:hAnsi="宋体" w:eastAsia="宋体" w:cs="宋体"/>
          <w:color w:val="000000"/>
          <w:szCs w:val="21"/>
          <w:highlight w:val="none"/>
        </w:rPr>
        <w:fldChar w:fldCharType="begin"/>
      </w:r>
      <w:r>
        <w:rPr>
          <w:rFonts w:hint="eastAsia" w:ascii="宋体" w:hAnsi="宋体" w:eastAsia="宋体" w:cs="宋体"/>
          <w:szCs w:val="21"/>
          <w:highlight w:val="none"/>
        </w:rPr>
        <w:instrText xml:space="preserve"> HYPERLINK \l _Toc28605 </w:instrText>
      </w:r>
      <w:r>
        <w:rPr>
          <w:rFonts w:hint="eastAsia" w:ascii="宋体" w:hAnsi="宋体" w:eastAsia="宋体" w:cs="宋体"/>
          <w:szCs w:val="21"/>
          <w:highlight w:val="none"/>
        </w:rPr>
        <w:fldChar w:fldCharType="separate"/>
      </w:r>
      <w:r>
        <w:rPr>
          <w:rFonts w:hint="eastAsia" w:ascii="宋体" w:hAnsi="宋体" w:eastAsia="宋体" w:cs="宋体"/>
        </w:rPr>
        <w:t>3.2 详细评审</w:t>
      </w:r>
      <w:r>
        <w:tab/>
      </w:r>
      <w:r>
        <w:fldChar w:fldCharType="begin"/>
      </w:r>
      <w:r>
        <w:instrText xml:space="preserve"> PAGEREF _Toc28605 \h </w:instrText>
      </w:r>
      <w:r>
        <w:fldChar w:fldCharType="separate"/>
      </w:r>
      <w:r>
        <w:t>36</w:t>
      </w:r>
      <w:r>
        <w:fldChar w:fldCharType="end"/>
      </w:r>
      <w:r>
        <w:rPr>
          <w:rFonts w:hint="eastAsia" w:ascii="宋体" w:hAnsi="宋体" w:eastAsia="宋体" w:cs="宋体"/>
          <w:color w:val="000000"/>
          <w:szCs w:val="21"/>
          <w:highlight w:val="none"/>
        </w:rPr>
        <w:fldChar w:fldCharType="end"/>
      </w:r>
    </w:p>
    <w:p w14:paraId="4A5F09F2">
      <w:pPr>
        <w:pStyle w:val="18"/>
        <w:tabs>
          <w:tab w:val="right" w:leader="dot" w:pos="9638"/>
        </w:tabs>
      </w:pPr>
      <w:r>
        <w:rPr>
          <w:rFonts w:hint="eastAsia" w:ascii="宋体" w:hAnsi="宋体" w:eastAsia="宋体" w:cs="宋体"/>
          <w:color w:val="000000"/>
          <w:szCs w:val="21"/>
          <w:highlight w:val="none"/>
        </w:rPr>
        <w:fldChar w:fldCharType="begin"/>
      </w:r>
      <w:r>
        <w:rPr>
          <w:rFonts w:hint="eastAsia" w:ascii="宋体" w:hAnsi="宋体" w:eastAsia="宋体" w:cs="宋体"/>
          <w:szCs w:val="21"/>
          <w:highlight w:val="none"/>
        </w:rPr>
        <w:instrText xml:space="preserve"> HYPERLINK \l _Toc6113 </w:instrText>
      </w:r>
      <w:r>
        <w:rPr>
          <w:rFonts w:hint="eastAsia" w:ascii="宋体" w:hAnsi="宋体" w:eastAsia="宋体" w:cs="宋体"/>
          <w:szCs w:val="21"/>
          <w:highlight w:val="none"/>
        </w:rPr>
        <w:fldChar w:fldCharType="separate"/>
      </w:r>
      <w:r>
        <w:rPr>
          <w:rFonts w:hint="eastAsia" w:ascii="宋体" w:hAnsi="宋体" w:eastAsia="宋体" w:cs="宋体"/>
        </w:rPr>
        <w:t>3.3 投标文件的澄清、说明</w:t>
      </w:r>
      <w:r>
        <w:tab/>
      </w:r>
      <w:r>
        <w:fldChar w:fldCharType="begin"/>
      </w:r>
      <w:r>
        <w:instrText xml:space="preserve"> PAGEREF _Toc6113 \h </w:instrText>
      </w:r>
      <w:r>
        <w:fldChar w:fldCharType="separate"/>
      </w:r>
      <w:r>
        <w:t>36</w:t>
      </w:r>
      <w:r>
        <w:fldChar w:fldCharType="end"/>
      </w:r>
      <w:r>
        <w:rPr>
          <w:rFonts w:hint="eastAsia" w:ascii="宋体" w:hAnsi="宋体" w:eastAsia="宋体" w:cs="宋体"/>
          <w:color w:val="000000"/>
          <w:szCs w:val="21"/>
          <w:highlight w:val="none"/>
        </w:rPr>
        <w:fldChar w:fldCharType="end"/>
      </w:r>
    </w:p>
    <w:p w14:paraId="65EB7175">
      <w:pPr>
        <w:pStyle w:val="18"/>
        <w:tabs>
          <w:tab w:val="right" w:leader="dot" w:pos="9638"/>
        </w:tabs>
      </w:pPr>
      <w:r>
        <w:rPr>
          <w:rFonts w:hint="eastAsia" w:ascii="宋体" w:hAnsi="宋体" w:eastAsia="宋体" w:cs="宋体"/>
          <w:color w:val="000000"/>
          <w:szCs w:val="21"/>
          <w:highlight w:val="none"/>
        </w:rPr>
        <w:fldChar w:fldCharType="begin"/>
      </w:r>
      <w:r>
        <w:rPr>
          <w:rFonts w:hint="eastAsia" w:ascii="宋体" w:hAnsi="宋体" w:eastAsia="宋体" w:cs="宋体"/>
          <w:szCs w:val="21"/>
          <w:highlight w:val="none"/>
        </w:rPr>
        <w:instrText xml:space="preserve"> HYPERLINK \l _Toc7830 </w:instrText>
      </w:r>
      <w:r>
        <w:rPr>
          <w:rFonts w:hint="eastAsia" w:ascii="宋体" w:hAnsi="宋体" w:eastAsia="宋体" w:cs="宋体"/>
          <w:szCs w:val="21"/>
          <w:highlight w:val="none"/>
        </w:rPr>
        <w:fldChar w:fldCharType="separate"/>
      </w:r>
      <w:r>
        <w:rPr>
          <w:rFonts w:hint="eastAsia" w:ascii="宋体" w:hAnsi="宋体" w:eastAsia="宋体" w:cs="宋体"/>
        </w:rPr>
        <w:t>3.4 中标候选人推荐原则</w:t>
      </w:r>
      <w:r>
        <w:tab/>
      </w:r>
      <w:r>
        <w:fldChar w:fldCharType="begin"/>
      </w:r>
      <w:r>
        <w:instrText xml:space="preserve"> PAGEREF _Toc7830 \h </w:instrText>
      </w:r>
      <w:r>
        <w:fldChar w:fldCharType="separate"/>
      </w:r>
      <w:r>
        <w:t>37</w:t>
      </w:r>
      <w:r>
        <w:fldChar w:fldCharType="end"/>
      </w:r>
      <w:r>
        <w:rPr>
          <w:rFonts w:hint="eastAsia" w:ascii="宋体" w:hAnsi="宋体" w:eastAsia="宋体" w:cs="宋体"/>
          <w:color w:val="000000"/>
          <w:szCs w:val="21"/>
          <w:highlight w:val="none"/>
        </w:rPr>
        <w:fldChar w:fldCharType="end"/>
      </w:r>
    </w:p>
    <w:p w14:paraId="3BEC5EE5">
      <w:pPr>
        <w:pStyle w:val="18"/>
        <w:tabs>
          <w:tab w:val="right" w:leader="dot" w:pos="9638"/>
        </w:tabs>
      </w:pPr>
      <w:r>
        <w:rPr>
          <w:rFonts w:hint="eastAsia" w:ascii="宋体" w:hAnsi="宋体" w:eastAsia="宋体" w:cs="宋体"/>
          <w:color w:val="000000"/>
          <w:szCs w:val="21"/>
          <w:highlight w:val="none"/>
        </w:rPr>
        <w:fldChar w:fldCharType="begin"/>
      </w:r>
      <w:r>
        <w:rPr>
          <w:rFonts w:hint="eastAsia" w:ascii="宋体" w:hAnsi="宋体" w:eastAsia="宋体" w:cs="宋体"/>
          <w:szCs w:val="21"/>
          <w:highlight w:val="none"/>
        </w:rPr>
        <w:instrText xml:space="preserve"> HYPERLINK \l _Toc1351 </w:instrText>
      </w:r>
      <w:r>
        <w:rPr>
          <w:rFonts w:hint="eastAsia" w:ascii="宋体" w:hAnsi="宋体" w:eastAsia="宋体" w:cs="宋体"/>
          <w:szCs w:val="21"/>
          <w:highlight w:val="none"/>
        </w:rPr>
        <w:fldChar w:fldCharType="separate"/>
      </w:r>
      <w:r>
        <w:rPr>
          <w:rFonts w:hint="eastAsia" w:ascii="宋体" w:hAnsi="宋体" w:eastAsia="宋体" w:cs="宋体"/>
        </w:rPr>
        <w:t>3.5 评标结果</w:t>
      </w:r>
      <w:r>
        <w:tab/>
      </w:r>
      <w:r>
        <w:fldChar w:fldCharType="begin"/>
      </w:r>
      <w:r>
        <w:instrText xml:space="preserve"> PAGEREF _Toc1351 \h </w:instrText>
      </w:r>
      <w:r>
        <w:fldChar w:fldCharType="separate"/>
      </w:r>
      <w:r>
        <w:t>37</w:t>
      </w:r>
      <w:r>
        <w:fldChar w:fldCharType="end"/>
      </w:r>
      <w:r>
        <w:rPr>
          <w:rFonts w:hint="eastAsia" w:ascii="宋体" w:hAnsi="宋体" w:eastAsia="宋体" w:cs="宋体"/>
          <w:color w:val="000000"/>
          <w:szCs w:val="21"/>
          <w:highlight w:val="none"/>
        </w:rPr>
        <w:fldChar w:fldCharType="end"/>
      </w:r>
    </w:p>
    <w:p w14:paraId="61EC8724">
      <w:pPr>
        <w:pStyle w:val="26"/>
        <w:tabs>
          <w:tab w:val="right" w:leader="dot" w:pos="9638"/>
        </w:tabs>
      </w:pPr>
      <w:r>
        <w:rPr>
          <w:rFonts w:hint="eastAsia" w:ascii="宋体" w:hAnsi="宋体" w:eastAsia="宋体" w:cs="宋体"/>
          <w:color w:val="000000"/>
          <w:szCs w:val="21"/>
          <w:highlight w:val="none"/>
        </w:rPr>
        <w:fldChar w:fldCharType="begin"/>
      </w:r>
      <w:r>
        <w:rPr>
          <w:rFonts w:hint="eastAsia" w:ascii="宋体" w:hAnsi="宋体" w:eastAsia="宋体" w:cs="宋体"/>
          <w:szCs w:val="21"/>
          <w:highlight w:val="none"/>
        </w:rPr>
        <w:instrText xml:space="preserve"> HYPERLINK \l _Toc14391 </w:instrText>
      </w:r>
      <w:r>
        <w:rPr>
          <w:rFonts w:hint="eastAsia" w:ascii="宋体" w:hAnsi="宋体" w:eastAsia="宋体" w:cs="宋体"/>
          <w:szCs w:val="21"/>
          <w:highlight w:val="none"/>
        </w:rPr>
        <w:fldChar w:fldCharType="separate"/>
      </w:r>
      <w:r>
        <w:rPr>
          <w:rFonts w:hint="eastAsia" w:ascii="宋体" w:hAnsi="宋体" w:eastAsia="宋体" w:cs="宋体"/>
          <w:highlight w:val="none"/>
        </w:rPr>
        <w:t>第四章 合同条款</w:t>
      </w:r>
      <w:r>
        <w:tab/>
      </w:r>
      <w:r>
        <w:fldChar w:fldCharType="begin"/>
      </w:r>
      <w:r>
        <w:instrText xml:space="preserve"> PAGEREF _Toc14391 \h </w:instrText>
      </w:r>
      <w:r>
        <w:fldChar w:fldCharType="separate"/>
      </w:r>
      <w:r>
        <w:t>38</w:t>
      </w:r>
      <w:r>
        <w:fldChar w:fldCharType="end"/>
      </w:r>
      <w:r>
        <w:rPr>
          <w:rFonts w:hint="eastAsia" w:ascii="宋体" w:hAnsi="宋体" w:eastAsia="宋体" w:cs="宋体"/>
          <w:color w:val="000000"/>
          <w:szCs w:val="21"/>
          <w:highlight w:val="none"/>
        </w:rPr>
        <w:fldChar w:fldCharType="end"/>
      </w:r>
    </w:p>
    <w:p w14:paraId="0D670140">
      <w:pPr>
        <w:pStyle w:val="26"/>
        <w:tabs>
          <w:tab w:val="right" w:leader="dot" w:pos="9638"/>
        </w:tabs>
      </w:pPr>
      <w:r>
        <w:rPr>
          <w:rFonts w:hint="eastAsia" w:ascii="宋体" w:hAnsi="宋体" w:eastAsia="宋体" w:cs="宋体"/>
          <w:color w:val="000000"/>
          <w:szCs w:val="21"/>
          <w:highlight w:val="none"/>
        </w:rPr>
        <w:fldChar w:fldCharType="begin"/>
      </w:r>
      <w:r>
        <w:rPr>
          <w:rFonts w:hint="eastAsia" w:ascii="宋体" w:hAnsi="宋体" w:eastAsia="宋体" w:cs="宋体"/>
          <w:szCs w:val="21"/>
          <w:highlight w:val="none"/>
        </w:rPr>
        <w:instrText xml:space="preserve"> HYPERLINK \l _Toc9229 </w:instrText>
      </w:r>
      <w:r>
        <w:rPr>
          <w:rFonts w:hint="eastAsia" w:ascii="宋体" w:hAnsi="宋体" w:eastAsia="宋体" w:cs="宋体"/>
          <w:szCs w:val="21"/>
          <w:highlight w:val="none"/>
        </w:rPr>
        <w:fldChar w:fldCharType="separate"/>
      </w:r>
      <w:r>
        <w:rPr>
          <w:rFonts w:hint="eastAsia" w:ascii="宋体" w:hAnsi="宋体" w:eastAsia="宋体" w:cs="宋体"/>
        </w:rPr>
        <w:t xml:space="preserve">第五章 </w:t>
      </w:r>
      <w:r>
        <w:rPr>
          <w:rFonts w:hint="eastAsia" w:ascii="宋体" w:hAnsi="宋体" w:eastAsia="宋体" w:cs="宋体"/>
          <w:highlight w:val="none"/>
        </w:rPr>
        <w:t>技术规范书</w:t>
      </w:r>
      <w:r>
        <w:tab/>
      </w:r>
      <w:r>
        <w:fldChar w:fldCharType="begin"/>
      </w:r>
      <w:r>
        <w:instrText xml:space="preserve"> PAGEREF _Toc9229 \h </w:instrText>
      </w:r>
      <w:r>
        <w:fldChar w:fldCharType="separate"/>
      </w:r>
      <w:r>
        <w:t>62</w:t>
      </w:r>
      <w:r>
        <w:fldChar w:fldCharType="end"/>
      </w:r>
      <w:r>
        <w:rPr>
          <w:rFonts w:hint="eastAsia" w:ascii="宋体" w:hAnsi="宋体" w:eastAsia="宋体" w:cs="宋体"/>
          <w:color w:val="000000"/>
          <w:szCs w:val="21"/>
          <w:highlight w:val="none"/>
        </w:rPr>
        <w:fldChar w:fldCharType="end"/>
      </w:r>
    </w:p>
    <w:p w14:paraId="619DFC07">
      <w:pPr>
        <w:pStyle w:val="26"/>
        <w:tabs>
          <w:tab w:val="right" w:leader="dot" w:pos="9638"/>
        </w:tabs>
      </w:pPr>
      <w:r>
        <w:rPr>
          <w:rFonts w:hint="eastAsia" w:ascii="宋体" w:hAnsi="宋体" w:eastAsia="宋体" w:cs="宋体"/>
          <w:color w:val="000000"/>
          <w:szCs w:val="21"/>
          <w:highlight w:val="none"/>
        </w:rPr>
        <w:fldChar w:fldCharType="begin"/>
      </w:r>
      <w:r>
        <w:rPr>
          <w:rFonts w:hint="eastAsia" w:ascii="宋体" w:hAnsi="宋体" w:eastAsia="宋体" w:cs="宋体"/>
          <w:szCs w:val="21"/>
          <w:highlight w:val="none"/>
        </w:rPr>
        <w:instrText xml:space="preserve"> HYPERLINK \l _Toc25988 </w:instrText>
      </w:r>
      <w:r>
        <w:rPr>
          <w:rFonts w:hint="eastAsia" w:ascii="宋体" w:hAnsi="宋体" w:eastAsia="宋体" w:cs="宋体"/>
          <w:szCs w:val="21"/>
          <w:highlight w:val="none"/>
        </w:rPr>
        <w:fldChar w:fldCharType="separate"/>
      </w:r>
      <w:r>
        <w:rPr>
          <w:rFonts w:hint="eastAsia" w:ascii="宋体" w:hAnsi="宋体" w:eastAsia="宋体" w:cs="宋体"/>
          <w:szCs w:val="21"/>
          <w:highlight w:val="none"/>
        </w:rPr>
        <w:t>第六章 投标文件格式</w:t>
      </w:r>
      <w:r>
        <w:tab/>
      </w:r>
      <w:r>
        <w:fldChar w:fldCharType="begin"/>
      </w:r>
      <w:r>
        <w:instrText xml:space="preserve"> PAGEREF _Toc25988 \h </w:instrText>
      </w:r>
      <w:r>
        <w:fldChar w:fldCharType="separate"/>
      </w:r>
      <w:r>
        <w:t>65</w:t>
      </w:r>
      <w:r>
        <w:fldChar w:fldCharType="end"/>
      </w:r>
      <w:r>
        <w:rPr>
          <w:rFonts w:hint="eastAsia" w:ascii="宋体" w:hAnsi="宋体" w:eastAsia="宋体" w:cs="宋体"/>
          <w:color w:val="000000"/>
          <w:szCs w:val="21"/>
          <w:highlight w:val="none"/>
        </w:rPr>
        <w:fldChar w:fldCharType="end"/>
      </w:r>
    </w:p>
    <w:p w14:paraId="5DBDFE1A">
      <w:pPr>
        <w:pStyle w:val="18"/>
        <w:tabs>
          <w:tab w:val="right" w:leader="dot" w:pos="9638"/>
        </w:tabs>
      </w:pPr>
      <w:r>
        <w:rPr>
          <w:rFonts w:hint="eastAsia" w:ascii="宋体" w:hAnsi="宋体" w:eastAsia="宋体" w:cs="宋体"/>
          <w:color w:val="000000"/>
          <w:szCs w:val="21"/>
          <w:highlight w:val="none"/>
        </w:rPr>
        <w:fldChar w:fldCharType="begin"/>
      </w:r>
      <w:r>
        <w:rPr>
          <w:rFonts w:hint="eastAsia" w:ascii="宋体" w:hAnsi="宋体" w:eastAsia="宋体" w:cs="宋体"/>
          <w:szCs w:val="21"/>
          <w:highlight w:val="none"/>
        </w:rPr>
        <w:instrText xml:space="preserve"> HYPERLINK \l _Toc6505 </w:instrText>
      </w:r>
      <w:r>
        <w:rPr>
          <w:rFonts w:hint="eastAsia" w:ascii="宋体" w:hAnsi="宋体" w:eastAsia="宋体" w:cs="宋体"/>
          <w:szCs w:val="21"/>
          <w:highlight w:val="none"/>
        </w:rPr>
        <w:fldChar w:fldCharType="separate"/>
      </w:r>
      <w:r>
        <w:rPr>
          <w:rFonts w:hint="eastAsia" w:ascii="宋体" w:hAnsi="宋体" w:eastAsia="宋体" w:cs="宋体"/>
          <w:highlight w:val="none"/>
        </w:rPr>
        <w:t>初步评审索引表</w:t>
      </w:r>
      <w:r>
        <w:tab/>
      </w:r>
      <w:r>
        <w:fldChar w:fldCharType="begin"/>
      </w:r>
      <w:r>
        <w:instrText xml:space="preserve"> PAGEREF _Toc6505 \h </w:instrText>
      </w:r>
      <w:r>
        <w:fldChar w:fldCharType="separate"/>
      </w:r>
      <w:r>
        <w:t>66</w:t>
      </w:r>
      <w:r>
        <w:fldChar w:fldCharType="end"/>
      </w:r>
      <w:r>
        <w:rPr>
          <w:rFonts w:hint="eastAsia" w:ascii="宋体" w:hAnsi="宋体" w:eastAsia="宋体" w:cs="宋体"/>
          <w:color w:val="000000"/>
          <w:szCs w:val="21"/>
          <w:highlight w:val="none"/>
        </w:rPr>
        <w:fldChar w:fldCharType="end"/>
      </w:r>
    </w:p>
    <w:p w14:paraId="21AE40CD">
      <w:pPr>
        <w:pStyle w:val="18"/>
        <w:tabs>
          <w:tab w:val="right" w:leader="dot" w:pos="9638"/>
        </w:tabs>
      </w:pPr>
      <w:r>
        <w:rPr>
          <w:rFonts w:hint="eastAsia" w:ascii="宋体" w:hAnsi="宋体" w:eastAsia="宋体" w:cs="宋体"/>
          <w:color w:val="000000"/>
          <w:szCs w:val="21"/>
          <w:highlight w:val="none"/>
        </w:rPr>
        <w:fldChar w:fldCharType="begin"/>
      </w:r>
      <w:r>
        <w:rPr>
          <w:rFonts w:hint="eastAsia" w:ascii="宋体" w:hAnsi="宋体" w:eastAsia="宋体" w:cs="宋体"/>
          <w:szCs w:val="21"/>
          <w:highlight w:val="none"/>
        </w:rPr>
        <w:instrText xml:space="preserve"> HYPERLINK \l _Toc16210 </w:instrText>
      </w:r>
      <w:r>
        <w:rPr>
          <w:rFonts w:hint="eastAsia" w:ascii="宋体" w:hAnsi="宋体" w:eastAsia="宋体" w:cs="宋体"/>
          <w:szCs w:val="21"/>
          <w:highlight w:val="none"/>
        </w:rPr>
        <w:fldChar w:fldCharType="separate"/>
      </w:r>
      <w:r>
        <w:rPr>
          <w:rFonts w:hint="eastAsia" w:ascii="宋体" w:hAnsi="宋体" w:eastAsia="宋体" w:cs="宋体"/>
          <w:highlight w:val="none"/>
        </w:rPr>
        <w:t>详细评审索引表</w:t>
      </w:r>
      <w:r>
        <w:tab/>
      </w:r>
      <w:r>
        <w:fldChar w:fldCharType="begin"/>
      </w:r>
      <w:r>
        <w:instrText xml:space="preserve"> PAGEREF _Toc16210 \h </w:instrText>
      </w:r>
      <w:r>
        <w:fldChar w:fldCharType="separate"/>
      </w:r>
      <w:r>
        <w:t>67</w:t>
      </w:r>
      <w:r>
        <w:fldChar w:fldCharType="end"/>
      </w:r>
      <w:r>
        <w:rPr>
          <w:rFonts w:hint="eastAsia" w:ascii="宋体" w:hAnsi="宋体" w:eastAsia="宋体" w:cs="宋体"/>
          <w:color w:val="000000"/>
          <w:szCs w:val="21"/>
          <w:highlight w:val="none"/>
        </w:rPr>
        <w:fldChar w:fldCharType="end"/>
      </w:r>
    </w:p>
    <w:p w14:paraId="641DE253">
      <w:pPr>
        <w:pStyle w:val="31"/>
        <w:tabs>
          <w:tab w:val="right" w:leader="dot" w:pos="9638"/>
        </w:tabs>
      </w:pPr>
      <w:r>
        <w:rPr>
          <w:rFonts w:hint="eastAsia" w:ascii="宋体" w:hAnsi="宋体" w:eastAsia="宋体" w:cs="宋体"/>
          <w:color w:val="000000"/>
          <w:szCs w:val="21"/>
          <w:highlight w:val="none"/>
        </w:rPr>
        <w:fldChar w:fldCharType="begin"/>
      </w:r>
      <w:r>
        <w:rPr>
          <w:rFonts w:hint="eastAsia" w:ascii="宋体" w:hAnsi="宋体" w:eastAsia="宋体" w:cs="宋体"/>
          <w:szCs w:val="21"/>
          <w:highlight w:val="none"/>
        </w:rPr>
        <w:instrText xml:space="preserve"> HYPERLINK \l _Toc18811 </w:instrText>
      </w:r>
      <w:r>
        <w:rPr>
          <w:rFonts w:hint="eastAsia" w:ascii="宋体" w:hAnsi="宋体" w:eastAsia="宋体" w:cs="宋体"/>
          <w:szCs w:val="21"/>
          <w:highlight w:val="none"/>
        </w:rPr>
        <w:fldChar w:fldCharType="separate"/>
      </w:r>
      <w:r>
        <w:rPr>
          <w:rFonts w:hint="eastAsia" w:ascii="宋体" w:hAnsi="宋体" w:eastAsia="宋体" w:cs="宋体"/>
          <w:szCs w:val="24"/>
          <w:highlight w:val="none"/>
        </w:rPr>
        <w:t>一、商务</w:t>
      </w:r>
      <w:r>
        <w:rPr>
          <w:rFonts w:hint="eastAsia" w:ascii="宋体" w:hAnsi="宋体" w:eastAsia="宋体" w:cs="宋体"/>
          <w:szCs w:val="24"/>
          <w:highlight w:val="none"/>
          <w:lang w:val="en-US" w:eastAsia="zh-CN"/>
        </w:rPr>
        <w:t>部分</w:t>
      </w:r>
      <w:r>
        <w:tab/>
      </w:r>
      <w:r>
        <w:fldChar w:fldCharType="begin"/>
      </w:r>
      <w:r>
        <w:instrText xml:space="preserve"> PAGEREF _Toc18811 \h </w:instrText>
      </w:r>
      <w:r>
        <w:fldChar w:fldCharType="separate"/>
      </w:r>
      <w:r>
        <w:t>68</w:t>
      </w:r>
      <w:r>
        <w:fldChar w:fldCharType="end"/>
      </w:r>
      <w:r>
        <w:rPr>
          <w:rFonts w:hint="eastAsia" w:ascii="宋体" w:hAnsi="宋体" w:eastAsia="宋体" w:cs="宋体"/>
          <w:color w:val="000000"/>
          <w:szCs w:val="21"/>
          <w:highlight w:val="none"/>
        </w:rPr>
        <w:fldChar w:fldCharType="end"/>
      </w:r>
    </w:p>
    <w:p w14:paraId="18A43584">
      <w:pPr>
        <w:pStyle w:val="18"/>
        <w:tabs>
          <w:tab w:val="right" w:leader="dot" w:pos="9638"/>
        </w:tabs>
      </w:pPr>
      <w:r>
        <w:rPr>
          <w:rFonts w:hint="eastAsia" w:ascii="宋体" w:hAnsi="宋体" w:eastAsia="宋体" w:cs="宋体"/>
          <w:color w:val="000000"/>
          <w:szCs w:val="21"/>
          <w:highlight w:val="none"/>
        </w:rPr>
        <w:fldChar w:fldCharType="begin"/>
      </w:r>
      <w:r>
        <w:rPr>
          <w:rFonts w:hint="eastAsia" w:ascii="宋体" w:hAnsi="宋体" w:eastAsia="宋体" w:cs="宋体"/>
          <w:szCs w:val="21"/>
          <w:highlight w:val="none"/>
        </w:rPr>
        <w:instrText xml:space="preserve"> HYPERLINK \l _Toc13629 </w:instrText>
      </w:r>
      <w:r>
        <w:rPr>
          <w:rFonts w:hint="eastAsia" w:ascii="宋体" w:hAnsi="宋体" w:eastAsia="宋体" w:cs="宋体"/>
          <w:szCs w:val="21"/>
          <w:highlight w:val="none"/>
        </w:rPr>
        <w:fldChar w:fldCharType="separate"/>
      </w:r>
      <w:r>
        <w:rPr>
          <w:rFonts w:hint="eastAsia" w:ascii="宋体" w:hAnsi="宋体" w:eastAsia="宋体" w:cs="宋体"/>
          <w:bCs/>
          <w:szCs w:val="24"/>
          <w:highlight w:val="none"/>
        </w:rPr>
        <w:t>（一）投标函</w:t>
      </w:r>
      <w:r>
        <w:tab/>
      </w:r>
      <w:r>
        <w:fldChar w:fldCharType="begin"/>
      </w:r>
      <w:r>
        <w:instrText xml:space="preserve"> PAGEREF _Toc13629 \h </w:instrText>
      </w:r>
      <w:r>
        <w:fldChar w:fldCharType="separate"/>
      </w:r>
      <w:r>
        <w:t>68</w:t>
      </w:r>
      <w:r>
        <w:fldChar w:fldCharType="end"/>
      </w:r>
      <w:r>
        <w:rPr>
          <w:rFonts w:hint="eastAsia" w:ascii="宋体" w:hAnsi="宋体" w:eastAsia="宋体" w:cs="宋体"/>
          <w:color w:val="000000"/>
          <w:szCs w:val="21"/>
          <w:highlight w:val="none"/>
        </w:rPr>
        <w:fldChar w:fldCharType="end"/>
      </w:r>
    </w:p>
    <w:p w14:paraId="295C5266">
      <w:pPr>
        <w:pStyle w:val="18"/>
        <w:tabs>
          <w:tab w:val="right" w:leader="dot" w:pos="9638"/>
        </w:tabs>
      </w:pPr>
      <w:r>
        <w:rPr>
          <w:rFonts w:hint="eastAsia" w:ascii="宋体" w:hAnsi="宋体" w:eastAsia="宋体" w:cs="宋体"/>
          <w:color w:val="000000"/>
          <w:szCs w:val="21"/>
          <w:highlight w:val="none"/>
        </w:rPr>
        <w:fldChar w:fldCharType="begin"/>
      </w:r>
      <w:r>
        <w:rPr>
          <w:rFonts w:hint="eastAsia" w:ascii="宋体" w:hAnsi="宋体" w:eastAsia="宋体" w:cs="宋体"/>
          <w:szCs w:val="21"/>
          <w:highlight w:val="none"/>
        </w:rPr>
        <w:instrText xml:space="preserve"> HYPERLINK \l _Toc6518 </w:instrText>
      </w:r>
      <w:r>
        <w:rPr>
          <w:rFonts w:hint="eastAsia" w:ascii="宋体" w:hAnsi="宋体" w:eastAsia="宋体" w:cs="宋体"/>
          <w:szCs w:val="21"/>
          <w:highlight w:val="none"/>
        </w:rPr>
        <w:fldChar w:fldCharType="separate"/>
      </w:r>
      <w:r>
        <w:rPr>
          <w:rFonts w:hint="eastAsia" w:ascii="宋体" w:hAnsi="宋体" w:eastAsia="宋体" w:cs="宋体"/>
          <w:bCs/>
          <w:kern w:val="2"/>
          <w:szCs w:val="24"/>
          <w:highlight w:val="none"/>
          <w:lang w:val="en-US" w:eastAsia="zh-CN" w:bidi="ar-SA"/>
        </w:rPr>
        <w:t>（三）法定代表人（负责人）授权委托书</w:t>
      </w:r>
      <w:r>
        <w:tab/>
      </w:r>
      <w:r>
        <w:fldChar w:fldCharType="begin"/>
      </w:r>
      <w:r>
        <w:instrText xml:space="preserve"> PAGEREF _Toc6518 \h </w:instrText>
      </w:r>
      <w:r>
        <w:fldChar w:fldCharType="separate"/>
      </w:r>
      <w:r>
        <w:t>70</w:t>
      </w:r>
      <w:r>
        <w:fldChar w:fldCharType="end"/>
      </w:r>
      <w:r>
        <w:rPr>
          <w:rFonts w:hint="eastAsia" w:ascii="宋体" w:hAnsi="宋体" w:eastAsia="宋体" w:cs="宋体"/>
          <w:color w:val="000000"/>
          <w:szCs w:val="21"/>
          <w:highlight w:val="none"/>
        </w:rPr>
        <w:fldChar w:fldCharType="end"/>
      </w:r>
    </w:p>
    <w:p w14:paraId="3655133D">
      <w:pPr>
        <w:pStyle w:val="18"/>
        <w:tabs>
          <w:tab w:val="right" w:leader="dot" w:pos="9638"/>
        </w:tabs>
      </w:pPr>
      <w:r>
        <w:rPr>
          <w:rFonts w:hint="eastAsia" w:ascii="宋体" w:hAnsi="宋体" w:eastAsia="宋体" w:cs="宋体"/>
          <w:color w:val="000000"/>
          <w:szCs w:val="21"/>
          <w:highlight w:val="none"/>
        </w:rPr>
        <w:fldChar w:fldCharType="begin"/>
      </w:r>
      <w:r>
        <w:rPr>
          <w:rFonts w:hint="eastAsia" w:ascii="宋体" w:hAnsi="宋体" w:eastAsia="宋体" w:cs="宋体"/>
          <w:szCs w:val="21"/>
          <w:highlight w:val="none"/>
        </w:rPr>
        <w:instrText xml:space="preserve"> HYPERLINK \l _Toc25540 </w:instrText>
      </w:r>
      <w:r>
        <w:rPr>
          <w:rFonts w:hint="eastAsia" w:ascii="宋体" w:hAnsi="宋体" w:eastAsia="宋体" w:cs="宋体"/>
          <w:szCs w:val="21"/>
          <w:highlight w:val="none"/>
        </w:rPr>
        <w:fldChar w:fldCharType="separate"/>
      </w:r>
      <w:r>
        <w:rPr>
          <w:rFonts w:hint="eastAsia" w:ascii="宋体" w:hAnsi="宋体" w:eastAsia="宋体" w:cs="宋体"/>
          <w:szCs w:val="24"/>
          <w:highlight w:val="none"/>
        </w:rPr>
        <w:t>（四）资格证明文件</w:t>
      </w:r>
      <w:r>
        <w:tab/>
      </w:r>
      <w:r>
        <w:fldChar w:fldCharType="begin"/>
      </w:r>
      <w:r>
        <w:instrText xml:space="preserve"> PAGEREF _Toc25540 \h </w:instrText>
      </w:r>
      <w:r>
        <w:fldChar w:fldCharType="separate"/>
      </w:r>
      <w:r>
        <w:t>71</w:t>
      </w:r>
      <w:r>
        <w:fldChar w:fldCharType="end"/>
      </w:r>
      <w:r>
        <w:rPr>
          <w:rFonts w:hint="eastAsia" w:ascii="宋体" w:hAnsi="宋体" w:eastAsia="宋体" w:cs="宋体"/>
          <w:color w:val="000000"/>
          <w:szCs w:val="21"/>
          <w:highlight w:val="none"/>
        </w:rPr>
        <w:fldChar w:fldCharType="end"/>
      </w:r>
    </w:p>
    <w:p w14:paraId="74B22EC8">
      <w:pPr>
        <w:pStyle w:val="18"/>
        <w:tabs>
          <w:tab w:val="right" w:leader="dot" w:pos="9638"/>
        </w:tabs>
      </w:pPr>
      <w:r>
        <w:rPr>
          <w:rFonts w:hint="eastAsia" w:ascii="宋体" w:hAnsi="宋体" w:eastAsia="宋体" w:cs="宋体"/>
          <w:color w:val="000000"/>
          <w:szCs w:val="21"/>
          <w:highlight w:val="none"/>
        </w:rPr>
        <w:fldChar w:fldCharType="begin"/>
      </w:r>
      <w:r>
        <w:rPr>
          <w:rFonts w:hint="eastAsia" w:ascii="宋体" w:hAnsi="宋体" w:eastAsia="宋体" w:cs="宋体"/>
          <w:szCs w:val="21"/>
          <w:highlight w:val="none"/>
        </w:rPr>
        <w:instrText xml:space="preserve"> HYPERLINK \l _Toc6042 </w:instrText>
      </w:r>
      <w:r>
        <w:rPr>
          <w:rFonts w:hint="eastAsia" w:ascii="宋体" w:hAnsi="宋体" w:eastAsia="宋体" w:cs="宋体"/>
          <w:szCs w:val="21"/>
          <w:highlight w:val="none"/>
        </w:rPr>
        <w:fldChar w:fldCharType="separate"/>
      </w:r>
      <w:r>
        <w:rPr>
          <w:rFonts w:hint="eastAsia" w:ascii="宋体" w:hAnsi="宋体" w:eastAsia="宋体" w:cs="宋体"/>
          <w:szCs w:val="24"/>
          <w:highlight w:val="none"/>
        </w:rPr>
        <w:t>（五）投标人须知应答偏离表</w:t>
      </w:r>
      <w:r>
        <w:tab/>
      </w:r>
      <w:r>
        <w:fldChar w:fldCharType="begin"/>
      </w:r>
      <w:r>
        <w:instrText xml:space="preserve"> PAGEREF _Toc6042 \h </w:instrText>
      </w:r>
      <w:r>
        <w:fldChar w:fldCharType="separate"/>
      </w:r>
      <w:r>
        <w:t>84</w:t>
      </w:r>
      <w:r>
        <w:fldChar w:fldCharType="end"/>
      </w:r>
      <w:r>
        <w:rPr>
          <w:rFonts w:hint="eastAsia" w:ascii="宋体" w:hAnsi="宋体" w:eastAsia="宋体" w:cs="宋体"/>
          <w:color w:val="000000"/>
          <w:szCs w:val="21"/>
          <w:highlight w:val="none"/>
        </w:rPr>
        <w:fldChar w:fldCharType="end"/>
      </w:r>
    </w:p>
    <w:p w14:paraId="6FA23EAF">
      <w:pPr>
        <w:pStyle w:val="18"/>
        <w:tabs>
          <w:tab w:val="right" w:leader="dot" w:pos="9638"/>
        </w:tabs>
      </w:pPr>
      <w:r>
        <w:rPr>
          <w:rFonts w:hint="eastAsia" w:ascii="宋体" w:hAnsi="宋体" w:eastAsia="宋体" w:cs="宋体"/>
          <w:color w:val="000000"/>
          <w:szCs w:val="21"/>
          <w:highlight w:val="none"/>
        </w:rPr>
        <w:fldChar w:fldCharType="begin"/>
      </w:r>
      <w:r>
        <w:rPr>
          <w:rFonts w:hint="eastAsia" w:ascii="宋体" w:hAnsi="宋体" w:eastAsia="宋体" w:cs="宋体"/>
          <w:szCs w:val="21"/>
          <w:highlight w:val="none"/>
        </w:rPr>
        <w:instrText xml:space="preserve"> HYPERLINK \l _Toc7363 </w:instrText>
      </w:r>
      <w:r>
        <w:rPr>
          <w:rFonts w:hint="eastAsia" w:ascii="宋体" w:hAnsi="宋体" w:eastAsia="宋体" w:cs="宋体"/>
          <w:szCs w:val="21"/>
          <w:highlight w:val="none"/>
        </w:rPr>
        <w:fldChar w:fldCharType="separate"/>
      </w:r>
      <w:r>
        <w:rPr>
          <w:rFonts w:hint="eastAsia" w:ascii="宋体" w:hAnsi="宋体" w:eastAsia="宋体" w:cs="宋体"/>
          <w:szCs w:val="24"/>
          <w:highlight w:val="none"/>
        </w:rPr>
        <w:t>（六）合同条款应答偏离表</w:t>
      </w:r>
      <w:r>
        <w:tab/>
      </w:r>
      <w:r>
        <w:fldChar w:fldCharType="begin"/>
      </w:r>
      <w:r>
        <w:instrText xml:space="preserve"> PAGEREF _Toc7363 \h </w:instrText>
      </w:r>
      <w:r>
        <w:fldChar w:fldCharType="separate"/>
      </w:r>
      <w:r>
        <w:t>85</w:t>
      </w:r>
      <w:r>
        <w:fldChar w:fldCharType="end"/>
      </w:r>
      <w:r>
        <w:rPr>
          <w:rFonts w:hint="eastAsia" w:ascii="宋体" w:hAnsi="宋体" w:eastAsia="宋体" w:cs="宋体"/>
          <w:color w:val="000000"/>
          <w:szCs w:val="21"/>
          <w:highlight w:val="none"/>
        </w:rPr>
        <w:fldChar w:fldCharType="end"/>
      </w:r>
    </w:p>
    <w:p w14:paraId="0666812B">
      <w:pPr>
        <w:pStyle w:val="18"/>
        <w:tabs>
          <w:tab w:val="right" w:leader="dot" w:pos="9638"/>
        </w:tabs>
      </w:pPr>
      <w:r>
        <w:rPr>
          <w:rFonts w:hint="eastAsia" w:ascii="宋体" w:hAnsi="宋体" w:eastAsia="宋体" w:cs="宋体"/>
          <w:color w:val="000000"/>
          <w:szCs w:val="21"/>
          <w:highlight w:val="none"/>
        </w:rPr>
        <w:fldChar w:fldCharType="begin"/>
      </w:r>
      <w:r>
        <w:rPr>
          <w:rFonts w:hint="eastAsia" w:ascii="宋体" w:hAnsi="宋体" w:eastAsia="宋体" w:cs="宋体"/>
          <w:szCs w:val="21"/>
          <w:highlight w:val="none"/>
        </w:rPr>
        <w:instrText xml:space="preserve"> HYPERLINK \l _Toc24694 </w:instrText>
      </w:r>
      <w:r>
        <w:rPr>
          <w:rFonts w:hint="eastAsia" w:ascii="宋体" w:hAnsi="宋体" w:eastAsia="宋体" w:cs="宋体"/>
          <w:szCs w:val="21"/>
          <w:highlight w:val="none"/>
        </w:rPr>
        <w:fldChar w:fldCharType="separate"/>
      </w:r>
      <w:r>
        <w:rPr>
          <w:rFonts w:hint="eastAsia" w:ascii="宋体" w:hAnsi="宋体" w:eastAsia="宋体" w:cs="宋体"/>
          <w:szCs w:val="24"/>
          <w:highlight w:val="none"/>
        </w:rPr>
        <w:t>（七）供应商行为准则承诺书</w:t>
      </w:r>
      <w:r>
        <w:tab/>
      </w:r>
      <w:r>
        <w:fldChar w:fldCharType="begin"/>
      </w:r>
      <w:r>
        <w:instrText xml:space="preserve"> PAGEREF _Toc24694 \h </w:instrText>
      </w:r>
      <w:r>
        <w:fldChar w:fldCharType="separate"/>
      </w:r>
      <w:r>
        <w:t>86</w:t>
      </w:r>
      <w:r>
        <w:fldChar w:fldCharType="end"/>
      </w:r>
      <w:r>
        <w:rPr>
          <w:rFonts w:hint="eastAsia" w:ascii="宋体" w:hAnsi="宋体" w:eastAsia="宋体" w:cs="宋体"/>
          <w:color w:val="000000"/>
          <w:szCs w:val="21"/>
          <w:highlight w:val="none"/>
        </w:rPr>
        <w:fldChar w:fldCharType="end"/>
      </w:r>
    </w:p>
    <w:p w14:paraId="5264487F">
      <w:pPr>
        <w:pStyle w:val="18"/>
        <w:tabs>
          <w:tab w:val="right" w:leader="dot" w:pos="9638"/>
        </w:tabs>
      </w:pPr>
      <w:r>
        <w:rPr>
          <w:rFonts w:hint="eastAsia" w:ascii="宋体" w:hAnsi="宋体" w:eastAsia="宋体" w:cs="宋体"/>
          <w:color w:val="000000"/>
          <w:szCs w:val="21"/>
          <w:highlight w:val="none"/>
        </w:rPr>
        <w:fldChar w:fldCharType="begin"/>
      </w:r>
      <w:r>
        <w:rPr>
          <w:rFonts w:hint="eastAsia" w:ascii="宋体" w:hAnsi="宋体" w:eastAsia="宋体" w:cs="宋体"/>
          <w:szCs w:val="21"/>
          <w:highlight w:val="none"/>
        </w:rPr>
        <w:instrText xml:space="preserve"> HYPERLINK \l _Toc15429 </w:instrText>
      </w:r>
      <w:r>
        <w:rPr>
          <w:rFonts w:hint="eastAsia" w:ascii="宋体" w:hAnsi="宋体" w:eastAsia="宋体" w:cs="宋体"/>
          <w:szCs w:val="21"/>
          <w:highlight w:val="none"/>
        </w:rPr>
        <w:fldChar w:fldCharType="separate"/>
      </w:r>
      <w:r>
        <w:rPr>
          <w:rFonts w:hint="eastAsia" w:ascii="宋体" w:hAnsi="宋体" w:eastAsia="宋体" w:cs="宋体"/>
          <w:highlight w:val="none"/>
        </w:rPr>
        <w:t>（八）供应商廉洁诚信承诺书</w:t>
      </w:r>
      <w:r>
        <w:tab/>
      </w:r>
      <w:r>
        <w:fldChar w:fldCharType="begin"/>
      </w:r>
      <w:r>
        <w:instrText xml:space="preserve"> PAGEREF _Toc15429 \h </w:instrText>
      </w:r>
      <w:r>
        <w:fldChar w:fldCharType="separate"/>
      </w:r>
      <w:r>
        <w:t>88</w:t>
      </w:r>
      <w:r>
        <w:fldChar w:fldCharType="end"/>
      </w:r>
      <w:r>
        <w:rPr>
          <w:rFonts w:hint="eastAsia" w:ascii="宋体" w:hAnsi="宋体" w:eastAsia="宋体" w:cs="宋体"/>
          <w:color w:val="000000"/>
          <w:szCs w:val="21"/>
          <w:highlight w:val="none"/>
        </w:rPr>
        <w:fldChar w:fldCharType="end"/>
      </w:r>
    </w:p>
    <w:p w14:paraId="61D06B12">
      <w:pPr>
        <w:pStyle w:val="18"/>
        <w:tabs>
          <w:tab w:val="right" w:leader="dot" w:pos="9638"/>
        </w:tabs>
      </w:pPr>
      <w:r>
        <w:rPr>
          <w:rFonts w:hint="eastAsia" w:ascii="宋体" w:hAnsi="宋体" w:eastAsia="宋体" w:cs="宋体"/>
          <w:color w:val="000000"/>
          <w:szCs w:val="21"/>
          <w:highlight w:val="none"/>
        </w:rPr>
        <w:fldChar w:fldCharType="begin"/>
      </w:r>
      <w:r>
        <w:rPr>
          <w:rFonts w:hint="eastAsia" w:ascii="宋体" w:hAnsi="宋体" w:eastAsia="宋体" w:cs="宋体"/>
          <w:szCs w:val="21"/>
          <w:highlight w:val="none"/>
        </w:rPr>
        <w:instrText xml:space="preserve"> HYPERLINK \l _Toc4816 </w:instrText>
      </w:r>
      <w:r>
        <w:rPr>
          <w:rFonts w:hint="eastAsia" w:ascii="宋体" w:hAnsi="宋体" w:eastAsia="宋体" w:cs="宋体"/>
          <w:szCs w:val="21"/>
          <w:highlight w:val="none"/>
        </w:rPr>
        <w:fldChar w:fldCharType="separate"/>
      </w:r>
      <w:r>
        <w:rPr>
          <w:rFonts w:hint="eastAsia" w:ascii="宋体" w:hAnsi="宋体" w:eastAsia="宋体" w:cs="宋体"/>
          <w:szCs w:val="24"/>
          <w:highlight w:val="none"/>
        </w:rPr>
        <w:t>（九）其他材料</w:t>
      </w:r>
      <w:r>
        <w:tab/>
      </w:r>
      <w:r>
        <w:fldChar w:fldCharType="begin"/>
      </w:r>
      <w:r>
        <w:instrText xml:space="preserve"> PAGEREF _Toc4816 \h </w:instrText>
      </w:r>
      <w:r>
        <w:fldChar w:fldCharType="separate"/>
      </w:r>
      <w:r>
        <w:t>91</w:t>
      </w:r>
      <w:r>
        <w:fldChar w:fldCharType="end"/>
      </w:r>
      <w:r>
        <w:rPr>
          <w:rFonts w:hint="eastAsia" w:ascii="宋体" w:hAnsi="宋体" w:eastAsia="宋体" w:cs="宋体"/>
          <w:color w:val="000000"/>
          <w:szCs w:val="21"/>
          <w:highlight w:val="none"/>
        </w:rPr>
        <w:fldChar w:fldCharType="end"/>
      </w:r>
    </w:p>
    <w:p w14:paraId="689F3E2A">
      <w:pPr>
        <w:pStyle w:val="31"/>
        <w:tabs>
          <w:tab w:val="right" w:leader="dot" w:pos="9638"/>
        </w:tabs>
      </w:pPr>
      <w:r>
        <w:rPr>
          <w:rFonts w:hint="eastAsia" w:ascii="宋体" w:hAnsi="宋体" w:eastAsia="宋体" w:cs="宋体"/>
          <w:color w:val="000000"/>
          <w:szCs w:val="21"/>
          <w:highlight w:val="none"/>
        </w:rPr>
        <w:fldChar w:fldCharType="begin"/>
      </w:r>
      <w:r>
        <w:rPr>
          <w:rFonts w:hint="eastAsia" w:ascii="宋体" w:hAnsi="宋体" w:eastAsia="宋体" w:cs="宋体"/>
          <w:szCs w:val="21"/>
          <w:highlight w:val="none"/>
        </w:rPr>
        <w:instrText xml:space="preserve"> HYPERLINK \l _Toc30008 </w:instrText>
      </w:r>
      <w:r>
        <w:rPr>
          <w:rFonts w:hint="eastAsia" w:ascii="宋体" w:hAnsi="宋体" w:eastAsia="宋体" w:cs="宋体"/>
          <w:szCs w:val="21"/>
          <w:highlight w:val="none"/>
        </w:rPr>
        <w:fldChar w:fldCharType="separate"/>
      </w:r>
      <w:r>
        <w:rPr>
          <w:rFonts w:hint="eastAsia" w:ascii="宋体" w:hAnsi="宋体" w:eastAsia="宋体" w:cs="宋体"/>
          <w:szCs w:val="24"/>
          <w:highlight w:val="none"/>
        </w:rPr>
        <w:t>二、技术</w:t>
      </w:r>
      <w:r>
        <w:rPr>
          <w:rFonts w:hint="eastAsia" w:hAnsi="宋体" w:eastAsia="宋体" w:cs="宋体"/>
          <w:szCs w:val="24"/>
          <w:highlight w:val="none"/>
          <w:lang w:val="en-US" w:eastAsia="zh-CN"/>
        </w:rPr>
        <w:t>部分</w:t>
      </w:r>
      <w:r>
        <w:tab/>
      </w:r>
      <w:r>
        <w:fldChar w:fldCharType="begin"/>
      </w:r>
      <w:r>
        <w:instrText xml:space="preserve"> PAGEREF _Toc30008 \h </w:instrText>
      </w:r>
      <w:r>
        <w:fldChar w:fldCharType="separate"/>
      </w:r>
      <w:r>
        <w:t>95</w:t>
      </w:r>
      <w:r>
        <w:fldChar w:fldCharType="end"/>
      </w:r>
      <w:r>
        <w:rPr>
          <w:rFonts w:hint="eastAsia" w:ascii="宋体" w:hAnsi="宋体" w:eastAsia="宋体" w:cs="宋体"/>
          <w:color w:val="000000"/>
          <w:szCs w:val="21"/>
          <w:highlight w:val="none"/>
        </w:rPr>
        <w:fldChar w:fldCharType="end"/>
      </w:r>
    </w:p>
    <w:p w14:paraId="033D6CFD">
      <w:pPr>
        <w:pStyle w:val="18"/>
        <w:tabs>
          <w:tab w:val="right" w:leader="dot" w:pos="9638"/>
        </w:tabs>
      </w:pPr>
      <w:r>
        <w:rPr>
          <w:rFonts w:hint="eastAsia" w:ascii="宋体" w:hAnsi="宋体" w:eastAsia="宋体" w:cs="宋体"/>
          <w:color w:val="000000"/>
          <w:szCs w:val="21"/>
          <w:highlight w:val="none"/>
        </w:rPr>
        <w:fldChar w:fldCharType="begin"/>
      </w:r>
      <w:r>
        <w:rPr>
          <w:rFonts w:hint="eastAsia" w:ascii="宋体" w:hAnsi="宋体" w:eastAsia="宋体" w:cs="宋体"/>
          <w:szCs w:val="21"/>
          <w:highlight w:val="none"/>
        </w:rPr>
        <w:instrText xml:space="preserve"> HYPERLINK \l _Toc28698 </w:instrText>
      </w:r>
      <w:r>
        <w:rPr>
          <w:rFonts w:hint="eastAsia" w:ascii="宋体" w:hAnsi="宋体" w:eastAsia="宋体" w:cs="宋体"/>
          <w:szCs w:val="21"/>
          <w:highlight w:val="none"/>
        </w:rPr>
        <w:fldChar w:fldCharType="separate"/>
      </w:r>
      <w:r>
        <w:rPr>
          <w:rFonts w:hint="eastAsia" w:ascii="宋体" w:hAnsi="宋体" w:eastAsia="宋体" w:cs="宋体"/>
          <w:szCs w:val="24"/>
          <w:highlight w:val="none"/>
        </w:rPr>
        <w:t>（一）技术规范书应答偏离表</w:t>
      </w:r>
      <w:r>
        <w:tab/>
      </w:r>
      <w:r>
        <w:fldChar w:fldCharType="begin"/>
      </w:r>
      <w:r>
        <w:instrText xml:space="preserve"> PAGEREF _Toc28698 \h </w:instrText>
      </w:r>
      <w:r>
        <w:fldChar w:fldCharType="separate"/>
      </w:r>
      <w:r>
        <w:t>95</w:t>
      </w:r>
      <w:r>
        <w:fldChar w:fldCharType="end"/>
      </w:r>
      <w:r>
        <w:rPr>
          <w:rFonts w:hint="eastAsia" w:ascii="宋体" w:hAnsi="宋体" w:eastAsia="宋体" w:cs="宋体"/>
          <w:color w:val="000000"/>
          <w:szCs w:val="21"/>
          <w:highlight w:val="none"/>
        </w:rPr>
        <w:fldChar w:fldCharType="end"/>
      </w:r>
    </w:p>
    <w:p w14:paraId="7358F8FC">
      <w:pPr>
        <w:pStyle w:val="18"/>
        <w:tabs>
          <w:tab w:val="right" w:leader="dot" w:pos="9638"/>
        </w:tabs>
      </w:pPr>
      <w:r>
        <w:rPr>
          <w:rFonts w:hint="eastAsia" w:ascii="宋体" w:hAnsi="宋体" w:eastAsia="宋体" w:cs="宋体"/>
          <w:color w:val="000000"/>
          <w:szCs w:val="21"/>
          <w:highlight w:val="none"/>
        </w:rPr>
        <w:fldChar w:fldCharType="begin"/>
      </w:r>
      <w:r>
        <w:rPr>
          <w:rFonts w:hint="eastAsia" w:ascii="宋体" w:hAnsi="宋体" w:eastAsia="宋体" w:cs="宋体"/>
          <w:szCs w:val="21"/>
          <w:highlight w:val="none"/>
        </w:rPr>
        <w:instrText xml:space="preserve"> HYPERLINK \l _Toc23702 </w:instrText>
      </w:r>
      <w:r>
        <w:rPr>
          <w:rFonts w:hint="eastAsia" w:ascii="宋体" w:hAnsi="宋体" w:eastAsia="宋体" w:cs="宋体"/>
          <w:szCs w:val="21"/>
          <w:highlight w:val="none"/>
        </w:rPr>
        <w:fldChar w:fldCharType="separate"/>
      </w:r>
      <w:r>
        <w:rPr>
          <w:rFonts w:hint="eastAsia" w:ascii="宋体" w:hAnsi="宋体" w:eastAsia="宋体" w:cs="宋体"/>
          <w:szCs w:val="24"/>
          <w:highlight w:val="none"/>
        </w:rPr>
        <w:t>（二）技术方案</w:t>
      </w:r>
      <w:r>
        <w:tab/>
      </w:r>
      <w:r>
        <w:fldChar w:fldCharType="begin"/>
      </w:r>
      <w:r>
        <w:instrText xml:space="preserve"> PAGEREF _Toc23702 \h </w:instrText>
      </w:r>
      <w:r>
        <w:fldChar w:fldCharType="separate"/>
      </w:r>
      <w:r>
        <w:t>96</w:t>
      </w:r>
      <w:r>
        <w:fldChar w:fldCharType="end"/>
      </w:r>
      <w:r>
        <w:rPr>
          <w:rFonts w:hint="eastAsia" w:ascii="宋体" w:hAnsi="宋体" w:eastAsia="宋体" w:cs="宋体"/>
          <w:color w:val="000000"/>
          <w:szCs w:val="21"/>
          <w:highlight w:val="none"/>
        </w:rPr>
        <w:fldChar w:fldCharType="end"/>
      </w:r>
    </w:p>
    <w:p w14:paraId="7BFF3245">
      <w:pPr>
        <w:pStyle w:val="18"/>
        <w:tabs>
          <w:tab w:val="right" w:leader="dot" w:pos="9638"/>
        </w:tabs>
      </w:pPr>
      <w:r>
        <w:rPr>
          <w:rFonts w:hint="eastAsia" w:ascii="宋体" w:hAnsi="宋体" w:eastAsia="宋体" w:cs="宋体"/>
          <w:color w:val="000000"/>
          <w:szCs w:val="21"/>
          <w:highlight w:val="none"/>
        </w:rPr>
        <w:fldChar w:fldCharType="begin"/>
      </w:r>
      <w:r>
        <w:rPr>
          <w:rFonts w:hint="eastAsia" w:ascii="宋体" w:hAnsi="宋体" w:eastAsia="宋体" w:cs="宋体"/>
          <w:szCs w:val="21"/>
          <w:highlight w:val="none"/>
        </w:rPr>
        <w:instrText xml:space="preserve"> HYPERLINK \l _Toc30059 </w:instrText>
      </w:r>
      <w:r>
        <w:rPr>
          <w:rFonts w:hint="eastAsia" w:ascii="宋体" w:hAnsi="宋体" w:eastAsia="宋体" w:cs="宋体"/>
          <w:szCs w:val="21"/>
          <w:highlight w:val="none"/>
        </w:rPr>
        <w:fldChar w:fldCharType="separate"/>
      </w:r>
      <w:r>
        <w:rPr>
          <w:rFonts w:hint="eastAsia" w:ascii="宋体" w:hAnsi="宋体" w:eastAsia="宋体" w:cs="宋体"/>
          <w:szCs w:val="24"/>
        </w:rPr>
        <w:t xml:space="preserve">（三） </w:t>
      </w:r>
      <w:r>
        <w:rPr>
          <w:rFonts w:hint="eastAsia" w:ascii="宋体" w:hAnsi="宋体" w:eastAsia="宋体" w:cs="宋体"/>
          <w:szCs w:val="24"/>
          <w:highlight w:val="none"/>
        </w:rPr>
        <w:t>其他材料</w:t>
      </w:r>
      <w:r>
        <w:tab/>
      </w:r>
      <w:r>
        <w:fldChar w:fldCharType="begin"/>
      </w:r>
      <w:r>
        <w:instrText xml:space="preserve"> PAGEREF _Toc30059 \h </w:instrText>
      </w:r>
      <w:r>
        <w:fldChar w:fldCharType="separate"/>
      </w:r>
      <w:r>
        <w:t>97</w:t>
      </w:r>
      <w:r>
        <w:fldChar w:fldCharType="end"/>
      </w:r>
      <w:r>
        <w:rPr>
          <w:rFonts w:hint="eastAsia" w:ascii="宋体" w:hAnsi="宋体" w:eastAsia="宋体" w:cs="宋体"/>
          <w:color w:val="000000"/>
          <w:szCs w:val="21"/>
          <w:highlight w:val="none"/>
        </w:rPr>
        <w:fldChar w:fldCharType="end"/>
      </w:r>
    </w:p>
    <w:p w14:paraId="0716458A">
      <w:pPr>
        <w:pStyle w:val="31"/>
        <w:tabs>
          <w:tab w:val="right" w:leader="dot" w:pos="9638"/>
        </w:tabs>
      </w:pPr>
      <w:r>
        <w:rPr>
          <w:rFonts w:hint="eastAsia" w:ascii="宋体" w:hAnsi="宋体" w:eastAsia="宋体" w:cs="宋体"/>
          <w:color w:val="000000"/>
          <w:szCs w:val="21"/>
          <w:highlight w:val="none"/>
        </w:rPr>
        <w:fldChar w:fldCharType="begin"/>
      </w:r>
      <w:r>
        <w:rPr>
          <w:rFonts w:hint="eastAsia" w:ascii="宋体" w:hAnsi="宋体" w:eastAsia="宋体" w:cs="宋体"/>
          <w:szCs w:val="21"/>
          <w:highlight w:val="none"/>
        </w:rPr>
        <w:instrText xml:space="preserve"> HYPERLINK \l _Toc28412 </w:instrText>
      </w:r>
      <w:r>
        <w:rPr>
          <w:rFonts w:hint="eastAsia" w:ascii="宋体" w:hAnsi="宋体" w:eastAsia="宋体" w:cs="宋体"/>
          <w:szCs w:val="21"/>
          <w:highlight w:val="none"/>
        </w:rPr>
        <w:fldChar w:fldCharType="separate"/>
      </w:r>
      <w:r>
        <w:rPr>
          <w:rFonts w:hint="eastAsia" w:ascii="宋体" w:hAnsi="宋体" w:eastAsia="宋体" w:cs="宋体"/>
          <w:szCs w:val="24"/>
          <w:highlight w:val="none"/>
        </w:rPr>
        <w:t>三、报价</w:t>
      </w:r>
      <w:r>
        <w:rPr>
          <w:rFonts w:hint="eastAsia" w:hAnsi="宋体" w:eastAsia="宋体" w:cs="宋体"/>
          <w:szCs w:val="24"/>
          <w:highlight w:val="none"/>
          <w:lang w:val="en-US" w:eastAsia="zh-CN"/>
        </w:rPr>
        <w:t>部分</w:t>
      </w:r>
      <w:r>
        <w:tab/>
      </w:r>
      <w:r>
        <w:fldChar w:fldCharType="begin"/>
      </w:r>
      <w:r>
        <w:instrText xml:space="preserve"> PAGEREF _Toc28412 \h </w:instrText>
      </w:r>
      <w:r>
        <w:fldChar w:fldCharType="separate"/>
      </w:r>
      <w:r>
        <w:t>98</w:t>
      </w:r>
      <w:r>
        <w:fldChar w:fldCharType="end"/>
      </w:r>
      <w:r>
        <w:rPr>
          <w:rFonts w:hint="eastAsia" w:ascii="宋体" w:hAnsi="宋体" w:eastAsia="宋体" w:cs="宋体"/>
          <w:color w:val="000000"/>
          <w:szCs w:val="21"/>
          <w:highlight w:val="none"/>
        </w:rPr>
        <w:fldChar w:fldCharType="end"/>
      </w:r>
    </w:p>
    <w:p w14:paraId="3B51ECE7">
      <w:pPr>
        <w:pStyle w:val="18"/>
        <w:tabs>
          <w:tab w:val="right" w:leader="dot" w:pos="9638"/>
        </w:tabs>
      </w:pPr>
      <w:r>
        <w:rPr>
          <w:rFonts w:hint="eastAsia" w:ascii="宋体" w:hAnsi="宋体" w:eastAsia="宋体" w:cs="宋体"/>
          <w:color w:val="000000"/>
          <w:szCs w:val="21"/>
          <w:highlight w:val="none"/>
        </w:rPr>
        <w:fldChar w:fldCharType="begin"/>
      </w:r>
      <w:r>
        <w:rPr>
          <w:rFonts w:hint="eastAsia" w:ascii="宋体" w:hAnsi="宋体" w:eastAsia="宋体" w:cs="宋体"/>
          <w:szCs w:val="21"/>
          <w:highlight w:val="none"/>
        </w:rPr>
        <w:instrText xml:space="preserve"> HYPERLINK \l _Toc22860 </w:instrText>
      </w:r>
      <w:r>
        <w:rPr>
          <w:rFonts w:hint="eastAsia" w:ascii="宋体" w:hAnsi="宋体" w:eastAsia="宋体" w:cs="宋体"/>
          <w:szCs w:val="21"/>
          <w:highlight w:val="none"/>
        </w:rPr>
        <w:fldChar w:fldCharType="separate"/>
      </w:r>
      <w:r>
        <w:rPr>
          <w:rFonts w:hint="eastAsia" w:ascii="宋体" w:hAnsi="宋体" w:eastAsia="宋体" w:cs="宋体"/>
          <w:szCs w:val="24"/>
          <w:highlight w:val="none"/>
        </w:rPr>
        <w:t>（一）投标一览表</w:t>
      </w:r>
      <w:r>
        <w:tab/>
      </w:r>
      <w:r>
        <w:fldChar w:fldCharType="begin"/>
      </w:r>
      <w:r>
        <w:instrText xml:space="preserve"> PAGEREF _Toc22860 \h </w:instrText>
      </w:r>
      <w:r>
        <w:fldChar w:fldCharType="separate"/>
      </w:r>
      <w:r>
        <w:t>98</w:t>
      </w:r>
      <w:r>
        <w:fldChar w:fldCharType="end"/>
      </w:r>
      <w:r>
        <w:rPr>
          <w:rFonts w:hint="eastAsia" w:ascii="宋体" w:hAnsi="宋体" w:eastAsia="宋体" w:cs="宋体"/>
          <w:color w:val="000000"/>
          <w:szCs w:val="21"/>
          <w:highlight w:val="none"/>
        </w:rPr>
        <w:fldChar w:fldCharType="end"/>
      </w:r>
    </w:p>
    <w:p w14:paraId="6EFEB1D9">
      <w:pPr>
        <w:tabs>
          <w:tab w:val="right" w:leader="dot" w:pos="8296"/>
        </w:tabs>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fldChar w:fldCharType="end"/>
      </w:r>
    </w:p>
    <w:p w14:paraId="41A9D340">
      <w:pPr>
        <w:rPr>
          <w:rFonts w:hint="eastAsia" w:ascii="宋体" w:hAnsi="宋体" w:eastAsia="宋体" w:cs="宋体"/>
          <w:color w:val="000000"/>
          <w:highlight w:val="none"/>
        </w:rPr>
      </w:pPr>
      <w:bookmarkStart w:id="0" w:name="_Toc9649"/>
      <w:bookmarkStart w:id="1" w:name="_Toc9208"/>
      <w:bookmarkStart w:id="2" w:name="_Toc14796"/>
      <w:bookmarkStart w:id="3" w:name="_Toc109124222"/>
      <w:bookmarkStart w:id="4" w:name="_Toc65682912"/>
      <w:bookmarkStart w:id="5" w:name="_Toc7914"/>
      <w:r>
        <w:rPr>
          <w:rFonts w:hint="eastAsia" w:ascii="宋体" w:hAnsi="宋体" w:eastAsia="宋体" w:cs="宋体"/>
          <w:color w:val="000000"/>
          <w:highlight w:val="none"/>
        </w:rPr>
        <w:br w:type="page"/>
      </w:r>
    </w:p>
    <w:p w14:paraId="7DC8F98F">
      <w:pPr>
        <w:pStyle w:val="2"/>
        <w:numPr>
          <w:ilvl w:val="0"/>
          <w:numId w:val="0"/>
        </w:numPr>
        <w:spacing w:before="0" w:after="0" w:line="480" w:lineRule="auto"/>
        <w:ind w:left="0" w:leftChars="0" w:firstLine="0" w:firstLineChars="0"/>
        <w:rPr>
          <w:rFonts w:hint="eastAsia" w:ascii="宋体" w:hAnsi="宋体" w:eastAsia="宋体" w:cs="宋体"/>
          <w:color w:val="000000"/>
          <w:highlight w:val="none"/>
        </w:rPr>
      </w:pPr>
      <w:bookmarkStart w:id="6" w:name="_Toc28081"/>
      <w:r>
        <w:rPr>
          <w:rFonts w:hint="eastAsia" w:ascii="宋体" w:hAnsi="宋体" w:eastAsia="宋体" w:cs="宋体"/>
          <w:color w:val="000000"/>
          <w:highlight w:val="none"/>
        </w:rPr>
        <w:t xml:space="preserve">第一章 </w:t>
      </w:r>
      <w:bookmarkEnd w:id="0"/>
      <w:bookmarkEnd w:id="1"/>
      <w:bookmarkEnd w:id="2"/>
      <w:r>
        <w:rPr>
          <w:rFonts w:hint="eastAsia" w:ascii="宋体" w:hAnsi="宋体" w:eastAsia="宋体" w:cs="宋体"/>
          <w:color w:val="000000"/>
          <w:highlight w:val="none"/>
        </w:rPr>
        <w:t>招标公告</w:t>
      </w:r>
      <w:bookmarkEnd w:id="3"/>
      <w:bookmarkEnd w:id="4"/>
      <w:bookmarkEnd w:id="5"/>
      <w:bookmarkEnd w:id="6"/>
    </w:p>
    <w:p w14:paraId="08B87DE9">
      <w:pPr>
        <w:pStyle w:val="3"/>
        <w:rPr>
          <w:rFonts w:hint="eastAsia" w:ascii="宋体" w:hAnsi="宋体" w:eastAsia="宋体" w:cs="宋体"/>
          <w:color w:val="000000"/>
          <w:szCs w:val="24"/>
          <w:highlight w:val="none"/>
        </w:rPr>
      </w:pPr>
      <w:bookmarkStart w:id="7" w:name="_Toc24950"/>
      <w:bookmarkStart w:id="8" w:name="_Toc25200"/>
      <w:bookmarkStart w:id="9" w:name="_Toc10131"/>
      <w:bookmarkStart w:id="10" w:name="_Toc109124223"/>
      <w:bookmarkStart w:id="11" w:name="_Toc910"/>
      <w:bookmarkStart w:id="12" w:name="_Toc65682913"/>
      <w:bookmarkStart w:id="13" w:name="_Toc23271"/>
      <w:r>
        <w:rPr>
          <w:rFonts w:hint="eastAsia" w:ascii="宋体" w:hAnsi="宋体" w:eastAsia="宋体" w:cs="宋体"/>
          <w:color w:val="000000"/>
          <w:szCs w:val="24"/>
          <w:highlight w:val="none"/>
        </w:rPr>
        <w:t>一、</w:t>
      </w:r>
      <w:bookmarkEnd w:id="7"/>
      <w:bookmarkEnd w:id="8"/>
      <w:bookmarkEnd w:id="9"/>
      <w:r>
        <w:rPr>
          <w:rFonts w:hint="eastAsia" w:ascii="宋体" w:hAnsi="宋体" w:eastAsia="宋体" w:cs="宋体"/>
          <w:color w:val="000000"/>
          <w:szCs w:val="24"/>
          <w:highlight w:val="none"/>
        </w:rPr>
        <w:t>招标条件</w:t>
      </w:r>
      <w:bookmarkEnd w:id="10"/>
      <w:bookmarkEnd w:id="11"/>
      <w:bookmarkEnd w:id="12"/>
      <w:bookmarkEnd w:id="13"/>
    </w:p>
    <w:p w14:paraId="4D6C5AF5">
      <w:pPr>
        <w:wordWrap w:val="0"/>
        <w:spacing w:line="360" w:lineRule="auto"/>
        <w:ind w:firstLine="480" w:firstLineChars="200"/>
        <w:textAlignment w:val="baseline"/>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本招标项目</w:t>
      </w:r>
      <w:r>
        <w:rPr>
          <w:rFonts w:hint="eastAsia" w:ascii="宋体" w:hAnsi="宋体" w:cs="宋体"/>
          <w:color w:val="000000"/>
          <w:sz w:val="24"/>
          <w:szCs w:val="24"/>
          <w:highlight w:val="none"/>
          <w:u w:val="single"/>
          <w:lang w:val="zh-CN"/>
        </w:rPr>
        <w:t>人保财险南京市分公司营业用房零星维修服务供应商项目</w:t>
      </w:r>
      <w:r>
        <w:rPr>
          <w:rFonts w:hint="eastAsia" w:ascii="宋体" w:hAnsi="宋体" w:eastAsia="宋体" w:cs="宋体"/>
          <w:color w:val="000000"/>
          <w:sz w:val="24"/>
          <w:szCs w:val="24"/>
          <w:highlight w:val="none"/>
          <w:lang w:val="zh-CN"/>
        </w:rPr>
        <w:t>（招标代理项目编号：</w:t>
      </w:r>
      <w:r>
        <w:rPr>
          <w:rFonts w:hint="eastAsia" w:ascii="宋体" w:hAnsi="宋体" w:cs="宋体"/>
          <w:color w:val="000000"/>
          <w:sz w:val="24"/>
          <w:szCs w:val="24"/>
          <w:highlight w:val="none"/>
          <w:u w:val="single"/>
          <w:lang w:val="zh-CN" w:eastAsia="zh-CN"/>
        </w:rPr>
        <w:t>02-10-04A-2025-D-F-E12622</w:t>
      </w:r>
      <w:r>
        <w:rPr>
          <w:rFonts w:hint="eastAsia" w:ascii="宋体" w:hAnsi="宋体" w:cs="宋体"/>
          <w:color w:val="000000"/>
          <w:sz w:val="24"/>
          <w:szCs w:val="24"/>
          <w:highlight w:val="none"/>
          <w:u w:val="none"/>
          <w:lang w:val="zh-CN"/>
        </w:rPr>
        <w:t>）</w:t>
      </w:r>
      <w:bookmarkStart w:id="14" w:name="_Hlk69906010"/>
      <w:r>
        <w:rPr>
          <w:rFonts w:hint="eastAsia" w:ascii="宋体" w:hAnsi="宋体" w:eastAsia="宋体" w:cs="宋体"/>
          <w:color w:val="000000"/>
          <w:sz w:val="24"/>
          <w:szCs w:val="24"/>
          <w:highlight w:val="none"/>
        </w:rPr>
        <w:t>由</w:t>
      </w:r>
      <w:r>
        <w:rPr>
          <w:rFonts w:hint="eastAsia" w:ascii="宋体" w:hAnsi="宋体" w:cs="宋体"/>
          <w:color w:val="000000"/>
          <w:sz w:val="24"/>
          <w:szCs w:val="24"/>
          <w:highlight w:val="none"/>
          <w:u w:val="single"/>
          <w:lang w:eastAsia="zh-CN"/>
        </w:rPr>
        <w:t>中国人民财产保险股份有限公司南京市分公司</w:t>
      </w:r>
      <w:r>
        <w:rPr>
          <w:rFonts w:hint="eastAsia" w:ascii="宋体" w:hAnsi="宋体" w:eastAsia="宋体" w:cs="宋体"/>
          <w:color w:val="000000"/>
          <w:sz w:val="24"/>
          <w:szCs w:val="24"/>
          <w:highlight w:val="none"/>
        </w:rPr>
        <w:t>（以下简称“招标人”）批准并落实资金，组织本项目的相关招标工作，采购合同由</w:t>
      </w:r>
      <w:r>
        <w:rPr>
          <w:rFonts w:hint="eastAsia" w:ascii="宋体" w:hAnsi="宋体" w:cs="宋体"/>
          <w:color w:val="000000"/>
          <w:sz w:val="24"/>
          <w:szCs w:val="24"/>
          <w:highlight w:val="none"/>
          <w:u w:val="none"/>
          <w:lang w:eastAsia="zh-CN"/>
        </w:rPr>
        <w:t>中国人民财产保险股份有限公司南京市分公司</w:t>
      </w:r>
      <w:r>
        <w:rPr>
          <w:rFonts w:hint="eastAsia" w:ascii="宋体" w:hAnsi="宋体" w:eastAsia="宋体" w:cs="宋体"/>
          <w:color w:val="000000"/>
          <w:sz w:val="24"/>
          <w:szCs w:val="24"/>
          <w:highlight w:val="none"/>
        </w:rPr>
        <w:t>（以下简称“</w:t>
      </w:r>
      <w:r>
        <w:rPr>
          <w:rFonts w:hint="eastAsia" w:ascii="宋体" w:hAnsi="宋体" w:cs="宋体"/>
          <w:color w:val="000000"/>
          <w:sz w:val="24"/>
          <w:szCs w:val="24"/>
          <w:highlight w:val="none"/>
          <w:lang w:eastAsia="zh-CN"/>
        </w:rPr>
        <w:t>人保财险</w:t>
      </w:r>
      <w:r>
        <w:rPr>
          <w:rFonts w:hint="eastAsia" w:ascii="宋体" w:hAnsi="宋体" w:cs="宋体"/>
          <w:color w:val="000000"/>
          <w:sz w:val="24"/>
          <w:szCs w:val="24"/>
          <w:highlight w:val="none"/>
          <w:lang w:val="en-US" w:eastAsia="zh-CN"/>
        </w:rPr>
        <w:t>南京市分公司</w:t>
      </w:r>
      <w:r>
        <w:rPr>
          <w:rFonts w:hint="eastAsia" w:ascii="宋体" w:hAnsi="宋体" w:eastAsia="宋体" w:cs="宋体"/>
          <w:color w:val="000000"/>
          <w:sz w:val="24"/>
          <w:szCs w:val="24"/>
          <w:highlight w:val="none"/>
        </w:rPr>
        <w:t>”）根据中标结果与中标人签署。</w:t>
      </w:r>
      <w:bookmarkEnd w:id="14"/>
      <w:r>
        <w:rPr>
          <w:rFonts w:hint="eastAsia" w:ascii="宋体" w:hAnsi="宋体" w:eastAsia="宋体" w:cs="宋体"/>
          <w:color w:val="000000"/>
          <w:sz w:val="24"/>
          <w:szCs w:val="24"/>
          <w:highlight w:val="none"/>
        </w:rPr>
        <w:t>现委托</w:t>
      </w:r>
      <w:r>
        <w:rPr>
          <w:rFonts w:hint="eastAsia" w:ascii="宋体" w:hAnsi="宋体" w:eastAsia="宋体" w:cs="宋体"/>
          <w:color w:val="000000"/>
          <w:sz w:val="24"/>
          <w:szCs w:val="24"/>
          <w:highlight w:val="none"/>
          <w:u w:val="none"/>
          <w:lang w:eastAsia="zh-CN"/>
        </w:rPr>
        <w:t>公诚管理咨询有限公司</w:t>
      </w:r>
      <w:r>
        <w:rPr>
          <w:rFonts w:hint="eastAsia" w:ascii="宋体" w:hAnsi="宋体" w:eastAsia="宋体" w:cs="宋体"/>
          <w:color w:val="000000"/>
          <w:sz w:val="24"/>
          <w:szCs w:val="24"/>
          <w:highlight w:val="none"/>
        </w:rPr>
        <w:t>（以下简称“招标代理机构”）进行公开招标，有意向且具有提供标的物能力的潜在投标人（以下简称“投标人”）可前来投标。</w:t>
      </w:r>
    </w:p>
    <w:p w14:paraId="7C463603">
      <w:pPr>
        <w:pStyle w:val="3"/>
        <w:rPr>
          <w:rFonts w:hint="eastAsia" w:ascii="宋体" w:hAnsi="宋体" w:eastAsia="宋体" w:cs="宋体"/>
          <w:color w:val="000000"/>
          <w:szCs w:val="24"/>
          <w:highlight w:val="none"/>
        </w:rPr>
      </w:pPr>
      <w:bookmarkStart w:id="15" w:name="_Toc17821"/>
      <w:bookmarkStart w:id="16" w:name="_Toc18478"/>
      <w:bookmarkStart w:id="17" w:name="_Toc65682914"/>
      <w:bookmarkStart w:id="18" w:name="_Toc109124224"/>
      <w:r>
        <w:rPr>
          <w:rFonts w:hint="eastAsia" w:ascii="宋体" w:hAnsi="宋体" w:eastAsia="宋体" w:cs="宋体"/>
          <w:color w:val="000000"/>
          <w:szCs w:val="24"/>
          <w:highlight w:val="none"/>
        </w:rPr>
        <w:t>二、项目概况与招标范围</w:t>
      </w:r>
      <w:bookmarkEnd w:id="15"/>
      <w:bookmarkEnd w:id="16"/>
      <w:bookmarkEnd w:id="17"/>
      <w:bookmarkEnd w:id="18"/>
    </w:p>
    <w:p w14:paraId="5AEA012A">
      <w:pPr>
        <w:wordWrap w:val="0"/>
        <w:spacing w:line="360" w:lineRule="auto"/>
        <w:ind w:firstLine="480" w:firstLineChars="200"/>
        <w:textAlignment w:val="baseline"/>
        <w:rPr>
          <w:rFonts w:hint="eastAsia" w:ascii="宋体" w:hAnsi="宋体" w:eastAsia="宋体" w:cs="宋体"/>
          <w:color w:val="000000"/>
          <w:sz w:val="24"/>
          <w:szCs w:val="24"/>
          <w:highlight w:val="none"/>
          <w:lang w:eastAsia="zh-CN"/>
        </w:rPr>
      </w:pPr>
      <w:r>
        <w:rPr>
          <w:rFonts w:hint="default" w:ascii="宋体" w:hAnsi="宋体" w:eastAsia="宋体" w:cs="宋体"/>
          <w:color w:val="auto"/>
          <w:kern w:val="2"/>
          <w:sz w:val="24"/>
          <w:szCs w:val="24"/>
          <w:highlight w:val="none"/>
          <w:lang w:val="en-US" w:eastAsia="zh-CN" w:bidi="ar-SA"/>
        </w:rPr>
        <w:t>2.1.</w:t>
      </w:r>
      <w:r>
        <w:rPr>
          <w:rFonts w:hint="eastAsia" w:ascii="宋体" w:hAnsi="宋体" w:eastAsia="宋体" w:cs="宋体"/>
          <w:color w:val="000000"/>
          <w:sz w:val="24"/>
          <w:szCs w:val="24"/>
          <w:highlight w:val="none"/>
          <w:lang w:eastAsia="zh-CN"/>
        </w:rPr>
        <w:t>项目名称：</w:t>
      </w:r>
      <w:r>
        <w:rPr>
          <w:rFonts w:hint="eastAsia" w:ascii="宋体" w:hAnsi="宋体" w:cs="宋体"/>
          <w:color w:val="000000"/>
          <w:sz w:val="24"/>
          <w:szCs w:val="24"/>
          <w:highlight w:val="none"/>
          <w:lang w:eastAsia="zh-CN"/>
        </w:rPr>
        <w:t>人保财险南京市分公司营业用房零星维修服务供应商项目</w:t>
      </w:r>
      <w:r>
        <w:rPr>
          <w:rFonts w:hint="eastAsia" w:ascii="宋体" w:hAnsi="宋体" w:eastAsia="宋体" w:cs="宋体"/>
          <w:color w:val="000000"/>
          <w:sz w:val="24"/>
          <w:szCs w:val="24"/>
          <w:highlight w:val="none"/>
          <w:lang w:eastAsia="zh-CN"/>
        </w:rPr>
        <w:t>。</w:t>
      </w:r>
    </w:p>
    <w:p w14:paraId="31C040F9">
      <w:pPr>
        <w:wordWrap w:val="0"/>
        <w:spacing w:line="360" w:lineRule="auto"/>
        <w:ind w:firstLine="480" w:firstLineChars="200"/>
        <w:textAlignment w:val="baseline"/>
        <w:rPr>
          <w:rFonts w:hint="eastAsia" w:ascii="宋体" w:hAnsi="宋体" w:eastAsia="宋体" w:cs="宋体"/>
          <w:color w:val="000000"/>
          <w:sz w:val="24"/>
          <w:szCs w:val="24"/>
          <w:highlight w:val="none"/>
          <w:lang w:eastAsia="zh-CN"/>
        </w:rPr>
      </w:pPr>
      <w:r>
        <w:rPr>
          <w:rFonts w:hint="default" w:ascii="宋体" w:hAnsi="宋体" w:eastAsia="宋体" w:cs="宋体"/>
          <w:color w:val="000000"/>
          <w:sz w:val="24"/>
          <w:szCs w:val="24"/>
          <w:highlight w:val="none"/>
          <w:lang w:val="en-US" w:eastAsia="zh-CN"/>
        </w:rPr>
        <w:t>2.2.</w:t>
      </w:r>
      <w:r>
        <w:rPr>
          <w:rFonts w:hint="eastAsia" w:ascii="宋体" w:hAnsi="宋体" w:eastAsia="宋体" w:cs="宋体"/>
          <w:color w:val="000000"/>
          <w:sz w:val="24"/>
          <w:szCs w:val="24"/>
          <w:highlight w:val="none"/>
          <w:lang w:eastAsia="zh-CN"/>
        </w:rPr>
        <w:t>招标范围：</w:t>
      </w:r>
      <w:bookmarkStart w:id="19" w:name="_Hlk69456860"/>
      <w:r>
        <w:rPr>
          <w:rFonts w:hint="eastAsia" w:ascii="宋体" w:hAnsi="宋体" w:eastAsia="宋体" w:cs="宋体"/>
          <w:color w:val="000000"/>
          <w:sz w:val="24"/>
          <w:szCs w:val="24"/>
          <w:highlight w:val="none"/>
          <w:lang w:eastAsia="zh-CN"/>
        </w:rPr>
        <w:t>本项目拟</w:t>
      </w:r>
      <w:bookmarkEnd w:id="19"/>
      <w:r>
        <w:rPr>
          <w:rFonts w:hint="eastAsia" w:ascii="宋体" w:hAnsi="宋体" w:eastAsia="宋体" w:cs="宋体"/>
          <w:color w:val="000000"/>
          <w:sz w:val="24"/>
          <w:szCs w:val="24"/>
          <w:highlight w:val="none"/>
          <w:lang w:val="en-US" w:eastAsia="zh-CN"/>
        </w:rPr>
        <w:t>通过公开招标的方式入围</w:t>
      </w:r>
      <w:r>
        <w:rPr>
          <w:rFonts w:hint="eastAsia" w:ascii="宋体" w:hAnsi="宋体" w:cs="宋体"/>
          <w:color w:val="000000"/>
          <w:sz w:val="24"/>
          <w:szCs w:val="24"/>
          <w:highlight w:val="none"/>
          <w:lang w:val="en-US" w:eastAsia="zh-CN"/>
        </w:rPr>
        <w:t>4</w:t>
      </w:r>
      <w:r>
        <w:rPr>
          <w:rFonts w:hint="eastAsia" w:ascii="宋体" w:hAnsi="宋体" w:eastAsia="宋体" w:cs="宋体"/>
          <w:color w:val="000000"/>
          <w:sz w:val="24"/>
          <w:szCs w:val="24"/>
          <w:highlight w:val="none"/>
          <w:lang w:val="en-US" w:eastAsia="zh-CN"/>
        </w:rPr>
        <w:t>家供应商为招标人提供南京市（除溧水、高淳外）营业用房的零星维修服务。</w:t>
      </w:r>
      <w:r>
        <w:rPr>
          <w:rFonts w:hint="eastAsia" w:ascii="宋体" w:hAnsi="宋体" w:eastAsia="宋体" w:cs="宋体"/>
          <w:color w:val="000000"/>
          <w:sz w:val="24"/>
          <w:szCs w:val="24"/>
          <w:highlight w:val="none"/>
          <w:lang w:eastAsia="zh-CN"/>
        </w:rPr>
        <w:t>具体内容及要求见招标文件第五章技术规范书。</w:t>
      </w:r>
    </w:p>
    <w:p w14:paraId="234255AA">
      <w:pPr>
        <w:wordWrap w:val="0"/>
        <w:spacing w:line="360" w:lineRule="auto"/>
        <w:ind w:firstLine="480" w:firstLineChars="200"/>
        <w:textAlignment w:val="baseline"/>
        <w:rPr>
          <w:rFonts w:hint="eastAsia" w:ascii="宋体" w:hAnsi="宋体" w:eastAsia="宋体" w:cs="宋体"/>
          <w:color w:val="000000"/>
          <w:sz w:val="24"/>
          <w:szCs w:val="24"/>
          <w:highlight w:val="none"/>
          <w:lang w:val="en-US" w:eastAsia="zh-CN"/>
        </w:rPr>
      </w:pPr>
      <w:bookmarkStart w:id="20" w:name="_Hlk69456893"/>
      <w:r>
        <w:rPr>
          <w:rFonts w:hint="default" w:ascii="宋体" w:hAnsi="宋体" w:eastAsia="宋体" w:cs="宋体"/>
          <w:color w:val="000000"/>
          <w:sz w:val="24"/>
          <w:szCs w:val="24"/>
          <w:highlight w:val="none"/>
          <w:lang w:val="en-US" w:eastAsia="zh-CN"/>
        </w:rPr>
        <w:t>2.3.</w:t>
      </w:r>
      <w:r>
        <w:rPr>
          <w:rFonts w:hint="eastAsia" w:ascii="宋体" w:hAnsi="宋体" w:eastAsia="宋体" w:cs="宋体"/>
          <w:color w:val="000000"/>
          <w:sz w:val="24"/>
          <w:szCs w:val="24"/>
          <w:highlight w:val="none"/>
          <w:lang w:eastAsia="zh-CN"/>
        </w:rPr>
        <w:t>项目性质：</w:t>
      </w:r>
      <w:r>
        <w:rPr>
          <w:rFonts w:hint="eastAsia" w:ascii="宋体" w:hAnsi="宋体" w:cs="宋体"/>
          <w:color w:val="000000"/>
          <w:sz w:val="24"/>
          <w:szCs w:val="24"/>
          <w:highlight w:val="none"/>
          <w:lang w:val="en-US" w:eastAsia="zh-CN"/>
        </w:rPr>
        <w:t>服务</w:t>
      </w:r>
      <w:r>
        <w:rPr>
          <w:rFonts w:hint="eastAsia" w:ascii="宋体" w:hAnsi="宋体" w:eastAsia="宋体" w:cs="宋体"/>
          <w:color w:val="000000"/>
          <w:sz w:val="24"/>
          <w:szCs w:val="24"/>
          <w:highlight w:val="none"/>
          <w:lang w:val="en-US" w:eastAsia="zh-CN"/>
        </w:rPr>
        <w:t>。</w:t>
      </w:r>
    </w:p>
    <w:p w14:paraId="29FAAA09">
      <w:pPr>
        <w:wordWrap w:val="0"/>
        <w:spacing w:line="360" w:lineRule="auto"/>
        <w:ind w:firstLine="480" w:firstLineChars="200"/>
        <w:textAlignment w:val="baseline"/>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2.4预算总金额：</w:t>
      </w:r>
      <w:r>
        <w:rPr>
          <w:rFonts w:hint="eastAsia" w:ascii="宋体" w:hAnsi="宋体" w:cs="宋体"/>
          <w:color w:val="000000"/>
          <w:sz w:val="24"/>
          <w:szCs w:val="24"/>
          <w:highlight w:val="none"/>
          <w:lang w:val="en-US" w:eastAsia="zh-CN"/>
        </w:rPr>
        <w:t>预估含税金额120</w:t>
      </w:r>
      <w:r>
        <w:rPr>
          <w:rFonts w:hint="eastAsia" w:ascii="宋体" w:hAnsi="宋体" w:eastAsia="宋体" w:cs="宋体"/>
          <w:color w:val="000000"/>
          <w:sz w:val="24"/>
          <w:szCs w:val="24"/>
          <w:highlight w:val="none"/>
          <w:lang w:val="en-US" w:eastAsia="zh-CN"/>
        </w:rPr>
        <w:t>万元。</w:t>
      </w:r>
    </w:p>
    <w:p w14:paraId="3FEB907E">
      <w:pPr>
        <w:wordWrap w:val="0"/>
        <w:spacing w:line="360" w:lineRule="auto"/>
        <w:ind w:firstLine="480" w:firstLineChars="200"/>
        <w:textAlignment w:val="baseline"/>
        <w:rPr>
          <w:rFonts w:hint="eastAsia" w:ascii="宋体" w:hAnsi="宋体" w:eastAsia="宋体" w:cs="宋体"/>
          <w:color w:val="000000"/>
          <w:sz w:val="24"/>
          <w:szCs w:val="24"/>
          <w:highlight w:val="none"/>
          <w:lang w:val="en-US" w:eastAsia="zh-CN"/>
        </w:rPr>
      </w:pPr>
      <w:bookmarkStart w:id="21" w:name="_Toc17299"/>
      <w:bookmarkStart w:id="22" w:name="_Toc65682915"/>
      <w:r>
        <w:rPr>
          <w:rFonts w:hint="default"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lang w:val="en-US" w:eastAsia="zh-CN"/>
        </w:rPr>
        <w:t>5</w:t>
      </w:r>
      <w:r>
        <w:rPr>
          <w:rFonts w:hint="default" w:ascii="宋体" w:hAnsi="宋体" w:eastAsia="宋体" w:cs="宋体"/>
          <w:color w:val="000000"/>
          <w:sz w:val="24"/>
          <w:szCs w:val="24"/>
          <w:highlight w:val="none"/>
          <w:lang w:val="en-US" w:eastAsia="zh-CN"/>
        </w:rPr>
        <w:t>.</w:t>
      </w:r>
      <w:r>
        <w:rPr>
          <w:rFonts w:hint="eastAsia" w:ascii="宋体" w:hAnsi="宋体" w:eastAsia="宋体" w:cs="宋体"/>
          <w:color w:val="000000"/>
          <w:sz w:val="24"/>
          <w:szCs w:val="24"/>
          <w:highlight w:val="none"/>
          <w:lang w:val="en-US" w:eastAsia="zh-CN"/>
        </w:rPr>
        <w:t>服务期限：自合同签订之日起一年。</w:t>
      </w:r>
    </w:p>
    <w:p w14:paraId="529B1AEE">
      <w:pPr>
        <w:wordWrap w:val="0"/>
        <w:spacing w:line="360" w:lineRule="auto"/>
        <w:ind w:firstLine="480" w:firstLineChars="200"/>
        <w:textAlignment w:val="baseline"/>
        <w:rPr>
          <w:rFonts w:hint="eastAsia"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lang w:val="en-US" w:eastAsia="zh-CN"/>
        </w:rPr>
        <w:t>6</w:t>
      </w:r>
      <w:r>
        <w:rPr>
          <w:rFonts w:hint="default" w:ascii="宋体" w:hAnsi="宋体" w:eastAsia="宋体" w:cs="宋体"/>
          <w:color w:val="000000"/>
          <w:sz w:val="24"/>
          <w:szCs w:val="24"/>
          <w:highlight w:val="none"/>
          <w:lang w:val="en-US" w:eastAsia="zh-CN"/>
        </w:rPr>
        <w:t>.</w:t>
      </w:r>
      <w:r>
        <w:rPr>
          <w:rFonts w:hint="eastAsia" w:ascii="宋体" w:hAnsi="宋体" w:eastAsia="宋体" w:cs="宋体"/>
          <w:color w:val="000000"/>
          <w:sz w:val="24"/>
          <w:szCs w:val="24"/>
          <w:highlight w:val="none"/>
          <w:lang w:eastAsia="zh-CN"/>
        </w:rPr>
        <w:t>服务地点：</w:t>
      </w:r>
      <w:bookmarkEnd w:id="20"/>
      <w:r>
        <w:rPr>
          <w:rFonts w:hint="eastAsia" w:ascii="宋体" w:hAnsi="宋体" w:cs="宋体"/>
          <w:color w:val="000000"/>
          <w:sz w:val="24"/>
          <w:szCs w:val="24"/>
          <w:highlight w:val="none"/>
          <w:lang w:val="en-US" w:eastAsia="zh-CN"/>
        </w:rPr>
        <w:t>根据招标人指定地点</w:t>
      </w:r>
      <w:r>
        <w:rPr>
          <w:rFonts w:hint="eastAsia" w:ascii="宋体" w:hAnsi="宋体" w:eastAsia="宋体" w:cs="宋体"/>
          <w:color w:val="000000"/>
          <w:sz w:val="24"/>
          <w:szCs w:val="24"/>
          <w:highlight w:val="none"/>
          <w:lang w:val="en-US" w:eastAsia="zh-CN"/>
        </w:rPr>
        <w:t>。</w:t>
      </w:r>
    </w:p>
    <w:p w14:paraId="0BAF4DE3">
      <w:pPr>
        <w:keepNext w:val="0"/>
        <w:keepLines w:val="0"/>
        <w:pageBreakBefore w:val="0"/>
        <w:widowControl w:val="0"/>
        <w:numPr>
          <w:ilvl w:val="1"/>
          <w:numId w:val="0"/>
        </w:numPr>
        <w:tabs>
          <w:tab w:val="left" w:pos="420"/>
        </w:tabs>
        <w:kinsoku/>
        <w:wordWrap w:val="0"/>
        <w:overflowPunct/>
        <w:topLinePunct w:val="0"/>
        <w:autoSpaceDE/>
        <w:autoSpaceDN/>
        <w:bidi w:val="0"/>
        <w:adjustRightInd/>
        <w:snapToGrid/>
        <w:spacing w:line="360" w:lineRule="auto"/>
        <w:ind w:left="0" w:leftChars="0" w:firstLine="480" w:firstLineChars="200"/>
        <w:textAlignment w:val="baseline"/>
        <w:rPr>
          <w:rFonts w:hint="eastAsia" w:ascii="宋体" w:hAnsi="宋体" w:cs="宋体"/>
          <w:color w:val="auto"/>
          <w:sz w:val="24"/>
          <w:szCs w:val="24"/>
          <w:highlight w:val="none"/>
          <w:u w:val="none"/>
          <w:lang w:eastAsia="zh-CN"/>
        </w:rPr>
      </w:pPr>
      <w:r>
        <w:rPr>
          <w:rFonts w:hint="default" w:ascii="宋体" w:hAnsi="宋体" w:eastAsia="宋体" w:cs="宋体"/>
          <w:color w:val="auto"/>
          <w:kern w:val="2"/>
          <w:sz w:val="24"/>
          <w:szCs w:val="24"/>
          <w:highlight w:val="none"/>
          <w:lang w:val="en-US" w:eastAsia="zh-CN" w:bidi="ar-SA"/>
        </w:rPr>
        <w:t>2.</w:t>
      </w:r>
      <w:r>
        <w:rPr>
          <w:rFonts w:hint="eastAsia" w:ascii="宋体" w:hAnsi="宋体" w:cs="宋体"/>
          <w:color w:val="auto"/>
          <w:kern w:val="2"/>
          <w:sz w:val="24"/>
          <w:szCs w:val="24"/>
          <w:highlight w:val="none"/>
          <w:lang w:val="en-US" w:eastAsia="zh-CN" w:bidi="ar-SA"/>
        </w:rPr>
        <w:t>7</w:t>
      </w:r>
      <w:r>
        <w:rPr>
          <w:rFonts w:hint="default" w:ascii="宋体" w:hAnsi="宋体" w:eastAsia="宋体" w:cs="宋体"/>
          <w:color w:val="auto"/>
          <w:kern w:val="2"/>
          <w:sz w:val="24"/>
          <w:szCs w:val="24"/>
          <w:highlight w:val="none"/>
          <w:lang w:val="en-US" w:eastAsia="zh-CN" w:bidi="ar-SA"/>
        </w:rPr>
        <w:t>.</w:t>
      </w:r>
      <w:r>
        <w:rPr>
          <w:rFonts w:hint="eastAsia" w:ascii="宋体" w:hAnsi="宋体" w:eastAsia="宋体" w:cs="宋体"/>
          <w:color w:val="auto"/>
          <w:sz w:val="24"/>
          <w:szCs w:val="24"/>
          <w:highlight w:val="none"/>
          <w:u w:val="none"/>
          <w:lang w:eastAsia="zh-CN"/>
        </w:rPr>
        <w:t>标包划分：本项目不划分标包</w:t>
      </w:r>
      <w:r>
        <w:rPr>
          <w:rFonts w:hint="eastAsia" w:ascii="宋体" w:hAnsi="宋体" w:cs="宋体"/>
          <w:color w:val="auto"/>
          <w:sz w:val="24"/>
          <w:szCs w:val="24"/>
          <w:highlight w:val="none"/>
          <w:u w:val="none"/>
          <w:lang w:eastAsia="zh-CN"/>
        </w:rPr>
        <w:t>。</w:t>
      </w:r>
    </w:p>
    <w:p w14:paraId="29A64B8C">
      <w:pPr>
        <w:pStyle w:val="3"/>
        <w:rPr>
          <w:rFonts w:hint="eastAsia" w:ascii="宋体" w:hAnsi="宋体" w:eastAsia="宋体" w:cs="宋体"/>
          <w:color w:val="000000"/>
          <w:szCs w:val="24"/>
          <w:highlight w:val="none"/>
        </w:rPr>
      </w:pPr>
      <w:bookmarkStart w:id="23" w:name="_Toc553"/>
      <w:bookmarkStart w:id="24" w:name="_Toc109124225"/>
      <w:r>
        <w:rPr>
          <w:rFonts w:hint="eastAsia" w:ascii="宋体" w:hAnsi="宋体" w:eastAsia="宋体" w:cs="宋体"/>
          <w:color w:val="000000"/>
          <w:szCs w:val="24"/>
          <w:highlight w:val="none"/>
        </w:rPr>
        <w:t>三、投标人资格要求</w:t>
      </w:r>
      <w:bookmarkEnd w:id="21"/>
      <w:bookmarkEnd w:id="22"/>
      <w:bookmarkEnd w:id="23"/>
      <w:bookmarkEnd w:id="24"/>
    </w:p>
    <w:p w14:paraId="6976BA7A">
      <w:pPr>
        <w:pStyle w:val="13"/>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Cs w:val="21"/>
          <w:highlight w:val="none"/>
        </w:rPr>
      </w:pPr>
      <w:r>
        <w:rPr>
          <w:rFonts w:hint="eastAsia" w:ascii="宋体" w:hAnsi="宋体" w:eastAsia="宋体" w:cs="宋体"/>
          <w:b w:val="0"/>
          <w:bCs w:val="0"/>
          <w:color w:val="000000"/>
          <w:sz w:val="24"/>
          <w:szCs w:val="24"/>
          <w:highlight w:val="none"/>
        </w:rPr>
        <w:t>3.1</w:t>
      </w:r>
      <w:r>
        <w:rPr>
          <w:rFonts w:hint="eastAsia" w:ascii="宋体" w:hAnsi="宋体" w:cs="宋体"/>
          <w:b/>
          <w:bCs/>
          <w:color w:val="000000"/>
          <w:sz w:val="24"/>
          <w:szCs w:val="24"/>
          <w:highlight w:val="none"/>
          <w:lang w:eastAsia="zh-CN"/>
        </w:rPr>
        <w:t>在中华人民共和国境内依法登记的法人或其他组织，具有独立承担民事责任的能力。</w:t>
      </w:r>
      <w:r>
        <w:rPr>
          <w:rFonts w:hint="eastAsia" w:ascii="宋体" w:hAnsi="宋体" w:cs="宋体"/>
          <w:b w:val="0"/>
          <w:bCs w:val="0"/>
          <w:color w:val="auto"/>
          <w:sz w:val="24"/>
          <w:szCs w:val="24"/>
          <w:highlight w:val="none"/>
          <w:lang w:eastAsia="zh-CN"/>
        </w:rPr>
        <w:t>投标人如为企业法人，须提供企业法人营业执照（复印件）；投标人如为事业单位或其他组织，须提供事业单位法人证书或登记证或组织机构代码证或其他有效证明文件（复印件）。</w:t>
      </w:r>
    </w:p>
    <w:p w14:paraId="5744B726">
      <w:pPr>
        <w:spacing w:line="360" w:lineRule="auto"/>
        <w:ind w:firstLine="480" w:firstLineChars="200"/>
        <w:textAlignment w:val="baseline"/>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rPr>
        <w:t>3.2</w:t>
      </w:r>
      <w:r>
        <w:rPr>
          <w:rFonts w:hint="eastAsia" w:ascii="宋体" w:hAnsi="宋体" w:cs="宋体"/>
          <w:b/>
          <w:bCs/>
          <w:color w:val="000000"/>
          <w:sz w:val="24"/>
          <w:szCs w:val="24"/>
          <w:highlight w:val="none"/>
          <w:lang w:eastAsia="zh-CN"/>
        </w:rPr>
        <w:t>具有良好的商业信誉和健全的财务会计制度。</w:t>
      </w:r>
      <w:r>
        <w:rPr>
          <w:rFonts w:hint="eastAsia" w:ascii="宋体" w:hAnsi="宋体" w:cs="宋体"/>
          <w:b w:val="0"/>
          <w:bCs w:val="0"/>
          <w:color w:val="000000"/>
          <w:sz w:val="24"/>
          <w:szCs w:val="24"/>
          <w:highlight w:val="none"/>
          <w:lang w:eastAsia="zh-CN"/>
        </w:rPr>
        <w:t>【提供2024年经会计师事务所或审计机构审计的财务审计报告及财务报表（至少包含会计师事务所或审计机构签章页、资产负债表、现金流量表、损益表/利润表）或投标文件提交截止之日前6个月内开具的银行资信证明。】</w:t>
      </w:r>
    </w:p>
    <w:p w14:paraId="229C653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textAlignment w:val="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3.3</w:t>
      </w:r>
      <w:r>
        <w:rPr>
          <w:rFonts w:hint="eastAsia" w:ascii="宋体" w:hAnsi="宋体" w:eastAsia="宋体" w:cs="宋体"/>
          <w:b/>
          <w:bCs/>
          <w:color w:val="000000"/>
          <w:sz w:val="24"/>
          <w:szCs w:val="24"/>
          <w:highlight w:val="none"/>
          <w:lang w:val="en-US" w:eastAsia="zh-CN"/>
        </w:rPr>
        <w:t>投标人应具有履行合同所必需的设备和专业技术能力。</w:t>
      </w:r>
    </w:p>
    <w:p w14:paraId="436302E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3.4</w:t>
      </w:r>
      <w:r>
        <w:rPr>
          <w:rFonts w:hint="eastAsia" w:ascii="宋体" w:hAnsi="宋体" w:eastAsia="宋体" w:cs="宋体"/>
          <w:b/>
          <w:bCs/>
          <w:color w:val="000000"/>
          <w:sz w:val="24"/>
          <w:szCs w:val="24"/>
          <w:highlight w:val="none"/>
          <w:lang w:val="en-US" w:eastAsia="zh-CN"/>
        </w:rPr>
        <w:t>具有依法缴纳税收和社</w:t>
      </w:r>
      <w:r>
        <w:rPr>
          <w:rFonts w:hint="eastAsia" w:ascii="宋体" w:hAnsi="宋体" w:eastAsia="宋体" w:cs="宋体"/>
          <w:b/>
          <w:bCs/>
          <w:color w:val="000000"/>
          <w:sz w:val="24"/>
          <w:szCs w:val="24"/>
          <w:highlight w:val="none"/>
        </w:rPr>
        <w:t>会保障资金的良好记录</w:t>
      </w:r>
      <w:r>
        <w:rPr>
          <w:rFonts w:hint="eastAsia" w:ascii="宋体" w:hAnsi="宋体" w:eastAsia="宋体" w:cs="宋体"/>
          <w:b/>
          <w:bCs/>
          <w:color w:val="000000"/>
          <w:sz w:val="24"/>
          <w:szCs w:val="24"/>
          <w:highlight w:val="none"/>
          <w:lang w:eastAsia="zh-CN"/>
        </w:rPr>
        <w:t>。</w:t>
      </w:r>
      <w:r>
        <w:rPr>
          <w:rFonts w:hint="eastAsia" w:ascii="宋体" w:hAnsi="宋体" w:eastAsia="宋体" w:cs="宋体"/>
          <w:color w:val="000000"/>
          <w:sz w:val="24"/>
          <w:szCs w:val="24"/>
          <w:highlight w:val="none"/>
          <w:lang w:eastAsia="zh-CN"/>
        </w:rPr>
        <w:t>（</w:t>
      </w:r>
      <w:r>
        <w:rPr>
          <w:rFonts w:hint="eastAsia" w:ascii="宋体" w:hAnsi="宋体" w:cs="宋体"/>
          <w:color w:val="000000"/>
          <w:sz w:val="24"/>
          <w:szCs w:val="24"/>
          <w:highlight w:val="none"/>
          <w:lang w:eastAsia="zh-CN"/>
        </w:rPr>
        <w:t>提供2025年1月以来任意</w:t>
      </w:r>
      <w:r>
        <w:rPr>
          <w:rFonts w:hint="eastAsia" w:ascii="宋体" w:hAnsi="宋体" w:cs="宋体"/>
          <w:color w:val="000000"/>
          <w:sz w:val="24"/>
          <w:szCs w:val="24"/>
          <w:highlight w:val="none"/>
          <w:lang w:val="en-US" w:eastAsia="zh-CN"/>
        </w:rPr>
        <w:t>3</w:t>
      </w:r>
      <w:r>
        <w:rPr>
          <w:rFonts w:hint="eastAsia" w:ascii="宋体" w:hAnsi="宋体" w:cs="宋体"/>
          <w:color w:val="000000"/>
          <w:sz w:val="24"/>
          <w:szCs w:val="24"/>
          <w:highlight w:val="none"/>
          <w:lang w:eastAsia="zh-CN"/>
        </w:rPr>
        <w:t>个月的税收凭证和2025年1月以来任意</w:t>
      </w:r>
      <w:r>
        <w:rPr>
          <w:rFonts w:hint="eastAsia" w:ascii="宋体" w:hAnsi="宋体" w:cs="宋体"/>
          <w:color w:val="000000"/>
          <w:sz w:val="24"/>
          <w:szCs w:val="24"/>
          <w:highlight w:val="none"/>
          <w:lang w:val="en-US" w:eastAsia="zh-CN"/>
        </w:rPr>
        <w:t>3</w:t>
      </w:r>
      <w:r>
        <w:rPr>
          <w:rFonts w:hint="eastAsia" w:ascii="宋体" w:hAnsi="宋体" w:cs="宋体"/>
          <w:color w:val="000000"/>
          <w:sz w:val="24"/>
          <w:szCs w:val="24"/>
          <w:highlight w:val="none"/>
          <w:lang w:eastAsia="zh-CN"/>
        </w:rPr>
        <w:t>个月的社会保障资金缴纳凭证</w:t>
      </w:r>
      <w:r>
        <w:rPr>
          <w:rFonts w:hint="eastAsia" w:ascii="宋体" w:hAnsi="宋体" w:eastAsia="宋体" w:cs="宋体"/>
          <w:b w:val="0"/>
          <w:color w:val="000000"/>
          <w:sz w:val="24"/>
          <w:szCs w:val="24"/>
          <w:highlight w:val="none"/>
          <w:lang w:eastAsia="zh-CN"/>
        </w:rPr>
        <w:t>，如依法免税、依法不需要缴纳社会保障资金的，应提供</w:t>
      </w:r>
      <w:r>
        <w:rPr>
          <w:rFonts w:hint="eastAsia" w:ascii="宋体" w:hAnsi="宋体" w:cs="宋体"/>
          <w:b w:val="0"/>
          <w:color w:val="000000"/>
          <w:sz w:val="24"/>
          <w:szCs w:val="24"/>
          <w:highlight w:val="none"/>
          <w:lang w:val="en-US" w:eastAsia="zh-CN"/>
        </w:rPr>
        <w:t>第三方提供的</w:t>
      </w:r>
      <w:r>
        <w:rPr>
          <w:rFonts w:hint="eastAsia" w:ascii="宋体" w:hAnsi="宋体" w:eastAsia="宋体" w:cs="宋体"/>
          <w:b w:val="0"/>
          <w:color w:val="000000"/>
          <w:sz w:val="24"/>
          <w:szCs w:val="24"/>
          <w:highlight w:val="none"/>
          <w:lang w:eastAsia="zh-CN"/>
        </w:rPr>
        <w:t>相应证明文件。</w:t>
      </w:r>
      <w:r>
        <w:rPr>
          <w:rFonts w:hint="eastAsia" w:ascii="宋体" w:hAnsi="宋体" w:eastAsia="宋体" w:cs="宋体"/>
          <w:color w:val="000000"/>
          <w:sz w:val="24"/>
          <w:szCs w:val="24"/>
          <w:highlight w:val="none"/>
          <w:lang w:eastAsia="zh-CN"/>
        </w:rPr>
        <w:t>）</w:t>
      </w:r>
    </w:p>
    <w:p w14:paraId="5BE9E218">
      <w:pPr>
        <w:spacing w:line="360" w:lineRule="auto"/>
        <w:ind w:firstLine="480" w:firstLineChars="200"/>
        <w:textAlignment w:val="baseline"/>
        <w:rPr>
          <w:rFonts w:hint="eastAsia" w:ascii="宋体" w:hAnsi="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rPr>
        <w:t>3.5</w:t>
      </w:r>
      <w:r>
        <w:rPr>
          <w:rFonts w:hint="eastAsia" w:ascii="宋体" w:hAnsi="宋体" w:cs="宋体"/>
          <w:b/>
          <w:bCs/>
          <w:color w:val="000000"/>
          <w:sz w:val="24"/>
          <w:szCs w:val="24"/>
          <w:highlight w:val="none"/>
          <w:lang w:eastAsia="zh-CN"/>
        </w:rPr>
        <w:t>投标人应经营状况良好，且近三年内（2022年1月1日至</w:t>
      </w:r>
      <w:r>
        <w:rPr>
          <w:rFonts w:hint="eastAsia" w:ascii="宋体" w:hAnsi="宋体" w:cs="宋体"/>
          <w:b/>
          <w:bCs/>
          <w:color w:val="000000"/>
          <w:sz w:val="24"/>
          <w:szCs w:val="24"/>
          <w:highlight w:val="none"/>
          <w:lang w:val="en-US" w:eastAsia="zh-CN"/>
        </w:rPr>
        <w:t>投标</w:t>
      </w:r>
      <w:r>
        <w:rPr>
          <w:rFonts w:hint="eastAsia" w:ascii="宋体" w:hAnsi="宋体" w:cs="宋体"/>
          <w:b/>
          <w:bCs/>
          <w:color w:val="000000"/>
          <w:sz w:val="24"/>
          <w:szCs w:val="24"/>
          <w:highlight w:val="none"/>
          <w:lang w:eastAsia="zh-CN"/>
        </w:rPr>
        <w:t>文件提交截止之日）无违法违规记录。</w:t>
      </w:r>
      <w:r>
        <w:rPr>
          <w:rFonts w:hint="eastAsia" w:ascii="宋体" w:hAnsi="宋体" w:cs="宋体"/>
          <w:b w:val="0"/>
          <w:bCs w:val="0"/>
          <w:color w:val="000000"/>
          <w:sz w:val="24"/>
          <w:szCs w:val="24"/>
          <w:highlight w:val="none"/>
          <w:lang w:eastAsia="zh-CN"/>
        </w:rPr>
        <w:t>违法违规记录是指被“信用中国”列入失信被执行人、重大税收违法失信主体、政府采购严重违法失信行为记录名单。（</w:t>
      </w:r>
      <w:r>
        <w:rPr>
          <w:rFonts w:hint="eastAsia" w:ascii="宋体" w:hAnsi="宋体" w:cs="宋体"/>
          <w:b w:val="0"/>
          <w:bCs w:val="0"/>
          <w:color w:val="000000"/>
          <w:sz w:val="24"/>
          <w:szCs w:val="24"/>
          <w:highlight w:val="none"/>
          <w:lang w:val="en-US" w:eastAsia="zh-CN"/>
        </w:rPr>
        <w:t>投标人</w:t>
      </w:r>
      <w:r>
        <w:rPr>
          <w:rFonts w:hint="eastAsia" w:ascii="宋体" w:hAnsi="宋体" w:cs="宋体"/>
          <w:b w:val="0"/>
          <w:bCs w:val="0"/>
          <w:color w:val="000000"/>
          <w:sz w:val="24"/>
          <w:szCs w:val="24"/>
          <w:highlight w:val="none"/>
          <w:lang w:eastAsia="zh-CN"/>
        </w:rPr>
        <w:t>需提供自</w:t>
      </w:r>
      <w:r>
        <w:rPr>
          <w:rFonts w:hint="eastAsia" w:ascii="宋体" w:hAnsi="宋体" w:cs="宋体"/>
          <w:b w:val="0"/>
          <w:bCs w:val="0"/>
          <w:color w:val="000000"/>
          <w:sz w:val="24"/>
          <w:szCs w:val="24"/>
          <w:highlight w:val="none"/>
          <w:lang w:val="en-US" w:eastAsia="zh-CN"/>
        </w:rPr>
        <w:t>招标</w:t>
      </w:r>
      <w:r>
        <w:rPr>
          <w:rFonts w:hint="eastAsia" w:ascii="宋体" w:hAnsi="宋体" w:cs="宋体"/>
          <w:b w:val="0"/>
          <w:bCs w:val="0"/>
          <w:color w:val="000000"/>
          <w:sz w:val="24"/>
          <w:szCs w:val="24"/>
          <w:highlight w:val="none"/>
          <w:lang w:eastAsia="zh-CN"/>
        </w:rPr>
        <w:t>公告发布之日至</w:t>
      </w:r>
      <w:r>
        <w:rPr>
          <w:rFonts w:hint="eastAsia" w:ascii="宋体" w:hAnsi="宋体" w:cs="宋体"/>
          <w:b w:val="0"/>
          <w:bCs w:val="0"/>
          <w:color w:val="000000"/>
          <w:sz w:val="24"/>
          <w:szCs w:val="24"/>
          <w:highlight w:val="none"/>
          <w:lang w:val="en-US" w:eastAsia="zh-CN"/>
        </w:rPr>
        <w:t>投标</w:t>
      </w:r>
      <w:r>
        <w:rPr>
          <w:rFonts w:hint="eastAsia" w:ascii="宋体" w:hAnsi="宋体" w:cs="宋体"/>
          <w:b w:val="0"/>
          <w:bCs w:val="0"/>
          <w:color w:val="000000"/>
          <w:sz w:val="24"/>
          <w:szCs w:val="24"/>
          <w:highlight w:val="none"/>
          <w:lang w:eastAsia="zh-CN"/>
        </w:rPr>
        <w:t>文件提交截止之日期间对以上三项内容的查询截图。）</w:t>
      </w:r>
    </w:p>
    <w:p w14:paraId="249010FB">
      <w:pPr>
        <w:spacing w:line="360" w:lineRule="auto"/>
        <w:ind w:firstLine="480" w:firstLineChars="200"/>
        <w:textAlignment w:val="baseline"/>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3.6</w:t>
      </w:r>
      <w:r>
        <w:rPr>
          <w:rFonts w:hint="eastAsia" w:ascii="宋体" w:hAnsi="宋体" w:eastAsia="宋体" w:cs="宋体"/>
          <w:b/>
          <w:bCs/>
          <w:color w:val="000000"/>
          <w:sz w:val="24"/>
          <w:szCs w:val="24"/>
          <w:highlight w:val="none"/>
        </w:rPr>
        <w:t>投标人具备建设行政主管部门颁发的建筑装修装饰工程专业承包二级（含）及以上资质证书，并同时具备有效的安全生产许可证</w:t>
      </w:r>
      <w:r>
        <w:rPr>
          <w:rFonts w:hint="eastAsia" w:ascii="宋体" w:hAnsi="宋体" w:eastAsia="宋体" w:cs="宋体"/>
          <w:b w:val="0"/>
          <w:bCs w:val="0"/>
          <w:color w:val="000000"/>
          <w:sz w:val="24"/>
          <w:szCs w:val="24"/>
          <w:highlight w:val="none"/>
        </w:rPr>
        <w:t>。（提供相关有效的证书复印件并加盖投标单位公章）</w:t>
      </w:r>
    </w:p>
    <w:p w14:paraId="63E7A974">
      <w:pPr>
        <w:spacing w:line="360" w:lineRule="auto"/>
        <w:ind w:firstLine="480" w:firstLineChars="200"/>
        <w:textAlignment w:val="baseline"/>
        <w:rPr>
          <w:rFonts w:hint="eastAsia" w:ascii="宋体" w:hAnsi="宋体" w:cs="宋体"/>
          <w:b/>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3.7</w:t>
      </w:r>
      <w:r>
        <w:rPr>
          <w:rFonts w:hint="eastAsia" w:ascii="宋体" w:hAnsi="宋体" w:cs="宋体"/>
          <w:b/>
          <w:bCs w:val="0"/>
          <w:color w:val="000000"/>
          <w:sz w:val="24"/>
          <w:szCs w:val="24"/>
          <w:highlight w:val="none"/>
          <w:lang w:val="en-US" w:eastAsia="zh-CN"/>
        </w:rPr>
        <w:t>项</w:t>
      </w:r>
      <w:r>
        <w:rPr>
          <w:rFonts w:hint="eastAsia" w:ascii="宋体" w:hAnsi="宋体" w:cs="宋体"/>
          <w:b/>
          <w:bCs/>
          <w:color w:val="000000"/>
          <w:sz w:val="24"/>
          <w:szCs w:val="24"/>
          <w:highlight w:val="none"/>
          <w:lang w:val="en-US" w:eastAsia="zh-CN"/>
        </w:rPr>
        <w:t>目经理须同时具有以下条件</w:t>
      </w:r>
      <w:r>
        <w:rPr>
          <w:rFonts w:hint="eastAsia" w:ascii="宋体" w:hAnsi="宋体" w:cs="宋体"/>
          <w:b w:val="0"/>
          <w:bCs w:val="0"/>
          <w:color w:val="000000"/>
          <w:sz w:val="24"/>
          <w:szCs w:val="24"/>
          <w:highlight w:val="none"/>
          <w:lang w:val="en-US" w:eastAsia="zh-CN"/>
        </w:rPr>
        <w:t>（需提供有效的证明材料并加盖公章）</w:t>
      </w:r>
      <w:r>
        <w:rPr>
          <w:rFonts w:hint="eastAsia" w:ascii="宋体" w:hAnsi="宋体" w:cs="宋体"/>
          <w:b/>
          <w:bCs/>
          <w:color w:val="000000"/>
          <w:sz w:val="24"/>
          <w:szCs w:val="24"/>
          <w:highlight w:val="none"/>
          <w:lang w:val="en-US" w:eastAsia="zh-CN"/>
        </w:rPr>
        <w:t>：</w:t>
      </w:r>
    </w:p>
    <w:p w14:paraId="33F314C4">
      <w:pPr>
        <w:spacing w:line="360" w:lineRule="auto"/>
        <w:ind w:firstLine="480" w:firstLineChars="200"/>
        <w:textAlignment w:val="baseline"/>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（1）具备建筑工程专业二级及以上建造师资格；</w:t>
      </w:r>
    </w:p>
    <w:p w14:paraId="25BADA5D">
      <w:pPr>
        <w:spacing w:line="360" w:lineRule="auto"/>
        <w:ind w:firstLine="480" w:firstLineChars="200"/>
        <w:textAlignment w:val="baseline"/>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（2）具备安全生产考核合格证B类；</w:t>
      </w:r>
    </w:p>
    <w:p w14:paraId="553E6849">
      <w:pPr>
        <w:spacing w:line="360" w:lineRule="auto"/>
        <w:ind w:firstLine="480" w:firstLineChars="200"/>
        <w:textAlignment w:val="baseline"/>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（3）提供投标人为该项目经理自2025年1月1日至今缴纳的任意三个月的社保缴费证明；</w:t>
      </w:r>
    </w:p>
    <w:p w14:paraId="7C6DE734">
      <w:pPr>
        <w:spacing w:line="360" w:lineRule="auto"/>
        <w:ind w:firstLine="480" w:firstLineChars="200"/>
        <w:textAlignment w:val="baseline"/>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（4）未担任其他在施建设工程项目的项目经理或有在建工程但在本项目合同签订之日前可以撤离，并在投标文件中附业主出具的可撤离证明；</w:t>
      </w:r>
    </w:p>
    <w:p w14:paraId="24F28BB6">
      <w:pPr>
        <w:spacing w:line="360" w:lineRule="auto"/>
        <w:ind w:firstLine="480" w:firstLineChars="200"/>
        <w:textAlignment w:val="baseline"/>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（5）投标人须承诺如若中标，在项目实施期间不得更换项目经理，且在本项目竣工之前不得兼任其它项目的项目经理。</w:t>
      </w:r>
    </w:p>
    <w:p w14:paraId="1A0D2881">
      <w:pPr>
        <w:spacing w:line="360" w:lineRule="auto"/>
        <w:ind w:firstLine="480" w:firstLineChars="200"/>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lang w:val="en-US" w:eastAsia="zh-CN"/>
        </w:rPr>
        <w:t>3.8</w:t>
      </w:r>
      <w:r>
        <w:rPr>
          <w:rFonts w:hint="eastAsia" w:ascii="宋体" w:hAnsi="宋体" w:cs="宋体"/>
          <w:b/>
          <w:bCs/>
          <w:color w:val="000000"/>
          <w:sz w:val="24"/>
          <w:szCs w:val="24"/>
          <w:highlight w:val="none"/>
          <w:lang w:val="en-US" w:eastAsia="zh-CN"/>
        </w:rPr>
        <w:t>业绩要求：提供1个</w:t>
      </w:r>
      <w:r>
        <w:rPr>
          <w:rFonts w:hint="eastAsia" w:ascii="宋体" w:hAnsi="宋体" w:eastAsia="宋体" w:cs="宋体"/>
          <w:b/>
          <w:bCs/>
          <w:color w:val="000000"/>
          <w:sz w:val="24"/>
          <w:szCs w:val="24"/>
          <w:highlight w:val="none"/>
        </w:rPr>
        <w:t>自2022年1月1日以来（以合同签订日期为准），投标人承接过类似工程</w:t>
      </w:r>
      <w:r>
        <w:rPr>
          <w:rFonts w:hint="eastAsia" w:ascii="宋体" w:hAnsi="宋体" w:eastAsia="宋体" w:cs="宋体"/>
          <w:b/>
          <w:bCs/>
          <w:color w:val="000000"/>
          <w:sz w:val="24"/>
          <w:szCs w:val="24"/>
          <w:highlight w:val="none"/>
          <w:lang w:eastAsia="zh-CN"/>
        </w:rPr>
        <w:t>（</w:t>
      </w:r>
      <w:r>
        <w:rPr>
          <w:rFonts w:hint="eastAsia" w:ascii="宋体" w:hAnsi="宋体" w:eastAsia="宋体" w:cs="宋体"/>
          <w:b/>
          <w:bCs/>
          <w:color w:val="000000"/>
          <w:sz w:val="24"/>
          <w:szCs w:val="24"/>
          <w:highlight w:val="none"/>
          <w:lang w:val="en-US" w:eastAsia="zh-CN"/>
        </w:rPr>
        <w:t>类似工程业绩指：指装修装饰或零星维修等项目</w:t>
      </w:r>
      <w:r>
        <w:rPr>
          <w:rFonts w:hint="eastAsia" w:ascii="宋体" w:hAnsi="宋体" w:eastAsia="宋体" w:cs="宋体"/>
          <w:b/>
          <w:bCs/>
          <w:color w:val="000000"/>
          <w:sz w:val="24"/>
          <w:szCs w:val="24"/>
          <w:highlight w:val="none"/>
          <w:lang w:eastAsia="zh-CN"/>
        </w:rPr>
        <w:t>）</w:t>
      </w:r>
      <w:r>
        <w:rPr>
          <w:rFonts w:hint="eastAsia" w:ascii="宋体" w:hAnsi="宋体" w:eastAsia="宋体" w:cs="宋体"/>
          <w:b/>
          <w:bCs/>
          <w:color w:val="000000"/>
          <w:sz w:val="24"/>
          <w:szCs w:val="24"/>
          <w:highlight w:val="none"/>
        </w:rPr>
        <w:t>施工业绩。</w:t>
      </w:r>
      <w:r>
        <w:rPr>
          <w:rFonts w:hint="eastAsia" w:ascii="宋体" w:hAnsi="宋体" w:eastAsia="宋体" w:cs="宋体"/>
          <w:b w:val="0"/>
          <w:bCs/>
          <w:color w:val="000000"/>
          <w:sz w:val="24"/>
          <w:szCs w:val="24"/>
          <w:highlight w:val="none"/>
        </w:rPr>
        <w:t>提供合同关键页（必须包括合同内容、合同签章页等）复印件并加盖公章，原件备查。</w:t>
      </w:r>
    </w:p>
    <w:p w14:paraId="4F9D587F">
      <w:pPr>
        <w:spacing w:line="360" w:lineRule="auto"/>
        <w:ind w:firstLine="480" w:firstLineChars="200"/>
        <w:textAlignment w:val="baseline"/>
        <w:rPr>
          <w:rFonts w:hint="eastAsia" w:ascii="宋体" w:hAnsi="宋体" w:eastAsia="宋体" w:cs="宋体"/>
          <w:b w:val="0"/>
          <w:bCs/>
          <w:color w:val="000000"/>
          <w:sz w:val="24"/>
          <w:highlight w:val="none"/>
          <w:lang w:eastAsia="zh-CN"/>
        </w:rPr>
      </w:pPr>
      <w:r>
        <w:rPr>
          <w:rFonts w:hint="eastAsia" w:ascii="宋体" w:hAnsi="宋体" w:cs="宋体"/>
          <w:b w:val="0"/>
          <w:bCs/>
          <w:color w:val="000000"/>
          <w:sz w:val="24"/>
          <w:szCs w:val="24"/>
          <w:highlight w:val="none"/>
          <w:lang w:val="en-US" w:eastAsia="zh-CN"/>
        </w:rPr>
        <w:t>3.9</w:t>
      </w:r>
      <w:r>
        <w:rPr>
          <w:rFonts w:hint="eastAsia" w:ascii="宋体" w:hAnsi="宋体" w:eastAsia="宋体" w:cs="宋体"/>
          <w:b/>
          <w:bCs/>
          <w:color w:val="000000"/>
          <w:sz w:val="24"/>
          <w:szCs w:val="24"/>
          <w:highlight w:val="none"/>
        </w:rPr>
        <w:t>严禁列入招标人及其所隶属的中国人民保险各级机构的供应商黑名单且在禁入期内的供应商参与采购活动。</w:t>
      </w:r>
    </w:p>
    <w:p w14:paraId="1470CE4C">
      <w:pPr>
        <w:spacing w:line="360" w:lineRule="auto"/>
        <w:ind w:firstLine="480" w:firstLineChars="200"/>
        <w:textAlignment w:val="baseline"/>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w:t>
      </w:r>
      <w:r>
        <w:rPr>
          <w:rFonts w:hint="eastAsia" w:ascii="宋体" w:hAnsi="宋体" w:cs="宋体"/>
          <w:color w:val="000000"/>
          <w:sz w:val="24"/>
          <w:szCs w:val="24"/>
          <w:highlight w:val="none"/>
          <w:lang w:val="en-US" w:eastAsia="zh-CN"/>
        </w:rPr>
        <w:t>10</w:t>
      </w:r>
      <w:r>
        <w:rPr>
          <w:rFonts w:hint="eastAsia" w:ascii="宋体" w:hAnsi="宋体" w:eastAsia="宋体" w:cs="宋体"/>
          <w:color w:val="000000"/>
          <w:sz w:val="24"/>
          <w:szCs w:val="24"/>
          <w:highlight w:val="none"/>
        </w:rPr>
        <w:t>单位负责人为同一人或存在控股、管理关系的不同单位，不得参加同一标段/标包投标或未划分标段/标包的同一招标项目投标，</w:t>
      </w:r>
      <w:r>
        <w:rPr>
          <w:rFonts w:hint="eastAsia" w:ascii="宋体" w:hAnsi="宋体" w:eastAsia="宋体" w:cs="宋体"/>
          <w:b/>
          <w:bCs/>
          <w:color w:val="000000"/>
          <w:sz w:val="24"/>
          <w:szCs w:val="24"/>
          <w:highlight w:val="none"/>
        </w:rPr>
        <w:t>需填写《投标人控股及管理关系情况申报表》</w:t>
      </w:r>
      <w:r>
        <w:rPr>
          <w:rFonts w:hint="eastAsia" w:ascii="宋体" w:hAnsi="宋体" w:eastAsia="宋体" w:cs="宋体"/>
          <w:color w:val="000000"/>
          <w:sz w:val="24"/>
          <w:szCs w:val="24"/>
          <w:highlight w:val="none"/>
        </w:rPr>
        <w:t>。</w:t>
      </w:r>
    </w:p>
    <w:p w14:paraId="13A88877">
      <w:pPr>
        <w:spacing w:line="360" w:lineRule="auto"/>
        <w:ind w:firstLine="480" w:firstLineChars="200"/>
        <w:textAlignment w:val="baseline"/>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w:t>
      </w:r>
      <w:r>
        <w:rPr>
          <w:rFonts w:hint="eastAsia" w:ascii="宋体" w:hAnsi="宋体" w:cs="宋体"/>
          <w:color w:val="000000"/>
          <w:sz w:val="24"/>
          <w:szCs w:val="24"/>
          <w:highlight w:val="none"/>
          <w:lang w:val="en-US" w:eastAsia="zh-CN"/>
        </w:rPr>
        <w:t>11</w:t>
      </w:r>
      <w:r>
        <w:rPr>
          <w:rFonts w:hint="eastAsia" w:ascii="宋体" w:hAnsi="宋体" w:cs="宋体"/>
          <w:b w:val="0"/>
          <w:bCs w:val="0"/>
          <w:color w:val="000000"/>
          <w:sz w:val="24"/>
          <w:szCs w:val="24"/>
          <w:highlight w:val="none"/>
          <w:lang w:eastAsia="zh-CN"/>
        </w:rPr>
        <w:t>本次招标不接受联合体投标</w:t>
      </w:r>
      <w:r>
        <w:rPr>
          <w:rFonts w:hint="eastAsia" w:ascii="宋体" w:hAnsi="宋体" w:eastAsia="宋体" w:cs="宋体"/>
          <w:b w:val="0"/>
          <w:bCs w:val="0"/>
          <w:color w:val="000000"/>
          <w:sz w:val="24"/>
          <w:szCs w:val="24"/>
          <w:highlight w:val="none"/>
        </w:rPr>
        <w:t>。</w:t>
      </w:r>
    </w:p>
    <w:p w14:paraId="295F45AA">
      <w:pPr>
        <w:pStyle w:val="3"/>
        <w:rPr>
          <w:rFonts w:hint="eastAsia" w:ascii="宋体" w:hAnsi="宋体" w:eastAsia="宋体" w:cs="宋体"/>
          <w:color w:val="000000"/>
          <w:highlight w:val="none"/>
        </w:rPr>
      </w:pPr>
      <w:bookmarkStart w:id="25" w:name="_Toc109124226"/>
      <w:bookmarkStart w:id="26" w:name="_Toc65682916"/>
      <w:bookmarkStart w:id="27" w:name="_Toc23370"/>
      <w:bookmarkStart w:id="28" w:name="_Toc21224"/>
      <w:r>
        <w:rPr>
          <w:rFonts w:hint="eastAsia" w:ascii="宋体" w:hAnsi="宋体" w:eastAsia="宋体" w:cs="宋体"/>
          <w:color w:val="000000"/>
          <w:highlight w:val="none"/>
        </w:rPr>
        <w:t>四、资格审查方法</w:t>
      </w:r>
      <w:bookmarkEnd w:id="25"/>
      <w:bookmarkEnd w:id="26"/>
      <w:bookmarkEnd w:id="27"/>
      <w:bookmarkEnd w:id="28"/>
    </w:p>
    <w:p w14:paraId="7C74CE8E">
      <w:pPr>
        <w:spacing w:line="360" w:lineRule="auto"/>
        <w:ind w:firstLine="480" w:firstLineChars="200"/>
        <w:textAlignment w:val="baseline"/>
        <w:rPr>
          <w:rFonts w:hint="eastAsia" w:ascii="宋体" w:hAnsi="宋体" w:eastAsia="宋体" w:cs="宋体"/>
          <w:color w:val="000000"/>
          <w:sz w:val="24"/>
          <w:szCs w:val="24"/>
          <w:highlight w:val="none"/>
        </w:rPr>
      </w:pPr>
      <w:bookmarkStart w:id="29" w:name="_Toc32460"/>
      <w:bookmarkStart w:id="30" w:name="_Toc65682917"/>
      <w:r>
        <w:rPr>
          <w:rFonts w:hint="eastAsia" w:ascii="宋体" w:hAnsi="宋体" w:eastAsia="宋体" w:cs="宋体"/>
          <w:color w:val="000000"/>
          <w:sz w:val="24"/>
          <w:szCs w:val="24"/>
          <w:highlight w:val="none"/>
        </w:rPr>
        <w:t>本项目将进行资格后审，资格审查方法为合格制，资格审查标准和内容见招标文件第三章“评标办法”。未通过资格后审的投标人，投标将被否决。</w:t>
      </w:r>
    </w:p>
    <w:p w14:paraId="7AF6DD47">
      <w:pPr>
        <w:pStyle w:val="3"/>
        <w:rPr>
          <w:rFonts w:hint="eastAsia" w:ascii="宋体" w:hAnsi="宋体" w:eastAsia="宋体" w:cs="宋体"/>
          <w:color w:val="000000"/>
          <w:szCs w:val="24"/>
          <w:highlight w:val="none"/>
        </w:rPr>
      </w:pPr>
      <w:bookmarkStart w:id="31" w:name="_Toc109124227"/>
      <w:bookmarkStart w:id="32" w:name="_Toc7880"/>
      <w:r>
        <w:rPr>
          <w:rFonts w:hint="eastAsia" w:ascii="宋体" w:hAnsi="宋体" w:eastAsia="宋体" w:cs="宋体"/>
          <w:color w:val="000000"/>
          <w:szCs w:val="24"/>
          <w:highlight w:val="none"/>
        </w:rPr>
        <w:t>五、招标文件的获取</w:t>
      </w:r>
      <w:bookmarkEnd w:id="29"/>
      <w:bookmarkEnd w:id="30"/>
      <w:bookmarkEnd w:id="31"/>
      <w:bookmarkEnd w:id="32"/>
    </w:p>
    <w:p w14:paraId="34945FA3">
      <w:pPr>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5.1招标文件获取时</w:t>
      </w:r>
      <w:r>
        <w:rPr>
          <w:rFonts w:hint="eastAsia" w:ascii="宋体" w:hAnsi="宋体" w:eastAsia="宋体" w:cs="宋体"/>
          <w:color w:val="auto"/>
          <w:sz w:val="24"/>
          <w:szCs w:val="24"/>
          <w:highlight w:val="none"/>
        </w:rPr>
        <w:t>间：2025年</w:t>
      </w: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rPr>
        <w:t>月</w:t>
      </w:r>
      <w:r>
        <w:rPr>
          <w:rFonts w:hint="eastAsia" w:ascii="宋体" w:hAnsi="宋体" w:cs="宋体"/>
          <w:color w:val="auto"/>
          <w:sz w:val="24"/>
          <w:szCs w:val="24"/>
          <w:highlight w:val="none"/>
          <w:lang w:val="en-US" w:eastAsia="zh-CN"/>
        </w:rPr>
        <w:t>11</w:t>
      </w:r>
      <w:r>
        <w:rPr>
          <w:rFonts w:hint="eastAsia" w:ascii="宋体" w:hAnsi="宋体" w:eastAsia="宋体" w:cs="宋体"/>
          <w:color w:val="auto"/>
          <w:sz w:val="24"/>
          <w:szCs w:val="24"/>
          <w:highlight w:val="none"/>
        </w:rPr>
        <w:t>日至2025年</w:t>
      </w: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rPr>
        <w:t>月</w:t>
      </w:r>
      <w:r>
        <w:rPr>
          <w:rFonts w:hint="eastAsia" w:ascii="宋体" w:hAnsi="宋体" w:cs="宋体"/>
          <w:color w:val="auto"/>
          <w:sz w:val="24"/>
          <w:szCs w:val="24"/>
          <w:highlight w:val="none"/>
          <w:lang w:val="en-US" w:eastAsia="zh-CN"/>
        </w:rPr>
        <w:t>15</w:t>
      </w:r>
      <w:r>
        <w:rPr>
          <w:rFonts w:hint="eastAsia" w:ascii="宋体" w:hAnsi="宋体" w:eastAsia="宋体" w:cs="宋体"/>
          <w:color w:val="auto"/>
          <w:sz w:val="24"/>
          <w:szCs w:val="24"/>
          <w:highlight w:val="none"/>
        </w:rPr>
        <w:t>日。每日上午</w:t>
      </w:r>
      <w:r>
        <w:rPr>
          <w:rFonts w:hint="eastAsia" w:ascii="宋体" w:hAnsi="宋体" w:cs="宋体"/>
          <w:color w:val="auto"/>
          <w:sz w:val="24"/>
          <w:szCs w:val="24"/>
          <w:highlight w:val="none"/>
          <w:lang w:val="en-US" w:eastAsia="zh-CN"/>
        </w:rPr>
        <w:t>09</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00</w:t>
      </w:r>
      <w:r>
        <w:rPr>
          <w:rFonts w:hint="eastAsia" w:ascii="宋体" w:hAnsi="宋体" w:eastAsia="宋体" w:cs="宋体"/>
          <w:color w:val="auto"/>
          <w:sz w:val="24"/>
          <w:szCs w:val="24"/>
          <w:highlight w:val="none"/>
        </w:rPr>
        <w:t>时至12：00时，下午14：00时至17：</w:t>
      </w:r>
      <w:r>
        <w:rPr>
          <w:rFonts w:hint="eastAsia" w:ascii="宋体" w:hAnsi="宋体" w:cs="宋体"/>
          <w:color w:val="auto"/>
          <w:sz w:val="24"/>
          <w:szCs w:val="24"/>
          <w:highlight w:val="none"/>
          <w:lang w:val="en-US" w:eastAsia="zh-CN"/>
        </w:rPr>
        <w:t>00</w:t>
      </w:r>
      <w:r>
        <w:rPr>
          <w:rFonts w:hint="eastAsia" w:ascii="宋体" w:hAnsi="宋体" w:eastAsia="宋体" w:cs="宋体"/>
          <w:color w:val="auto"/>
          <w:sz w:val="24"/>
          <w:szCs w:val="24"/>
          <w:highlight w:val="none"/>
        </w:rPr>
        <w:t>时（北京时间，法定节假日除外，下同）。</w:t>
      </w:r>
    </w:p>
    <w:p w14:paraId="090AF779">
      <w:pPr>
        <w:spacing w:line="360" w:lineRule="auto"/>
        <w:ind w:firstLine="480" w:firstLineChars="200"/>
        <w:textAlignment w:val="baseline"/>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5.2 招标文件获取</w:t>
      </w:r>
      <w:r>
        <w:rPr>
          <w:rFonts w:hint="eastAsia" w:ascii="宋体" w:hAnsi="宋体" w:eastAsia="宋体" w:cs="宋体"/>
          <w:color w:val="000000"/>
          <w:sz w:val="24"/>
          <w:szCs w:val="24"/>
          <w:highlight w:val="none"/>
          <w:lang w:val="en-US" w:eastAsia="zh-CN"/>
        </w:rPr>
        <w:t>方式：</w:t>
      </w:r>
    </w:p>
    <w:p w14:paraId="449DA3D9">
      <w:pPr>
        <w:spacing w:line="360" w:lineRule="auto"/>
        <w:ind w:firstLine="480" w:firstLineChars="200"/>
        <w:textAlignment w:val="baseline"/>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5.2</w:t>
      </w:r>
      <w:r>
        <w:rPr>
          <w:rFonts w:hint="eastAsia" w:ascii="宋体" w:hAnsi="宋体" w:eastAsia="宋体" w:cs="宋体"/>
          <w:color w:val="000000"/>
          <w:sz w:val="24"/>
          <w:szCs w:val="24"/>
          <w:highlight w:val="none"/>
          <w:lang w:val="en-US" w:eastAsia="zh-CN"/>
        </w:rPr>
        <w:t>.1</w:t>
      </w:r>
      <w:r>
        <w:rPr>
          <w:rFonts w:hint="eastAsia" w:ascii="宋体" w:hAnsi="宋体" w:eastAsia="宋体" w:cs="宋体"/>
          <w:color w:val="000000"/>
          <w:sz w:val="24"/>
          <w:szCs w:val="24"/>
          <w:highlight w:val="none"/>
        </w:rPr>
        <w:t>诚E招电子采购交易平台注册入库</w:t>
      </w:r>
    </w:p>
    <w:p w14:paraId="5FEDB30E">
      <w:pPr>
        <w:spacing w:line="360" w:lineRule="auto"/>
        <w:ind w:firstLine="480" w:firstLineChars="200"/>
        <w:textAlignment w:val="baseline"/>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1）注册：输入网址https://www.chengezhao.com/，点击【新用户注册】（注册步骤详见门户网站：【投标人操作指南】-【注册指引】）。登陆账号后点击【常用文件】，下载《投标人&amp;供应商操作手册》。</w:t>
      </w:r>
    </w:p>
    <w:p w14:paraId="178B1561">
      <w:pPr>
        <w:spacing w:line="360" w:lineRule="auto"/>
        <w:ind w:firstLine="480" w:firstLineChars="200"/>
        <w:textAlignment w:val="baseline"/>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2）购买与下载：注册成功后登录平台，点击【商机发现】，根据平台提示完成支付后自行下载招标文件。</w:t>
      </w:r>
    </w:p>
    <w:p w14:paraId="1967682C">
      <w:pPr>
        <w:spacing w:line="360" w:lineRule="auto"/>
        <w:ind w:firstLine="480" w:firstLineChars="200"/>
        <w:textAlignment w:val="baseline"/>
        <w:rPr>
          <w:rFonts w:hint="eastAsia" w:ascii="宋体" w:hAnsi="宋体" w:cs="宋体"/>
          <w:color w:val="000000"/>
          <w:sz w:val="24"/>
          <w:szCs w:val="24"/>
          <w:highlight w:val="none"/>
        </w:rPr>
      </w:pPr>
      <w:r>
        <w:rPr>
          <w:rFonts w:hint="eastAsia" w:ascii="宋体" w:hAnsi="宋体" w:cs="宋体"/>
          <w:color w:val="000000"/>
          <w:sz w:val="24"/>
          <w:szCs w:val="24"/>
          <w:highlight w:val="none"/>
        </w:rPr>
        <w:t>本项目仅在网上发布电子版招标文件，不再出售纸质招标文件，平台费</w:t>
      </w:r>
      <w:r>
        <w:rPr>
          <w:rFonts w:hint="eastAsia" w:ascii="宋体" w:hAnsi="宋体" w:cs="宋体"/>
          <w:color w:val="000000"/>
          <w:sz w:val="24"/>
          <w:szCs w:val="24"/>
          <w:highlight w:val="none"/>
          <w:lang w:val="en-US" w:eastAsia="zh-CN"/>
        </w:rPr>
        <w:t>4</w:t>
      </w:r>
      <w:r>
        <w:rPr>
          <w:rFonts w:hint="eastAsia" w:ascii="宋体" w:hAnsi="宋体" w:cs="宋体"/>
          <w:color w:val="000000"/>
          <w:sz w:val="24"/>
          <w:szCs w:val="24"/>
          <w:highlight w:val="none"/>
        </w:rPr>
        <w:t>00元。支付方式（三选一）：①网上支付（微信/支付宝扫码）、②电汇（须上传汇款凭证）、③钱包支付（点击“钱包管理”，充值后即可支付），支付完成后请及时下载招标文件。</w:t>
      </w:r>
    </w:p>
    <w:p w14:paraId="4336B3F0">
      <w:pPr>
        <w:spacing w:line="360" w:lineRule="auto"/>
        <w:ind w:firstLine="480" w:firstLineChars="200"/>
        <w:textAlignment w:val="baseline"/>
        <w:rPr>
          <w:rFonts w:hint="eastAsia" w:ascii="宋体" w:hAnsi="宋体" w:cs="宋体"/>
          <w:color w:val="000000"/>
          <w:sz w:val="24"/>
          <w:szCs w:val="24"/>
          <w:highlight w:val="none"/>
        </w:rPr>
      </w:pPr>
      <w:r>
        <w:rPr>
          <w:rFonts w:hint="eastAsia" w:ascii="宋体" w:hAnsi="宋体" w:cs="宋体"/>
          <w:color w:val="000000"/>
          <w:sz w:val="24"/>
          <w:szCs w:val="24"/>
          <w:highlight w:val="none"/>
        </w:rPr>
        <w:t>3）疑问反馈：客服热线:020-89524219，服务时间:工作日上午9时至12时，下午14时至17时30分。</w:t>
      </w:r>
    </w:p>
    <w:p w14:paraId="028DF23B">
      <w:pPr>
        <w:ind w:firstLine="240" w:firstLineChars="100"/>
        <w:outlineLvl w:val="9"/>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5.3诚E招电子采购交易平台（https://www.chengezhao.com/）为本项目获取招标文件的唯一渠道，其他渠道获取招标文件均属无效，递交的投标文件将不予接收。</w:t>
      </w:r>
      <w:bookmarkStart w:id="33" w:name="_Toc109124228"/>
      <w:bookmarkStart w:id="34" w:name="_Toc7435"/>
    </w:p>
    <w:p w14:paraId="19339FE3">
      <w:pPr>
        <w:pStyle w:val="3"/>
        <w:rPr>
          <w:rFonts w:hint="eastAsia" w:ascii="宋体" w:hAnsi="宋体" w:eastAsia="宋体" w:cs="宋体"/>
          <w:color w:val="000000"/>
          <w:highlight w:val="none"/>
        </w:rPr>
      </w:pPr>
      <w:bookmarkStart w:id="35" w:name="_Toc13853"/>
      <w:r>
        <w:rPr>
          <w:rFonts w:hint="eastAsia" w:ascii="宋体" w:hAnsi="宋体" w:eastAsia="宋体" w:cs="宋体"/>
          <w:color w:val="000000"/>
          <w:highlight w:val="none"/>
        </w:rPr>
        <w:t>六、投标文件的递交</w:t>
      </w:r>
      <w:bookmarkEnd w:id="33"/>
      <w:bookmarkEnd w:id="34"/>
      <w:bookmarkEnd w:id="35"/>
    </w:p>
    <w:p w14:paraId="2F06583A">
      <w:pPr>
        <w:spacing w:line="360" w:lineRule="auto"/>
        <w:ind w:firstLine="480" w:firstLineChars="200"/>
        <w:textAlignment w:val="baseline"/>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6.1投标</w:t>
      </w:r>
      <w:r>
        <w:rPr>
          <w:rFonts w:hint="eastAsia" w:ascii="宋体" w:hAnsi="宋体" w:eastAsia="宋体" w:cs="宋体"/>
          <w:color w:val="000000"/>
          <w:sz w:val="24"/>
          <w:szCs w:val="24"/>
          <w:highlight w:val="none"/>
          <w:lang w:val="en-US" w:eastAsia="zh-CN"/>
        </w:rPr>
        <w:t>文件递交</w:t>
      </w:r>
      <w:r>
        <w:rPr>
          <w:rFonts w:hint="eastAsia" w:ascii="宋体" w:hAnsi="宋体" w:eastAsia="宋体" w:cs="宋体"/>
          <w:color w:val="000000"/>
          <w:sz w:val="24"/>
          <w:szCs w:val="24"/>
          <w:highlight w:val="none"/>
        </w:rPr>
        <w:t>截止</w:t>
      </w:r>
      <w:r>
        <w:rPr>
          <w:rFonts w:hint="eastAsia" w:ascii="宋体" w:hAnsi="宋体" w:eastAsia="宋体" w:cs="宋体"/>
          <w:color w:val="auto"/>
          <w:sz w:val="24"/>
          <w:szCs w:val="24"/>
          <w:highlight w:val="none"/>
        </w:rPr>
        <w:t>时间：</w:t>
      </w:r>
      <w:r>
        <w:rPr>
          <w:rFonts w:hint="eastAsia" w:ascii="宋体" w:hAnsi="宋体" w:eastAsia="宋体" w:cs="宋体"/>
          <w:b/>
          <w:bCs/>
          <w:color w:val="auto"/>
          <w:sz w:val="24"/>
          <w:szCs w:val="24"/>
          <w:highlight w:val="none"/>
          <w:u w:val="none"/>
        </w:rPr>
        <w:t>20</w:t>
      </w:r>
      <w:r>
        <w:rPr>
          <w:rFonts w:hint="eastAsia" w:ascii="宋体" w:hAnsi="宋体" w:eastAsia="宋体" w:cs="宋体"/>
          <w:b/>
          <w:bCs/>
          <w:color w:val="auto"/>
          <w:sz w:val="24"/>
          <w:szCs w:val="24"/>
          <w:highlight w:val="none"/>
          <w:u w:val="none"/>
          <w:lang w:val="en-US" w:eastAsia="zh-CN"/>
        </w:rPr>
        <w:t>25</w:t>
      </w:r>
      <w:r>
        <w:rPr>
          <w:rFonts w:hint="eastAsia" w:ascii="宋体" w:hAnsi="宋体" w:eastAsia="宋体" w:cs="宋体"/>
          <w:b/>
          <w:bCs/>
          <w:color w:val="auto"/>
          <w:sz w:val="24"/>
          <w:szCs w:val="24"/>
          <w:highlight w:val="none"/>
          <w:u w:val="none"/>
        </w:rPr>
        <w:t>年</w:t>
      </w:r>
      <w:r>
        <w:rPr>
          <w:rFonts w:hint="eastAsia" w:ascii="宋体" w:hAnsi="宋体" w:cs="宋体"/>
          <w:b/>
          <w:bCs/>
          <w:color w:val="auto"/>
          <w:sz w:val="24"/>
          <w:szCs w:val="24"/>
          <w:highlight w:val="none"/>
          <w:u w:val="none"/>
          <w:lang w:val="en-US" w:eastAsia="zh-CN"/>
        </w:rPr>
        <w:t>9</w:t>
      </w:r>
      <w:r>
        <w:rPr>
          <w:rFonts w:hint="eastAsia" w:ascii="宋体" w:hAnsi="宋体" w:eastAsia="宋体" w:cs="宋体"/>
          <w:b/>
          <w:bCs/>
          <w:color w:val="auto"/>
          <w:sz w:val="24"/>
          <w:szCs w:val="24"/>
          <w:highlight w:val="none"/>
          <w:u w:val="none"/>
        </w:rPr>
        <w:t>月</w:t>
      </w:r>
      <w:r>
        <w:rPr>
          <w:rFonts w:hint="eastAsia" w:ascii="宋体" w:hAnsi="宋体" w:cs="宋体"/>
          <w:b/>
          <w:bCs/>
          <w:color w:val="auto"/>
          <w:sz w:val="24"/>
          <w:szCs w:val="24"/>
          <w:highlight w:val="none"/>
          <w:u w:val="none"/>
          <w:lang w:val="en-US" w:eastAsia="zh-CN"/>
        </w:rPr>
        <w:t>1</w:t>
      </w:r>
      <w:r>
        <w:rPr>
          <w:rFonts w:hint="eastAsia" w:ascii="宋体" w:hAnsi="宋体" w:eastAsia="宋体" w:cs="宋体"/>
          <w:b/>
          <w:bCs/>
          <w:color w:val="auto"/>
          <w:sz w:val="24"/>
          <w:szCs w:val="24"/>
          <w:highlight w:val="none"/>
          <w:u w:val="none"/>
        </w:rPr>
        <w:t>日</w:t>
      </w:r>
      <w:r>
        <w:rPr>
          <w:rFonts w:hint="eastAsia" w:ascii="宋体" w:hAnsi="宋体" w:cs="宋体"/>
          <w:b/>
          <w:bCs/>
          <w:color w:val="auto"/>
          <w:sz w:val="24"/>
          <w:szCs w:val="24"/>
          <w:highlight w:val="none"/>
          <w:u w:val="none"/>
          <w:lang w:val="en-US" w:eastAsia="zh-CN"/>
        </w:rPr>
        <w:t>09</w:t>
      </w:r>
      <w:r>
        <w:rPr>
          <w:rFonts w:hint="eastAsia" w:ascii="宋体" w:hAnsi="宋体" w:eastAsia="宋体" w:cs="宋体"/>
          <w:b/>
          <w:bCs/>
          <w:color w:val="auto"/>
          <w:sz w:val="24"/>
          <w:szCs w:val="24"/>
          <w:highlight w:val="none"/>
          <w:u w:val="none"/>
        </w:rPr>
        <w:t>时</w:t>
      </w:r>
      <w:r>
        <w:rPr>
          <w:rFonts w:hint="eastAsia" w:ascii="宋体" w:hAnsi="宋体" w:cs="宋体"/>
          <w:b/>
          <w:bCs/>
          <w:color w:val="auto"/>
          <w:sz w:val="24"/>
          <w:szCs w:val="24"/>
          <w:highlight w:val="none"/>
          <w:u w:val="none"/>
          <w:lang w:val="en-US" w:eastAsia="zh-CN"/>
        </w:rPr>
        <w:t>30</w:t>
      </w:r>
      <w:r>
        <w:rPr>
          <w:rFonts w:hint="eastAsia" w:ascii="宋体" w:hAnsi="宋体" w:eastAsia="宋体" w:cs="宋体"/>
          <w:b/>
          <w:bCs/>
          <w:color w:val="auto"/>
          <w:sz w:val="24"/>
          <w:szCs w:val="24"/>
          <w:highlight w:val="none"/>
          <w:u w:val="none"/>
        </w:rPr>
        <w:t>分00秒</w:t>
      </w:r>
      <w:r>
        <w:rPr>
          <w:rFonts w:hint="eastAsia" w:ascii="宋体" w:hAnsi="宋体" w:eastAsia="宋体" w:cs="宋体"/>
          <w:b/>
          <w:bCs/>
          <w:color w:val="auto"/>
          <w:sz w:val="24"/>
          <w:szCs w:val="24"/>
          <w:highlight w:val="none"/>
        </w:rPr>
        <w:t>。</w:t>
      </w:r>
      <w:r>
        <w:rPr>
          <w:rFonts w:hint="eastAsia" w:ascii="宋体" w:hAnsi="宋体" w:eastAsia="宋体" w:cs="宋体"/>
          <w:color w:val="000000"/>
          <w:sz w:val="24"/>
          <w:szCs w:val="24"/>
          <w:highlight w:val="none"/>
        </w:rPr>
        <w:t>（即投标截止时间）</w:t>
      </w:r>
    </w:p>
    <w:p w14:paraId="631703AA">
      <w:pPr>
        <w:spacing w:line="360" w:lineRule="auto"/>
        <w:ind w:firstLine="480" w:firstLineChars="200"/>
        <w:textAlignment w:val="baseline"/>
        <w:rPr>
          <w:rFonts w:hint="eastAsia" w:ascii="宋体" w:hAnsi="宋体" w:eastAsia="宋体" w:cs="宋体"/>
          <w:b w:val="0"/>
          <w:bCs w:val="0"/>
          <w:color w:val="000000"/>
          <w:sz w:val="24"/>
          <w:szCs w:val="24"/>
          <w:highlight w:val="none"/>
        </w:rPr>
      </w:pPr>
      <w:r>
        <w:rPr>
          <w:rFonts w:hint="eastAsia" w:ascii="宋体" w:hAnsi="宋体" w:eastAsia="宋体" w:cs="宋体"/>
          <w:color w:val="000000"/>
          <w:sz w:val="24"/>
          <w:szCs w:val="24"/>
          <w:highlight w:val="none"/>
        </w:rPr>
        <w:t>6.2投标文件递交</w:t>
      </w:r>
      <w:r>
        <w:rPr>
          <w:rFonts w:hint="eastAsia" w:ascii="宋体" w:hAnsi="宋体" w:eastAsia="宋体" w:cs="宋体"/>
          <w:color w:val="000000"/>
          <w:sz w:val="24"/>
          <w:szCs w:val="24"/>
          <w:highlight w:val="none"/>
          <w:lang w:val="en-US" w:eastAsia="zh-CN"/>
        </w:rPr>
        <w:t>地点</w:t>
      </w:r>
      <w:r>
        <w:rPr>
          <w:rFonts w:hint="eastAsia" w:ascii="宋体" w:hAnsi="宋体" w:eastAsia="宋体" w:cs="宋体"/>
          <w:color w:val="000000"/>
          <w:sz w:val="24"/>
          <w:szCs w:val="24"/>
          <w:highlight w:val="none"/>
        </w:rPr>
        <w:t>：</w:t>
      </w:r>
      <w:r>
        <w:rPr>
          <w:rFonts w:hint="eastAsia" w:ascii="宋体" w:hAnsi="宋体" w:eastAsia="宋体" w:cs="宋体"/>
          <w:b/>
          <w:bCs/>
          <w:color w:val="000000"/>
          <w:sz w:val="24"/>
          <w:szCs w:val="24"/>
          <w:highlight w:val="none"/>
        </w:rPr>
        <w:t>须现场递交</w:t>
      </w:r>
      <w:r>
        <w:rPr>
          <w:rFonts w:hint="eastAsia" w:ascii="宋体" w:hAnsi="宋体" w:cs="宋体"/>
          <w:b/>
          <w:bCs/>
          <w:color w:val="000000"/>
          <w:sz w:val="24"/>
          <w:szCs w:val="24"/>
          <w:highlight w:val="none"/>
          <w:lang w:val="en-US" w:eastAsia="zh-CN"/>
        </w:rPr>
        <w:t>至</w:t>
      </w:r>
      <w:r>
        <w:rPr>
          <w:rFonts w:hint="eastAsia" w:ascii="宋体" w:hAnsi="宋体" w:eastAsia="宋体" w:cs="宋体"/>
          <w:b/>
          <w:bCs/>
          <w:color w:val="000000"/>
          <w:kern w:val="2"/>
          <w:sz w:val="24"/>
          <w:szCs w:val="24"/>
          <w:highlight w:val="none"/>
          <w:lang w:val="en-US" w:eastAsia="zh-CN" w:bidi="ar-SA"/>
        </w:rPr>
        <w:t>南京市龙蟠中路419号1幢823室</w:t>
      </w:r>
      <w:r>
        <w:rPr>
          <w:rFonts w:hint="eastAsia" w:ascii="宋体" w:hAnsi="宋体" w:eastAsia="宋体" w:cs="宋体"/>
          <w:b/>
          <w:bCs/>
          <w:color w:val="000000"/>
          <w:sz w:val="24"/>
          <w:szCs w:val="24"/>
          <w:highlight w:val="none"/>
        </w:rPr>
        <w:t>，</w:t>
      </w:r>
      <w:r>
        <w:rPr>
          <w:rFonts w:hint="eastAsia" w:ascii="宋体" w:hAnsi="宋体" w:eastAsia="宋体" w:cs="宋体"/>
          <w:b w:val="0"/>
          <w:bCs w:val="0"/>
          <w:color w:val="000000"/>
          <w:sz w:val="24"/>
          <w:szCs w:val="24"/>
          <w:highlight w:val="none"/>
        </w:rPr>
        <w:t>逾期送达或者未送达指定地点或者未按照招标文件要求封装的纸质投标文件不予接收。</w:t>
      </w:r>
      <w:bookmarkStart w:id="36" w:name="_Toc3941"/>
      <w:bookmarkStart w:id="37" w:name="_Toc109124229"/>
    </w:p>
    <w:p w14:paraId="486EE581">
      <w:pPr>
        <w:spacing w:line="360" w:lineRule="auto"/>
        <w:ind w:firstLine="480" w:firstLineChars="200"/>
        <w:textAlignment w:val="baseline"/>
        <w:rPr>
          <w:rFonts w:hint="eastAsia" w:ascii="宋体" w:hAnsi="宋体" w:eastAsia="宋体" w:cs="宋体"/>
          <w:b w:val="0"/>
          <w:bCs w:val="0"/>
          <w:color w:val="000000"/>
          <w:kern w:val="2"/>
          <w:sz w:val="24"/>
          <w:szCs w:val="24"/>
          <w:highlight w:val="none"/>
          <w:lang w:val="en-US" w:eastAsia="zh-CN" w:bidi="ar-SA"/>
        </w:rPr>
      </w:pPr>
      <w:r>
        <w:rPr>
          <w:rFonts w:hint="eastAsia" w:ascii="宋体" w:hAnsi="宋体" w:eastAsia="宋体" w:cs="宋体"/>
          <w:b w:val="0"/>
          <w:color w:val="000000"/>
          <w:kern w:val="2"/>
          <w:sz w:val="24"/>
          <w:szCs w:val="24"/>
          <w:highlight w:val="none"/>
          <w:lang w:val="en-US" w:eastAsia="zh-CN" w:bidi="ar-SA"/>
        </w:rPr>
        <w:t>6.3</w:t>
      </w:r>
      <w:r>
        <w:rPr>
          <w:rFonts w:hint="eastAsia" w:ascii="宋体" w:hAnsi="宋体" w:eastAsia="宋体" w:cs="宋体"/>
          <w:b/>
          <w:bCs/>
          <w:color w:val="000000"/>
          <w:kern w:val="2"/>
          <w:sz w:val="24"/>
          <w:szCs w:val="24"/>
          <w:highlight w:val="none"/>
          <w:lang w:val="en-US" w:eastAsia="zh-CN" w:bidi="ar-SA"/>
        </w:rPr>
        <w:t>本项目将于上述同一时间、地点进行开标</w:t>
      </w:r>
      <w:r>
        <w:rPr>
          <w:rFonts w:hint="eastAsia" w:ascii="宋体" w:hAnsi="宋体" w:eastAsia="宋体" w:cs="宋体"/>
          <w:b w:val="0"/>
          <w:bCs w:val="0"/>
          <w:color w:val="000000"/>
          <w:kern w:val="2"/>
          <w:sz w:val="24"/>
          <w:szCs w:val="24"/>
          <w:highlight w:val="none"/>
          <w:lang w:val="en-US" w:eastAsia="zh-CN" w:bidi="ar-SA"/>
        </w:rPr>
        <w:t>，招标人/招标代理机构邀请投标人代表准时参加。</w:t>
      </w:r>
    </w:p>
    <w:p w14:paraId="6982FC22">
      <w:pPr>
        <w:spacing w:line="360" w:lineRule="auto"/>
        <w:ind w:firstLine="480" w:firstLineChars="200"/>
        <w:textAlignment w:val="baseline"/>
        <w:rPr>
          <w:rFonts w:hint="eastAsia" w:ascii="宋体" w:hAnsi="宋体" w:eastAsia="宋体" w:cs="宋体"/>
          <w:b/>
          <w:bCs/>
          <w:color w:val="000000"/>
          <w:kern w:val="2"/>
          <w:sz w:val="24"/>
          <w:szCs w:val="24"/>
          <w:highlight w:val="none"/>
          <w:lang w:val="en-US" w:eastAsia="zh-CN" w:bidi="ar-SA"/>
        </w:rPr>
      </w:pPr>
      <w:r>
        <w:rPr>
          <w:rFonts w:hint="eastAsia" w:ascii="宋体" w:hAnsi="宋体" w:eastAsia="宋体" w:cs="宋体"/>
          <w:b w:val="0"/>
          <w:color w:val="000000"/>
          <w:kern w:val="2"/>
          <w:sz w:val="24"/>
          <w:szCs w:val="24"/>
          <w:highlight w:val="none"/>
          <w:lang w:val="en-US" w:eastAsia="zh-CN" w:bidi="ar-SA"/>
        </w:rPr>
        <w:t>6.4</w:t>
      </w:r>
      <w:r>
        <w:rPr>
          <w:rFonts w:hint="eastAsia" w:ascii="宋体" w:hAnsi="宋体" w:eastAsia="宋体" w:cs="宋体"/>
          <w:b/>
          <w:bCs/>
          <w:color w:val="000000"/>
          <w:kern w:val="2"/>
          <w:sz w:val="24"/>
          <w:szCs w:val="24"/>
          <w:highlight w:val="none"/>
          <w:lang w:val="en-US" w:eastAsia="zh-CN" w:bidi="ar-SA"/>
        </w:rPr>
        <w:t>出现以下情形之一时，招标人/招标代理机构不予接收投标文件：</w:t>
      </w:r>
    </w:p>
    <w:p w14:paraId="7A2C645C">
      <w:pPr>
        <w:spacing w:line="360" w:lineRule="auto"/>
        <w:ind w:firstLine="480" w:firstLineChars="200"/>
        <w:textAlignment w:val="baseline"/>
        <w:rPr>
          <w:rFonts w:hint="eastAsia" w:ascii="宋体" w:hAnsi="宋体" w:eastAsia="宋体" w:cs="宋体"/>
          <w:b w:val="0"/>
          <w:color w:val="000000"/>
          <w:kern w:val="2"/>
          <w:sz w:val="24"/>
          <w:szCs w:val="24"/>
          <w:highlight w:val="none"/>
          <w:lang w:val="en-US" w:eastAsia="zh-CN" w:bidi="ar-SA"/>
        </w:rPr>
      </w:pPr>
      <w:r>
        <w:rPr>
          <w:rFonts w:hint="eastAsia" w:ascii="宋体" w:hAnsi="宋体" w:eastAsia="宋体" w:cs="宋体"/>
          <w:b w:val="0"/>
          <w:color w:val="000000"/>
          <w:kern w:val="2"/>
          <w:sz w:val="24"/>
          <w:szCs w:val="24"/>
          <w:highlight w:val="none"/>
          <w:lang w:val="en-US" w:eastAsia="zh-CN" w:bidi="ar-SA"/>
        </w:rPr>
        <w:t>6.4.1  逾期送达或者未送达指定地点的；</w:t>
      </w:r>
    </w:p>
    <w:p w14:paraId="78AC04F2">
      <w:pPr>
        <w:spacing w:line="360" w:lineRule="auto"/>
        <w:ind w:firstLine="480" w:firstLineChars="200"/>
        <w:textAlignment w:val="baseline"/>
        <w:rPr>
          <w:rFonts w:hint="eastAsia" w:ascii="宋体" w:hAnsi="宋体" w:eastAsia="宋体" w:cs="宋体"/>
          <w:b w:val="0"/>
          <w:color w:val="000000"/>
          <w:kern w:val="2"/>
          <w:sz w:val="24"/>
          <w:szCs w:val="24"/>
          <w:highlight w:val="none"/>
          <w:lang w:val="en-US" w:eastAsia="zh-CN" w:bidi="ar-SA"/>
        </w:rPr>
      </w:pPr>
      <w:r>
        <w:rPr>
          <w:rFonts w:hint="eastAsia" w:ascii="宋体" w:hAnsi="宋体" w:eastAsia="宋体" w:cs="宋体"/>
          <w:b w:val="0"/>
          <w:color w:val="000000"/>
          <w:kern w:val="2"/>
          <w:sz w:val="24"/>
          <w:szCs w:val="24"/>
          <w:highlight w:val="none"/>
          <w:lang w:val="en-US" w:eastAsia="zh-CN" w:bidi="ar-SA"/>
        </w:rPr>
        <w:t>6.4.2  未按照招标文件要求密封的；</w:t>
      </w:r>
    </w:p>
    <w:p w14:paraId="055553C1">
      <w:pPr>
        <w:spacing w:line="360" w:lineRule="auto"/>
        <w:ind w:firstLine="480" w:firstLineChars="200"/>
        <w:textAlignment w:val="baseline"/>
        <w:rPr>
          <w:rFonts w:hint="eastAsia" w:ascii="宋体" w:hAnsi="宋体" w:eastAsia="宋体" w:cs="宋体"/>
          <w:color w:val="000000"/>
          <w:sz w:val="24"/>
          <w:szCs w:val="24"/>
          <w:highlight w:val="none"/>
        </w:rPr>
      </w:pPr>
      <w:r>
        <w:rPr>
          <w:rFonts w:hint="eastAsia" w:ascii="宋体" w:hAnsi="宋体" w:eastAsia="宋体" w:cs="宋体"/>
          <w:b w:val="0"/>
          <w:color w:val="000000"/>
          <w:kern w:val="2"/>
          <w:sz w:val="24"/>
          <w:szCs w:val="24"/>
          <w:highlight w:val="none"/>
          <w:lang w:val="en-US" w:eastAsia="zh-CN" w:bidi="ar-SA"/>
        </w:rPr>
        <w:t>6.4.3  未按照招标公告要求获取招标文件的。</w:t>
      </w:r>
    </w:p>
    <w:p w14:paraId="090B4D90">
      <w:pPr>
        <w:pStyle w:val="3"/>
        <w:rPr>
          <w:rFonts w:hint="eastAsia" w:ascii="宋体" w:hAnsi="宋体" w:eastAsia="宋体" w:cs="宋体"/>
          <w:color w:val="000000"/>
          <w:highlight w:val="none"/>
        </w:rPr>
      </w:pPr>
      <w:bookmarkStart w:id="38" w:name="_Toc8037"/>
      <w:r>
        <w:rPr>
          <w:rFonts w:hint="eastAsia" w:ascii="宋体" w:hAnsi="宋体" w:eastAsia="宋体" w:cs="宋体"/>
          <w:color w:val="000000"/>
          <w:highlight w:val="none"/>
          <w:lang w:val="en-US" w:eastAsia="zh-CN"/>
        </w:rPr>
        <w:t>七</w:t>
      </w:r>
      <w:r>
        <w:rPr>
          <w:rFonts w:hint="eastAsia" w:ascii="宋体" w:hAnsi="宋体" w:eastAsia="宋体" w:cs="宋体"/>
          <w:color w:val="000000"/>
          <w:highlight w:val="none"/>
        </w:rPr>
        <w:t>、发布公告的媒介</w:t>
      </w:r>
      <w:bookmarkEnd w:id="36"/>
      <w:bookmarkEnd w:id="37"/>
      <w:bookmarkEnd w:id="38"/>
    </w:p>
    <w:p w14:paraId="4898F216">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baseline"/>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none"/>
        </w:rPr>
        <w:t>本项目招标公告同时在“</w:t>
      </w:r>
      <w:r>
        <w:rPr>
          <w:rFonts w:hint="eastAsia" w:ascii="宋体" w:hAnsi="宋体" w:eastAsia="宋体" w:cs="宋体"/>
          <w:color w:val="auto"/>
          <w:sz w:val="24"/>
          <w:highlight w:val="none"/>
          <w:u w:val="none"/>
        </w:rPr>
        <w:t>人保e采”外网门户（https://ec.picc.com）</w:t>
      </w:r>
      <w:r>
        <w:rPr>
          <w:rFonts w:hint="eastAsia" w:ascii="宋体" w:hAnsi="宋体" w:eastAsia="宋体" w:cs="宋体"/>
          <w:color w:val="auto"/>
          <w:sz w:val="24"/>
          <w:highlight w:val="none"/>
          <w:u w:val="none"/>
          <w:lang w:eastAsia="zh-CN"/>
        </w:rPr>
        <w:t>、</w:t>
      </w:r>
      <w:r>
        <w:rPr>
          <w:rFonts w:hint="eastAsia" w:ascii="宋体" w:hAnsi="宋体" w:eastAsia="宋体" w:cs="宋体"/>
          <w:color w:val="000000"/>
          <w:sz w:val="24"/>
          <w:szCs w:val="24"/>
          <w:highlight w:val="none"/>
          <w:u w:val="none"/>
        </w:rPr>
        <w:t>中国招标投标公共服务平台（http://www.cebpubservice.com）</w:t>
      </w:r>
      <w:r>
        <w:rPr>
          <w:rFonts w:hint="eastAsia" w:ascii="宋体" w:hAnsi="宋体" w:eastAsia="宋体" w:cs="宋体"/>
          <w:color w:val="000000"/>
          <w:sz w:val="24"/>
          <w:szCs w:val="24"/>
          <w:highlight w:val="none"/>
          <w:u w:val="none"/>
          <w:lang w:eastAsia="zh-CN"/>
        </w:rPr>
        <w:t>、</w:t>
      </w:r>
      <w:r>
        <w:rPr>
          <w:rFonts w:hint="eastAsia" w:ascii="宋体" w:hAnsi="宋体" w:eastAsia="宋体" w:cs="宋体"/>
          <w:color w:val="000000"/>
          <w:sz w:val="24"/>
          <w:szCs w:val="24"/>
          <w:highlight w:val="none"/>
          <w:u w:val="none"/>
          <w:lang w:val="en-US" w:eastAsia="zh-CN"/>
        </w:rPr>
        <w:t>江苏省招标投标公共服务平台（https://www.jszbtb.com）、中国金融集中采购网（http://www.cfcpn.com）</w:t>
      </w:r>
      <w:r>
        <w:rPr>
          <w:rFonts w:hint="eastAsia" w:ascii="宋体" w:hAnsi="宋体" w:cs="宋体"/>
          <w:color w:val="000000"/>
          <w:sz w:val="24"/>
          <w:szCs w:val="24"/>
          <w:highlight w:val="none"/>
          <w:u w:val="none"/>
          <w:lang w:val="en-US" w:eastAsia="zh-CN"/>
        </w:rPr>
        <w:t>、</w:t>
      </w:r>
      <w:r>
        <w:rPr>
          <w:rFonts w:hint="eastAsia" w:ascii="宋体" w:hAnsi="宋体" w:cs="宋体"/>
          <w:sz w:val="24"/>
          <w:highlight w:val="none"/>
          <w:u w:val="none"/>
        </w:rPr>
        <w:t>诚E招电子采购交易平台（https://www.chengezhao.com）</w:t>
      </w:r>
      <w:r>
        <w:rPr>
          <w:rFonts w:hint="eastAsia" w:ascii="宋体" w:hAnsi="宋体" w:eastAsia="宋体" w:cs="宋体"/>
          <w:color w:val="000000"/>
          <w:sz w:val="24"/>
          <w:szCs w:val="24"/>
          <w:highlight w:val="none"/>
          <w:u w:val="none"/>
        </w:rPr>
        <w:t>上发布，除</w:t>
      </w:r>
      <w:r>
        <w:rPr>
          <w:rFonts w:hint="eastAsia" w:ascii="宋体" w:hAnsi="宋体" w:eastAsia="宋体" w:cs="宋体"/>
          <w:color w:val="000000"/>
          <w:sz w:val="24"/>
          <w:szCs w:val="24"/>
          <w:highlight w:val="none"/>
        </w:rPr>
        <w:t>上述外，招标人/招标代理机构不在其他任何网站、论坛等媒介上发布任何招标采购信息，其他任何媒介上转载的、以招标人/招标代理机构为采购主体的招标采购信息均为非法转载，均为无效。对于非法转载、篡改招标公告信息的组织或个人，招标人/招标代理机构保留追究其法律责任的权利。</w:t>
      </w:r>
    </w:p>
    <w:p w14:paraId="31272E36">
      <w:pPr>
        <w:pStyle w:val="3"/>
        <w:keepNext/>
        <w:keepLines/>
        <w:pageBreakBefore w:val="0"/>
        <w:widowControl w:val="0"/>
        <w:kinsoku/>
        <w:wordWrap/>
        <w:overflowPunct/>
        <w:topLinePunct w:val="0"/>
        <w:autoSpaceDE/>
        <w:autoSpaceDN/>
        <w:bidi w:val="0"/>
        <w:adjustRightInd w:val="0"/>
        <w:snapToGrid w:val="0"/>
        <w:textAlignment w:val="auto"/>
        <w:rPr>
          <w:rFonts w:hint="eastAsia" w:ascii="宋体" w:hAnsi="宋体" w:eastAsia="宋体" w:cs="宋体"/>
          <w:color w:val="000000"/>
          <w:highlight w:val="none"/>
        </w:rPr>
      </w:pPr>
      <w:bookmarkStart w:id="39" w:name="_Toc32179"/>
      <w:bookmarkStart w:id="40" w:name="_Toc6054"/>
      <w:r>
        <w:rPr>
          <w:rFonts w:hint="eastAsia" w:ascii="宋体" w:hAnsi="宋体" w:eastAsia="宋体" w:cs="宋体"/>
          <w:color w:val="000000"/>
          <w:highlight w:val="none"/>
          <w:lang w:val="en-US" w:eastAsia="zh-CN"/>
        </w:rPr>
        <w:t>八</w:t>
      </w:r>
      <w:r>
        <w:rPr>
          <w:rFonts w:hint="eastAsia" w:ascii="宋体" w:hAnsi="宋体" w:eastAsia="宋体" w:cs="宋体"/>
          <w:color w:val="000000"/>
          <w:highlight w:val="none"/>
        </w:rPr>
        <w:t>、</w:t>
      </w:r>
      <w:r>
        <w:rPr>
          <w:rFonts w:hint="eastAsia" w:hAnsi="宋体" w:eastAsia="宋体" w:cs="宋体"/>
          <w:color w:val="000000"/>
          <w:highlight w:val="none"/>
          <w:lang w:val="en-US" w:eastAsia="zh-CN"/>
        </w:rPr>
        <w:t>特别事项说明</w:t>
      </w:r>
      <w:bookmarkEnd w:id="39"/>
      <w:bookmarkEnd w:id="40"/>
    </w:p>
    <w:p w14:paraId="14372CCF">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baseline"/>
        <w:rPr>
          <w:rFonts w:hint="eastAsia" w:ascii="宋体" w:hAnsi="宋体" w:eastAsia="宋体" w:cs="宋体"/>
          <w:color w:val="000000"/>
          <w:sz w:val="24"/>
          <w:szCs w:val="24"/>
          <w:highlight w:val="none"/>
        </w:rPr>
      </w:pPr>
      <w:r>
        <w:rPr>
          <w:rFonts w:hint="eastAsia" w:ascii="宋体" w:hAnsi="宋体" w:eastAsia="宋体" w:cs="宋体"/>
          <w:b w:val="0"/>
          <w:bCs w:val="0"/>
          <w:color w:val="000000"/>
          <w:sz w:val="24"/>
          <w:szCs w:val="24"/>
          <w:highlight w:val="none"/>
          <w:lang w:val="en-US" w:eastAsia="zh-CN"/>
        </w:rPr>
        <w:t>为</w:t>
      </w:r>
      <w:r>
        <w:rPr>
          <w:rFonts w:hint="eastAsia" w:ascii="宋体" w:hAnsi="宋体" w:cs="宋体"/>
          <w:b w:val="0"/>
          <w:bCs w:val="0"/>
          <w:color w:val="000000"/>
          <w:sz w:val="24"/>
          <w:szCs w:val="24"/>
          <w:highlight w:val="none"/>
          <w:lang w:val="en-US" w:eastAsia="zh-CN"/>
        </w:rPr>
        <w:t>确保</w:t>
      </w:r>
      <w:r>
        <w:rPr>
          <w:rFonts w:hint="eastAsia" w:ascii="宋体" w:hAnsi="宋体" w:eastAsia="宋体" w:cs="宋体"/>
          <w:b w:val="0"/>
          <w:bCs w:val="0"/>
          <w:color w:val="000000"/>
          <w:sz w:val="24"/>
          <w:szCs w:val="24"/>
          <w:highlight w:val="none"/>
          <w:lang w:val="en-US" w:eastAsia="zh-CN"/>
        </w:rPr>
        <w:t>招标人系统信息采集</w:t>
      </w:r>
      <w:r>
        <w:rPr>
          <w:rFonts w:hint="eastAsia" w:ascii="宋体" w:hAnsi="宋体" w:cs="宋体"/>
          <w:b w:val="0"/>
          <w:bCs w:val="0"/>
          <w:color w:val="000000"/>
          <w:sz w:val="24"/>
          <w:szCs w:val="24"/>
          <w:highlight w:val="none"/>
          <w:lang w:val="en-US" w:eastAsia="zh-CN"/>
        </w:rPr>
        <w:t>事宜</w:t>
      </w:r>
      <w:r>
        <w:rPr>
          <w:rFonts w:hint="eastAsia" w:ascii="宋体" w:hAnsi="宋体" w:eastAsia="宋体" w:cs="宋体"/>
          <w:b w:val="0"/>
          <w:bCs w:val="0"/>
          <w:color w:val="000000"/>
          <w:sz w:val="24"/>
          <w:szCs w:val="24"/>
          <w:highlight w:val="none"/>
          <w:lang w:val="en-US" w:eastAsia="zh-CN"/>
        </w:rPr>
        <w:t>，请参与本项目的潜在投标人在投标文件递交截止时间前通过“人保e采”(https://ec.picc.com/)管理系统完成供应商入库</w:t>
      </w:r>
      <w:r>
        <w:rPr>
          <w:rFonts w:hint="eastAsia" w:ascii="宋体" w:hAnsi="宋体" w:cs="宋体"/>
          <w:b w:val="0"/>
          <w:bCs w:val="0"/>
          <w:color w:val="000000"/>
          <w:sz w:val="24"/>
          <w:szCs w:val="24"/>
          <w:highlight w:val="none"/>
          <w:lang w:val="en-US" w:eastAsia="zh-CN"/>
        </w:rPr>
        <w:t>工作</w:t>
      </w:r>
      <w:r>
        <w:rPr>
          <w:rFonts w:hint="eastAsia" w:ascii="宋体" w:hAnsi="宋体" w:eastAsia="宋体" w:cs="宋体"/>
          <w:b w:val="0"/>
          <w:bCs w:val="0"/>
          <w:color w:val="000000"/>
          <w:sz w:val="24"/>
          <w:szCs w:val="24"/>
          <w:highlight w:val="none"/>
          <w:lang w:val="en-US" w:eastAsia="zh-CN"/>
        </w:rPr>
        <w:t>，即进行“人保e采”外网项目供应商征集事宜。注:“人保e采”管理系统供应商注册入库详情可在登录采购门户后查阅《人保e采管理系统供应商入库操作指南》。</w:t>
      </w:r>
      <w:r>
        <w:rPr>
          <w:rFonts w:hint="eastAsia" w:ascii="宋体" w:hAnsi="宋体" w:eastAsia="宋体" w:cs="宋体"/>
          <w:b w:val="0"/>
          <w:bCs w:val="0"/>
          <w:color w:val="000000"/>
          <w:kern w:val="2"/>
          <w:sz w:val="24"/>
          <w:szCs w:val="24"/>
          <w:highlight w:val="none"/>
          <w:lang w:val="en-US" w:eastAsia="zh-CN" w:bidi="ar-SA"/>
        </w:rPr>
        <w:t>投标文件中需放入“人保e采”管理系统已注册或已入库的截图。</w:t>
      </w:r>
    </w:p>
    <w:p w14:paraId="3591DCCF">
      <w:pPr>
        <w:pStyle w:val="3"/>
        <w:rPr>
          <w:rFonts w:hint="eastAsia" w:ascii="宋体" w:hAnsi="宋体" w:eastAsia="宋体" w:cs="宋体"/>
          <w:color w:val="000000"/>
          <w:highlight w:val="none"/>
        </w:rPr>
      </w:pPr>
      <w:bookmarkStart w:id="41" w:name="_Toc26408"/>
      <w:bookmarkStart w:id="42" w:name="_Toc7046"/>
      <w:bookmarkStart w:id="43" w:name="_Toc20415"/>
      <w:bookmarkStart w:id="44" w:name="_Toc24589"/>
      <w:bookmarkStart w:id="45" w:name="_Toc109124230"/>
      <w:bookmarkStart w:id="46" w:name="_Toc3271"/>
      <w:r>
        <w:rPr>
          <w:rFonts w:hint="eastAsia" w:hAnsi="宋体" w:eastAsia="宋体" w:cs="宋体"/>
          <w:color w:val="000000"/>
          <w:highlight w:val="none"/>
          <w:lang w:val="en-US" w:eastAsia="zh-CN"/>
        </w:rPr>
        <w:t>九</w:t>
      </w:r>
      <w:r>
        <w:rPr>
          <w:rFonts w:hint="eastAsia" w:ascii="宋体" w:hAnsi="宋体" w:eastAsia="宋体" w:cs="宋体"/>
          <w:color w:val="000000"/>
          <w:highlight w:val="none"/>
        </w:rPr>
        <w:t>、联系方式</w:t>
      </w:r>
      <w:bookmarkEnd w:id="41"/>
      <w:bookmarkEnd w:id="42"/>
      <w:bookmarkEnd w:id="43"/>
      <w:bookmarkEnd w:id="44"/>
      <w:bookmarkEnd w:id="45"/>
      <w:bookmarkEnd w:id="46"/>
    </w:p>
    <w:p w14:paraId="0CC2A4D3">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baseline"/>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招标人：</w:t>
      </w:r>
      <w:r>
        <w:rPr>
          <w:rFonts w:hint="eastAsia" w:ascii="宋体" w:hAnsi="宋体" w:cs="宋体"/>
          <w:color w:val="000000"/>
          <w:sz w:val="24"/>
          <w:szCs w:val="24"/>
          <w:highlight w:val="none"/>
          <w:lang w:eastAsia="zh-CN"/>
        </w:rPr>
        <w:t>中国人民财产保险股份有限公司南京市分公司</w:t>
      </w:r>
    </w:p>
    <w:p w14:paraId="77C7B2DE">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baseline"/>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地址：</w:t>
      </w:r>
      <w:r>
        <w:rPr>
          <w:rFonts w:ascii="宋体" w:hAnsi="宋体" w:eastAsia="宋体" w:cs="宋体"/>
          <w:sz w:val="24"/>
          <w:szCs w:val="24"/>
        </w:rPr>
        <w:t>南京市秦淮区龙蟠中路419号1幢</w:t>
      </w:r>
    </w:p>
    <w:p w14:paraId="1FD4A7A3">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baseline"/>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联系人：</w:t>
      </w:r>
      <w:r>
        <w:rPr>
          <w:rFonts w:hint="eastAsia" w:ascii="宋体" w:hAnsi="宋体" w:cs="宋体"/>
          <w:color w:val="000000"/>
          <w:sz w:val="24"/>
          <w:szCs w:val="24"/>
          <w:highlight w:val="none"/>
          <w:lang w:val="en-US" w:eastAsia="zh-CN"/>
        </w:rPr>
        <w:t>卢慷</w:t>
      </w:r>
    </w:p>
    <w:p w14:paraId="408D1A7B">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baseline"/>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联系电话：</w:t>
      </w:r>
      <w:r>
        <w:rPr>
          <w:rFonts w:hint="eastAsia" w:ascii="宋体" w:hAnsi="宋体" w:cs="宋体"/>
          <w:color w:val="000000"/>
          <w:sz w:val="24"/>
          <w:szCs w:val="24"/>
          <w:highlight w:val="none"/>
          <w:lang w:val="en-US" w:eastAsia="zh-CN"/>
        </w:rPr>
        <w:t>13951083288</w:t>
      </w:r>
    </w:p>
    <w:p w14:paraId="0426B1D0">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baseline"/>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招标代理机构：公诚管理咨询有限公司</w:t>
      </w:r>
    </w:p>
    <w:p w14:paraId="45C7EB93">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baseline"/>
        <w:rPr>
          <w:rFonts w:hint="eastAsia" w:ascii="宋体" w:hAnsi="宋体" w:eastAsia="宋体" w:cs="宋体"/>
          <w:color w:val="000000"/>
          <w:sz w:val="24"/>
          <w:szCs w:val="24"/>
          <w:highlight w:val="none"/>
          <w:lang w:eastAsia="zh-CN"/>
        </w:rPr>
      </w:pPr>
      <w:bookmarkStart w:id="47" w:name="_Toc109124231"/>
      <w:bookmarkStart w:id="48" w:name="_Toc25626"/>
      <w:bookmarkStart w:id="49" w:name="_Toc1946"/>
      <w:bookmarkStart w:id="50" w:name="_Toc23286"/>
      <w:bookmarkStart w:id="51" w:name="_Toc65682922"/>
      <w:bookmarkStart w:id="52" w:name="_Toc11197"/>
      <w:r>
        <w:rPr>
          <w:rFonts w:hint="eastAsia" w:ascii="宋体" w:hAnsi="宋体" w:eastAsia="宋体" w:cs="宋体"/>
          <w:color w:val="000000"/>
          <w:sz w:val="24"/>
          <w:szCs w:val="24"/>
          <w:highlight w:val="none"/>
          <w:lang w:eastAsia="zh-CN"/>
        </w:rPr>
        <w:t>地址：江苏省南京市建邺区江东中路359号国睿大厦1号楼A座9F</w:t>
      </w:r>
    </w:p>
    <w:p w14:paraId="029CB3BA">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baseline"/>
        <w:rPr>
          <w:rFonts w:hint="eastAsia" w:ascii="宋体" w:hAnsi="宋体" w:eastAsia="宋体" w:cs="宋体"/>
          <w:color w:val="000000"/>
          <w:sz w:val="24"/>
          <w:szCs w:val="24"/>
          <w:highlight w:val="none"/>
          <w:lang w:eastAsia="zh-CN"/>
        </w:rPr>
      </w:pPr>
      <w:bookmarkStart w:id="53" w:name="_Hlk69457004"/>
      <w:r>
        <w:rPr>
          <w:rFonts w:hint="eastAsia" w:ascii="宋体" w:hAnsi="宋体" w:eastAsia="宋体" w:cs="宋体"/>
          <w:color w:val="000000"/>
          <w:sz w:val="24"/>
          <w:szCs w:val="24"/>
          <w:highlight w:val="none"/>
          <w:lang w:eastAsia="zh-CN"/>
        </w:rPr>
        <w:t>项目负责人：袁俊超、黄小斌、张露露</w:t>
      </w:r>
      <w:r>
        <w:rPr>
          <w:rFonts w:hint="eastAsia" w:ascii="宋体" w:hAnsi="宋体" w:cs="宋体"/>
          <w:color w:val="000000"/>
          <w:sz w:val="24"/>
          <w:szCs w:val="24"/>
          <w:highlight w:val="none"/>
          <w:lang w:eastAsia="zh-CN"/>
        </w:rPr>
        <w:t>、</w:t>
      </w:r>
      <w:r>
        <w:rPr>
          <w:rFonts w:hint="eastAsia" w:ascii="宋体" w:hAnsi="宋体" w:eastAsia="宋体" w:cs="宋体"/>
          <w:color w:val="000000"/>
          <w:sz w:val="24"/>
          <w:szCs w:val="24"/>
          <w:highlight w:val="none"/>
          <w:lang w:eastAsia="zh-CN"/>
        </w:rPr>
        <w:t>于艳丽</w:t>
      </w:r>
    </w:p>
    <w:p w14:paraId="71865F64">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baseline"/>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项目联系人：</w:t>
      </w:r>
      <w:r>
        <w:rPr>
          <w:rFonts w:hint="eastAsia" w:ascii="宋体" w:hAnsi="宋体" w:cs="宋体"/>
          <w:color w:val="000000"/>
          <w:sz w:val="24"/>
          <w:szCs w:val="24"/>
          <w:highlight w:val="none"/>
          <w:lang w:val="en-US" w:eastAsia="zh-CN"/>
        </w:rPr>
        <w:t>郑涵</w:t>
      </w:r>
      <w:r>
        <w:rPr>
          <w:rFonts w:hint="eastAsia" w:ascii="宋体" w:hAnsi="宋体" w:cs="宋体"/>
          <w:color w:val="000000"/>
          <w:sz w:val="24"/>
          <w:szCs w:val="24"/>
          <w:highlight w:val="none"/>
          <w:lang w:eastAsia="zh-CN"/>
        </w:rPr>
        <w:t>、彭卓辉</w:t>
      </w:r>
    </w:p>
    <w:p w14:paraId="37A17167">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baseline"/>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联系电话：</w:t>
      </w:r>
      <w:r>
        <w:rPr>
          <w:rFonts w:hint="eastAsia" w:ascii="宋体" w:hAnsi="宋体" w:cs="宋体"/>
          <w:color w:val="000000"/>
          <w:sz w:val="24"/>
          <w:szCs w:val="24"/>
          <w:highlight w:val="none"/>
          <w:lang w:val="en-US" w:eastAsia="zh-CN"/>
        </w:rPr>
        <w:t>18550628002</w:t>
      </w:r>
      <w:r>
        <w:rPr>
          <w:rFonts w:hint="eastAsia" w:ascii="宋体" w:hAnsi="宋体" w:cs="宋体"/>
          <w:color w:val="000000"/>
          <w:sz w:val="24"/>
          <w:szCs w:val="24"/>
          <w:highlight w:val="none"/>
          <w:lang w:eastAsia="zh-CN"/>
        </w:rPr>
        <w:t>、19174164219</w:t>
      </w:r>
    </w:p>
    <w:p w14:paraId="505AFCFA">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baseline"/>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电子邮件：</w:t>
      </w:r>
      <w:r>
        <w:rPr>
          <w:rFonts w:hint="eastAsia" w:ascii="宋体" w:hAnsi="宋体" w:eastAsia="宋体" w:cs="宋体"/>
          <w:color w:val="000000"/>
          <w:sz w:val="24"/>
          <w:szCs w:val="24"/>
          <w:highlight w:val="none"/>
          <w:lang w:eastAsia="zh-CN"/>
        </w:rPr>
        <w:fldChar w:fldCharType="begin"/>
      </w:r>
      <w:r>
        <w:rPr>
          <w:rFonts w:hint="eastAsia" w:ascii="宋体" w:hAnsi="宋体" w:eastAsia="宋体" w:cs="宋体"/>
          <w:color w:val="000000"/>
          <w:sz w:val="24"/>
          <w:szCs w:val="24"/>
          <w:highlight w:val="none"/>
          <w:lang w:eastAsia="zh-CN"/>
        </w:rPr>
        <w:instrText xml:space="preserve"> HYPERLINK "mailto:gcmcjk@163.com" </w:instrText>
      </w:r>
      <w:r>
        <w:rPr>
          <w:rFonts w:hint="eastAsia" w:ascii="宋体" w:hAnsi="宋体" w:eastAsia="宋体" w:cs="宋体"/>
          <w:color w:val="000000"/>
          <w:sz w:val="24"/>
          <w:szCs w:val="24"/>
          <w:highlight w:val="none"/>
          <w:lang w:eastAsia="zh-CN"/>
        </w:rPr>
        <w:fldChar w:fldCharType="separate"/>
      </w:r>
      <w:r>
        <w:rPr>
          <w:rFonts w:hint="eastAsia" w:ascii="宋体" w:hAnsi="宋体" w:eastAsia="宋体" w:cs="宋体"/>
          <w:color w:val="000000"/>
          <w:sz w:val="24"/>
          <w:szCs w:val="24"/>
          <w:highlight w:val="none"/>
          <w:lang w:eastAsia="zh-CN"/>
        </w:rPr>
        <w:t>gcmcjkjt@163.com</w:t>
      </w:r>
      <w:r>
        <w:rPr>
          <w:rFonts w:hint="eastAsia" w:ascii="宋体" w:hAnsi="宋体" w:eastAsia="宋体" w:cs="宋体"/>
          <w:color w:val="000000"/>
          <w:sz w:val="24"/>
          <w:szCs w:val="24"/>
          <w:highlight w:val="none"/>
          <w:lang w:eastAsia="zh-CN"/>
        </w:rPr>
        <w:fldChar w:fldCharType="end"/>
      </w:r>
    </w:p>
    <w:bookmarkEnd w:id="53"/>
    <w:p w14:paraId="3ADEAD74">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baseline"/>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开户银行：中信银行广州花园支行</w:t>
      </w:r>
    </w:p>
    <w:p w14:paraId="5E76750E">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baseline"/>
        <w:rPr>
          <w:rFonts w:hint="eastAsia" w:ascii="宋体" w:hAnsi="宋体" w:eastAsia="宋体" w:cs="宋体"/>
          <w:color w:val="FF0000"/>
          <w:sz w:val="24"/>
          <w:szCs w:val="24"/>
          <w:highlight w:val="none"/>
        </w:rPr>
      </w:pPr>
      <w:r>
        <w:rPr>
          <w:rFonts w:hint="eastAsia" w:ascii="宋体" w:hAnsi="宋体" w:eastAsia="宋体" w:cs="宋体"/>
          <w:color w:val="000000"/>
          <w:sz w:val="24"/>
          <w:szCs w:val="24"/>
          <w:highlight w:val="none"/>
          <w:lang w:eastAsia="zh-CN"/>
        </w:rPr>
        <w:t>账号：</w:t>
      </w:r>
      <w:r>
        <w:rPr>
          <w:rFonts w:hint="eastAsia" w:ascii="宋体" w:hAnsi="宋体" w:cs="宋体"/>
          <w:color w:val="000000"/>
          <w:sz w:val="24"/>
          <w:szCs w:val="24"/>
          <w:highlight w:val="none"/>
          <w:lang w:eastAsia="zh-CN"/>
        </w:rPr>
        <w:t>3110910037672512622</w:t>
      </w:r>
      <w:r>
        <w:rPr>
          <w:rFonts w:hint="eastAsia" w:ascii="宋体" w:hAnsi="宋体" w:eastAsia="宋体" w:cs="宋体"/>
          <w:color w:val="000000"/>
          <w:sz w:val="24"/>
          <w:szCs w:val="24"/>
          <w:highlight w:val="none"/>
          <w:lang w:eastAsia="zh-CN"/>
        </w:rPr>
        <w:t>（每个项目对应1个独立的银行子账号，投标人须严格按照本账户信息进行汇款，避免出错带来的影响）</w:t>
      </w:r>
    </w:p>
    <w:p w14:paraId="1B3C1DF7">
      <w:pPr>
        <w:spacing w:line="360" w:lineRule="auto"/>
        <w:ind w:firstLine="480" w:firstLineChars="200"/>
        <w:jc w:val="right"/>
        <w:textAlignment w:val="baseline"/>
        <w:rPr>
          <w:rFonts w:hint="eastAsia" w:ascii="宋体" w:hAnsi="宋体" w:eastAsia="宋体" w:cs="宋体"/>
          <w:color w:val="auto"/>
          <w:sz w:val="24"/>
          <w:szCs w:val="24"/>
        </w:rPr>
      </w:pPr>
    </w:p>
    <w:p w14:paraId="5F6A008F">
      <w:pPr>
        <w:spacing w:line="360" w:lineRule="auto"/>
        <w:ind w:firstLine="480" w:firstLineChars="200"/>
        <w:jc w:val="right"/>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招标人：</w:t>
      </w:r>
      <w:r>
        <w:rPr>
          <w:rFonts w:hint="eastAsia" w:ascii="宋体" w:hAnsi="宋体" w:cs="宋体"/>
          <w:color w:val="000000"/>
          <w:sz w:val="24"/>
          <w:szCs w:val="24"/>
          <w:highlight w:val="none"/>
          <w:lang w:eastAsia="zh-CN"/>
        </w:rPr>
        <w:t>中国人民财产保险股份有限公司南京市分公司</w:t>
      </w:r>
    </w:p>
    <w:p w14:paraId="14EAC8BA">
      <w:pPr>
        <w:spacing w:line="360" w:lineRule="auto"/>
        <w:ind w:firstLine="480" w:firstLineChars="200"/>
        <w:jc w:val="right"/>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招标代理机构：公诚管理咨询有限公司</w:t>
      </w:r>
    </w:p>
    <w:p w14:paraId="28365FC4">
      <w:pPr>
        <w:spacing w:line="360" w:lineRule="auto"/>
        <w:ind w:firstLine="480" w:firstLineChars="200"/>
        <w:jc w:val="right"/>
        <w:textAlignment w:val="baseline"/>
        <w:rPr>
          <w:rFonts w:hint="eastAsia" w:ascii="宋体" w:hAnsi="宋体" w:eastAsia="宋体" w:cs="宋体"/>
          <w:color w:val="auto"/>
          <w:sz w:val="24"/>
          <w:szCs w:val="24"/>
        </w:rPr>
      </w:pPr>
      <w:bookmarkStart w:id="725" w:name="_GoBack"/>
      <w:bookmarkEnd w:id="725"/>
      <w:r>
        <w:rPr>
          <w:rFonts w:hint="eastAsia" w:ascii="宋体" w:hAnsi="宋体" w:eastAsia="宋体" w:cs="宋体"/>
          <w:color w:val="auto"/>
          <w:sz w:val="24"/>
          <w:szCs w:val="24"/>
          <w:lang w:eastAsia="zh-CN"/>
        </w:rPr>
        <w:t>2025</w:t>
      </w:r>
      <w:r>
        <w:rPr>
          <w:rFonts w:hint="eastAsia" w:ascii="宋体" w:hAnsi="宋体" w:eastAsia="宋体" w:cs="宋体"/>
          <w:color w:val="auto"/>
          <w:sz w:val="24"/>
          <w:szCs w:val="24"/>
        </w:rPr>
        <w:t>年</w:t>
      </w:r>
      <w:r>
        <w:rPr>
          <w:rFonts w:hint="eastAsia" w:ascii="宋体" w:hAnsi="宋体" w:cs="宋体"/>
          <w:color w:val="auto"/>
          <w:sz w:val="24"/>
          <w:szCs w:val="24"/>
          <w:lang w:val="en-US" w:eastAsia="zh-CN"/>
        </w:rPr>
        <w:t>8</w:t>
      </w:r>
      <w:r>
        <w:rPr>
          <w:rFonts w:hint="eastAsia" w:ascii="宋体" w:hAnsi="宋体" w:eastAsia="宋体" w:cs="宋体"/>
          <w:color w:val="auto"/>
          <w:sz w:val="24"/>
          <w:szCs w:val="24"/>
        </w:rPr>
        <w:t>月</w:t>
      </w:r>
      <w:r>
        <w:rPr>
          <w:rFonts w:hint="eastAsia" w:ascii="宋体" w:hAnsi="宋体" w:cs="宋体"/>
          <w:color w:val="auto"/>
          <w:sz w:val="24"/>
          <w:szCs w:val="24"/>
          <w:lang w:val="en-US" w:eastAsia="zh-CN"/>
        </w:rPr>
        <w:t>11</w:t>
      </w:r>
      <w:r>
        <w:rPr>
          <w:rFonts w:hint="eastAsia" w:ascii="宋体" w:hAnsi="宋体" w:eastAsia="宋体" w:cs="宋体"/>
          <w:color w:val="auto"/>
          <w:sz w:val="24"/>
          <w:szCs w:val="24"/>
        </w:rPr>
        <w:t>日</w:t>
      </w:r>
    </w:p>
    <w:p w14:paraId="45368708">
      <w:pPr>
        <w:pStyle w:val="13"/>
        <w:rPr>
          <w:rFonts w:hint="eastAsia" w:ascii="宋体" w:hAnsi="宋体" w:eastAsia="宋体" w:cs="宋体"/>
          <w:szCs w:val="21"/>
          <w:highlight w:val="none"/>
        </w:rPr>
      </w:pPr>
    </w:p>
    <w:p w14:paraId="1DF51A2F">
      <w:pPr>
        <w:pStyle w:val="2"/>
        <w:numPr>
          <w:ilvl w:val="0"/>
          <w:numId w:val="0"/>
        </w:numPr>
        <w:spacing w:before="0" w:after="0" w:line="480" w:lineRule="auto"/>
        <w:ind w:leftChars="0"/>
        <w:jc w:val="center"/>
        <w:rPr>
          <w:rFonts w:hint="eastAsia" w:ascii="宋体" w:hAnsi="宋体" w:eastAsia="宋体" w:cs="宋体"/>
          <w:color w:val="000000"/>
          <w:highlight w:val="none"/>
        </w:rPr>
      </w:pPr>
      <w:r>
        <w:rPr>
          <w:rFonts w:hint="eastAsia" w:ascii="宋体" w:hAnsi="宋体" w:eastAsia="宋体" w:cs="宋体"/>
          <w:color w:val="000000"/>
          <w:highlight w:val="none"/>
        </w:rPr>
        <w:br w:type="page"/>
      </w:r>
      <w:bookmarkStart w:id="54" w:name="_Toc25892"/>
      <w:r>
        <w:rPr>
          <w:rFonts w:hint="eastAsia" w:ascii="宋体" w:hAnsi="宋体" w:eastAsia="宋体" w:cs="宋体"/>
          <w:color w:val="000000"/>
          <w:highlight w:val="none"/>
        </w:rPr>
        <w:t>第二章 投标人须知</w:t>
      </w:r>
      <w:bookmarkEnd w:id="47"/>
      <w:bookmarkEnd w:id="48"/>
      <w:bookmarkEnd w:id="49"/>
      <w:bookmarkEnd w:id="50"/>
      <w:bookmarkEnd w:id="51"/>
      <w:bookmarkEnd w:id="52"/>
      <w:bookmarkEnd w:id="54"/>
    </w:p>
    <w:p w14:paraId="4A6C3220">
      <w:pPr>
        <w:pStyle w:val="3"/>
        <w:jc w:val="center"/>
        <w:rPr>
          <w:rFonts w:hint="eastAsia" w:ascii="宋体" w:hAnsi="宋体" w:eastAsia="宋体" w:cs="宋体"/>
          <w:color w:val="000000"/>
          <w:szCs w:val="24"/>
          <w:highlight w:val="none"/>
        </w:rPr>
      </w:pPr>
      <w:bookmarkStart w:id="55" w:name="_Toc750"/>
      <w:bookmarkStart w:id="56" w:name="_Toc31194"/>
      <w:bookmarkStart w:id="57" w:name="_Toc127"/>
      <w:bookmarkStart w:id="58" w:name="_Toc26332"/>
      <w:bookmarkStart w:id="59" w:name="_Toc109124232"/>
      <w:bookmarkStart w:id="60" w:name="_Toc65682923"/>
      <w:bookmarkStart w:id="61" w:name="_Toc10064"/>
      <w:r>
        <w:rPr>
          <w:rFonts w:hint="eastAsia" w:ascii="宋体" w:hAnsi="宋体" w:eastAsia="宋体" w:cs="宋体"/>
          <w:color w:val="000000"/>
          <w:szCs w:val="24"/>
          <w:highlight w:val="none"/>
        </w:rPr>
        <w:t>投标人须知前附表</w:t>
      </w:r>
      <w:bookmarkEnd w:id="55"/>
      <w:bookmarkEnd w:id="56"/>
      <w:bookmarkEnd w:id="57"/>
      <w:bookmarkEnd w:id="58"/>
      <w:bookmarkEnd w:id="59"/>
      <w:bookmarkEnd w:id="60"/>
      <w:bookmarkEnd w:id="61"/>
    </w:p>
    <w:p w14:paraId="1226FC19">
      <w:pPr>
        <w:rPr>
          <w:rFonts w:hint="eastAsia" w:ascii="宋体" w:hAnsi="宋体" w:eastAsia="宋体" w:cs="宋体"/>
          <w:lang w:val="en-US" w:eastAsia="zh-CN"/>
        </w:rPr>
      </w:pPr>
      <w:r>
        <w:rPr>
          <w:rFonts w:hint="eastAsia" w:ascii="宋体" w:hAnsi="宋体" w:eastAsia="宋体" w:cs="宋体"/>
          <w:lang w:val="en-US" w:eastAsia="zh-CN"/>
        </w:rPr>
        <w:t xml:space="preserve"> </w:t>
      </w:r>
    </w:p>
    <w:p w14:paraId="3A09CBEC">
      <w:pPr>
        <w:spacing w:line="360" w:lineRule="auto"/>
        <w:textAlignment w:val="baseline"/>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本投标人须知前附表是对投标人须知正文的具体补充和修改，如有矛盾，以本前附表为准。</w:t>
      </w:r>
    </w:p>
    <w:tbl>
      <w:tblPr>
        <w:tblStyle w:val="37"/>
        <w:tblW w:w="5119" w:type="pct"/>
        <w:jc w:val="center"/>
        <w:tblLayout w:type="autofit"/>
        <w:tblCellMar>
          <w:top w:w="0" w:type="dxa"/>
          <w:left w:w="108" w:type="dxa"/>
          <w:bottom w:w="0" w:type="dxa"/>
          <w:right w:w="108" w:type="dxa"/>
        </w:tblCellMar>
      </w:tblPr>
      <w:tblGrid>
        <w:gridCol w:w="1261"/>
        <w:gridCol w:w="2432"/>
        <w:gridCol w:w="6396"/>
      </w:tblGrid>
      <w:tr w14:paraId="71AC1E8D">
        <w:tblPrEx>
          <w:tblCellMar>
            <w:top w:w="0" w:type="dxa"/>
            <w:left w:w="108" w:type="dxa"/>
            <w:bottom w:w="0" w:type="dxa"/>
            <w:right w:w="108" w:type="dxa"/>
          </w:tblCellMar>
        </w:tblPrEx>
        <w:trPr>
          <w:jc w:val="center"/>
        </w:trPr>
        <w:tc>
          <w:tcPr>
            <w:tcW w:w="625" w:type="pct"/>
            <w:tcBorders>
              <w:top w:val="single" w:color="auto" w:sz="4" w:space="0"/>
              <w:left w:val="single" w:color="auto" w:sz="4" w:space="0"/>
              <w:bottom w:val="single" w:color="auto" w:sz="4" w:space="0"/>
              <w:right w:val="single" w:color="auto" w:sz="4" w:space="0"/>
            </w:tcBorders>
            <w:noWrap w:val="0"/>
            <w:vAlign w:val="center"/>
          </w:tcPr>
          <w:p w14:paraId="670F4989">
            <w:pPr>
              <w:keepNext w:val="0"/>
              <w:keepLines w:val="0"/>
              <w:suppressLineNumbers w:val="0"/>
              <w:spacing w:before="62" w:beforeLines="20" w:beforeAutospacing="0" w:after="62" w:afterLines="20" w:afterAutospacing="0"/>
              <w:ind w:left="0" w:right="0"/>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条款号</w:t>
            </w:r>
          </w:p>
        </w:tc>
        <w:tc>
          <w:tcPr>
            <w:tcW w:w="1205" w:type="pct"/>
            <w:tcBorders>
              <w:top w:val="single" w:color="auto" w:sz="4" w:space="0"/>
              <w:left w:val="single" w:color="auto" w:sz="4" w:space="0"/>
              <w:bottom w:val="single" w:color="auto" w:sz="4" w:space="0"/>
              <w:right w:val="single" w:color="auto" w:sz="4" w:space="0"/>
            </w:tcBorders>
            <w:noWrap w:val="0"/>
            <w:vAlign w:val="center"/>
          </w:tcPr>
          <w:p w14:paraId="63EA62AE">
            <w:pPr>
              <w:keepNext w:val="0"/>
              <w:keepLines w:val="0"/>
              <w:suppressLineNumbers w:val="0"/>
              <w:spacing w:before="62" w:beforeLines="20" w:beforeAutospacing="0" w:after="62" w:afterLines="20" w:afterAutospacing="0"/>
              <w:ind w:left="0" w:right="0"/>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条款名称</w:t>
            </w:r>
          </w:p>
        </w:tc>
        <w:tc>
          <w:tcPr>
            <w:tcW w:w="3169" w:type="pct"/>
            <w:tcBorders>
              <w:top w:val="single" w:color="auto" w:sz="4" w:space="0"/>
              <w:left w:val="single" w:color="auto" w:sz="4" w:space="0"/>
              <w:bottom w:val="single" w:color="auto" w:sz="4" w:space="0"/>
              <w:right w:val="single" w:color="auto" w:sz="4" w:space="0"/>
            </w:tcBorders>
            <w:noWrap w:val="0"/>
            <w:vAlign w:val="center"/>
          </w:tcPr>
          <w:p w14:paraId="3250BCD2">
            <w:pPr>
              <w:keepNext w:val="0"/>
              <w:keepLines w:val="0"/>
              <w:suppressLineNumbers w:val="0"/>
              <w:spacing w:before="62" w:beforeLines="20" w:beforeAutospacing="0" w:after="62" w:afterLines="20" w:afterAutospacing="0"/>
              <w:ind w:left="0" w:right="0"/>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编列内容</w:t>
            </w:r>
          </w:p>
        </w:tc>
      </w:tr>
      <w:tr w14:paraId="73464F51">
        <w:tblPrEx>
          <w:tblCellMar>
            <w:top w:w="0" w:type="dxa"/>
            <w:left w:w="108" w:type="dxa"/>
            <w:bottom w:w="0" w:type="dxa"/>
            <w:right w:w="108" w:type="dxa"/>
          </w:tblCellMar>
        </w:tblPrEx>
        <w:trPr>
          <w:jc w:val="center"/>
        </w:trPr>
        <w:tc>
          <w:tcPr>
            <w:tcW w:w="625" w:type="pct"/>
            <w:tcBorders>
              <w:top w:val="single" w:color="auto" w:sz="4" w:space="0"/>
              <w:left w:val="single" w:color="auto" w:sz="4" w:space="0"/>
              <w:bottom w:val="single" w:color="auto" w:sz="4" w:space="0"/>
              <w:right w:val="single" w:color="auto" w:sz="4" w:space="0"/>
            </w:tcBorders>
            <w:noWrap w:val="0"/>
            <w:vAlign w:val="center"/>
          </w:tcPr>
          <w:p w14:paraId="41FCEE4B">
            <w:pPr>
              <w:keepNext w:val="0"/>
              <w:keepLines w:val="0"/>
              <w:suppressLineNumbers w:val="0"/>
              <w:spacing w:before="62" w:beforeLines="20" w:beforeAutospacing="0" w:after="62" w:afterLines="20" w:afterAutospacing="0"/>
              <w:ind w:left="0" w:right="0"/>
              <w:jc w:val="center"/>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1.2</w:t>
            </w:r>
          </w:p>
        </w:tc>
        <w:tc>
          <w:tcPr>
            <w:tcW w:w="1205" w:type="pct"/>
            <w:tcBorders>
              <w:top w:val="single" w:color="auto" w:sz="4" w:space="0"/>
              <w:left w:val="single" w:color="auto" w:sz="4" w:space="0"/>
              <w:bottom w:val="single" w:color="auto" w:sz="4" w:space="0"/>
              <w:right w:val="single" w:color="auto" w:sz="4" w:space="0"/>
            </w:tcBorders>
            <w:noWrap w:val="0"/>
            <w:vAlign w:val="center"/>
          </w:tcPr>
          <w:p w14:paraId="19F89BF7">
            <w:pPr>
              <w:keepNext w:val="0"/>
              <w:keepLines w:val="0"/>
              <w:suppressLineNumbers w:val="0"/>
              <w:spacing w:before="62" w:beforeLines="20" w:beforeAutospacing="0" w:after="62" w:afterLines="20" w:afterAutospacing="0"/>
              <w:ind w:left="0" w:right="0"/>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资金来源及比例</w:t>
            </w:r>
          </w:p>
        </w:tc>
        <w:tc>
          <w:tcPr>
            <w:tcW w:w="3169" w:type="pct"/>
            <w:tcBorders>
              <w:top w:val="single" w:color="auto" w:sz="4" w:space="0"/>
              <w:left w:val="single" w:color="auto" w:sz="4" w:space="0"/>
              <w:bottom w:val="single" w:color="auto" w:sz="4" w:space="0"/>
              <w:right w:val="single" w:color="auto" w:sz="4" w:space="0"/>
            </w:tcBorders>
            <w:noWrap w:val="0"/>
            <w:vAlign w:val="center"/>
          </w:tcPr>
          <w:p w14:paraId="3582FCA5">
            <w:pPr>
              <w:keepNext w:val="0"/>
              <w:keepLines w:val="0"/>
              <w:suppressLineNumbers w:val="0"/>
              <w:spacing w:before="62" w:beforeLines="20" w:beforeAutospacing="0" w:after="62" w:afterLines="20" w:afterAutospacing="0"/>
              <w:ind w:left="0" w:right="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■招标人或其子公司（含分支机构）自筹（比例100%）</w:t>
            </w:r>
          </w:p>
          <w:p w14:paraId="496277DC">
            <w:pPr>
              <w:keepNext w:val="0"/>
              <w:keepLines w:val="0"/>
              <w:suppressLineNumbers w:val="0"/>
              <w:spacing w:before="62" w:beforeLines="20" w:beforeAutospacing="0" w:after="62" w:afterLines="20" w:afterAutospacing="0"/>
              <w:ind w:left="0" w:right="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□使用财政资金</w:t>
            </w:r>
          </w:p>
          <w:p w14:paraId="72CB78C3">
            <w:pPr>
              <w:keepNext w:val="0"/>
              <w:keepLines w:val="0"/>
              <w:suppressLineNumbers w:val="0"/>
              <w:spacing w:before="62" w:beforeLines="20" w:beforeAutospacing="0" w:after="62" w:afterLines="20" w:afterAutospacing="0"/>
              <w:ind w:left="0" w:right="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□银行贷款</w:t>
            </w:r>
          </w:p>
          <w:p w14:paraId="659AA29E">
            <w:pPr>
              <w:keepNext w:val="0"/>
              <w:keepLines w:val="0"/>
              <w:suppressLineNumbers w:val="0"/>
              <w:spacing w:before="62" w:beforeLines="20" w:beforeAutospacing="0" w:after="62" w:afterLines="20" w:afterAutospacing="0"/>
              <w:ind w:left="0" w:right="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□国家融资</w:t>
            </w:r>
          </w:p>
          <w:p w14:paraId="1169AB78">
            <w:pPr>
              <w:keepNext w:val="0"/>
              <w:keepLines w:val="0"/>
              <w:suppressLineNumbers w:val="0"/>
              <w:spacing w:before="62" w:beforeLines="20" w:beforeAutospacing="0" w:after="62" w:afterLines="20" w:afterAutospacing="0"/>
              <w:ind w:left="0" w:right="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□其他：</w:t>
            </w:r>
            <w:r>
              <w:rPr>
                <w:rFonts w:hint="eastAsia" w:ascii="宋体" w:hAnsi="宋体" w:eastAsia="宋体" w:cs="宋体"/>
                <w:color w:val="000000"/>
                <w:szCs w:val="21"/>
                <w:highlight w:val="none"/>
                <w:u w:val="single"/>
              </w:rPr>
              <w:t xml:space="preserve">       </w:t>
            </w:r>
          </w:p>
        </w:tc>
      </w:tr>
      <w:tr w14:paraId="64B4A987">
        <w:tblPrEx>
          <w:tblCellMar>
            <w:top w:w="0" w:type="dxa"/>
            <w:left w:w="108" w:type="dxa"/>
            <w:bottom w:w="0" w:type="dxa"/>
            <w:right w:w="108" w:type="dxa"/>
          </w:tblCellMar>
        </w:tblPrEx>
        <w:trPr>
          <w:trHeight w:val="274" w:hRule="atLeast"/>
          <w:jc w:val="center"/>
        </w:trPr>
        <w:tc>
          <w:tcPr>
            <w:tcW w:w="625" w:type="pct"/>
            <w:tcBorders>
              <w:top w:val="single" w:color="auto" w:sz="4" w:space="0"/>
              <w:left w:val="single" w:color="auto" w:sz="4" w:space="0"/>
              <w:bottom w:val="single" w:color="auto" w:sz="4" w:space="0"/>
              <w:right w:val="single" w:color="auto" w:sz="4" w:space="0"/>
            </w:tcBorders>
            <w:noWrap w:val="0"/>
            <w:vAlign w:val="center"/>
          </w:tcPr>
          <w:p w14:paraId="3765A39B">
            <w:pPr>
              <w:keepNext w:val="0"/>
              <w:keepLines w:val="0"/>
              <w:suppressLineNumbers w:val="0"/>
              <w:spacing w:before="62" w:beforeLines="20" w:beforeAutospacing="0" w:after="62" w:afterLines="20" w:afterAutospacing="0"/>
              <w:ind w:left="0" w:right="0"/>
              <w:jc w:val="center"/>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1.3</w:t>
            </w:r>
          </w:p>
        </w:tc>
        <w:tc>
          <w:tcPr>
            <w:tcW w:w="1205" w:type="pct"/>
            <w:tcBorders>
              <w:top w:val="single" w:color="auto" w:sz="4" w:space="0"/>
              <w:left w:val="single" w:color="auto" w:sz="4" w:space="0"/>
              <w:bottom w:val="single" w:color="auto" w:sz="4" w:space="0"/>
              <w:right w:val="single" w:color="auto" w:sz="4" w:space="0"/>
            </w:tcBorders>
            <w:noWrap w:val="0"/>
            <w:vAlign w:val="center"/>
          </w:tcPr>
          <w:p w14:paraId="65BC55D5">
            <w:pPr>
              <w:keepNext w:val="0"/>
              <w:keepLines w:val="0"/>
              <w:suppressLineNumbers w:val="0"/>
              <w:spacing w:before="62" w:beforeLines="20" w:beforeAutospacing="0" w:after="62" w:afterLines="20" w:afterAutospacing="0"/>
              <w:ind w:left="0" w:right="0"/>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招标方式</w:t>
            </w:r>
          </w:p>
        </w:tc>
        <w:tc>
          <w:tcPr>
            <w:tcW w:w="3169" w:type="pct"/>
            <w:tcBorders>
              <w:top w:val="single" w:color="auto" w:sz="4" w:space="0"/>
              <w:left w:val="single" w:color="auto" w:sz="4" w:space="0"/>
              <w:bottom w:val="single" w:color="auto" w:sz="4" w:space="0"/>
              <w:right w:val="single" w:color="auto" w:sz="4" w:space="0"/>
            </w:tcBorders>
            <w:noWrap w:val="0"/>
            <w:vAlign w:val="center"/>
          </w:tcPr>
          <w:p w14:paraId="13482C3E">
            <w:pPr>
              <w:keepNext w:val="0"/>
              <w:keepLines w:val="0"/>
              <w:suppressLineNumbers w:val="0"/>
              <w:spacing w:before="62" w:beforeLines="20" w:beforeAutospacing="0" w:after="62" w:afterLines="20" w:afterAutospacing="0"/>
              <w:ind w:left="0" w:right="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■公开招标</w:t>
            </w:r>
          </w:p>
          <w:p w14:paraId="679C24EE">
            <w:pPr>
              <w:keepNext w:val="0"/>
              <w:keepLines w:val="0"/>
              <w:suppressLineNumbers w:val="0"/>
              <w:spacing w:before="62" w:beforeLines="20" w:beforeAutospacing="0" w:after="62" w:afterLines="20" w:afterAutospacing="0"/>
              <w:ind w:left="0" w:right="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□邀请招标</w:t>
            </w:r>
          </w:p>
        </w:tc>
      </w:tr>
      <w:tr w14:paraId="21EF9613">
        <w:tblPrEx>
          <w:tblCellMar>
            <w:top w:w="0" w:type="dxa"/>
            <w:left w:w="108" w:type="dxa"/>
            <w:bottom w:w="0" w:type="dxa"/>
            <w:right w:w="108" w:type="dxa"/>
          </w:tblCellMar>
        </w:tblPrEx>
        <w:trPr>
          <w:trHeight w:val="425" w:hRule="atLeast"/>
          <w:jc w:val="center"/>
        </w:trPr>
        <w:tc>
          <w:tcPr>
            <w:tcW w:w="625" w:type="pct"/>
            <w:tcBorders>
              <w:top w:val="single" w:color="auto" w:sz="4" w:space="0"/>
              <w:left w:val="single" w:color="auto" w:sz="4" w:space="0"/>
              <w:bottom w:val="single" w:color="auto" w:sz="4" w:space="0"/>
              <w:right w:val="single" w:color="auto" w:sz="4" w:space="0"/>
            </w:tcBorders>
            <w:noWrap w:val="0"/>
            <w:vAlign w:val="center"/>
          </w:tcPr>
          <w:p w14:paraId="7898ED9A">
            <w:pPr>
              <w:pStyle w:val="118"/>
              <w:keepNext w:val="0"/>
              <w:keepLines w:val="0"/>
              <w:suppressLineNumbers w:val="0"/>
              <w:spacing w:before="62" w:beforeLines="20" w:beforeAutospacing="0" w:after="62" w:afterLines="20" w:afterAutospacing="0"/>
              <w:ind w:left="0" w:right="0"/>
              <w:jc w:val="center"/>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1.4</w:t>
            </w:r>
          </w:p>
        </w:tc>
        <w:tc>
          <w:tcPr>
            <w:tcW w:w="1205" w:type="pct"/>
            <w:tcBorders>
              <w:top w:val="single" w:color="auto" w:sz="4" w:space="0"/>
              <w:left w:val="single" w:color="auto" w:sz="4" w:space="0"/>
              <w:bottom w:val="single" w:color="auto" w:sz="4" w:space="0"/>
              <w:right w:val="single" w:color="auto" w:sz="4" w:space="0"/>
            </w:tcBorders>
            <w:noWrap w:val="0"/>
            <w:vAlign w:val="center"/>
          </w:tcPr>
          <w:p w14:paraId="31C98906">
            <w:pPr>
              <w:keepNext w:val="0"/>
              <w:keepLines w:val="0"/>
              <w:suppressLineNumbers w:val="0"/>
              <w:spacing w:before="62" w:beforeLines="20" w:beforeAutospacing="0" w:after="62" w:afterLines="20" w:afterAutospacing="0"/>
              <w:ind w:left="0" w:right="0"/>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招标组织形式</w:t>
            </w:r>
          </w:p>
        </w:tc>
        <w:tc>
          <w:tcPr>
            <w:tcW w:w="3169" w:type="pct"/>
            <w:tcBorders>
              <w:top w:val="single" w:color="auto" w:sz="4" w:space="0"/>
              <w:left w:val="single" w:color="auto" w:sz="4" w:space="0"/>
              <w:bottom w:val="single" w:color="auto" w:sz="4" w:space="0"/>
              <w:right w:val="single" w:color="auto" w:sz="4" w:space="0"/>
            </w:tcBorders>
            <w:noWrap w:val="0"/>
            <w:vAlign w:val="center"/>
          </w:tcPr>
          <w:p w14:paraId="4D725B63">
            <w:pPr>
              <w:pStyle w:val="122"/>
              <w:keepNext w:val="0"/>
              <w:keepLines w:val="0"/>
              <w:suppressLineNumbers w:val="0"/>
              <w:topLinePunct/>
              <w:spacing w:before="62" w:beforeLines="20" w:beforeAutospacing="0" w:after="62" w:afterLines="20" w:afterAutospacing="0"/>
              <w:ind w:left="0" w:right="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□自行招标</w:t>
            </w:r>
          </w:p>
          <w:p w14:paraId="1309BB54">
            <w:pPr>
              <w:pStyle w:val="122"/>
              <w:keepNext w:val="0"/>
              <w:keepLines w:val="0"/>
              <w:suppressLineNumbers w:val="0"/>
              <w:topLinePunct/>
              <w:spacing w:before="62" w:beforeLines="20" w:beforeAutospacing="0" w:after="62" w:afterLines="20" w:afterAutospacing="0"/>
              <w:ind w:left="0" w:right="0"/>
              <w:rPr>
                <w:rFonts w:hint="eastAsia" w:ascii="宋体" w:hAnsi="宋体" w:eastAsia="宋体" w:cs="宋体"/>
                <w:color w:val="000000"/>
                <w:sz w:val="21"/>
                <w:szCs w:val="21"/>
                <w:highlight w:val="none"/>
              </w:rPr>
            </w:pPr>
            <w:r>
              <w:rPr>
                <w:rFonts w:hint="eastAsia" w:ascii="宋体" w:hAnsi="宋体" w:eastAsia="宋体" w:cs="宋体"/>
                <w:color w:val="000000"/>
                <w:szCs w:val="21"/>
                <w:highlight w:val="none"/>
              </w:rPr>
              <w:t>■</w:t>
            </w:r>
            <w:r>
              <w:rPr>
                <w:rFonts w:hint="eastAsia" w:ascii="宋体" w:hAnsi="宋体" w:eastAsia="宋体" w:cs="宋体"/>
                <w:color w:val="000000"/>
                <w:sz w:val="21"/>
                <w:szCs w:val="21"/>
                <w:highlight w:val="none"/>
              </w:rPr>
              <w:t>委托招标代理机构代理招标</w:t>
            </w:r>
          </w:p>
          <w:p w14:paraId="23A72686">
            <w:pPr>
              <w:pStyle w:val="122"/>
              <w:keepNext w:val="0"/>
              <w:keepLines w:val="0"/>
              <w:suppressLineNumbers w:val="0"/>
              <w:topLinePunct/>
              <w:spacing w:before="62" w:beforeLines="20" w:beforeAutospacing="0" w:after="62" w:afterLines="20" w:afterAutospacing="0"/>
              <w:ind w:left="0" w:right="0"/>
              <w:rPr>
                <w:rFonts w:hint="eastAsia" w:ascii="宋体" w:hAnsi="宋体" w:eastAsia="宋体" w:cs="宋体"/>
                <w:szCs w:val="20"/>
                <w:highlight w:val="none"/>
              </w:rPr>
            </w:pPr>
            <w:r>
              <w:rPr>
                <w:rFonts w:hint="eastAsia" w:ascii="宋体" w:hAnsi="宋体" w:eastAsia="宋体" w:cs="宋体"/>
                <w:color w:val="000000"/>
                <w:kern w:val="2"/>
                <w:sz w:val="21"/>
                <w:szCs w:val="21"/>
                <w:highlight w:val="none"/>
                <w:lang w:val="en-US" w:eastAsia="zh-CN" w:bidi="ar-SA"/>
              </w:rPr>
              <w:t>招标代理机构名称：公诚管理咨询有限公司</w:t>
            </w:r>
          </w:p>
        </w:tc>
      </w:tr>
      <w:tr w14:paraId="1962BF7B">
        <w:tblPrEx>
          <w:tblCellMar>
            <w:top w:w="0" w:type="dxa"/>
            <w:left w:w="108" w:type="dxa"/>
            <w:bottom w:w="0" w:type="dxa"/>
            <w:right w:w="108" w:type="dxa"/>
          </w:tblCellMar>
        </w:tblPrEx>
        <w:trPr>
          <w:trHeight w:val="646" w:hRule="atLeast"/>
          <w:jc w:val="center"/>
        </w:trPr>
        <w:tc>
          <w:tcPr>
            <w:tcW w:w="625" w:type="pct"/>
            <w:tcBorders>
              <w:top w:val="single" w:color="auto" w:sz="4" w:space="0"/>
              <w:left w:val="single" w:color="auto" w:sz="4" w:space="0"/>
              <w:bottom w:val="single" w:color="auto" w:sz="4" w:space="0"/>
              <w:right w:val="single" w:color="auto" w:sz="4" w:space="0"/>
            </w:tcBorders>
            <w:noWrap w:val="0"/>
            <w:vAlign w:val="center"/>
          </w:tcPr>
          <w:p w14:paraId="595308B3">
            <w:pPr>
              <w:pStyle w:val="118"/>
              <w:keepNext w:val="0"/>
              <w:keepLines w:val="0"/>
              <w:suppressLineNumbers w:val="0"/>
              <w:spacing w:before="62" w:beforeLines="20" w:beforeAutospacing="0" w:after="62" w:afterLines="20" w:afterAutospacing="0"/>
              <w:ind w:left="0" w:right="0"/>
              <w:jc w:val="center"/>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1.5</w:t>
            </w:r>
          </w:p>
        </w:tc>
        <w:tc>
          <w:tcPr>
            <w:tcW w:w="1205" w:type="pct"/>
            <w:tcBorders>
              <w:top w:val="single" w:color="auto" w:sz="4" w:space="0"/>
              <w:left w:val="single" w:color="auto" w:sz="4" w:space="0"/>
              <w:bottom w:val="single" w:color="auto" w:sz="4" w:space="0"/>
              <w:right w:val="single" w:color="auto" w:sz="4" w:space="0"/>
            </w:tcBorders>
            <w:noWrap w:val="0"/>
            <w:vAlign w:val="center"/>
          </w:tcPr>
          <w:p w14:paraId="693AE2AE">
            <w:pPr>
              <w:keepNext w:val="0"/>
              <w:keepLines w:val="0"/>
              <w:suppressLineNumbers w:val="0"/>
              <w:spacing w:before="62" w:beforeLines="20" w:beforeAutospacing="0" w:after="62" w:afterLines="20" w:afterAutospacing="0"/>
              <w:ind w:left="0" w:right="0"/>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资格审查方式</w:t>
            </w:r>
          </w:p>
        </w:tc>
        <w:tc>
          <w:tcPr>
            <w:tcW w:w="3169" w:type="pct"/>
            <w:tcBorders>
              <w:top w:val="single" w:color="auto" w:sz="4" w:space="0"/>
              <w:left w:val="single" w:color="auto" w:sz="4" w:space="0"/>
              <w:bottom w:val="single" w:color="auto" w:sz="4" w:space="0"/>
              <w:right w:val="single" w:color="auto" w:sz="4" w:space="0"/>
            </w:tcBorders>
            <w:noWrap w:val="0"/>
            <w:vAlign w:val="center"/>
          </w:tcPr>
          <w:p w14:paraId="3AC8C626">
            <w:pPr>
              <w:pStyle w:val="122"/>
              <w:keepNext w:val="0"/>
              <w:keepLines w:val="0"/>
              <w:suppressLineNumbers w:val="0"/>
              <w:topLinePunct/>
              <w:spacing w:before="62" w:beforeLines="20" w:beforeAutospacing="0" w:after="62" w:afterLines="20" w:afterAutospacing="0"/>
              <w:ind w:left="0" w:right="0"/>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kern w:val="2"/>
                <w:sz w:val="21"/>
                <w:szCs w:val="21"/>
                <w:highlight w:val="none"/>
                <w:lang w:val="en-US" w:eastAsia="zh-CN" w:bidi="ar-SA"/>
              </w:rPr>
              <w:t>□资格预审</w:t>
            </w:r>
          </w:p>
          <w:p w14:paraId="55F5ECC4">
            <w:pPr>
              <w:pStyle w:val="122"/>
              <w:keepNext w:val="0"/>
              <w:keepLines w:val="0"/>
              <w:suppressLineNumbers w:val="0"/>
              <w:topLinePunct/>
              <w:spacing w:before="62" w:beforeLines="20" w:beforeAutospacing="0" w:after="62" w:afterLines="20" w:afterAutospacing="0"/>
              <w:ind w:left="0" w:right="0"/>
              <w:rPr>
                <w:rFonts w:hint="eastAsia" w:ascii="宋体" w:hAnsi="宋体" w:eastAsia="宋体" w:cs="宋体"/>
                <w:color w:val="000000"/>
                <w:sz w:val="21"/>
                <w:szCs w:val="21"/>
                <w:highlight w:val="none"/>
              </w:rPr>
            </w:pPr>
            <w:r>
              <w:rPr>
                <w:rFonts w:hint="eastAsia" w:ascii="宋体" w:hAnsi="宋体" w:eastAsia="宋体" w:cs="宋体"/>
                <w:color w:val="000000"/>
                <w:kern w:val="2"/>
                <w:sz w:val="21"/>
                <w:szCs w:val="21"/>
                <w:highlight w:val="none"/>
                <w:lang w:val="en-US" w:eastAsia="zh-CN" w:bidi="ar-SA"/>
              </w:rPr>
              <w:t>■资格后审</w:t>
            </w:r>
          </w:p>
        </w:tc>
      </w:tr>
      <w:tr w14:paraId="4B2AC2F3">
        <w:tblPrEx>
          <w:tblCellMar>
            <w:top w:w="0" w:type="dxa"/>
            <w:left w:w="108" w:type="dxa"/>
            <w:bottom w:w="0" w:type="dxa"/>
            <w:right w:w="108" w:type="dxa"/>
          </w:tblCellMar>
        </w:tblPrEx>
        <w:trPr>
          <w:trHeight w:val="646" w:hRule="atLeast"/>
          <w:jc w:val="center"/>
        </w:trPr>
        <w:tc>
          <w:tcPr>
            <w:tcW w:w="625" w:type="pct"/>
            <w:tcBorders>
              <w:top w:val="single" w:color="auto" w:sz="4" w:space="0"/>
              <w:left w:val="single" w:color="auto" w:sz="4" w:space="0"/>
              <w:bottom w:val="single" w:color="auto" w:sz="4" w:space="0"/>
              <w:right w:val="single" w:color="auto" w:sz="4" w:space="0"/>
            </w:tcBorders>
            <w:noWrap w:val="0"/>
            <w:vAlign w:val="center"/>
          </w:tcPr>
          <w:p w14:paraId="3D86F985">
            <w:pPr>
              <w:pStyle w:val="118"/>
              <w:keepNext w:val="0"/>
              <w:keepLines w:val="0"/>
              <w:suppressLineNumbers w:val="0"/>
              <w:spacing w:before="62" w:beforeLines="20" w:beforeAutospacing="0" w:after="62" w:afterLines="20" w:afterAutospacing="0"/>
              <w:ind w:left="0" w:right="0"/>
              <w:jc w:val="center"/>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2.1.1</w:t>
            </w:r>
          </w:p>
        </w:tc>
        <w:tc>
          <w:tcPr>
            <w:tcW w:w="1205" w:type="pct"/>
            <w:tcBorders>
              <w:top w:val="single" w:color="auto" w:sz="4" w:space="0"/>
              <w:left w:val="single" w:color="auto" w:sz="4" w:space="0"/>
              <w:bottom w:val="single" w:color="auto" w:sz="4" w:space="0"/>
              <w:right w:val="single" w:color="auto" w:sz="4" w:space="0"/>
            </w:tcBorders>
            <w:noWrap w:val="0"/>
            <w:vAlign w:val="center"/>
          </w:tcPr>
          <w:p w14:paraId="715B9F91">
            <w:pPr>
              <w:keepNext w:val="0"/>
              <w:keepLines w:val="0"/>
              <w:suppressLineNumbers w:val="0"/>
              <w:spacing w:before="62" w:beforeLines="20" w:beforeAutospacing="0" w:after="62" w:afterLines="20" w:afterAutospacing="0"/>
              <w:ind w:left="0" w:right="0"/>
              <w:jc w:val="center"/>
              <w:rPr>
                <w:rFonts w:hint="eastAsia" w:ascii="宋体" w:hAnsi="宋体" w:eastAsia="宋体" w:cs="宋体"/>
                <w:color w:val="000000"/>
                <w:szCs w:val="21"/>
                <w:highlight w:val="none"/>
              </w:rPr>
            </w:pPr>
            <w:r>
              <w:rPr>
                <w:rFonts w:hint="eastAsia" w:ascii="宋体" w:hAnsi="宋体" w:eastAsia="宋体" w:cs="宋体"/>
                <w:color w:val="000000"/>
                <w:kern w:val="0"/>
                <w:szCs w:val="21"/>
                <w:highlight w:val="none"/>
              </w:rPr>
              <w:t>招标文件的组成</w:t>
            </w:r>
          </w:p>
        </w:tc>
        <w:tc>
          <w:tcPr>
            <w:tcW w:w="3169" w:type="pct"/>
            <w:tcBorders>
              <w:top w:val="single" w:color="auto" w:sz="4" w:space="0"/>
              <w:left w:val="single" w:color="auto" w:sz="4" w:space="0"/>
              <w:bottom w:val="single" w:color="auto" w:sz="4" w:space="0"/>
              <w:right w:val="single" w:color="auto" w:sz="4" w:space="0"/>
            </w:tcBorders>
            <w:noWrap w:val="0"/>
            <w:vAlign w:val="center"/>
          </w:tcPr>
          <w:p w14:paraId="1AC6EBBF">
            <w:pPr>
              <w:keepNext w:val="0"/>
              <w:keepLines w:val="0"/>
              <w:widowControl/>
              <w:suppressLineNumbers w:val="0"/>
              <w:topLinePunct/>
              <w:spacing w:before="0" w:beforeAutospacing="0" w:after="0" w:afterAutospacing="0" w:line="360" w:lineRule="auto"/>
              <w:ind w:left="0" w:right="0"/>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本招标文件由以下部分组成：</w:t>
            </w:r>
          </w:p>
          <w:p w14:paraId="49997BC7">
            <w:pPr>
              <w:keepNext w:val="0"/>
              <w:keepLines w:val="0"/>
              <w:widowControl/>
              <w:suppressLineNumbers w:val="0"/>
              <w:topLinePunct/>
              <w:spacing w:before="0" w:beforeAutospacing="0" w:after="0" w:afterAutospacing="0" w:line="360" w:lineRule="auto"/>
              <w:ind w:left="0" w:right="0"/>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第一章  招标公告</w:t>
            </w:r>
          </w:p>
          <w:p w14:paraId="18B40A8C">
            <w:pPr>
              <w:keepNext w:val="0"/>
              <w:keepLines w:val="0"/>
              <w:widowControl/>
              <w:suppressLineNumbers w:val="0"/>
              <w:topLinePunct/>
              <w:spacing w:before="0" w:beforeAutospacing="0" w:after="0" w:afterAutospacing="0" w:line="360" w:lineRule="auto"/>
              <w:ind w:left="0" w:right="0"/>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第二章  投标人须知</w:t>
            </w:r>
          </w:p>
          <w:p w14:paraId="55CCD71F">
            <w:pPr>
              <w:keepNext w:val="0"/>
              <w:keepLines w:val="0"/>
              <w:widowControl/>
              <w:suppressLineNumbers w:val="0"/>
              <w:topLinePunct/>
              <w:spacing w:before="0" w:beforeAutospacing="0" w:after="0" w:afterAutospacing="0" w:line="360" w:lineRule="auto"/>
              <w:ind w:left="0" w:right="0"/>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第三章  评标办法</w:t>
            </w:r>
          </w:p>
          <w:p w14:paraId="16F37CB4">
            <w:pPr>
              <w:keepNext w:val="0"/>
              <w:keepLines w:val="0"/>
              <w:widowControl/>
              <w:suppressLineNumbers w:val="0"/>
              <w:topLinePunct/>
              <w:spacing w:before="0" w:beforeAutospacing="0" w:after="0" w:afterAutospacing="0" w:line="360" w:lineRule="auto"/>
              <w:ind w:left="0" w:right="0"/>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第四章  合同条款</w:t>
            </w:r>
          </w:p>
          <w:p w14:paraId="602F2CF3">
            <w:pPr>
              <w:keepNext w:val="0"/>
              <w:keepLines w:val="0"/>
              <w:widowControl/>
              <w:suppressLineNumbers w:val="0"/>
              <w:topLinePunct/>
              <w:spacing w:before="0" w:beforeAutospacing="0" w:after="0" w:afterAutospacing="0" w:line="360" w:lineRule="auto"/>
              <w:ind w:left="0" w:right="0"/>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第五章  技术规范书</w:t>
            </w:r>
          </w:p>
          <w:p w14:paraId="6333A87A">
            <w:pPr>
              <w:pStyle w:val="122"/>
              <w:keepNext w:val="0"/>
              <w:keepLines w:val="0"/>
              <w:suppressLineNumbers w:val="0"/>
              <w:topLinePunct/>
              <w:spacing w:before="62" w:beforeLines="20" w:beforeAutospacing="0" w:after="62" w:afterLines="20" w:afterAutospacing="0"/>
              <w:ind w:left="0" w:right="0"/>
              <w:rPr>
                <w:rFonts w:hint="eastAsia" w:ascii="宋体" w:hAnsi="宋体" w:eastAsia="宋体" w:cs="宋体"/>
                <w:color w:val="000000"/>
                <w:sz w:val="21"/>
                <w:szCs w:val="21"/>
                <w:highlight w:val="none"/>
              </w:rPr>
            </w:pPr>
            <w:r>
              <w:rPr>
                <w:rFonts w:hint="eastAsia" w:ascii="宋体" w:hAnsi="宋体" w:eastAsia="宋体" w:cs="宋体"/>
                <w:color w:val="000000"/>
                <w:kern w:val="0"/>
                <w:sz w:val="21"/>
                <w:szCs w:val="21"/>
                <w:highlight w:val="none"/>
              </w:rPr>
              <w:t>第六章  投标文件格式</w:t>
            </w:r>
          </w:p>
        </w:tc>
      </w:tr>
      <w:tr w14:paraId="059ABA69">
        <w:tblPrEx>
          <w:tblCellMar>
            <w:top w:w="0" w:type="dxa"/>
            <w:left w:w="108" w:type="dxa"/>
            <w:bottom w:w="0" w:type="dxa"/>
            <w:right w:w="108" w:type="dxa"/>
          </w:tblCellMar>
        </w:tblPrEx>
        <w:trPr>
          <w:jc w:val="center"/>
        </w:trPr>
        <w:tc>
          <w:tcPr>
            <w:tcW w:w="625" w:type="pct"/>
            <w:tcBorders>
              <w:top w:val="single" w:color="auto" w:sz="4" w:space="0"/>
              <w:left w:val="single" w:color="auto" w:sz="4" w:space="0"/>
              <w:bottom w:val="single" w:color="auto" w:sz="4" w:space="0"/>
              <w:right w:val="single" w:color="auto" w:sz="4" w:space="0"/>
            </w:tcBorders>
            <w:noWrap w:val="0"/>
            <w:vAlign w:val="center"/>
          </w:tcPr>
          <w:p w14:paraId="63651D5F">
            <w:pPr>
              <w:pStyle w:val="118"/>
              <w:keepNext w:val="0"/>
              <w:keepLines w:val="0"/>
              <w:suppressLineNumbers w:val="0"/>
              <w:spacing w:before="62" w:beforeLines="20" w:beforeAutospacing="0" w:after="62" w:afterLines="20" w:afterAutospacing="0"/>
              <w:ind w:left="0" w:right="0"/>
              <w:jc w:val="center"/>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2.1.3</w:t>
            </w:r>
          </w:p>
        </w:tc>
        <w:tc>
          <w:tcPr>
            <w:tcW w:w="1205" w:type="pct"/>
            <w:tcBorders>
              <w:top w:val="single" w:color="auto" w:sz="4" w:space="0"/>
              <w:left w:val="single" w:color="auto" w:sz="4" w:space="0"/>
              <w:bottom w:val="single" w:color="auto" w:sz="4" w:space="0"/>
              <w:right w:val="single" w:color="auto" w:sz="4" w:space="0"/>
            </w:tcBorders>
            <w:noWrap w:val="0"/>
            <w:vAlign w:val="center"/>
          </w:tcPr>
          <w:p w14:paraId="7798F559">
            <w:pPr>
              <w:keepNext w:val="0"/>
              <w:keepLines w:val="0"/>
              <w:suppressLineNumbers w:val="0"/>
              <w:spacing w:before="62" w:beforeLines="20" w:beforeAutospacing="0" w:after="62" w:afterLines="20" w:afterAutospacing="0"/>
              <w:ind w:left="0" w:right="0"/>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★实质性要求的标识</w:t>
            </w:r>
          </w:p>
        </w:tc>
        <w:tc>
          <w:tcPr>
            <w:tcW w:w="3169" w:type="pct"/>
            <w:tcBorders>
              <w:top w:val="single" w:color="auto" w:sz="4" w:space="0"/>
              <w:left w:val="single" w:color="auto" w:sz="4" w:space="0"/>
              <w:bottom w:val="single" w:color="auto" w:sz="4" w:space="0"/>
              <w:right w:val="single" w:color="auto" w:sz="4" w:space="0"/>
            </w:tcBorders>
            <w:noWrap w:val="0"/>
            <w:vAlign w:val="center"/>
          </w:tcPr>
          <w:p w14:paraId="3E4CAAD3">
            <w:pPr>
              <w:pStyle w:val="122"/>
              <w:keepNext w:val="0"/>
              <w:keepLines w:val="0"/>
              <w:suppressLineNumbers w:val="0"/>
              <w:topLinePunct/>
              <w:spacing w:before="62" w:beforeLines="20" w:beforeAutospacing="0" w:after="62" w:afterLines="20" w:afterAutospacing="0"/>
              <w:ind w:left="0" w:right="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u w:val="single"/>
              </w:rPr>
              <w:t>招标文件中标识“★”条款、注明“投标将被否决”等的条款</w:t>
            </w:r>
            <w:r>
              <w:rPr>
                <w:rFonts w:hint="eastAsia" w:ascii="宋体" w:hAnsi="宋体" w:eastAsia="宋体" w:cs="宋体"/>
                <w:color w:val="000000"/>
                <w:sz w:val="21"/>
                <w:szCs w:val="21"/>
                <w:highlight w:val="none"/>
              </w:rPr>
              <w:t>，均为实质性条款，</w:t>
            </w:r>
            <w:r>
              <w:rPr>
                <w:rFonts w:hint="eastAsia" w:ascii="宋体" w:hAnsi="宋体" w:eastAsia="宋体" w:cs="宋体"/>
                <w:b/>
                <w:color w:val="000000"/>
                <w:sz w:val="21"/>
                <w:szCs w:val="21"/>
                <w:highlight w:val="none"/>
              </w:rPr>
              <w:t>不满足任意一项实质性条款的投标将被否决。</w:t>
            </w:r>
          </w:p>
        </w:tc>
      </w:tr>
      <w:tr w14:paraId="6A865EFC">
        <w:tblPrEx>
          <w:tblCellMar>
            <w:top w:w="0" w:type="dxa"/>
            <w:left w:w="108" w:type="dxa"/>
            <w:bottom w:w="0" w:type="dxa"/>
            <w:right w:w="108" w:type="dxa"/>
          </w:tblCellMar>
        </w:tblPrEx>
        <w:trPr>
          <w:jc w:val="center"/>
        </w:trPr>
        <w:tc>
          <w:tcPr>
            <w:tcW w:w="625" w:type="pct"/>
            <w:tcBorders>
              <w:top w:val="single" w:color="auto" w:sz="4" w:space="0"/>
              <w:left w:val="single" w:color="auto" w:sz="4" w:space="0"/>
              <w:bottom w:val="single" w:color="auto" w:sz="4" w:space="0"/>
              <w:right w:val="single" w:color="auto" w:sz="4" w:space="0"/>
            </w:tcBorders>
            <w:noWrap w:val="0"/>
            <w:vAlign w:val="center"/>
          </w:tcPr>
          <w:p w14:paraId="70A17CC0">
            <w:pPr>
              <w:pStyle w:val="118"/>
              <w:keepNext w:val="0"/>
              <w:keepLines w:val="0"/>
              <w:suppressLineNumbers w:val="0"/>
              <w:spacing w:before="62" w:beforeLines="20" w:beforeAutospacing="0" w:after="62" w:afterLines="20" w:afterAutospacing="0"/>
              <w:ind w:left="0" w:right="0"/>
              <w:jc w:val="center"/>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2.2</w:t>
            </w:r>
          </w:p>
        </w:tc>
        <w:tc>
          <w:tcPr>
            <w:tcW w:w="1205" w:type="pct"/>
            <w:tcBorders>
              <w:top w:val="single" w:color="auto" w:sz="4" w:space="0"/>
              <w:left w:val="single" w:color="auto" w:sz="4" w:space="0"/>
              <w:bottom w:val="single" w:color="auto" w:sz="4" w:space="0"/>
              <w:right w:val="single" w:color="auto" w:sz="4" w:space="0"/>
            </w:tcBorders>
            <w:noWrap w:val="0"/>
            <w:vAlign w:val="center"/>
          </w:tcPr>
          <w:p w14:paraId="0A361508">
            <w:pPr>
              <w:keepNext w:val="0"/>
              <w:keepLines w:val="0"/>
              <w:suppressLineNumbers w:val="0"/>
              <w:spacing w:before="62" w:beforeLines="20" w:beforeAutospacing="0" w:after="62" w:afterLines="20" w:afterAutospacing="0"/>
              <w:ind w:left="0" w:right="0"/>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踏勘现场</w:t>
            </w:r>
          </w:p>
        </w:tc>
        <w:tc>
          <w:tcPr>
            <w:tcW w:w="3169" w:type="pct"/>
            <w:tcBorders>
              <w:top w:val="single" w:color="auto" w:sz="4" w:space="0"/>
              <w:left w:val="single" w:color="auto" w:sz="4" w:space="0"/>
              <w:bottom w:val="single" w:color="auto" w:sz="4" w:space="0"/>
              <w:right w:val="single" w:color="auto" w:sz="4" w:space="0"/>
            </w:tcBorders>
            <w:noWrap w:val="0"/>
            <w:vAlign w:val="center"/>
          </w:tcPr>
          <w:p w14:paraId="4B0BEDA0">
            <w:pPr>
              <w:pStyle w:val="122"/>
              <w:keepNext w:val="0"/>
              <w:keepLines w:val="0"/>
              <w:suppressLineNumbers w:val="0"/>
              <w:topLinePunct/>
              <w:spacing w:before="62" w:beforeLines="20" w:beforeAutospacing="0" w:after="62" w:afterLines="20" w:afterAutospacing="0"/>
              <w:ind w:left="0" w:right="0"/>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■不组织</w:t>
            </w:r>
          </w:p>
          <w:p w14:paraId="7D65BBEF">
            <w:pPr>
              <w:pStyle w:val="122"/>
              <w:keepNext w:val="0"/>
              <w:keepLines w:val="0"/>
              <w:suppressLineNumbers w:val="0"/>
              <w:topLinePunct/>
              <w:spacing w:before="62" w:beforeLines="20" w:beforeAutospacing="0" w:after="62" w:afterLines="20" w:afterAutospacing="0"/>
              <w:ind w:left="0" w:right="0"/>
              <w:rPr>
                <w:rFonts w:hint="eastAsia" w:ascii="宋体" w:hAnsi="宋体" w:eastAsia="宋体" w:cs="宋体"/>
                <w:color w:val="000000"/>
                <w:sz w:val="21"/>
                <w:szCs w:val="21"/>
                <w:highlight w:val="none"/>
              </w:rPr>
            </w:pPr>
            <w:r>
              <w:rPr>
                <w:rFonts w:hint="eastAsia" w:ascii="宋体" w:hAnsi="宋体" w:eastAsia="宋体" w:cs="宋体"/>
                <w:color w:val="000000"/>
                <w:kern w:val="0"/>
                <w:sz w:val="21"/>
                <w:szCs w:val="21"/>
                <w:highlight w:val="none"/>
              </w:rPr>
              <w:t>□组织，踏勘现场时间、地点：</w:t>
            </w:r>
          </w:p>
        </w:tc>
      </w:tr>
      <w:tr w14:paraId="558B2C4C">
        <w:tblPrEx>
          <w:tblCellMar>
            <w:top w:w="0" w:type="dxa"/>
            <w:left w:w="108" w:type="dxa"/>
            <w:bottom w:w="0" w:type="dxa"/>
            <w:right w:w="108" w:type="dxa"/>
          </w:tblCellMar>
        </w:tblPrEx>
        <w:trPr>
          <w:jc w:val="center"/>
        </w:trPr>
        <w:tc>
          <w:tcPr>
            <w:tcW w:w="625" w:type="pct"/>
            <w:tcBorders>
              <w:top w:val="single" w:color="auto" w:sz="4" w:space="0"/>
              <w:left w:val="single" w:color="auto" w:sz="4" w:space="0"/>
              <w:bottom w:val="single" w:color="auto" w:sz="4" w:space="0"/>
              <w:right w:val="single" w:color="auto" w:sz="4" w:space="0"/>
            </w:tcBorders>
            <w:noWrap w:val="0"/>
            <w:vAlign w:val="center"/>
          </w:tcPr>
          <w:p w14:paraId="7FE9D0A8">
            <w:pPr>
              <w:pStyle w:val="118"/>
              <w:keepNext w:val="0"/>
              <w:keepLines w:val="0"/>
              <w:suppressLineNumbers w:val="0"/>
              <w:spacing w:before="62" w:beforeLines="20" w:beforeAutospacing="0" w:after="62" w:afterLines="20" w:afterAutospacing="0"/>
              <w:ind w:left="0" w:right="0"/>
              <w:jc w:val="center"/>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2.3</w:t>
            </w:r>
          </w:p>
        </w:tc>
        <w:tc>
          <w:tcPr>
            <w:tcW w:w="1205" w:type="pct"/>
            <w:tcBorders>
              <w:top w:val="single" w:color="auto" w:sz="4" w:space="0"/>
              <w:left w:val="single" w:color="auto" w:sz="4" w:space="0"/>
              <w:bottom w:val="single" w:color="auto" w:sz="4" w:space="0"/>
              <w:right w:val="single" w:color="auto" w:sz="4" w:space="0"/>
            </w:tcBorders>
            <w:noWrap w:val="0"/>
            <w:vAlign w:val="center"/>
          </w:tcPr>
          <w:p w14:paraId="19EFCF38">
            <w:pPr>
              <w:keepNext w:val="0"/>
              <w:keepLines w:val="0"/>
              <w:suppressLineNumbers w:val="0"/>
              <w:spacing w:before="62" w:beforeLines="20" w:beforeAutospacing="0" w:after="62" w:afterLines="20" w:afterAutospacing="0"/>
              <w:ind w:left="0" w:right="0"/>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投标预备会</w:t>
            </w:r>
          </w:p>
        </w:tc>
        <w:tc>
          <w:tcPr>
            <w:tcW w:w="3169" w:type="pct"/>
            <w:tcBorders>
              <w:top w:val="single" w:color="auto" w:sz="4" w:space="0"/>
              <w:left w:val="single" w:color="auto" w:sz="4" w:space="0"/>
              <w:bottom w:val="single" w:color="auto" w:sz="4" w:space="0"/>
              <w:right w:val="single" w:color="auto" w:sz="4" w:space="0"/>
            </w:tcBorders>
            <w:noWrap w:val="0"/>
            <w:vAlign w:val="center"/>
          </w:tcPr>
          <w:p w14:paraId="1DCD6561">
            <w:pPr>
              <w:pStyle w:val="122"/>
              <w:keepNext w:val="0"/>
              <w:keepLines w:val="0"/>
              <w:suppressLineNumbers w:val="0"/>
              <w:topLinePunct/>
              <w:spacing w:before="62" w:beforeLines="20" w:beforeAutospacing="0" w:after="62" w:afterLines="20" w:afterAutospacing="0"/>
              <w:ind w:left="0" w:right="0"/>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■不召开</w:t>
            </w:r>
          </w:p>
          <w:p w14:paraId="66AECEA9">
            <w:pPr>
              <w:pStyle w:val="122"/>
              <w:keepNext w:val="0"/>
              <w:keepLines w:val="0"/>
              <w:suppressLineNumbers w:val="0"/>
              <w:topLinePunct/>
              <w:spacing w:before="62" w:beforeLines="20" w:beforeAutospacing="0" w:after="62" w:afterLines="20" w:afterAutospacing="0"/>
              <w:ind w:left="0" w:right="0"/>
              <w:rPr>
                <w:rFonts w:hint="eastAsia" w:ascii="宋体" w:hAnsi="宋体" w:eastAsia="宋体" w:cs="宋体"/>
                <w:color w:val="000000"/>
                <w:sz w:val="21"/>
                <w:szCs w:val="21"/>
                <w:highlight w:val="none"/>
              </w:rPr>
            </w:pPr>
            <w:r>
              <w:rPr>
                <w:rFonts w:hint="eastAsia" w:ascii="宋体" w:hAnsi="宋体" w:eastAsia="宋体" w:cs="宋体"/>
                <w:color w:val="000000"/>
                <w:kern w:val="0"/>
                <w:sz w:val="21"/>
                <w:szCs w:val="21"/>
                <w:highlight w:val="none"/>
              </w:rPr>
              <w:sym w:font="Wingdings 2" w:char="00A3"/>
            </w:r>
            <w:r>
              <w:rPr>
                <w:rFonts w:hint="eastAsia" w:ascii="宋体" w:hAnsi="宋体" w:eastAsia="宋体" w:cs="宋体"/>
                <w:color w:val="000000"/>
                <w:kern w:val="0"/>
                <w:sz w:val="21"/>
                <w:szCs w:val="21"/>
                <w:highlight w:val="none"/>
              </w:rPr>
              <w:t>召开，召开投标预备会的时间、地点：</w:t>
            </w:r>
          </w:p>
        </w:tc>
      </w:tr>
      <w:tr w14:paraId="22AE9AB6">
        <w:tblPrEx>
          <w:tblCellMar>
            <w:top w:w="0" w:type="dxa"/>
            <w:left w:w="108" w:type="dxa"/>
            <w:bottom w:w="0" w:type="dxa"/>
            <w:right w:w="108" w:type="dxa"/>
          </w:tblCellMar>
        </w:tblPrEx>
        <w:trPr>
          <w:jc w:val="center"/>
        </w:trPr>
        <w:tc>
          <w:tcPr>
            <w:tcW w:w="625" w:type="pct"/>
            <w:tcBorders>
              <w:top w:val="single" w:color="auto" w:sz="4" w:space="0"/>
              <w:left w:val="single" w:color="auto" w:sz="4" w:space="0"/>
              <w:bottom w:val="single" w:color="auto" w:sz="4" w:space="0"/>
              <w:right w:val="single" w:color="auto" w:sz="4" w:space="0"/>
            </w:tcBorders>
            <w:noWrap w:val="0"/>
            <w:vAlign w:val="center"/>
          </w:tcPr>
          <w:p w14:paraId="734EC544">
            <w:pPr>
              <w:pStyle w:val="118"/>
              <w:keepNext w:val="0"/>
              <w:keepLines w:val="0"/>
              <w:suppressLineNumbers w:val="0"/>
              <w:spacing w:before="62" w:beforeLines="20" w:beforeAutospacing="0" w:after="62" w:afterLines="20" w:afterAutospacing="0"/>
              <w:ind w:left="0" w:right="0"/>
              <w:jc w:val="center"/>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2.4.2</w:t>
            </w:r>
          </w:p>
        </w:tc>
        <w:tc>
          <w:tcPr>
            <w:tcW w:w="1205" w:type="pct"/>
            <w:tcBorders>
              <w:top w:val="single" w:color="auto" w:sz="4" w:space="0"/>
              <w:left w:val="single" w:color="auto" w:sz="4" w:space="0"/>
              <w:bottom w:val="single" w:color="auto" w:sz="4" w:space="0"/>
              <w:right w:val="single" w:color="auto" w:sz="4" w:space="0"/>
            </w:tcBorders>
            <w:noWrap w:val="0"/>
            <w:vAlign w:val="center"/>
          </w:tcPr>
          <w:p w14:paraId="51B4305A">
            <w:pPr>
              <w:keepNext w:val="0"/>
              <w:keepLines w:val="0"/>
              <w:suppressLineNumbers w:val="0"/>
              <w:spacing w:before="62" w:beforeLines="20" w:beforeAutospacing="0" w:after="62" w:afterLines="20" w:afterAutospacing="0"/>
              <w:ind w:left="0" w:right="0"/>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投标人提出澄清的</w:t>
            </w:r>
            <w:r>
              <w:rPr>
                <w:rFonts w:hint="eastAsia" w:ascii="宋体" w:hAnsi="宋体" w:eastAsia="宋体" w:cs="宋体"/>
                <w:color w:val="000000"/>
                <w:szCs w:val="21"/>
                <w:highlight w:val="none"/>
              </w:rPr>
              <w:br w:type="textWrapping"/>
            </w:r>
            <w:r>
              <w:rPr>
                <w:rFonts w:hint="eastAsia" w:ascii="宋体" w:hAnsi="宋体" w:eastAsia="宋体" w:cs="宋体"/>
                <w:color w:val="000000"/>
                <w:szCs w:val="21"/>
                <w:highlight w:val="none"/>
              </w:rPr>
              <w:t>截止时间和方式</w:t>
            </w:r>
          </w:p>
        </w:tc>
        <w:tc>
          <w:tcPr>
            <w:tcW w:w="3169" w:type="pct"/>
            <w:tcBorders>
              <w:top w:val="single" w:color="auto" w:sz="4" w:space="0"/>
              <w:left w:val="single" w:color="auto" w:sz="4" w:space="0"/>
              <w:bottom w:val="single" w:color="auto" w:sz="4" w:space="0"/>
              <w:right w:val="single" w:color="auto" w:sz="4" w:space="0"/>
            </w:tcBorders>
            <w:noWrap w:val="0"/>
            <w:vAlign w:val="center"/>
          </w:tcPr>
          <w:p w14:paraId="48206AE6">
            <w:pPr>
              <w:pStyle w:val="122"/>
              <w:keepNext w:val="0"/>
              <w:keepLines w:val="0"/>
              <w:suppressLineNumbers w:val="0"/>
              <w:topLinePunct/>
              <w:spacing w:before="62" w:beforeLines="20" w:beforeAutospacing="0" w:after="62" w:afterLines="20" w:afterAutospacing="0"/>
              <w:ind w:left="0" w:right="0"/>
              <w:rPr>
                <w:rFonts w:hint="eastAsia" w:ascii="宋体" w:hAnsi="宋体" w:eastAsia="宋体" w:cs="宋体"/>
                <w:color w:val="000000"/>
                <w:kern w:val="0"/>
                <w:sz w:val="21"/>
                <w:szCs w:val="21"/>
                <w:highlight w:val="none"/>
                <w:u w:val="single"/>
              </w:rPr>
            </w:pPr>
            <w:r>
              <w:rPr>
                <w:rFonts w:hint="eastAsia" w:ascii="宋体" w:hAnsi="宋体" w:eastAsia="宋体" w:cs="宋体"/>
                <w:color w:val="000000"/>
                <w:kern w:val="0"/>
                <w:sz w:val="21"/>
                <w:szCs w:val="21"/>
                <w:highlight w:val="none"/>
                <w:u w:val="single"/>
              </w:rPr>
              <w:t>截止时间：投标人应在提交投标文件截止时间十日前</w:t>
            </w:r>
            <w:r>
              <w:rPr>
                <w:rFonts w:hint="eastAsia" w:ascii="宋体" w:hAnsi="宋体" w:eastAsia="宋体" w:cs="宋体"/>
                <w:color w:val="000000"/>
                <w:kern w:val="0"/>
                <w:sz w:val="21"/>
                <w:szCs w:val="21"/>
                <w:highlight w:val="none"/>
                <w:u w:val="single"/>
                <w:lang w:val="en-US" w:eastAsia="zh-CN"/>
              </w:rPr>
              <w:t>对招标文件提出澄清。</w:t>
            </w:r>
          </w:p>
          <w:p w14:paraId="7BC93A1B">
            <w:pPr>
              <w:pStyle w:val="122"/>
              <w:keepNext w:val="0"/>
              <w:keepLines w:val="0"/>
              <w:suppressLineNumbers w:val="0"/>
              <w:topLinePunct/>
              <w:spacing w:before="62" w:beforeLines="20" w:beforeAutospacing="0" w:after="62" w:afterLines="20" w:afterAutospacing="0"/>
              <w:ind w:left="0" w:right="0"/>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提出澄清的方式：以书面方式（盖章扫描件及WORD文档）发送至gcmcjkjt@163.com。</w:t>
            </w:r>
          </w:p>
          <w:p w14:paraId="1E535015">
            <w:pPr>
              <w:pStyle w:val="122"/>
              <w:keepNext w:val="0"/>
              <w:keepLines w:val="0"/>
              <w:suppressLineNumbers w:val="0"/>
              <w:topLinePunct/>
              <w:spacing w:before="62" w:beforeLines="20" w:beforeAutospacing="0" w:after="62" w:afterLines="20" w:afterAutospacing="0"/>
              <w:ind w:left="0" w:right="0"/>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kern w:val="0"/>
                <w:sz w:val="21"/>
                <w:szCs w:val="21"/>
                <w:highlight w:val="none"/>
              </w:rPr>
              <w:t>说明：</w:t>
            </w:r>
            <w:r>
              <w:rPr>
                <w:rFonts w:hint="eastAsia" w:ascii="宋体" w:hAnsi="宋体" w:eastAsia="宋体" w:cs="宋体"/>
                <w:color w:val="000000"/>
                <w:kern w:val="0"/>
                <w:sz w:val="21"/>
                <w:szCs w:val="21"/>
                <w:highlight w:val="none"/>
                <w:lang w:val="en-US" w:eastAsia="zh-CN"/>
              </w:rPr>
              <w:t>招标</w:t>
            </w:r>
            <w:r>
              <w:rPr>
                <w:rFonts w:hint="eastAsia" w:ascii="宋体" w:hAnsi="宋体" w:eastAsia="宋体" w:cs="宋体"/>
                <w:color w:val="000000"/>
                <w:kern w:val="0"/>
                <w:sz w:val="21"/>
                <w:szCs w:val="21"/>
                <w:highlight w:val="none"/>
              </w:rPr>
              <w:t>人（</w:t>
            </w:r>
            <w:r>
              <w:rPr>
                <w:rFonts w:hint="eastAsia" w:ascii="宋体" w:hAnsi="宋体" w:eastAsia="宋体" w:cs="宋体"/>
                <w:color w:val="000000"/>
                <w:kern w:val="0"/>
                <w:sz w:val="21"/>
                <w:szCs w:val="21"/>
                <w:highlight w:val="none"/>
                <w:lang w:val="en-US" w:eastAsia="zh-CN"/>
              </w:rPr>
              <w:t>招标</w:t>
            </w:r>
            <w:r>
              <w:rPr>
                <w:rFonts w:hint="eastAsia" w:ascii="宋体" w:hAnsi="宋体" w:eastAsia="宋体" w:cs="宋体"/>
                <w:color w:val="000000"/>
                <w:kern w:val="0"/>
                <w:sz w:val="21"/>
                <w:szCs w:val="21"/>
                <w:highlight w:val="none"/>
              </w:rPr>
              <w:t>代理机构）对</w:t>
            </w:r>
            <w:r>
              <w:rPr>
                <w:rFonts w:hint="eastAsia" w:ascii="宋体" w:hAnsi="宋体" w:eastAsia="宋体" w:cs="宋体"/>
                <w:color w:val="000000"/>
                <w:kern w:val="0"/>
                <w:sz w:val="21"/>
                <w:szCs w:val="21"/>
                <w:highlight w:val="none"/>
                <w:lang w:val="en-US" w:eastAsia="zh-CN"/>
              </w:rPr>
              <w:t>招标</w:t>
            </w:r>
            <w:r>
              <w:rPr>
                <w:rFonts w:hint="eastAsia" w:ascii="宋体" w:hAnsi="宋体" w:eastAsia="宋体" w:cs="宋体"/>
                <w:color w:val="000000"/>
                <w:kern w:val="0"/>
                <w:sz w:val="21"/>
                <w:szCs w:val="21"/>
                <w:highlight w:val="none"/>
              </w:rPr>
              <w:t>文件作出的所有澄清、修改通知等内容，将作为</w:t>
            </w:r>
            <w:r>
              <w:rPr>
                <w:rFonts w:hint="eastAsia" w:ascii="宋体" w:hAnsi="宋体" w:eastAsia="宋体" w:cs="宋体"/>
                <w:color w:val="000000"/>
                <w:kern w:val="0"/>
                <w:sz w:val="21"/>
                <w:szCs w:val="21"/>
                <w:highlight w:val="none"/>
                <w:lang w:val="en-US" w:eastAsia="zh-CN"/>
              </w:rPr>
              <w:t>招标</w:t>
            </w:r>
            <w:r>
              <w:rPr>
                <w:rFonts w:hint="eastAsia" w:ascii="宋体" w:hAnsi="宋体" w:eastAsia="宋体" w:cs="宋体"/>
                <w:color w:val="000000"/>
                <w:kern w:val="0"/>
                <w:sz w:val="21"/>
                <w:szCs w:val="21"/>
                <w:highlight w:val="none"/>
              </w:rPr>
              <w:t>文件的组成部分，对所有潜在供应商均具有约束力。</w:t>
            </w:r>
          </w:p>
        </w:tc>
      </w:tr>
      <w:tr w14:paraId="01708601">
        <w:tblPrEx>
          <w:tblCellMar>
            <w:top w:w="0" w:type="dxa"/>
            <w:left w:w="108" w:type="dxa"/>
            <w:bottom w:w="0" w:type="dxa"/>
            <w:right w:w="108" w:type="dxa"/>
          </w:tblCellMar>
        </w:tblPrEx>
        <w:trPr>
          <w:jc w:val="center"/>
        </w:trPr>
        <w:tc>
          <w:tcPr>
            <w:tcW w:w="625" w:type="pct"/>
            <w:tcBorders>
              <w:top w:val="single" w:color="auto" w:sz="4" w:space="0"/>
              <w:left w:val="single" w:color="auto" w:sz="4" w:space="0"/>
              <w:bottom w:val="single" w:color="auto" w:sz="4" w:space="0"/>
              <w:right w:val="single" w:color="auto" w:sz="4" w:space="0"/>
            </w:tcBorders>
            <w:noWrap w:val="0"/>
            <w:vAlign w:val="center"/>
          </w:tcPr>
          <w:p w14:paraId="6FE16463">
            <w:pPr>
              <w:pStyle w:val="118"/>
              <w:keepNext w:val="0"/>
              <w:keepLines w:val="0"/>
              <w:suppressLineNumbers w:val="0"/>
              <w:spacing w:before="62" w:beforeLines="20" w:beforeAutospacing="0" w:after="62" w:afterLines="20" w:afterAutospacing="0"/>
              <w:ind w:left="0" w:right="0"/>
              <w:jc w:val="center"/>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2.4.3</w:t>
            </w:r>
          </w:p>
        </w:tc>
        <w:tc>
          <w:tcPr>
            <w:tcW w:w="1205" w:type="pct"/>
            <w:tcBorders>
              <w:top w:val="single" w:color="auto" w:sz="4" w:space="0"/>
              <w:left w:val="single" w:color="auto" w:sz="4" w:space="0"/>
              <w:bottom w:val="single" w:color="auto" w:sz="4" w:space="0"/>
              <w:right w:val="single" w:color="auto" w:sz="4" w:space="0"/>
            </w:tcBorders>
            <w:noWrap w:val="0"/>
            <w:vAlign w:val="center"/>
          </w:tcPr>
          <w:p w14:paraId="535E2337">
            <w:pPr>
              <w:keepNext w:val="0"/>
              <w:keepLines w:val="0"/>
              <w:suppressLineNumbers w:val="0"/>
              <w:spacing w:before="62" w:beforeLines="20" w:beforeAutospacing="0" w:after="62" w:afterLines="20" w:afterAutospacing="0"/>
              <w:ind w:left="0" w:right="0"/>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投标人确认收到澄清或修改的截止时间和方式</w:t>
            </w:r>
          </w:p>
        </w:tc>
        <w:tc>
          <w:tcPr>
            <w:tcW w:w="3169" w:type="pct"/>
            <w:tcBorders>
              <w:top w:val="single" w:color="auto" w:sz="4" w:space="0"/>
              <w:left w:val="single" w:color="auto" w:sz="4" w:space="0"/>
              <w:bottom w:val="single" w:color="auto" w:sz="4" w:space="0"/>
              <w:right w:val="single" w:color="auto" w:sz="4" w:space="0"/>
            </w:tcBorders>
            <w:noWrap w:val="0"/>
            <w:vAlign w:val="center"/>
          </w:tcPr>
          <w:p w14:paraId="42603147">
            <w:pPr>
              <w:pStyle w:val="122"/>
              <w:keepNext w:val="0"/>
              <w:keepLines w:val="0"/>
              <w:suppressLineNumbers w:val="0"/>
              <w:topLinePunct/>
              <w:spacing w:before="62" w:beforeLines="20" w:beforeAutospacing="0" w:after="62" w:afterLines="20" w:afterAutospacing="0"/>
              <w:ind w:left="0" w:right="0"/>
              <w:rPr>
                <w:rFonts w:hint="eastAsia" w:ascii="宋体" w:hAnsi="宋体" w:eastAsia="宋体" w:cs="宋体"/>
                <w:b w:val="0"/>
                <w:bCs/>
                <w:color w:val="000000"/>
                <w:sz w:val="21"/>
                <w:szCs w:val="21"/>
                <w:highlight w:val="none"/>
                <w:u w:val="single"/>
                <w:lang w:eastAsia="zh-CN"/>
              </w:rPr>
            </w:pPr>
            <w:r>
              <w:rPr>
                <w:rFonts w:hint="eastAsia" w:ascii="宋体" w:hAnsi="宋体" w:eastAsia="宋体" w:cs="宋体"/>
                <w:b w:val="0"/>
                <w:bCs/>
                <w:color w:val="000000"/>
                <w:sz w:val="21"/>
                <w:szCs w:val="21"/>
                <w:highlight w:val="none"/>
              </w:rPr>
              <w:t>确认收到澄清或修改的时间：</w:t>
            </w:r>
            <w:r>
              <w:rPr>
                <w:rFonts w:hint="eastAsia" w:ascii="宋体" w:hAnsi="宋体" w:eastAsia="宋体" w:cs="宋体"/>
                <w:b w:val="0"/>
                <w:bCs/>
                <w:color w:val="000000"/>
                <w:sz w:val="21"/>
                <w:szCs w:val="21"/>
                <w:highlight w:val="none"/>
                <w:u w:val="single"/>
              </w:rPr>
              <w:t>收到招标文件澄清或修改通知后</w:t>
            </w:r>
            <w:r>
              <w:rPr>
                <w:rFonts w:hint="eastAsia" w:ascii="宋体" w:hAnsi="宋体" w:eastAsia="宋体" w:cs="宋体"/>
                <w:b w:val="0"/>
                <w:bCs/>
                <w:color w:val="000000"/>
                <w:sz w:val="21"/>
                <w:szCs w:val="21"/>
                <w:highlight w:val="none"/>
                <w:u w:val="single"/>
                <w:lang w:val="en-US" w:eastAsia="zh-CN"/>
              </w:rPr>
              <w:t>1</w:t>
            </w:r>
            <w:r>
              <w:rPr>
                <w:rFonts w:hint="eastAsia" w:ascii="宋体" w:hAnsi="宋体" w:eastAsia="宋体" w:cs="宋体"/>
                <w:b w:val="0"/>
                <w:bCs/>
                <w:color w:val="000000"/>
                <w:sz w:val="21"/>
                <w:szCs w:val="21"/>
                <w:highlight w:val="none"/>
                <w:u w:val="single"/>
              </w:rPr>
              <w:t>个工作日内</w:t>
            </w:r>
            <w:r>
              <w:rPr>
                <w:rFonts w:hint="eastAsia" w:ascii="宋体" w:hAnsi="宋体" w:eastAsia="宋体" w:cs="宋体"/>
                <w:b w:val="0"/>
                <w:bCs/>
                <w:color w:val="000000"/>
                <w:sz w:val="21"/>
                <w:szCs w:val="21"/>
                <w:highlight w:val="none"/>
                <w:u w:val="single"/>
                <w:lang w:eastAsia="zh-CN"/>
              </w:rPr>
              <w:t>。</w:t>
            </w:r>
          </w:p>
          <w:p w14:paraId="375C61CD">
            <w:pPr>
              <w:pStyle w:val="122"/>
              <w:keepNext w:val="0"/>
              <w:keepLines w:val="0"/>
              <w:suppressLineNumbers w:val="0"/>
              <w:topLinePunct/>
              <w:spacing w:before="62" w:beforeLines="20" w:beforeAutospacing="0" w:after="62" w:afterLines="20" w:afterAutospacing="0"/>
              <w:ind w:left="0" w:right="0"/>
              <w:rPr>
                <w:rFonts w:hint="eastAsia" w:ascii="宋体" w:hAnsi="宋体" w:eastAsia="宋体" w:cs="宋体"/>
                <w:color w:val="000000"/>
                <w:sz w:val="21"/>
                <w:szCs w:val="21"/>
                <w:highlight w:val="none"/>
                <w:u w:val="single"/>
                <w:lang w:eastAsia="zh-Hans"/>
              </w:rPr>
            </w:pPr>
            <w:r>
              <w:rPr>
                <w:rFonts w:hint="eastAsia" w:ascii="宋体" w:hAnsi="宋体" w:eastAsia="宋体" w:cs="宋体"/>
                <w:b w:val="0"/>
                <w:bCs/>
                <w:color w:val="000000"/>
                <w:sz w:val="21"/>
                <w:szCs w:val="21"/>
                <w:highlight w:val="none"/>
              </w:rPr>
              <w:t>确认收到澄清或修改文件的方式：确认收到澄清或修改文件的方式：将加盖单位公章的回执文件彩色扫描件发送至gcmcjkjt@163.com。</w:t>
            </w:r>
          </w:p>
        </w:tc>
      </w:tr>
      <w:tr w14:paraId="28A267DE">
        <w:tblPrEx>
          <w:tblCellMar>
            <w:top w:w="0" w:type="dxa"/>
            <w:left w:w="108" w:type="dxa"/>
            <w:bottom w:w="0" w:type="dxa"/>
            <w:right w:w="108" w:type="dxa"/>
          </w:tblCellMar>
        </w:tblPrEx>
        <w:trPr>
          <w:jc w:val="center"/>
        </w:trPr>
        <w:tc>
          <w:tcPr>
            <w:tcW w:w="625" w:type="pct"/>
            <w:tcBorders>
              <w:top w:val="single" w:color="auto" w:sz="4" w:space="0"/>
              <w:left w:val="single" w:color="auto" w:sz="4" w:space="0"/>
              <w:bottom w:val="single" w:color="auto" w:sz="4" w:space="0"/>
              <w:right w:val="single" w:color="auto" w:sz="4" w:space="0"/>
            </w:tcBorders>
            <w:noWrap w:val="0"/>
            <w:vAlign w:val="center"/>
          </w:tcPr>
          <w:p w14:paraId="582DDDDB">
            <w:pPr>
              <w:pStyle w:val="118"/>
              <w:keepNext w:val="0"/>
              <w:keepLines w:val="0"/>
              <w:suppressLineNumbers w:val="0"/>
              <w:spacing w:before="62" w:beforeLines="20" w:beforeAutospacing="0" w:after="62" w:afterLines="20" w:afterAutospacing="0"/>
              <w:ind w:left="0" w:right="0"/>
              <w:jc w:val="center"/>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3.1</w:t>
            </w:r>
          </w:p>
        </w:tc>
        <w:tc>
          <w:tcPr>
            <w:tcW w:w="1205" w:type="pct"/>
            <w:tcBorders>
              <w:top w:val="single" w:color="auto" w:sz="4" w:space="0"/>
              <w:left w:val="single" w:color="auto" w:sz="4" w:space="0"/>
              <w:bottom w:val="single" w:color="auto" w:sz="4" w:space="0"/>
              <w:right w:val="single" w:color="auto" w:sz="4" w:space="0"/>
            </w:tcBorders>
            <w:noWrap w:val="0"/>
            <w:vAlign w:val="center"/>
          </w:tcPr>
          <w:p w14:paraId="52BA0F8F">
            <w:pPr>
              <w:pStyle w:val="118"/>
              <w:keepNext w:val="0"/>
              <w:keepLines w:val="0"/>
              <w:suppressLineNumbers w:val="0"/>
              <w:spacing w:before="62" w:beforeLines="20" w:beforeAutospacing="0" w:after="62" w:afterLines="20" w:afterAutospacing="0"/>
              <w:ind w:left="0" w:right="0"/>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投标文件的组成</w:t>
            </w:r>
          </w:p>
        </w:tc>
        <w:tc>
          <w:tcPr>
            <w:tcW w:w="3169" w:type="pct"/>
            <w:tcBorders>
              <w:top w:val="single" w:color="auto" w:sz="4" w:space="0"/>
              <w:left w:val="single" w:color="auto" w:sz="4" w:space="0"/>
              <w:bottom w:val="single" w:color="auto" w:sz="4" w:space="0"/>
              <w:right w:val="single" w:color="auto" w:sz="4" w:space="0"/>
            </w:tcBorders>
            <w:noWrap w:val="0"/>
            <w:vAlign w:val="center"/>
          </w:tcPr>
          <w:p w14:paraId="52469DDE">
            <w:pPr>
              <w:pStyle w:val="122"/>
              <w:keepNext w:val="0"/>
              <w:keepLines w:val="0"/>
              <w:suppressLineNumbers w:val="0"/>
              <w:topLinePunct/>
              <w:spacing w:before="0" w:beforeAutospacing="0" w:after="0" w:afterAutospacing="0"/>
              <w:ind w:left="0" w:right="0"/>
              <w:rPr>
                <w:rFonts w:hint="eastAsia" w:hAnsi="宋体" w:cs="宋体"/>
                <w:bCs/>
                <w:color w:val="000000"/>
                <w:sz w:val="21"/>
                <w:szCs w:val="21"/>
                <w:highlight w:val="none"/>
              </w:rPr>
            </w:pPr>
            <w:r>
              <w:rPr>
                <w:rFonts w:hint="eastAsia" w:hAnsi="宋体" w:cs="宋体"/>
                <w:bCs/>
                <w:color w:val="000000"/>
                <w:sz w:val="21"/>
                <w:szCs w:val="21"/>
                <w:highlight w:val="none"/>
              </w:rPr>
              <w:t>投标文件按照以下架构顺序编制。</w:t>
            </w:r>
          </w:p>
          <w:p w14:paraId="50B05F93">
            <w:pPr>
              <w:pStyle w:val="122"/>
              <w:keepNext w:val="0"/>
              <w:keepLines w:val="0"/>
              <w:suppressLineNumbers w:val="0"/>
              <w:topLinePunct/>
              <w:spacing w:before="0" w:beforeAutospacing="0" w:after="0" w:afterAutospacing="0"/>
              <w:ind w:left="0" w:right="0"/>
              <w:rPr>
                <w:rFonts w:hint="eastAsia" w:hAnsi="宋体" w:cs="宋体"/>
                <w:bCs/>
                <w:color w:val="000000"/>
                <w:sz w:val="21"/>
                <w:szCs w:val="21"/>
                <w:highlight w:val="none"/>
              </w:rPr>
            </w:pPr>
            <w:r>
              <w:rPr>
                <w:rFonts w:hint="eastAsia" w:hAnsi="宋体" w:cs="宋体"/>
                <w:bCs/>
                <w:color w:val="000000"/>
                <w:sz w:val="21"/>
                <w:szCs w:val="21"/>
                <w:highlight w:val="none"/>
              </w:rPr>
              <w:t>本条款十分重要，请遵照办理。</w:t>
            </w:r>
          </w:p>
          <w:p w14:paraId="351CDCF6">
            <w:pPr>
              <w:pStyle w:val="122"/>
              <w:keepNext w:val="0"/>
              <w:keepLines w:val="0"/>
              <w:suppressLineNumbers w:val="0"/>
              <w:topLinePunct/>
              <w:spacing w:before="0" w:beforeAutospacing="0" w:after="0" w:afterAutospacing="0"/>
              <w:ind w:left="0" w:right="0"/>
              <w:rPr>
                <w:rFonts w:hint="eastAsia" w:hAnsi="宋体" w:cs="宋体"/>
                <w:bCs/>
                <w:color w:val="000000"/>
                <w:sz w:val="21"/>
                <w:szCs w:val="21"/>
                <w:highlight w:val="none"/>
              </w:rPr>
            </w:pPr>
            <w:r>
              <w:rPr>
                <w:rFonts w:hint="eastAsia" w:hAnsi="宋体" w:cs="宋体"/>
                <w:bCs/>
                <w:color w:val="000000"/>
                <w:sz w:val="21"/>
                <w:szCs w:val="21"/>
                <w:highlight w:val="none"/>
              </w:rPr>
              <w:t>初步评审索引表</w:t>
            </w:r>
          </w:p>
          <w:p w14:paraId="28B5F25D">
            <w:pPr>
              <w:pStyle w:val="122"/>
              <w:keepNext w:val="0"/>
              <w:keepLines w:val="0"/>
              <w:suppressLineNumbers w:val="0"/>
              <w:topLinePunct/>
              <w:spacing w:before="0" w:beforeAutospacing="0" w:after="0" w:afterAutospacing="0"/>
              <w:ind w:left="0" w:right="0"/>
              <w:rPr>
                <w:rFonts w:hint="eastAsia" w:hAnsi="宋体" w:cs="宋体"/>
                <w:bCs/>
                <w:color w:val="000000"/>
                <w:sz w:val="21"/>
                <w:szCs w:val="21"/>
                <w:highlight w:val="none"/>
              </w:rPr>
            </w:pPr>
            <w:r>
              <w:rPr>
                <w:rFonts w:hint="eastAsia" w:hAnsi="宋体" w:cs="宋体"/>
                <w:bCs/>
                <w:color w:val="000000"/>
                <w:sz w:val="21"/>
                <w:szCs w:val="21"/>
                <w:highlight w:val="none"/>
              </w:rPr>
              <w:t>详细评审索引表</w:t>
            </w:r>
          </w:p>
          <w:p w14:paraId="5E397805">
            <w:pPr>
              <w:pStyle w:val="122"/>
              <w:keepNext w:val="0"/>
              <w:keepLines w:val="0"/>
              <w:suppressLineNumbers w:val="0"/>
              <w:topLinePunct/>
              <w:spacing w:before="0" w:beforeAutospacing="0" w:after="0" w:afterAutospacing="0"/>
              <w:ind w:left="0" w:right="0"/>
              <w:rPr>
                <w:rFonts w:hint="eastAsia" w:hAnsi="宋体" w:cs="宋体"/>
                <w:bCs/>
                <w:color w:val="000000"/>
                <w:sz w:val="21"/>
                <w:szCs w:val="21"/>
                <w:highlight w:val="none"/>
              </w:rPr>
            </w:pPr>
            <w:r>
              <w:rPr>
                <w:rFonts w:hint="eastAsia" w:hAnsi="宋体" w:cs="宋体"/>
                <w:bCs/>
                <w:color w:val="000000"/>
                <w:sz w:val="21"/>
                <w:szCs w:val="21"/>
                <w:highlight w:val="none"/>
              </w:rPr>
              <w:t>一、商务部分</w:t>
            </w:r>
          </w:p>
          <w:p w14:paraId="3C75E5AC">
            <w:pPr>
              <w:pStyle w:val="122"/>
              <w:keepNext w:val="0"/>
              <w:keepLines w:val="0"/>
              <w:suppressLineNumbers w:val="0"/>
              <w:topLinePunct/>
              <w:spacing w:before="0" w:beforeAutospacing="0" w:after="0" w:afterAutospacing="0"/>
              <w:ind w:left="0" w:right="0"/>
              <w:rPr>
                <w:rFonts w:hint="eastAsia" w:hAnsi="宋体" w:cs="宋体"/>
                <w:bCs/>
                <w:color w:val="000000"/>
                <w:sz w:val="21"/>
                <w:szCs w:val="21"/>
                <w:highlight w:val="none"/>
              </w:rPr>
            </w:pPr>
            <w:r>
              <w:rPr>
                <w:rFonts w:hint="eastAsia" w:hAnsi="宋体" w:cs="宋体"/>
                <w:bCs/>
                <w:color w:val="000000"/>
                <w:sz w:val="21"/>
                <w:szCs w:val="21"/>
                <w:highlight w:val="none"/>
              </w:rPr>
              <w:t>（一）投标函</w:t>
            </w:r>
          </w:p>
          <w:p w14:paraId="11BEF05C">
            <w:pPr>
              <w:pStyle w:val="122"/>
              <w:keepNext w:val="0"/>
              <w:keepLines w:val="0"/>
              <w:suppressLineNumbers w:val="0"/>
              <w:topLinePunct/>
              <w:spacing w:before="0" w:beforeAutospacing="0" w:after="0" w:afterAutospacing="0"/>
              <w:ind w:left="0" w:right="0"/>
              <w:rPr>
                <w:rFonts w:hint="eastAsia" w:hAnsi="宋体" w:cs="宋体"/>
                <w:bCs/>
                <w:color w:val="000000"/>
                <w:sz w:val="21"/>
                <w:szCs w:val="21"/>
                <w:highlight w:val="none"/>
              </w:rPr>
            </w:pPr>
            <w:r>
              <w:rPr>
                <w:rFonts w:hint="eastAsia" w:hAnsi="宋体" w:cs="宋体"/>
                <w:bCs/>
                <w:color w:val="000000"/>
                <w:sz w:val="21"/>
                <w:szCs w:val="21"/>
                <w:highlight w:val="none"/>
              </w:rPr>
              <w:t>（二）法定代表人（负责人）身份证明</w:t>
            </w:r>
          </w:p>
          <w:p w14:paraId="6F5DABBD">
            <w:pPr>
              <w:pStyle w:val="122"/>
              <w:keepNext w:val="0"/>
              <w:keepLines w:val="0"/>
              <w:suppressLineNumbers w:val="0"/>
              <w:topLinePunct/>
              <w:spacing w:before="0" w:beforeAutospacing="0" w:after="0" w:afterAutospacing="0"/>
              <w:ind w:left="0" w:right="0"/>
              <w:rPr>
                <w:rFonts w:hint="eastAsia" w:hAnsi="宋体" w:cs="宋体"/>
                <w:bCs/>
                <w:color w:val="000000"/>
                <w:sz w:val="21"/>
                <w:szCs w:val="21"/>
                <w:highlight w:val="none"/>
              </w:rPr>
            </w:pPr>
            <w:r>
              <w:rPr>
                <w:rFonts w:hint="eastAsia" w:hAnsi="宋体" w:cs="宋体"/>
                <w:bCs/>
                <w:color w:val="000000"/>
                <w:sz w:val="21"/>
                <w:szCs w:val="21"/>
                <w:highlight w:val="none"/>
              </w:rPr>
              <w:t>（三）法定代表人（负责人）授权委托书</w:t>
            </w:r>
          </w:p>
          <w:p w14:paraId="0FEF0AD0">
            <w:pPr>
              <w:pStyle w:val="122"/>
              <w:keepNext w:val="0"/>
              <w:keepLines w:val="0"/>
              <w:suppressLineNumbers w:val="0"/>
              <w:topLinePunct/>
              <w:spacing w:before="0" w:beforeAutospacing="0" w:after="0" w:afterAutospacing="0"/>
              <w:ind w:left="0" w:right="0"/>
              <w:rPr>
                <w:rFonts w:hint="eastAsia" w:hAnsi="宋体" w:cs="宋体"/>
                <w:bCs/>
                <w:color w:val="000000"/>
                <w:sz w:val="21"/>
                <w:szCs w:val="21"/>
                <w:highlight w:val="none"/>
              </w:rPr>
            </w:pPr>
            <w:r>
              <w:rPr>
                <w:rFonts w:hint="eastAsia" w:hAnsi="宋体" w:cs="宋体"/>
                <w:bCs/>
                <w:color w:val="000000"/>
                <w:sz w:val="21"/>
                <w:szCs w:val="21"/>
                <w:highlight w:val="none"/>
              </w:rPr>
              <w:t>（四）资格证明文件</w:t>
            </w:r>
          </w:p>
          <w:p w14:paraId="013C4F56">
            <w:pPr>
              <w:pStyle w:val="122"/>
              <w:keepNext w:val="0"/>
              <w:keepLines w:val="0"/>
              <w:suppressLineNumbers w:val="0"/>
              <w:topLinePunct/>
              <w:spacing w:before="0" w:beforeAutospacing="0" w:after="0" w:afterAutospacing="0"/>
              <w:ind w:left="0" w:right="0"/>
              <w:rPr>
                <w:rFonts w:hint="eastAsia" w:hAnsi="宋体" w:cs="宋体"/>
                <w:bCs/>
                <w:color w:val="000000"/>
                <w:sz w:val="21"/>
                <w:szCs w:val="21"/>
                <w:highlight w:val="none"/>
              </w:rPr>
            </w:pPr>
            <w:r>
              <w:rPr>
                <w:rFonts w:hint="eastAsia" w:hAnsi="宋体" w:cs="宋体"/>
                <w:bCs/>
                <w:color w:val="000000"/>
                <w:sz w:val="21"/>
                <w:szCs w:val="21"/>
                <w:highlight w:val="none"/>
              </w:rPr>
              <w:t>（五）投标人须知应答偏离表</w:t>
            </w:r>
          </w:p>
          <w:p w14:paraId="52DC09EC">
            <w:pPr>
              <w:pStyle w:val="122"/>
              <w:keepNext w:val="0"/>
              <w:keepLines w:val="0"/>
              <w:suppressLineNumbers w:val="0"/>
              <w:topLinePunct/>
              <w:spacing w:before="0" w:beforeAutospacing="0" w:after="0" w:afterAutospacing="0"/>
              <w:ind w:left="0" w:right="0"/>
              <w:rPr>
                <w:rFonts w:hint="eastAsia" w:hAnsi="宋体" w:cs="宋体"/>
                <w:bCs/>
                <w:color w:val="000000"/>
                <w:sz w:val="21"/>
                <w:szCs w:val="21"/>
                <w:highlight w:val="none"/>
              </w:rPr>
            </w:pPr>
            <w:r>
              <w:rPr>
                <w:rFonts w:hint="eastAsia" w:hAnsi="宋体" w:cs="宋体"/>
                <w:bCs/>
                <w:color w:val="000000"/>
                <w:sz w:val="21"/>
                <w:szCs w:val="21"/>
                <w:highlight w:val="none"/>
              </w:rPr>
              <w:t>（六）合同条款应答偏离表</w:t>
            </w:r>
          </w:p>
          <w:p w14:paraId="04EFD839">
            <w:pPr>
              <w:pStyle w:val="122"/>
              <w:keepNext w:val="0"/>
              <w:keepLines w:val="0"/>
              <w:suppressLineNumbers w:val="0"/>
              <w:topLinePunct/>
              <w:spacing w:before="0" w:beforeAutospacing="0" w:after="0" w:afterAutospacing="0"/>
              <w:ind w:left="0" w:right="0"/>
              <w:rPr>
                <w:rFonts w:hint="eastAsia" w:hAnsi="宋体" w:cs="宋体"/>
                <w:bCs/>
                <w:color w:val="000000"/>
                <w:sz w:val="21"/>
                <w:szCs w:val="21"/>
                <w:highlight w:val="none"/>
              </w:rPr>
            </w:pPr>
            <w:r>
              <w:rPr>
                <w:rFonts w:hint="eastAsia" w:hAnsi="宋体" w:cs="宋体"/>
                <w:bCs/>
                <w:color w:val="000000"/>
                <w:sz w:val="21"/>
                <w:szCs w:val="21"/>
                <w:highlight w:val="none"/>
              </w:rPr>
              <w:t>（七）供应商行为准则承诺书</w:t>
            </w:r>
          </w:p>
          <w:p w14:paraId="4C40B86E">
            <w:pPr>
              <w:pStyle w:val="122"/>
              <w:keepNext w:val="0"/>
              <w:keepLines w:val="0"/>
              <w:suppressLineNumbers w:val="0"/>
              <w:topLinePunct/>
              <w:spacing w:before="0" w:beforeAutospacing="0" w:after="0" w:afterAutospacing="0"/>
              <w:ind w:left="0" w:right="0"/>
              <w:rPr>
                <w:rFonts w:hint="eastAsia" w:hAnsi="宋体" w:cs="宋体"/>
                <w:bCs/>
                <w:color w:val="000000"/>
                <w:sz w:val="21"/>
                <w:szCs w:val="21"/>
                <w:highlight w:val="none"/>
              </w:rPr>
            </w:pPr>
            <w:r>
              <w:rPr>
                <w:rFonts w:hint="eastAsia" w:hAnsi="宋体" w:cs="宋体"/>
                <w:bCs/>
                <w:color w:val="000000"/>
                <w:sz w:val="21"/>
                <w:szCs w:val="21"/>
                <w:highlight w:val="none"/>
              </w:rPr>
              <w:t>（八）供应商廉洁诚信承诺书</w:t>
            </w:r>
          </w:p>
          <w:p w14:paraId="2355ECCB">
            <w:pPr>
              <w:pStyle w:val="122"/>
              <w:keepNext w:val="0"/>
              <w:keepLines w:val="0"/>
              <w:suppressLineNumbers w:val="0"/>
              <w:topLinePunct/>
              <w:spacing w:before="0" w:beforeAutospacing="0" w:after="0" w:afterAutospacing="0"/>
              <w:ind w:left="0" w:right="0"/>
              <w:rPr>
                <w:rFonts w:hint="eastAsia" w:hAnsi="宋体" w:cs="宋体"/>
                <w:bCs/>
                <w:color w:val="000000"/>
                <w:sz w:val="21"/>
                <w:szCs w:val="21"/>
                <w:highlight w:val="none"/>
              </w:rPr>
            </w:pPr>
            <w:r>
              <w:rPr>
                <w:rFonts w:hint="eastAsia" w:hAnsi="宋体" w:cs="宋体"/>
                <w:bCs/>
                <w:color w:val="000000"/>
                <w:sz w:val="21"/>
                <w:szCs w:val="21"/>
                <w:highlight w:val="none"/>
              </w:rPr>
              <w:t>（九）其他材料（如有）</w:t>
            </w:r>
          </w:p>
          <w:p w14:paraId="433E2C79">
            <w:pPr>
              <w:pStyle w:val="122"/>
              <w:keepNext w:val="0"/>
              <w:keepLines w:val="0"/>
              <w:suppressLineNumbers w:val="0"/>
              <w:topLinePunct/>
              <w:spacing w:before="0" w:beforeAutospacing="0" w:after="0" w:afterAutospacing="0"/>
              <w:ind w:left="0" w:right="0"/>
              <w:rPr>
                <w:rFonts w:hint="eastAsia" w:hAnsi="宋体" w:cs="宋体"/>
                <w:bCs/>
                <w:color w:val="000000"/>
                <w:sz w:val="21"/>
                <w:szCs w:val="21"/>
                <w:highlight w:val="none"/>
              </w:rPr>
            </w:pPr>
            <w:r>
              <w:rPr>
                <w:rFonts w:hint="eastAsia" w:hAnsi="宋体" w:cs="宋体"/>
                <w:bCs/>
                <w:color w:val="000000"/>
                <w:sz w:val="21"/>
                <w:szCs w:val="21"/>
                <w:highlight w:val="none"/>
              </w:rPr>
              <w:t>二、技术部分</w:t>
            </w:r>
          </w:p>
          <w:p w14:paraId="14418141">
            <w:pPr>
              <w:pStyle w:val="122"/>
              <w:keepNext w:val="0"/>
              <w:keepLines w:val="0"/>
              <w:suppressLineNumbers w:val="0"/>
              <w:topLinePunct/>
              <w:spacing w:before="0" w:beforeAutospacing="0" w:after="0" w:afterAutospacing="0"/>
              <w:ind w:left="0" w:right="0"/>
              <w:rPr>
                <w:rFonts w:hint="eastAsia" w:hAnsi="宋体" w:cs="宋体"/>
                <w:bCs/>
                <w:color w:val="000000"/>
                <w:sz w:val="21"/>
                <w:szCs w:val="21"/>
                <w:highlight w:val="none"/>
              </w:rPr>
            </w:pPr>
            <w:r>
              <w:rPr>
                <w:rFonts w:hint="eastAsia" w:hAnsi="宋体" w:cs="宋体"/>
                <w:bCs/>
                <w:color w:val="000000"/>
                <w:sz w:val="21"/>
                <w:szCs w:val="21"/>
                <w:highlight w:val="none"/>
              </w:rPr>
              <w:t>（一）技术规范书应答偏离表</w:t>
            </w:r>
          </w:p>
          <w:p w14:paraId="30D31B8A">
            <w:pPr>
              <w:pStyle w:val="122"/>
              <w:keepNext w:val="0"/>
              <w:keepLines w:val="0"/>
              <w:suppressLineNumbers w:val="0"/>
              <w:topLinePunct/>
              <w:spacing w:before="0" w:beforeAutospacing="0" w:after="0" w:afterAutospacing="0"/>
              <w:ind w:left="0" w:right="0"/>
              <w:rPr>
                <w:rFonts w:hint="eastAsia" w:hAnsi="宋体" w:cs="宋体"/>
                <w:bCs/>
                <w:color w:val="000000"/>
                <w:sz w:val="21"/>
                <w:szCs w:val="21"/>
                <w:highlight w:val="none"/>
              </w:rPr>
            </w:pPr>
            <w:r>
              <w:rPr>
                <w:rFonts w:hint="eastAsia" w:hAnsi="宋体" w:cs="宋体"/>
                <w:bCs/>
                <w:color w:val="000000"/>
                <w:sz w:val="21"/>
                <w:szCs w:val="21"/>
                <w:highlight w:val="none"/>
              </w:rPr>
              <w:t>（二）技术方案</w:t>
            </w:r>
          </w:p>
          <w:p w14:paraId="526E3905">
            <w:pPr>
              <w:pStyle w:val="122"/>
              <w:keepNext w:val="0"/>
              <w:keepLines w:val="0"/>
              <w:suppressLineNumbers w:val="0"/>
              <w:topLinePunct/>
              <w:spacing w:before="0" w:beforeAutospacing="0" w:after="0" w:afterAutospacing="0"/>
              <w:ind w:left="0" w:right="0"/>
              <w:rPr>
                <w:rFonts w:hint="eastAsia" w:hAnsi="宋体" w:cs="宋体"/>
                <w:bCs/>
                <w:color w:val="000000"/>
                <w:sz w:val="21"/>
                <w:szCs w:val="21"/>
                <w:highlight w:val="none"/>
              </w:rPr>
            </w:pPr>
            <w:r>
              <w:rPr>
                <w:rFonts w:hint="eastAsia" w:hAnsi="宋体" w:cs="宋体"/>
                <w:bCs/>
                <w:color w:val="000000"/>
                <w:sz w:val="21"/>
                <w:szCs w:val="21"/>
                <w:highlight w:val="none"/>
              </w:rPr>
              <w:t>（三）其他材料（如有）</w:t>
            </w:r>
          </w:p>
          <w:p w14:paraId="6D2CCE4E">
            <w:pPr>
              <w:pStyle w:val="122"/>
              <w:keepNext w:val="0"/>
              <w:keepLines w:val="0"/>
              <w:suppressLineNumbers w:val="0"/>
              <w:topLinePunct/>
              <w:spacing w:before="0" w:beforeAutospacing="0" w:after="0" w:afterAutospacing="0"/>
              <w:ind w:left="0" w:right="0"/>
              <w:rPr>
                <w:rFonts w:hint="eastAsia" w:hAnsi="宋体" w:cs="宋体"/>
                <w:bCs/>
                <w:color w:val="000000"/>
                <w:sz w:val="21"/>
                <w:szCs w:val="21"/>
                <w:highlight w:val="none"/>
              </w:rPr>
            </w:pPr>
            <w:r>
              <w:rPr>
                <w:rFonts w:hint="eastAsia" w:hAnsi="宋体" w:cs="宋体"/>
                <w:bCs/>
                <w:color w:val="000000"/>
                <w:sz w:val="21"/>
                <w:szCs w:val="21"/>
                <w:highlight w:val="none"/>
              </w:rPr>
              <w:t>三、报价部分</w:t>
            </w:r>
          </w:p>
          <w:p w14:paraId="0873CC8C">
            <w:pPr>
              <w:pStyle w:val="122"/>
              <w:keepNext w:val="0"/>
              <w:keepLines w:val="0"/>
              <w:suppressLineNumbers w:val="0"/>
              <w:topLinePunct/>
              <w:spacing w:before="0" w:beforeAutospacing="0" w:after="0" w:afterAutospacing="0"/>
              <w:ind w:left="0" w:right="0"/>
              <w:rPr>
                <w:rFonts w:hint="eastAsia" w:hAnsi="宋体" w:cs="宋体"/>
                <w:bCs/>
                <w:color w:val="000000"/>
                <w:sz w:val="21"/>
                <w:szCs w:val="21"/>
                <w:highlight w:val="none"/>
              </w:rPr>
            </w:pPr>
            <w:r>
              <w:rPr>
                <w:rFonts w:hint="eastAsia" w:hAnsi="宋体" w:cs="宋体"/>
                <w:bCs/>
                <w:color w:val="000000"/>
                <w:sz w:val="21"/>
                <w:szCs w:val="21"/>
                <w:highlight w:val="none"/>
              </w:rPr>
              <w:t>（一）投标一览表</w:t>
            </w:r>
          </w:p>
          <w:p w14:paraId="383CA21F">
            <w:pPr>
              <w:pStyle w:val="122"/>
              <w:keepNext w:val="0"/>
              <w:keepLines w:val="0"/>
              <w:suppressLineNumbers w:val="0"/>
              <w:topLinePunct/>
              <w:spacing w:before="0" w:beforeAutospacing="0" w:after="0" w:afterAutospacing="0"/>
              <w:ind w:left="0" w:right="0"/>
              <w:rPr>
                <w:rFonts w:hint="default" w:ascii="宋体" w:hAnsi="宋体" w:eastAsia="宋体" w:cs="宋体"/>
                <w:bCs/>
                <w:color w:val="000000"/>
                <w:sz w:val="21"/>
                <w:szCs w:val="20"/>
                <w:highlight w:val="none"/>
                <w:lang w:val="en-US" w:eastAsia="zh-CN"/>
              </w:rPr>
            </w:pPr>
            <w:r>
              <w:rPr>
                <w:rFonts w:hint="eastAsia" w:hAnsi="宋体" w:cs="宋体"/>
                <w:bCs/>
                <w:color w:val="000000"/>
                <w:sz w:val="21"/>
                <w:szCs w:val="21"/>
                <w:highlight w:val="none"/>
              </w:rPr>
              <w:t>（二）分项报价表（如有）</w:t>
            </w:r>
          </w:p>
        </w:tc>
      </w:tr>
      <w:tr w14:paraId="556FB219">
        <w:tblPrEx>
          <w:tblCellMar>
            <w:top w:w="0" w:type="dxa"/>
            <w:left w:w="108" w:type="dxa"/>
            <w:bottom w:w="0" w:type="dxa"/>
            <w:right w:w="108" w:type="dxa"/>
          </w:tblCellMar>
        </w:tblPrEx>
        <w:trPr>
          <w:jc w:val="center"/>
        </w:trPr>
        <w:tc>
          <w:tcPr>
            <w:tcW w:w="625" w:type="pct"/>
            <w:tcBorders>
              <w:top w:val="single" w:color="auto" w:sz="4" w:space="0"/>
              <w:left w:val="single" w:color="auto" w:sz="4" w:space="0"/>
              <w:bottom w:val="single" w:color="auto" w:sz="4" w:space="0"/>
              <w:right w:val="single" w:color="auto" w:sz="4" w:space="0"/>
            </w:tcBorders>
            <w:noWrap w:val="0"/>
            <w:vAlign w:val="center"/>
          </w:tcPr>
          <w:p w14:paraId="2FC07788">
            <w:pPr>
              <w:pStyle w:val="118"/>
              <w:keepNext w:val="0"/>
              <w:keepLines w:val="0"/>
              <w:suppressLineNumbers w:val="0"/>
              <w:spacing w:before="62" w:beforeLines="20" w:beforeAutospacing="0" w:after="62" w:afterLines="20" w:afterAutospacing="0"/>
              <w:ind w:left="0" w:right="0"/>
              <w:jc w:val="center"/>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3.2</w:t>
            </w:r>
          </w:p>
        </w:tc>
        <w:tc>
          <w:tcPr>
            <w:tcW w:w="1205" w:type="pct"/>
            <w:tcBorders>
              <w:top w:val="single" w:color="auto" w:sz="4" w:space="0"/>
              <w:left w:val="single" w:color="auto" w:sz="4" w:space="0"/>
              <w:bottom w:val="single" w:color="auto" w:sz="4" w:space="0"/>
              <w:right w:val="single" w:color="auto" w:sz="4" w:space="0"/>
            </w:tcBorders>
            <w:noWrap w:val="0"/>
            <w:vAlign w:val="center"/>
          </w:tcPr>
          <w:p w14:paraId="34027F04">
            <w:pPr>
              <w:keepNext w:val="0"/>
              <w:keepLines w:val="0"/>
              <w:suppressLineNumbers w:val="0"/>
              <w:spacing w:before="62" w:beforeLines="20" w:beforeAutospacing="0" w:after="62" w:afterLines="20" w:afterAutospacing="0"/>
              <w:ind w:left="0" w:right="0"/>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投标文件应答和编写</w:t>
            </w:r>
          </w:p>
        </w:tc>
        <w:tc>
          <w:tcPr>
            <w:tcW w:w="3169" w:type="pct"/>
            <w:tcBorders>
              <w:top w:val="single" w:color="auto" w:sz="4" w:space="0"/>
              <w:left w:val="single" w:color="auto" w:sz="4" w:space="0"/>
              <w:bottom w:val="single" w:color="auto" w:sz="4" w:space="0"/>
              <w:right w:val="single" w:color="auto" w:sz="4" w:space="0"/>
            </w:tcBorders>
            <w:noWrap w:val="0"/>
            <w:vAlign w:val="center"/>
          </w:tcPr>
          <w:p w14:paraId="6213013A">
            <w:pPr>
              <w:keepNext w:val="0"/>
              <w:keepLines w:val="0"/>
              <w:suppressLineNumbers w:val="0"/>
              <w:tabs>
                <w:tab w:val="left" w:pos="318"/>
              </w:tabs>
              <w:spacing w:before="62" w:beforeLines="20" w:beforeAutospacing="0" w:after="62" w:afterLines="20" w:afterAutospacing="0"/>
              <w:ind w:left="0" w:right="0"/>
              <w:rPr>
                <w:rFonts w:hint="eastAsia" w:ascii="宋体" w:hAnsi="宋体" w:eastAsia="宋体" w:cs="宋体"/>
                <w:szCs w:val="20"/>
                <w:highlight w:val="none"/>
              </w:rPr>
            </w:pPr>
            <w:r>
              <w:rPr>
                <w:rFonts w:hint="eastAsia" w:ascii="宋体" w:hAnsi="宋体" w:eastAsia="宋体" w:cs="宋体"/>
                <w:szCs w:val="20"/>
                <w:highlight w:val="none"/>
              </w:rPr>
              <w:t>（1）投标人应当逐条对照第二章投标人须知、第四章合同条款进行偏离表应答，只能使用“满足”和“不满足”进行应答。如有“不满足”项，在偏离表中标明条款序号，应答“不满足”并加以详细的解释说明；</w:t>
            </w:r>
            <w:r>
              <w:rPr>
                <w:rFonts w:hint="eastAsia" w:ascii="宋体" w:hAnsi="宋体" w:eastAsia="宋体" w:cs="宋体"/>
                <w:b/>
                <w:bCs/>
                <w:szCs w:val="20"/>
                <w:highlight w:val="none"/>
              </w:rPr>
              <w:t>如全部满足，在偏离表中应答“全部满足”即可</w:t>
            </w:r>
            <w:r>
              <w:rPr>
                <w:rFonts w:hint="eastAsia" w:ascii="宋体" w:hAnsi="宋体" w:eastAsia="宋体" w:cs="宋体"/>
                <w:szCs w:val="20"/>
                <w:highlight w:val="none"/>
              </w:rPr>
              <w:t>，不应再附加任何说明（招标文件中要求进行解释或提出建议的除外）。</w:t>
            </w:r>
          </w:p>
          <w:p w14:paraId="3AD7DEEC">
            <w:pPr>
              <w:keepNext w:val="0"/>
              <w:keepLines w:val="0"/>
              <w:suppressLineNumbers w:val="0"/>
              <w:tabs>
                <w:tab w:val="left" w:pos="318"/>
              </w:tabs>
              <w:spacing w:before="62" w:beforeLines="20" w:beforeAutospacing="0" w:after="62" w:afterLines="20" w:afterAutospacing="0"/>
              <w:ind w:left="0" w:right="0"/>
              <w:rPr>
                <w:rFonts w:hint="eastAsia" w:ascii="宋体" w:hAnsi="宋体" w:eastAsia="宋体" w:cs="宋体"/>
                <w:szCs w:val="20"/>
                <w:highlight w:val="none"/>
              </w:rPr>
            </w:pPr>
            <w:r>
              <w:rPr>
                <w:rFonts w:hint="eastAsia" w:ascii="宋体" w:hAnsi="宋体" w:eastAsia="宋体" w:cs="宋体"/>
                <w:szCs w:val="20"/>
                <w:highlight w:val="none"/>
              </w:rPr>
              <w:t>（2）投标人应当逐条对照第五章技术规范书进行偏离表应答。只能使用“满足”和“不满足”进行应答，不得使用“明白”、“理解”等词语。投标人认为满足并优于技术规范书要求的条款，应答“满足”并解释说明优于的具体程度；如有“不满足”项，在偏离表中标明条款序号，应答“不满足”并加以详细的解释说明；</w:t>
            </w:r>
            <w:r>
              <w:rPr>
                <w:rFonts w:hint="eastAsia" w:ascii="宋体" w:hAnsi="宋体" w:eastAsia="宋体" w:cs="宋体"/>
                <w:b/>
                <w:bCs/>
                <w:szCs w:val="20"/>
                <w:highlight w:val="none"/>
              </w:rPr>
              <w:t>如全部满足，在偏离表中应答“全部满足”即可</w:t>
            </w:r>
            <w:r>
              <w:rPr>
                <w:rFonts w:hint="eastAsia" w:ascii="宋体" w:hAnsi="宋体" w:eastAsia="宋体" w:cs="宋体"/>
                <w:szCs w:val="20"/>
                <w:highlight w:val="none"/>
              </w:rPr>
              <w:t>，不应再附加任何说明（招标文件中要求进行解释或提出建议的除外）。</w:t>
            </w:r>
          </w:p>
          <w:p w14:paraId="2EAF5BB6">
            <w:pPr>
              <w:keepNext w:val="0"/>
              <w:keepLines w:val="0"/>
              <w:suppressLineNumbers w:val="0"/>
              <w:autoSpaceDE w:val="0"/>
              <w:autoSpaceDN w:val="0"/>
              <w:spacing w:before="0" w:beforeAutospacing="0" w:after="0" w:afterAutospacing="0" w:line="276" w:lineRule="auto"/>
              <w:ind w:left="0" w:right="0"/>
              <w:rPr>
                <w:rFonts w:hint="eastAsia" w:ascii="宋体" w:hAnsi="宋体" w:eastAsia="宋体" w:cs="宋体"/>
                <w:szCs w:val="20"/>
                <w:highlight w:val="none"/>
              </w:rPr>
            </w:pPr>
            <w:r>
              <w:rPr>
                <w:rFonts w:hint="eastAsia" w:ascii="宋体" w:hAnsi="宋体" w:eastAsia="宋体" w:cs="宋体"/>
                <w:bCs/>
                <w:szCs w:val="21"/>
                <w:highlight w:val="none"/>
              </w:rPr>
              <w:t>（3）</w:t>
            </w:r>
            <w:bookmarkStart w:id="62" w:name="_Hlk173251213"/>
            <w:r>
              <w:rPr>
                <w:rFonts w:hint="eastAsia" w:ascii="宋体" w:hAnsi="宋体" w:eastAsia="宋体" w:cs="宋体"/>
                <w:bCs/>
                <w:szCs w:val="21"/>
                <w:highlight w:val="none"/>
              </w:rPr>
              <w:t>对于招标文件中提及的原件或复印件要求，照片件、扫描件、影印件、截图件等与其具有同等效力（招标文件有特殊要求的除外）。</w:t>
            </w:r>
            <w:bookmarkEnd w:id="62"/>
          </w:p>
        </w:tc>
      </w:tr>
      <w:tr w14:paraId="7EBBD71D">
        <w:tblPrEx>
          <w:tblCellMar>
            <w:top w:w="0" w:type="dxa"/>
            <w:left w:w="108" w:type="dxa"/>
            <w:bottom w:w="0" w:type="dxa"/>
            <w:right w:w="108" w:type="dxa"/>
          </w:tblCellMar>
        </w:tblPrEx>
        <w:trPr>
          <w:jc w:val="center"/>
        </w:trPr>
        <w:tc>
          <w:tcPr>
            <w:tcW w:w="625" w:type="pct"/>
            <w:tcBorders>
              <w:top w:val="single" w:color="auto" w:sz="4" w:space="0"/>
              <w:left w:val="single" w:color="auto" w:sz="4" w:space="0"/>
              <w:bottom w:val="single" w:color="auto" w:sz="4" w:space="0"/>
              <w:right w:val="single" w:color="auto" w:sz="4" w:space="0"/>
            </w:tcBorders>
            <w:noWrap w:val="0"/>
            <w:vAlign w:val="center"/>
          </w:tcPr>
          <w:p w14:paraId="5EA18BBF">
            <w:pPr>
              <w:pStyle w:val="118"/>
              <w:keepNext w:val="0"/>
              <w:keepLines w:val="0"/>
              <w:suppressLineNumbers w:val="0"/>
              <w:spacing w:before="62" w:beforeLines="20" w:beforeAutospacing="0" w:after="62" w:afterLines="20" w:afterAutospacing="0"/>
              <w:ind w:left="0" w:right="0"/>
              <w:jc w:val="center"/>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3.2.4</w:t>
            </w:r>
          </w:p>
        </w:tc>
        <w:tc>
          <w:tcPr>
            <w:tcW w:w="1205" w:type="pct"/>
            <w:tcBorders>
              <w:top w:val="single" w:color="auto" w:sz="4" w:space="0"/>
              <w:left w:val="single" w:color="auto" w:sz="4" w:space="0"/>
              <w:bottom w:val="single" w:color="auto" w:sz="4" w:space="0"/>
              <w:right w:val="single" w:color="auto" w:sz="4" w:space="0"/>
            </w:tcBorders>
            <w:noWrap w:val="0"/>
            <w:vAlign w:val="center"/>
          </w:tcPr>
          <w:p w14:paraId="79F6DBB0">
            <w:pPr>
              <w:keepNext w:val="0"/>
              <w:keepLines w:val="0"/>
              <w:suppressLineNumbers w:val="0"/>
              <w:spacing w:before="62" w:beforeLines="20" w:beforeAutospacing="0" w:after="62" w:afterLines="20" w:afterAutospacing="0"/>
              <w:ind w:left="0" w:right="0"/>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★投标文件的盖章或签字要求</w:t>
            </w:r>
          </w:p>
        </w:tc>
        <w:tc>
          <w:tcPr>
            <w:tcW w:w="3169" w:type="pct"/>
            <w:tcBorders>
              <w:top w:val="single" w:color="auto" w:sz="4" w:space="0"/>
              <w:left w:val="single" w:color="auto" w:sz="4" w:space="0"/>
              <w:bottom w:val="single" w:color="auto" w:sz="4" w:space="0"/>
              <w:right w:val="single" w:color="auto" w:sz="4" w:space="0"/>
            </w:tcBorders>
            <w:noWrap w:val="0"/>
            <w:vAlign w:val="center"/>
          </w:tcPr>
          <w:p w14:paraId="06DCB33A">
            <w:pPr>
              <w:pStyle w:val="122"/>
              <w:keepNext w:val="0"/>
              <w:keepLines w:val="0"/>
              <w:suppressLineNumbers w:val="0"/>
              <w:topLinePunct/>
              <w:spacing w:before="62" w:beforeLines="20" w:beforeAutospacing="0" w:after="62" w:afterLines="20" w:afterAutospacing="0"/>
              <w:ind w:left="0" w:right="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（1）《法定代表人（负责人）身份证明》的落款处应</w:t>
            </w:r>
            <w:r>
              <w:rPr>
                <w:rFonts w:hint="eastAsia" w:ascii="宋体" w:hAnsi="宋体" w:eastAsia="宋体" w:cs="宋体"/>
                <w:sz w:val="21"/>
                <w:szCs w:val="21"/>
                <w:highlight w:val="none"/>
              </w:rPr>
              <w:t>加盖公章</w:t>
            </w:r>
            <w:r>
              <w:rPr>
                <w:rFonts w:hint="eastAsia" w:ascii="宋体" w:hAnsi="宋体" w:eastAsia="宋体" w:cs="宋体"/>
                <w:color w:val="000000"/>
                <w:sz w:val="21"/>
                <w:szCs w:val="21"/>
                <w:highlight w:val="none"/>
              </w:rPr>
              <w:t>。</w:t>
            </w:r>
          </w:p>
          <w:p w14:paraId="5900C408">
            <w:pPr>
              <w:pStyle w:val="122"/>
              <w:keepNext w:val="0"/>
              <w:keepLines w:val="0"/>
              <w:suppressLineNumbers w:val="0"/>
              <w:topLinePunct/>
              <w:spacing w:before="62" w:beforeLines="20" w:beforeAutospacing="0" w:after="62" w:afterLines="20" w:afterAutospacing="0"/>
              <w:ind w:left="0" w:right="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（2）《法定代表人（负责人）授权委托书》的落款处应加盖公章</w:t>
            </w:r>
            <w:r>
              <w:rPr>
                <w:rFonts w:hint="eastAsia" w:ascii="宋体" w:hAnsi="宋体" w:eastAsia="宋体" w:cs="宋体"/>
                <w:b/>
                <w:color w:val="000000"/>
                <w:sz w:val="21"/>
                <w:szCs w:val="21"/>
                <w:highlight w:val="none"/>
              </w:rPr>
              <w:t>并由</w:t>
            </w:r>
            <w:r>
              <w:rPr>
                <w:rFonts w:hint="eastAsia" w:ascii="宋体" w:hAnsi="宋体" w:eastAsia="宋体" w:cs="宋体"/>
                <w:color w:val="000000"/>
                <w:sz w:val="21"/>
                <w:szCs w:val="21"/>
                <w:highlight w:val="none"/>
              </w:rPr>
              <w:t>法定代表人（负责人）</w:t>
            </w:r>
            <w:r>
              <w:rPr>
                <w:rFonts w:hint="eastAsia" w:ascii="宋体" w:hAnsi="宋体" w:eastAsia="宋体" w:cs="宋体"/>
                <w:b/>
                <w:color w:val="000000"/>
                <w:sz w:val="21"/>
                <w:szCs w:val="21"/>
                <w:highlight w:val="none"/>
              </w:rPr>
              <w:t>和</w:t>
            </w:r>
            <w:r>
              <w:rPr>
                <w:rFonts w:hint="eastAsia" w:ascii="宋体" w:hAnsi="宋体" w:eastAsia="宋体" w:cs="宋体"/>
                <w:color w:val="000000"/>
                <w:sz w:val="21"/>
                <w:szCs w:val="21"/>
                <w:highlight w:val="none"/>
              </w:rPr>
              <w:t>其委托代理人</w:t>
            </w:r>
            <w:r>
              <w:rPr>
                <w:rFonts w:hint="eastAsia" w:ascii="宋体" w:hAnsi="宋体" w:eastAsia="宋体" w:cs="宋体"/>
                <w:b/>
                <w:color w:val="000000"/>
                <w:sz w:val="21"/>
                <w:szCs w:val="21"/>
                <w:highlight w:val="none"/>
              </w:rPr>
              <w:t>双方</w:t>
            </w:r>
            <w:r>
              <w:rPr>
                <w:rFonts w:hint="eastAsia" w:ascii="宋体" w:hAnsi="宋体" w:eastAsia="宋体" w:cs="宋体"/>
                <w:color w:val="000000"/>
                <w:sz w:val="21"/>
                <w:szCs w:val="21"/>
                <w:highlight w:val="none"/>
              </w:rPr>
              <w:t>签字。</w:t>
            </w:r>
          </w:p>
          <w:p w14:paraId="5AB13E9B">
            <w:pPr>
              <w:pStyle w:val="122"/>
              <w:keepNext w:val="0"/>
              <w:keepLines w:val="0"/>
              <w:suppressLineNumbers w:val="0"/>
              <w:topLinePunct/>
              <w:spacing w:before="62" w:beforeLines="20" w:beforeAutospacing="0" w:after="62" w:afterLines="20" w:afterAutospacing="0"/>
              <w:ind w:left="0" w:right="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（3）投标文件格式中其他有落款的文件，</w:t>
            </w:r>
            <w:r>
              <w:rPr>
                <w:rFonts w:hint="eastAsia" w:ascii="宋体" w:hAnsi="宋体" w:eastAsia="宋体" w:cs="宋体"/>
                <w:b/>
                <w:color w:val="000000"/>
                <w:sz w:val="21"/>
                <w:szCs w:val="21"/>
                <w:highlight w:val="none"/>
              </w:rPr>
              <w:t>均需</w:t>
            </w:r>
            <w:r>
              <w:rPr>
                <w:rFonts w:hint="eastAsia" w:ascii="宋体" w:hAnsi="宋体" w:eastAsia="宋体" w:cs="宋体"/>
                <w:color w:val="000000"/>
                <w:sz w:val="21"/>
                <w:szCs w:val="21"/>
                <w:highlight w:val="none"/>
              </w:rPr>
              <w:t>加盖公章。</w:t>
            </w:r>
          </w:p>
          <w:p w14:paraId="0E8735C0">
            <w:pPr>
              <w:pStyle w:val="122"/>
              <w:keepNext w:val="0"/>
              <w:keepLines w:val="0"/>
              <w:suppressLineNumbers w:val="0"/>
              <w:topLinePunct/>
              <w:spacing w:before="62" w:beforeLines="20" w:beforeAutospacing="0" w:after="62" w:afterLines="20" w:afterAutospacing="0"/>
              <w:ind w:left="0" w:right="0"/>
              <w:rPr>
                <w:rFonts w:hint="eastAsia" w:ascii="宋体" w:hAnsi="宋体" w:eastAsia="宋体" w:cs="宋体"/>
                <w:color w:val="000000"/>
                <w:sz w:val="21"/>
                <w:szCs w:val="21"/>
                <w:highlight w:val="none"/>
                <w:lang w:eastAsia="zh-Hans"/>
              </w:rPr>
            </w:pPr>
            <w:r>
              <w:rPr>
                <w:rFonts w:hint="eastAsia" w:ascii="宋体" w:hAnsi="宋体" w:eastAsia="宋体" w:cs="宋体"/>
                <w:color w:val="000000"/>
                <w:sz w:val="21"/>
                <w:szCs w:val="21"/>
                <w:highlight w:val="none"/>
              </w:rPr>
              <w:t>（4）投标文件的所有签字处均指手写签字</w:t>
            </w:r>
            <w:r>
              <w:rPr>
                <w:rFonts w:hint="eastAsia" w:ascii="宋体" w:hAnsi="宋体" w:eastAsia="宋体" w:cs="宋体"/>
                <w:b/>
                <w:color w:val="000000"/>
                <w:sz w:val="21"/>
                <w:szCs w:val="21"/>
                <w:highlight w:val="none"/>
              </w:rPr>
              <w:t>或</w:t>
            </w:r>
            <w:r>
              <w:rPr>
                <w:rFonts w:hint="eastAsia" w:ascii="宋体" w:hAnsi="宋体" w:eastAsia="宋体" w:cs="宋体"/>
                <w:color w:val="000000"/>
                <w:sz w:val="21"/>
                <w:szCs w:val="21"/>
                <w:highlight w:val="none"/>
              </w:rPr>
              <w:t>签名章/印章，</w:t>
            </w:r>
            <w:r>
              <w:rPr>
                <w:rFonts w:hint="eastAsia" w:ascii="宋体" w:hAnsi="宋体" w:eastAsia="宋体" w:cs="宋体"/>
                <w:b/>
                <w:color w:val="000000"/>
                <w:sz w:val="21"/>
                <w:szCs w:val="21"/>
                <w:highlight w:val="none"/>
              </w:rPr>
              <w:t>不得</w:t>
            </w:r>
            <w:r>
              <w:rPr>
                <w:rFonts w:hint="eastAsia" w:ascii="宋体" w:hAnsi="宋体" w:eastAsia="宋体" w:cs="宋体"/>
                <w:color w:val="000000"/>
                <w:sz w:val="21"/>
                <w:szCs w:val="21"/>
                <w:highlight w:val="none"/>
              </w:rPr>
              <w:t>以打印体代替。</w:t>
            </w:r>
          </w:p>
        </w:tc>
      </w:tr>
      <w:tr w14:paraId="50C53A02">
        <w:tblPrEx>
          <w:tblCellMar>
            <w:top w:w="0" w:type="dxa"/>
            <w:left w:w="108" w:type="dxa"/>
            <w:bottom w:w="0" w:type="dxa"/>
            <w:right w:w="108" w:type="dxa"/>
          </w:tblCellMar>
        </w:tblPrEx>
        <w:trPr>
          <w:jc w:val="center"/>
        </w:trPr>
        <w:tc>
          <w:tcPr>
            <w:tcW w:w="625" w:type="pct"/>
            <w:tcBorders>
              <w:top w:val="single" w:color="auto" w:sz="4" w:space="0"/>
              <w:left w:val="single" w:color="auto" w:sz="4" w:space="0"/>
              <w:bottom w:val="single" w:color="auto" w:sz="4" w:space="0"/>
              <w:right w:val="single" w:color="auto" w:sz="4" w:space="0"/>
            </w:tcBorders>
            <w:noWrap w:val="0"/>
            <w:vAlign w:val="center"/>
          </w:tcPr>
          <w:p w14:paraId="23FDD823">
            <w:pPr>
              <w:pStyle w:val="118"/>
              <w:keepNext w:val="0"/>
              <w:keepLines w:val="0"/>
              <w:suppressLineNumbers w:val="0"/>
              <w:spacing w:before="62" w:beforeLines="20" w:beforeAutospacing="0" w:after="62" w:afterLines="20" w:afterAutospacing="0"/>
              <w:ind w:left="0" w:right="0"/>
              <w:jc w:val="center"/>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3.3.4</w:t>
            </w:r>
          </w:p>
        </w:tc>
        <w:tc>
          <w:tcPr>
            <w:tcW w:w="1205" w:type="pct"/>
            <w:tcBorders>
              <w:top w:val="single" w:color="auto" w:sz="4" w:space="0"/>
              <w:left w:val="single" w:color="auto" w:sz="4" w:space="0"/>
              <w:bottom w:val="single" w:color="auto" w:sz="4" w:space="0"/>
              <w:right w:val="single" w:color="auto" w:sz="4" w:space="0"/>
            </w:tcBorders>
            <w:noWrap w:val="0"/>
            <w:vAlign w:val="center"/>
          </w:tcPr>
          <w:p w14:paraId="5A99FFD8">
            <w:pPr>
              <w:keepNext w:val="0"/>
              <w:keepLines w:val="0"/>
              <w:suppressLineNumbers w:val="0"/>
              <w:spacing w:before="62" w:beforeLines="20" w:beforeAutospacing="0" w:after="62" w:afterLines="20" w:afterAutospacing="0"/>
              <w:ind w:left="0" w:right="0"/>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★最高投标限价</w:t>
            </w:r>
          </w:p>
        </w:tc>
        <w:tc>
          <w:tcPr>
            <w:tcW w:w="3169" w:type="pct"/>
            <w:tcBorders>
              <w:top w:val="single" w:color="auto" w:sz="4" w:space="0"/>
              <w:left w:val="single" w:color="auto" w:sz="4" w:space="0"/>
              <w:bottom w:val="single" w:color="auto" w:sz="4" w:space="0"/>
              <w:right w:val="single" w:color="auto" w:sz="4" w:space="0"/>
            </w:tcBorders>
            <w:noWrap w:val="0"/>
            <w:vAlign w:val="center"/>
          </w:tcPr>
          <w:p w14:paraId="662EC078">
            <w:pPr>
              <w:pStyle w:val="118"/>
              <w:keepNext w:val="0"/>
              <w:keepLines w:val="0"/>
              <w:suppressLineNumbers w:val="0"/>
              <w:spacing w:before="62" w:beforeLines="20" w:beforeAutospacing="0" w:after="62" w:afterLines="20" w:afterAutospacing="0"/>
              <w:ind w:left="0" w:right="0"/>
              <w:rPr>
                <w:rFonts w:hint="default" w:ascii="宋体" w:hAnsi="宋体" w:eastAsia="宋体" w:cs="宋体"/>
                <w:color w:val="000000"/>
                <w:szCs w:val="21"/>
                <w:highlight w:val="none"/>
                <w:u w:val="single"/>
                <w:lang w:val="en-US" w:eastAsia="zh-CN"/>
              </w:rPr>
            </w:pPr>
            <w:r>
              <w:rPr>
                <w:rFonts w:hint="eastAsia" w:ascii="宋体" w:hAnsi="宋体" w:eastAsia="宋体" w:cs="宋体"/>
                <w:color w:val="000000"/>
                <w:kern w:val="2"/>
                <w:sz w:val="21"/>
                <w:szCs w:val="21"/>
                <w:highlight w:val="none"/>
                <w:lang w:val="en-US" w:eastAsia="zh-CN" w:bidi="ar-SA"/>
              </w:rPr>
              <w:t>设置最高投标限价</w:t>
            </w:r>
            <w:r>
              <w:rPr>
                <w:rFonts w:hint="eastAsia" w:ascii="宋体" w:hAnsi="宋体" w:cs="宋体"/>
                <w:color w:val="000000"/>
                <w:kern w:val="2"/>
                <w:sz w:val="21"/>
                <w:szCs w:val="21"/>
                <w:highlight w:val="none"/>
                <w:lang w:val="en-US" w:eastAsia="zh-CN" w:bidi="ar-SA"/>
              </w:rPr>
              <w:t>：48162.69元。（本部分控制价仅为列举其中类似项目的报价，仅作为打分使用）</w:t>
            </w:r>
          </w:p>
        </w:tc>
      </w:tr>
      <w:tr w14:paraId="3313C7FA">
        <w:tblPrEx>
          <w:tblCellMar>
            <w:top w:w="0" w:type="dxa"/>
            <w:left w:w="108" w:type="dxa"/>
            <w:bottom w:w="0" w:type="dxa"/>
            <w:right w:w="108" w:type="dxa"/>
          </w:tblCellMar>
        </w:tblPrEx>
        <w:trPr>
          <w:jc w:val="center"/>
        </w:trPr>
        <w:tc>
          <w:tcPr>
            <w:tcW w:w="625" w:type="pct"/>
            <w:tcBorders>
              <w:top w:val="single" w:color="auto" w:sz="4" w:space="0"/>
              <w:left w:val="single" w:color="auto" w:sz="4" w:space="0"/>
              <w:bottom w:val="single" w:color="auto" w:sz="4" w:space="0"/>
              <w:right w:val="single" w:color="auto" w:sz="4" w:space="0"/>
            </w:tcBorders>
            <w:noWrap w:val="0"/>
            <w:vAlign w:val="center"/>
          </w:tcPr>
          <w:p w14:paraId="2B03B70E">
            <w:pPr>
              <w:pStyle w:val="118"/>
              <w:keepNext w:val="0"/>
              <w:keepLines w:val="0"/>
              <w:suppressLineNumbers w:val="0"/>
              <w:spacing w:before="62" w:beforeLines="20" w:beforeAutospacing="0" w:after="62" w:afterLines="20" w:afterAutospacing="0"/>
              <w:ind w:left="0" w:right="0"/>
              <w:jc w:val="center"/>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3.3</w:t>
            </w:r>
          </w:p>
        </w:tc>
        <w:tc>
          <w:tcPr>
            <w:tcW w:w="1205" w:type="pct"/>
            <w:tcBorders>
              <w:top w:val="single" w:color="auto" w:sz="4" w:space="0"/>
              <w:left w:val="single" w:color="auto" w:sz="4" w:space="0"/>
              <w:bottom w:val="single" w:color="auto" w:sz="4" w:space="0"/>
              <w:right w:val="single" w:color="auto" w:sz="4" w:space="0"/>
            </w:tcBorders>
            <w:noWrap w:val="0"/>
            <w:vAlign w:val="center"/>
          </w:tcPr>
          <w:p w14:paraId="2E1C2BE6">
            <w:pPr>
              <w:pStyle w:val="118"/>
              <w:keepNext w:val="0"/>
              <w:keepLines w:val="0"/>
              <w:suppressLineNumbers w:val="0"/>
              <w:spacing w:before="62" w:beforeLines="20" w:beforeAutospacing="0" w:after="62" w:afterLines="20" w:afterAutospacing="0"/>
              <w:ind w:left="0" w:right="0"/>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投标报价的具体要求</w:t>
            </w:r>
          </w:p>
        </w:tc>
        <w:tc>
          <w:tcPr>
            <w:tcW w:w="3169" w:type="pct"/>
            <w:tcBorders>
              <w:top w:val="single" w:color="auto" w:sz="4" w:space="0"/>
              <w:left w:val="single" w:color="auto" w:sz="4" w:space="0"/>
              <w:bottom w:val="single" w:color="auto" w:sz="4" w:space="0"/>
              <w:right w:val="single" w:color="auto" w:sz="4" w:space="0"/>
            </w:tcBorders>
            <w:noWrap w:val="0"/>
            <w:vAlign w:val="center"/>
          </w:tcPr>
          <w:p w14:paraId="0FE11B62">
            <w:pPr>
              <w:pStyle w:val="118"/>
              <w:keepNext w:val="0"/>
              <w:keepLines w:val="0"/>
              <w:suppressLineNumbers w:val="0"/>
              <w:spacing w:before="62" w:beforeLines="20" w:beforeAutospacing="0" w:after="62" w:afterLines="20" w:afterAutospacing="0"/>
              <w:ind w:left="0" w:right="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本条款增加以下内容：</w:t>
            </w:r>
          </w:p>
          <w:p w14:paraId="697A8F30">
            <w:pPr>
              <w:pStyle w:val="118"/>
              <w:keepNext w:val="0"/>
              <w:keepLines w:val="0"/>
              <w:suppressLineNumbers w:val="0"/>
              <w:spacing w:before="62" w:beforeLines="20" w:beforeAutospacing="0" w:after="62" w:afterLines="20" w:afterAutospacing="0"/>
              <w:ind w:left="0" w:right="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（1）投标</w:t>
            </w:r>
            <w:r>
              <w:rPr>
                <w:rFonts w:hint="eastAsia" w:ascii="宋体" w:hAnsi="宋体" w:cs="宋体"/>
                <w:color w:val="000000"/>
                <w:szCs w:val="21"/>
                <w:highlight w:val="none"/>
                <w:lang w:val="en-US" w:eastAsia="zh-CN"/>
              </w:rPr>
              <w:t>报</w:t>
            </w:r>
            <w:r>
              <w:rPr>
                <w:rFonts w:hint="eastAsia" w:ascii="宋体" w:hAnsi="宋体" w:eastAsia="宋体" w:cs="宋体"/>
                <w:color w:val="000000"/>
                <w:szCs w:val="21"/>
                <w:highlight w:val="none"/>
              </w:rPr>
              <w:t>价包括但不限于产品费用、提供技术服务人员、必要工具设备的所有费用及税金等，除此之外，招标人不再支付任何费用。</w:t>
            </w:r>
          </w:p>
          <w:p w14:paraId="01016986">
            <w:pPr>
              <w:pStyle w:val="118"/>
              <w:keepNext w:val="0"/>
              <w:keepLines w:val="0"/>
              <w:suppressLineNumbers w:val="0"/>
              <w:spacing w:before="62" w:beforeLines="20" w:beforeAutospacing="0" w:after="62" w:afterLines="20" w:afterAutospacing="0"/>
              <w:ind w:left="0" w:right="0"/>
              <w:rPr>
                <w:rFonts w:hint="eastAsia" w:ascii="宋体" w:hAnsi="宋体" w:eastAsia="宋体" w:cs="宋体"/>
                <w:b/>
                <w:color w:val="000000"/>
                <w:szCs w:val="21"/>
                <w:highlight w:val="none"/>
              </w:rPr>
            </w:pPr>
            <w:r>
              <w:rPr>
                <w:rFonts w:hint="eastAsia" w:ascii="宋体" w:hAnsi="宋体" w:eastAsia="宋体" w:cs="宋体"/>
                <w:color w:val="000000"/>
                <w:szCs w:val="21"/>
                <w:highlight w:val="none"/>
              </w:rPr>
              <w:t>（2）投标人应根据技术规范书的要求并遵照“第六章 投标文件格式”给出的投标一览表、分项报价表进行报价，</w:t>
            </w:r>
            <w:r>
              <w:rPr>
                <w:rFonts w:hint="eastAsia" w:ascii="宋体" w:hAnsi="宋体" w:eastAsia="宋体" w:cs="宋体"/>
                <w:b/>
                <w:color w:val="000000"/>
                <w:szCs w:val="21"/>
                <w:highlight w:val="none"/>
              </w:rPr>
              <w:t>不得缺省或回避填写，否则视为非实质性响应，投标将被否决。</w:t>
            </w:r>
          </w:p>
          <w:p w14:paraId="1C7F5817">
            <w:pPr>
              <w:pStyle w:val="118"/>
              <w:keepNext w:val="0"/>
              <w:keepLines w:val="0"/>
              <w:suppressLineNumbers w:val="0"/>
              <w:spacing w:before="62" w:beforeLines="20" w:beforeAutospacing="0" w:after="62" w:afterLines="20" w:afterAutospacing="0"/>
              <w:ind w:left="0" w:right="0"/>
              <w:rPr>
                <w:rFonts w:hint="eastAsia" w:ascii="宋体" w:hAnsi="宋体" w:eastAsia="宋体" w:cs="宋体"/>
                <w:b/>
                <w:color w:val="000000"/>
                <w:szCs w:val="21"/>
                <w:highlight w:val="none"/>
              </w:rPr>
            </w:pPr>
            <w:r>
              <w:rPr>
                <w:rFonts w:hint="eastAsia" w:ascii="宋体" w:hAnsi="宋体" w:eastAsia="宋体" w:cs="宋体"/>
                <w:color w:val="000000"/>
                <w:szCs w:val="21"/>
                <w:highlight w:val="none"/>
              </w:rPr>
              <w:t>（3）如国家后续对增值税税率进行调整，在不含税（单）价报价不变的基础上，按照新税率重新计算含税（总）价。</w:t>
            </w:r>
          </w:p>
        </w:tc>
      </w:tr>
      <w:tr w14:paraId="1DCFDE7C">
        <w:tblPrEx>
          <w:tblCellMar>
            <w:top w:w="0" w:type="dxa"/>
            <w:left w:w="108" w:type="dxa"/>
            <w:bottom w:w="0" w:type="dxa"/>
            <w:right w:w="108" w:type="dxa"/>
          </w:tblCellMar>
        </w:tblPrEx>
        <w:trPr>
          <w:jc w:val="center"/>
        </w:trPr>
        <w:tc>
          <w:tcPr>
            <w:tcW w:w="625" w:type="pct"/>
            <w:tcBorders>
              <w:top w:val="single" w:color="auto" w:sz="4" w:space="0"/>
              <w:left w:val="single" w:color="auto" w:sz="4" w:space="0"/>
              <w:bottom w:val="single" w:color="auto" w:sz="4" w:space="0"/>
              <w:right w:val="single" w:color="auto" w:sz="4" w:space="0"/>
            </w:tcBorders>
            <w:noWrap w:val="0"/>
            <w:vAlign w:val="center"/>
          </w:tcPr>
          <w:p w14:paraId="6574E5D9">
            <w:pPr>
              <w:pStyle w:val="118"/>
              <w:keepNext w:val="0"/>
              <w:keepLines w:val="0"/>
              <w:suppressLineNumbers w:val="0"/>
              <w:spacing w:before="62" w:beforeLines="20" w:beforeAutospacing="0" w:after="62" w:afterLines="20" w:afterAutospacing="0"/>
              <w:ind w:left="0" w:right="0"/>
              <w:jc w:val="center"/>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3.4</w:t>
            </w:r>
          </w:p>
        </w:tc>
        <w:tc>
          <w:tcPr>
            <w:tcW w:w="1205" w:type="pct"/>
            <w:tcBorders>
              <w:top w:val="single" w:color="auto" w:sz="4" w:space="0"/>
              <w:left w:val="single" w:color="auto" w:sz="4" w:space="0"/>
              <w:bottom w:val="single" w:color="auto" w:sz="4" w:space="0"/>
              <w:right w:val="single" w:color="auto" w:sz="4" w:space="0"/>
            </w:tcBorders>
            <w:noWrap w:val="0"/>
            <w:vAlign w:val="center"/>
          </w:tcPr>
          <w:p w14:paraId="7C5EDE4E">
            <w:pPr>
              <w:pStyle w:val="118"/>
              <w:keepNext w:val="0"/>
              <w:keepLines w:val="0"/>
              <w:suppressLineNumbers w:val="0"/>
              <w:spacing w:before="62" w:beforeLines="20" w:beforeAutospacing="0" w:after="62" w:afterLines="20" w:afterAutospacing="0"/>
              <w:ind w:left="0" w:right="0"/>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★投标有效期</w:t>
            </w:r>
          </w:p>
        </w:tc>
        <w:tc>
          <w:tcPr>
            <w:tcW w:w="3169" w:type="pct"/>
            <w:tcBorders>
              <w:top w:val="single" w:color="auto" w:sz="4" w:space="0"/>
              <w:left w:val="single" w:color="auto" w:sz="4" w:space="0"/>
              <w:bottom w:val="single" w:color="auto" w:sz="4" w:space="0"/>
              <w:right w:val="single" w:color="auto" w:sz="4" w:space="0"/>
            </w:tcBorders>
            <w:noWrap w:val="0"/>
            <w:vAlign w:val="center"/>
          </w:tcPr>
          <w:p w14:paraId="48D993F0">
            <w:pPr>
              <w:pStyle w:val="118"/>
              <w:keepNext w:val="0"/>
              <w:keepLines w:val="0"/>
              <w:suppressLineNumbers w:val="0"/>
              <w:spacing w:before="62" w:beforeLines="20" w:beforeAutospacing="0" w:after="62" w:afterLines="20" w:afterAutospacing="0"/>
              <w:ind w:left="0" w:right="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投标有效期：</w:t>
            </w:r>
            <w:r>
              <w:rPr>
                <w:rFonts w:hint="eastAsia" w:ascii="宋体" w:hAnsi="宋体" w:cs="宋体"/>
                <w:color w:val="000000"/>
                <w:szCs w:val="21"/>
                <w:highlight w:val="none"/>
                <w:lang w:val="en-US" w:eastAsia="zh-CN"/>
              </w:rPr>
              <w:t>120</w:t>
            </w:r>
            <w:r>
              <w:rPr>
                <w:rFonts w:hint="eastAsia" w:ascii="宋体" w:hAnsi="宋体" w:eastAsia="宋体" w:cs="宋体"/>
                <w:color w:val="000000"/>
                <w:szCs w:val="21"/>
                <w:highlight w:val="none"/>
              </w:rPr>
              <w:t>天。</w:t>
            </w:r>
          </w:p>
        </w:tc>
      </w:tr>
      <w:tr w14:paraId="0D277729">
        <w:tblPrEx>
          <w:tblCellMar>
            <w:top w:w="0" w:type="dxa"/>
            <w:left w:w="108" w:type="dxa"/>
            <w:bottom w:w="0" w:type="dxa"/>
            <w:right w:w="108" w:type="dxa"/>
          </w:tblCellMar>
        </w:tblPrEx>
        <w:trPr>
          <w:jc w:val="center"/>
        </w:trPr>
        <w:tc>
          <w:tcPr>
            <w:tcW w:w="625" w:type="pct"/>
            <w:tcBorders>
              <w:top w:val="single" w:color="auto" w:sz="4" w:space="0"/>
              <w:left w:val="single" w:color="auto" w:sz="4" w:space="0"/>
              <w:bottom w:val="single" w:color="auto" w:sz="4" w:space="0"/>
              <w:right w:val="single" w:color="auto" w:sz="4" w:space="0"/>
            </w:tcBorders>
            <w:noWrap w:val="0"/>
            <w:vAlign w:val="center"/>
          </w:tcPr>
          <w:p w14:paraId="4BEAD5D2">
            <w:pPr>
              <w:pStyle w:val="118"/>
              <w:keepNext w:val="0"/>
              <w:keepLines w:val="0"/>
              <w:suppressLineNumbers w:val="0"/>
              <w:spacing w:before="62" w:beforeLines="20" w:beforeAutospacing="0" w:after="62" w:afterLines="20" w:afterAutospacing="0"/>
              <w:ind w:left="0" w:right="0"/>
              <w:jc w:val="center"/>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3.5</w:t>
            </w:r>
          </w:p>
        </w:tc>
        <w:tc>
          <w:tcPr>
            <w:tcW w:w="1205" w:type="pct"/>
            <w:tcBorders>
              <w:top w:val="single" w:color="auto" w:sz="4" w:space="0"/>
              <w:left w:val="single" w:color="auto" w:sz="4" w:space="0"/>
              <w:bottom w:val="single" w:color="auto" w:sz="4" w:space="0"/>
              <w:right w:val="single" w:color="auto" w:sz="4" w:space="0"/>
            </w:tcBorders>
            <w:noWrap w:val="0"/>
            <w:vAlign w:val="center"/>
          </w:tcPr>
          <w:p w14:paraId="67FFF22F">
            <w:pPr>
              <w:pStyle w:val="118"/>
              <w:keepNext w:val="0"/>
              <w:keepLines w:val="0"/>
              <w:suppressLineNumbers w:val="0"/>
              <w:spacing w:before="62" w:beforeLines="20" w:beforeAutospacing="0" w:after="62" w:afterLines="20" w:afterAutospacing="0"/>
              <w:ind w:left="0" w:right="0"/>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★投标保证金的金额</w:t>
            </w:r>
            <w:r>
              <w:rPr>
                <w:rFonts w:hint="eastAsia" w:ascii="宋体" w:hAnsi="宋体" w:eastAsia="宋体" w:cs="宋体"/>
                <w:color w:val="000000"/>
                <w:szCs w:val="21"/>
                <w:highlight w:val="none"/>
                <w:lang w:val="en-US" w:eastAsia="zh-CN"/>
              </w:rPr>
              <w:t>和</w:t>
            </w:r>
            <w:r>
              <w:rPr>
                <w:rFonts w:hint="eastAsia" w:ascii="宋体" w:hAnsi="宋体" w:eastAsia="宋体" w:cs="宋体"/>
                <w:color w:val="000000"/>
                <w:szCs w:val="21"/>
                <w:highlight w:val="none"/>
              </w:rPr>
              <w:t>形式</w:t>
            </w:r>
          </w:p>
        </w:tc>
        <w:tc>
          <w:tcPr>
            <w:tcW w:w="3169" w:type="pct"/>
            <w:tcBorders>
              <w:top w:val="single" w:color="auto" w:sz="4" w:space="0"/>
              <w:left w:val="single" w:color="auto" w:sz="4" w:space="0"/>
              <w:bottom w:val="single" w:color="auto" w:sz="4" w:space="0"/>
              <w:right w:val="single" w:color="auto" w:sz="4" w:space="0"/>
            </w:tcBorders>
            <w:noWrap w:val="0"/>
            <w:vAlign w:val="center"/>
          </w:tcPr>
          <w:p w14:paraId="129EE929">
            <w:pPr>
              <w:pStyle w:val="118"/>
              <w:keepNext w:val="0"/>
              <w:keepLines w:val="0"/>
              <w:suppressLineNumbers w:val="0"/>
              <w:spacing w:before="62" w:beforeLines="20" w:beforeAutospacing="0" w:after="62" w:afterLines="20" w:afterAutospacing="0"/>
              <w:ind w:left="0" w:right="0"/>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w:t>
            </w:r>
            <w:r>
              <w:rPr>
                <w:rFonts w:hint="eastAsia" w:ascii="宋体" w:hAnsi="宋体" w:eastAsia="宋体" w:cs="宋体"/>
                <w:color w:val="000000"/>
                <w:szCs w:val="21"/>
                <w:highlight w:val="none"/>
                <w:lang w:val="en-US" w:eastAsia="zh-CN"/>
              </w:rPr>
              <w:t>一</w:t>
            </w:r>
            <w:r>
              <w:rPr>
                <w:rFonts w:hint="eastAsia" w:ascii="宋体" w:hAnsi="宋体" w:eastAsia="宋体" w:cs="宋体"/>
                <w:color w:val="000000"/>
                <w:szCs w:val="21"/>
                <w:highlight w:val="none"/>
                <w:lang w:eastAsia="zh-CN"/>
              </w:rPr>
              <w:t>）</w:t>
            </w:r>
            <w:r>
              <w:rPr>
                <w:rFonts w:hint="eastAsia" w:ascii="宋体" w:hAnsi="宋体" w:eastAsia="宋体" w:cs="宋体"/>
                <w:b/>
                <w:bCs/>
                <w:color w:val="000000"/>
                <w:szCs w:val="21"/>
                <w:highlight w:val="none"/>
              </w:rPr>
              <w:t>投标保证金金额：</w:t>
            </w:r>
            <w:r>
              <w:rPr>
                <w:rFonts w:hint="eastAsia" w:ascii="宋体" w:hAnsi="宋体" w:eastAsia="宋体" w:cs="宋体"/>
                <w:b/>
                <w:bCs/>
                <w:color w:val="000000"/>
                <w:szCs w:val="21"/>
                <w:highlight w:val="none"/>
                <w:lang w:eastAsia="zh-CN"/>
              </w:rPr>
              <w:t>人民币</w:t>
            </w:r>
            <w:r>
              <w:rPr>
                <w:rFonts w:hint="eastAsia" w:ascii="宋体" w:hAnsi="宋体" w:cs="宋体"/>
                <w:b/>
                <w:bCs/>
                <w:color w:val="000000"/>
                <w:szCs w:val="21"/>
                <w:highlight w:val="none"/>
                <w:lang w:val="en-US" w:eastAsia="zh-CN"/>
              </w:rPr>
              <w:t>5000</w:t>
            </w:r>
            <w:r>
              <w:rPr>
                <w:rFonts w:hint="eastAsia" w:ascii="宋体" w:hAnsi="宋体" w:eastAsia="宋体" w:cs="宋体"/>
                <w:b/>
                <w:bCs/>
                <w:color w:val="000000"/>
                <w:szCs w:val="21"/>
                <w:highlight w:val="none"/>
                <w:lang w:eastAsia="zh-CN"/>
              </w:rPr>
              <w:t>元</w:t>
            </w:r>
            <w:r>
              <w:rPr>
                <w:rFonts w:hint="eastAsia" w:ascii="宋体" w:hAnsi="宋体" w:eastAsia="宋体" w:cs="宋体"/>
                <w:color w:val="000000"/>
                <w:szCs w:val="21"/>
                <w:highlight w:val="none"/>
              </w:rPr>
              <w:t>。</w:t>
            </w:r>
          </w:p>
          <w:p w14:paraId="0F2D1988">
            <w:pPr>
              <w:keepNext w:val="0"/>
              <w:keepLines w:val="0"/>
              <w:widowControl/>
              <w:suppressLineNumbers w:val="0"/>
              <w:spacing w:before="0" w:beforeAutospacing="0" w:after="0" w:afterAutospacing="0"/>
              <w:ind w:left="0" w:right="0"/>
              <w:jc w:val="left"/>
              <w:rPr>
                <w:rFonts w:hint="eastAsia" w:ascii="宋体" w:hAnsi="宋体" w:eastAsia="宋体" w:cs="宋体"/>
                <w:szCs w:val="21"/>
                <w:highlight w:val="none"/>
                <w:lang w:eastAsia="zh-CN"/>
              </w:rPr>
            </w:pPr>
            <w:r>
              <w:rPr>
                <w:rFonts w:hint="eastAsia" w:ascii="宋体" w:hAnsi="宋体" w:eastAsia="宋体" w:cs="宋体"/>
                <w:kern w:val="0"/>
                <w:szCs w:val="21"/>
                <w:highlight w:val="none"/>
                <w:lang w:bidi="ar"/>
              </w:rPr>
              <w:t>（</w:t>
            </w:r>
            <w:r>
              <w:rPr>
                <w:rFonts w:hint="eastAsia" w:ascii="宋体" w:hAnsi="宋体" w:eastAsia="宋体" w:cs="宋体"/>
                <w:kern w:val="0"/>
                <w:szCs w:val="21"/>
                <w:highlight w:val="none"/>
                <w:lang w:val="en-US" w:eastAsia="zh-CN" w:bidi="ar"/>
              </w:rPr>
              <w:t>二</w:t>
            </w:r>
            <w:r>
              <w:rPr>
                <w:rFonts w:hint="eastAsia" w:ascii="宋体" w:hAnsi="宋体" w:eastAsia="宋体" w:cs="宋体"/>
                <w:kern w:val="0"/>
                <w:szCs w:val="21"/>
                <w:highlight w:val="none"/>
                <w:lang w:bidi="ar"/>
              </w:rPr>
              <w:t>）投标保证金的形式：银行电汇/银行转账/在中国注册的银行出具的银行保函/电子保函</w:t>
            </w:r>
            <w:r>
              <w:rPr>
                <w:rFonts w:hint="eastAsia" w:ascii="宋体" w:hAnsi="宋体" w:cs="宋体"/>
                <w:kern w:val="0"/>
                <w:szCs w:val="21"/>
                <w:highlight w:val="none"/>
                <w:lang w:val="en-US" w:eastAsia="zh-CN" w:bidi="ar"/>
              </w:rPr>
              <w:t>等</w:t>
            </w:r>
            <w:r>
              <w:rPr>
                <w:rFonts w:hint="eastAsia" w:ascii="宋体" w:hAnsi="宋体" w:eastAsia="宋体" w:cs="宋体"/>
                <w:kern w:val="0"/>
                <w:szCs w:val="21"/>
                <w:highlight w:val="none"/>
                <w:lang w:eastAsia="zh-CN" w:bidi="ar"/>
              </w:rPr>
              <w:t>。</w:t>
            </w:r>
          </w:p>
          <w:p w14:paraId="0A812D98">
            <w:pPr>
              <w:keepNext w:val="0"/>
              <w:keepLines w:val="0"/>
              <w:widowControl/>
              <w:suppressLineNumbers w:val="0"/>
              <w:spacing w:before="0" w:beforeAutospacing="0" w:after="0" w:afterAutospacing="0"/>
              <w:ind w:left="0" w:right="0"/>
              <w:jc w:val="left"/>
              <w:rPr>
                <w:rFonts w:hint="eastAsia" w:ascii="宋体" w:hAnsi="宋体" w:eastAsia="宋体" w:cs="宋体"/>
                <w:kern w:val="0"/>
                <w:sz w:val="21"/>
                <w:szCs w:val="21"/>
                <w:highlight w:val="none"/>
                <w:lang w:val="en-US" w:eastAsia="zh-CN" w:bidi="ar"/>
              </w:rPr>
            </w:pPr>
            <w:r>
              <w:rPr>
                <w:rFonts w:hint="eastAsia" w:ascii="宋体" w:hAnsi="宋体" w:eastAsia="宋体" w:cs="宋体"/>
                <w:kern w:val="0"/>
                <w:szCs w:val="21"/>
                <w:highlight w:val="none"/>
                <w:lang w:bidi="ar"/>
              </w:rPr>
              <w:t>（</w:t>
            </w:r>
            <w:r>
              <w:rPr>
                <w:rFonts w:hint="eastAsia" w:ascii="宋体" w:hAnsi="宋体" w:eastAsia="宋体" w:cs="宋体"/>
                <w:kern w:val="0"/>
                <w:sz w:val="21"/>
                <w:szCs w:val="21"/>
                <w:highlight w:val="none"/>
                <w:lang w:val="en-US" w:eastAsia="zh-CN" w:bidi="ar"/>
              </w:rPr>
              <w:t>三）缴纳方式：</w:t>
            </w:r>
          </w:p>
          <w:p w14:paraId="766DFF5F">
            <w:pPr>
              <w:keepNext w:val="0"/>
              <w:keepLines w:val="0"/>
              <w:widowControl/>
              <w:suppressLineNumbers w:val="0"/>
              <w:spacing w:before="0" w:beforeAutospacing="0" w:after="0" w:afterAutospacing="0"/>
              <w:ind w:left="0" w:right="0"/>
              <w:jc w:val="left"/>
              <w:rPr>
                <w:rFonts w:hint="eastAsia" w:ascii="宋体" w:hAnsi="宋体" w:eastAsia="宋体" w:cs="宋体"/>
                <w:kern w:val="0"/>
                <w:sz w:val="21"/>
                <w:szCs w:val="21"/>
                <w:highlight w:val="none"/>
                <w:lang w:val="en-US" w:eastAsia="zh-CN" w:bidi="ar"/>
              </w:rPr>
            </w:pPr>
            <w:r>
              <w:rPr>
                <w:rFonts w:hint="eastAsia" w:ascii="宋体" w:hAnsi="宋体" w:eastAsia="宋体" w:cs="宋体"/>
                <w:kern w:val="0"/>
                <w:sz w:val="21"/>
                <w:szCs w:val="21"/>
                <w:highlight w:val="none"/>
                <w:lang w:val="en-US" w:eastAsia="zh-CN" w:bidi="ar"/>
              </w:rPr>
              <w:t>（1）银行电汇/银行转账</w:t>
            </w:r>
          </w:p>
          <w:p w14:paraId="243CAC04">
            <w:pPr>
              <w:keepNext w:val="0"/>
              <w:keepLines w:val="0"/>
              <w:widowControl/>
              <w:suppressLineNumbers w:val="0"/>
              <w:spacing w:before="0" w:beforeAutospacing="0" w:after="0" w:afterAutospacing="0"/>
              <w:ind w:left="0" w:right="0"/>
              <w:jc w:val="left"/>
              <w:rPr>
                <w:rFonts w:hint="eastAsia" w:ascii="宋体" w:hAnsi="宋体" w:eastAsia="宋体" w:cs="宋体"/>
                <w:kern w:val="0"/>
                <w:sz w:val="21"/>
                <w:szCs w:val="21"/>
                <w:highlight w:val="none"/>
                <w:lang w:val="en-US" w:eastAsia="zh-CN" w:bidi="ar"/>
              </w:rPr>
            </w:pPr>
            <w:r>
              <w:rPr>
                <w:rFonts w:hint="eastAsia" w:ascii="宋体" w:hAnsi="宋体" w:eastAsia="宋体" w:cs="宋体"/>
                <w:kern w:val="0"/>
                <w:sz w:val="21"/>
                <w:szCs w:val="21"/>
                <w:highlight w:val="none"/>
                <w:lang w:val="en-US" w:eastAsia="zh-CN" w:bidi="ar"/>
              </w:rPr>
              <w:t>①投标人在投标文件递交截止时间前将投标保证金递交到以下账户：</w:t>
            </w:r>
          </w:p>
          <w:p w14:paraId="5C93DDF6">
            <w:pPr>
              <w:keepNext w:val="0"/>
              <w:keepLines w:val="0"/>
              <w:widowControl/>
              <w:suppressLineNumbers w:val="0"/>
              <w:spacing w:before="0" w:beforeAutospacing="0" w:after="0" w:afterAutospacing="0"/>
              <w:ind w:left="0" w:right="0"/>
              <w:jc w:val="left"/>
              <w:rPr>
                <w:rFonts w:hint="eastAsia" w:ascii="宋体" w:hAnsi="宋体" w:eastAsia="宋体" w:cs="宋体"/>
                <w:b/>
                <w:bCs/>
                <w:kern w:val="0"/>
                <w:sz w:val="21"/>
                <w:szCs w:val="21"/>
                <w:highlight w:val="none"/>
                <w:lang w:val="en-US" w:eastAsia="zh-CN" w:bidi="ar"/>
              </w:rPr>
            </w:pPr>
            <w:r>
              <w:rPr>
                <w:rFonts w:hint="eastAsia" w:ascii="宋体" w:hAnsi="宋体" w:eastAsia="宋体" w:cs="宋体"/>
                <w:b/>
                <w:bCs/>
                <w:kern w:val="0"/>
                <w:sz w:val="21"/>
                <w:szCs w:val="21"/>
                <w:highlight w:val="none"/>
                <w:lang w:val="en-US" w:eastAsia="zh-CN" w:bidi="ar"/>
              </w:rPr>
              <w:t>开户名：公诚管理咨询有限公司</w:t>
            </w:r>
          </w:p>
          <w:p w14:paraId="21A91FF7">
            <w:pPr>
              <w:keepNext w:val="0"/>
              <w:keepLines w:val="0"/>
              <w:widowControl/>
              <w:suppressLineNumbers w:val="0"/>
              <w:spacing w:before="0" w:beforeAutospacing="0" w:after="0" w:afterAutospacing="0"/>
              <w:ind w:left="0" w:right="0"/>
              <w:jc w:val="left"/>
              <w:rPr>
                <w:rFonts w:hint="eastAsia" w:ascii="宋体" w:hAnsi="宋体" w:eastAsia="宋体" w:cs="宋体"/>
                <w:b/>
                <w:bCs/>
                <w:kern w:val="0"/>
                <w:sz w:val="21"/>
                <w:szCs w:val="21"/>
                <w:highlight w:val="none"/>
                <w:lang w:val="en-US" w:eastAsia="zh-CN" w:bidi="ar"/>
              </w:rPr>
            </w:pPr>
            <w:r>
              <w:rPr>
                <w:rFonts w:hint="eastAsia" w:ascii="宋体" w:hAnsi="宋体" w:eastAsia="宋体" w:cs="宋体"/>
                <w:b/>
                <w:bCs/>
                <w:kern w:val="0"/>
                <w:sz w:val="21"/>
                <w:szCs w:val="21"/>
                <w:highlight w:val="none"/>
                <w:lang w:val="en-US" w:eastAsia="zh-CN" w:bidi="ar"/>
              </w:rPr>
              <w:t>开户银行：中信银行广州花园支行</w:t>
            </w:r>
          </w:p>
          <w:p w14:paraId="0ED4693B">
            <w:pPr>
              <w:keepNext w:val="0"/>
              <w:keepLines w:val="0"/>
              <w:widowControl/>
              <w:suppressLineNumbers w:val="0"/>
              <w:spacing w:before="0" w:beforeAutospacing="0" w:after="0" w:afterAutospacing="0"/>
              <w:ind w:left="0" w:right="0"/>
              <w:jc w:val="left"/>
              <w:rPr>
                <w:rFonts w:hint="eastAsia" w:ascii="宋体" w:hAnsi="宋体" w:eastAsia="宋体" w:cs="宋体"/>
                <w:b/>
                <w:bCs/>
                <w:kern w:val="0"/>
                <w:sz w:val="21"/>
                <w:szCs w:val="21"/>
                <w:highlight w:val="none"/>
                <w:lang w:val="en-US" w:eastAsia="zh-CN" w:bidi="ar"/>
              </w:rPr>
            </w:pPr>
            <w:r>
              <w:rPr>
                <w:rFonts w:hint="eastAsia" w:ascii="宋体" w:hAnsi="宋体" w:eastAsia="宋体" w:cs="宋体"/>
                <w:b/>
                <w:bCs/>
                <w:kern w:val="0"/>
                <w:sz w:val="21"/>
                <w:szCs w:val="21"/>
                <w:highlight w:val="none"/>
                <w:lang w:val="en-US" w:eastAsia="zh-CN" w:bidi="ar"/>
              </w:rPr>
              <w:t>账号：</w:t>
            </w:r>
            <w:r>
              <w:rPr>
                <w:rFonts w:hint="eastAsia" w:ascii="宋体" w:hAnsi="宋体" w:cs="宋体"/>
                <w:b/>
                <w:bCs/>
                <w:kern w:val="0"/>
                <w:sz w:val="21"/>
                <w:szCs w:val="21"/>
                <w:highlight w:val="none"/>
                <w:lang w:val="en-US" w:eastAsia="zh-CN" w:bidi="ar"/>
              </w:rPr>
              <w:t>3110910037672512622</w:t>
            </w:r>
          </w:p>
          <w:p w14:paraId="3691B699">
            <w:pPr>
              <w:keepNext w:val="0"/>
              <w:keepLines w:val="0"/>
              <w:widowControl/>
              <w:suppressLineNumbers w:val="0"/>
              <w:spacing w:before="0" w:beforeAutospacing="0" w:after="0" w:afterAutospacing="0"/>
              <w:ind w:left="0" w:right="0"/>
              <w:jc w:val="left"/>
              <w:rPr>
                <w:rFonts w:hint="eastAsia" w:ascii="宋体" w:hAnsi="宋体" w:eastAsia="宋体" w:cs="宋体"/>
                <w:b/>
                <w:bCs/>
                <w:kern w:val="0"/>
                <w:sz w:val="21"/>
                <w:szCs w:val="21"/>
                <w:highlight w:val="none"/>
                <w:lang w:val="en-US" w:eastAsia="zh-CN" w:bidi="ar"/>
              </w:rPr>
            </w:pPr>
            <w:r>
              <w:rPr>
                <w:rFonts w:hint="eastAsia" w:ascii="宋体" w:hAnsi="宋体" w:eastAsia="宋体" w:cs="宋体"/>
                <w:b/>
                <w:bCs/>
                <w:kern w:val="0"/>
                <w:sz w:val="21"/>
                <w:szCs w:val="21"/>
                <w:highlight w:val="none"/>
                <w:lang w:val="en-US" w:eastAsia="zh-CN" w:bidi="ar"/>
              </w:rPr>
              <w:t>②投标保证金须从投标人的账户转出，不得以个人名义汇出投标保证金，凭证的备注栏须注明：</w:t>
            </w:r>
            <w:r>
              <w:rPr>
                <w:rFonts w:hint="eastAsia" w:ascii="宋体" w:hAnsi="宋体" w:cs="宋体"/>
                <w:b/>
                <w:bCs/>
                <w:kern w:val="0"/>
                <w:sz w:val="21"/>
                <w:szCs w:val="21"/>
                <w:highlight w:val="none"/>
                <w:lang w:val="en-US" w:eastAsia="zh-CN" w:bidi="ar"/>
              </w:rPr>
              <w:t>E12622</w:t>
            </w:r>
            <w:r>
              <w:rPr>
                <w:rFonts w:hint="eastAsia" w:ascii="宋体" w:hAnsi="宋体" w:eastAsia="宋体" w:cs="宋体"/>
                <w:b/>
                <w:bCs/>
                <w:kern w:val="0"/>
                <w:sz w:val="21"/>
                <w:szCs w:val="21"/>
                <w:highlight w:val="none"/>
                <w:lang w:val="en-US" w:eastAsia="zh-CN" w:bidi="ar"/>
              </w:rPr>
              <w:t>投标保证金。</w:t>
            </w:r>
          </w:p>
          <w:p w14:paraId="0C40F0D4">
            <w:pPr>
              <w:keepNext w:val="0"/>
              <w:keepLines w:val="0"/>
              <w:widowControl/>
              <w:suppressLineNumbers w:val="0"/>
              <w:spacing w:before="0" w:beforeAutospacing="0" w:after="0" w:afterAutospacing="0"/>
              <w:ind w:left="0" w:right="0"/>
              <w:jc w:val="left"/>
              <w:rPr>
                <w:rFonts w:hint="eastAsia" w:ascii="宋体" w:hAnsi="宋体" w:eastAsia="宋体" w:cs="宋体"/>
                <w:kern w:val="0"/>
                <w:sz w:val="21"/>
                <w:szCs w:val="21"/>
                <w:highlight w:val="none"/>
                <w:lang w:val="en-US" w:eastAsia="zh-CN" w:bidi="ar"/>
              </w:rPr>
            </w:pPr>
            <w:r>
              <w:rPr>
                <w:rFonts w:hint="eastAsia" w:ascii="宋体" w:hAnsi="宋体" w:eastAsia="宋体" w:cs="宋体"/>
                <w:kern w:val="0"/>
                <w:sz w:val="21"/>
                <w:szCs w:val="21"/>
                <w:highlight w:val="none"/>
                <w:lang w:val="en-US" w:eastAsia="zh-CN" w:bidi="ar"/>
              </w:rPr>
              <w:t>③投标保证金必须在招标文件中规定的提交截止时间前到达招标文件中指定的提交账户，各投标人应当充分考虑银行转（汇）款的时间风险，因迟延缴款而造成的后果概由投标人自行承担。</w:t>
            </w:r>
          </w:p>
          <w:p w14:paraId="6335488C">
            <w:pPr>
              <w:keepNext w:val="0"/>
              <w:keepLines w:val="0"/>
              <w:widowControl/>
              <w:suppressLineNumbers w:val="0"/>
              <w:spacing w:before="0" w:beforeAutospacing="0" w:after="0" w:afterAutospacing="0"/>
              <w:ind w:left="0" w:right="0"/>
              <w:jc w:val="left"/>
              <w:rPr>
                <w:rFonts w:hint="eastAsia" w:ascii="宋体" w:hAnsi="宋体" w:eastAsia="宋体" w:cs="宋体"/>
                <w:kern w:val="0"/>
                <w:sz w:val="21"/>
                <w:szCs w:val="21"/>
                <w:highlight w:val="none"/>
                <w:lang w:val="en-US" w:eastAsia="zh-CN" w:bidi="ar"/>
              </w:rPr>
            </w:pPr>
            <w:r>
              <w:rPr>
                <w:rFonts w:hint="eastAsia" w:ascii="宋体" w:hAnsi="宋体" w:eastAsia="宋体" w:cs="宋体"/>
                <w:kern w:val="0"/>
                <w:sz w:val="21"/>
                <w:szCs w:val="21"/>
                <w:highlight w:val="none"/>
                <w:lang w:val="en-US" w:eastAsia="zh-CN" w:bidi="ar"/>
              </w:rPr>
              <w:t>④如汇款不符合要求导致保证金退还不成功等情况，责任及损失由投标人自行承担。</w:t>
            </w:r>
          </w:p>
          <w:p w14:paraId="7B5EC879">
            <w:pPr>
              <w:keepNext w:val="0"/>
              <w:keepLines w:val="0"/>
              <w:widowControl/>
              <w:suppressLineNumbers w:val="0"/>
              <w:spacing w:before="0" w:beforeAutospacing="0" w:after="0" w:afterAutospacing="0"/>
              <w:ind w:left="0" w:right="0"/>
              <w:jc w:val="left"/>
              <w:rPr>
                <w:rFonts w:hint="eastAsia" w:ascii="宋体" w:hAnsi="宋体" w:eastAsia="宋体" w:cs="宋体"/>
                <w:kern w:val="0"/>
                <w:sz w:val="21"/>
                <w:szCs w:val="21"/>
                <w:highlight w:val="none"/>
                <w:lang w:val="en-US" w:eastAsia="zh-CN" w:bidi="ar"/>
              </w:rPr>
            </w:pPr>
            <w:r>
              <w:rPr>
                <w:rFonts w:hint="eastAsia" w:ascii="宋体" w:hAnsi="宋体" w:eastAsia="宋体" w:cs="宋体"/>
                <w:kern w:val="0"/>
                <w:sz w:val="21"/>
                <w:szCs w:val="21"/>
                <w:highlight w:val="none"/>
                <w:lang w:val="en-US" w:eastAsia="zh-CN" w:bidi="ar"/>
              </w:rPr>
              <w:t>⑤因为总分公司归口结算原因，投标人与交款人出现总公司、分公司差异的，须出具加盖总公司及分公司公章的说明函并承担连带责任。</w:t>
            </w:r>
          </w:p>
          <w:p w14:paraId="74E284CA">
            <w:pPr>
              <w:keepNext w:val="0"/>
              <w:keepLines w:val="0"/>
              <w:widowControl/>
              <w:suppressLineNumbers w:val="0"/>
              <w:spacing w:before="0" w:beforeAutospacing="0" w:after="0" w:afterAutospacing="0"/>
              <w:ind w:left="0" w:right="0"/>
              <w:jc w:val="left"/>
              <w:rPr>
                <w:rFonts w:hint="eastAsia" w:ascii="宋体" w:hAnsi="宋体" w:eastAsia="宋体" w:cs="宋体"/>
                <w:kern w:val="0"/>
                <w:sz w:val="21"/>
                <w:szCs w:val="21"/>
                <w:highlight w:val="none"/>
                <w:lang w:val="en-US" w:eastAsia="zh-CN" w:bidi="ar"/>
              </w:rPr>
            </w:pPr>
            <w:r>
              <w:rPr>
                <w:rFonts w:hint="eastAsia" w:ascii="宋体" w:hAnsi="宋体" w:eastAsia="宋体" w:cs="宋体"/>
                <w:kern w:val="0"/>
                <w:sz w:val="21"/>
                <w:szCs w:val="21"/>
                <w:highlight w:val="none"/>
                <w:lang w:val="en-US" w:eastAsia="zh-CN" w:bidi="ar"/>
              </w:rPr>
              <w:t>（2）保函形式</w:t>
            </w:r>
          </w:p>
          <w:p w14:paraId="5A3A39FF">
            <w:pPr>
              <w:keepNext w:val="0"/>
              <w:keepLines w:val="0"/>
              <w:widowControl/>
              <w:suppressLineNumbers w:val="0"/>
              <w:spacing w:before="0" w:beforeAutospacing="0" w:after="0" w:afterAutospacing="0"/>
              <w:ind w:left="0" w:right="0"/>
              <w:jc w:val="left"/>
              <w:rPr>
                <w:rFonts w:hint="eastAsia" w:ascii="宋体" w:hAnsi="宋体" w:eastAsia="宋体" w:cs="宋体"/>
                <w:kern w:val="0"/>
                <w:sz w:val="21"/>
                <w:szCs w:val="21"/>
                <w:highlight w:val="none"/>
                <w:lang w:val="en-US" w:eastAsia="zh-CN" w:bidi="ar"/>
              </w:rPr>
            </w:pPr>
            <w:r>
              <w:rPr>
                <w:rFonts w:hint="eastAsia" w:ascii="宋体" w:hAnsi="宋体" w:eastAsia="宋体" w:cs="宋体"/>
                <w:kern w:val="0"/>
                <w:sz w:val="21"/>
                <w:szCs w:val="21"/>
                <w:highlight w:val="none"/>
                <w:lang w:val="en-US" w:eastAsia="zh-CN" w:bidi="ar"/>
              </w:rPr>
              <w:t>①以银行保函形式提交投标保证金的，须提供银行保函原件。出具的银行保函须为不可撤销、见索即付及无固定期限的独立银行保函，保函有效期内，保函原件不予退回。</w:t>
            </w:r>
          </w:p>
          <w:p w14:paraId="661C8B30">
            <w:pPr>
              <w:keepNext w:val="0"/>
              <w:keepLines w:val="0"/>
              <w:widowControl/>
              <w:suppressLineNumbers w:val="0"/>
              <w:spacing w:before="0" w:beforeAutospacing="0" w:after="0" w:afterAutospacing="0"/>
              <w:ind w:left="0" w:right="0"/>
              <w:jc w:val="left"/>
              <w:rPr>
                <w:rFonts w:hint="eastAsia" w:ascii="宋体" w:hAnsi="宋体" w:eastAsia="宋体" w:cs="宋体"/>
                <w:kern w:val="0"/>
                <w:sz w:val="21"/>
                <w:szCs w:val="21"/>
                <w:highlight w:val="none"/>
                <w:lang w:val="en-US" w:eastAsia="zh-CN" w:bidi="ar"/>
              </w:rPr>
            </w:pPr>
            <w:r>
              <w:rPr>
                <w:rFonts w:hint="eastAsia" w:ascii="宋体" w:hAnsi="宋体" w:eastAsia="宋体" w:cs="宋体"/>
                <w:kern w:val="0"/>
                <w:sz w:val="21"/>
                <w:szCs w:val="21"/>
                <w:highlight w:val="none"/>
                <w:lang w:val="en-US" w:eastAsia="zh-CN" w:bidi="ar"/>
              </w:rPr>
              <w:t>②以电子保函形式提交投标保证金的，投标人可自行选择具有电子投标保函资质的机构开具电子投标保函，电子投标保函中须载明线上查验方法，且保函查验结果为真。</w:t>
            </w:r>
          </w:p>
          <w:p w14:paraId="3F5FAB01">
            <w:pPr>
              <w:pStyle w:val="118"/>
              <w:keepNext w:val="0"/>
              <w:keepLines w:val="0"/>
              <w:suppressLineNumbers w:val="0"/>
              <w:spacing w:before="62" w:beforeLines="20" w:beforeAutospacing="0" w:after="62" w:afterLines="20" w:afterAutospacing="0"/>
              <w:ind w:left="0" w:right="0"/>
              <w:rPr>
                <w:rFonts w:hint="eastAsia" w:ascii="宋体" w:hAnsi="宋体" w:eastAsia="宋体" w:cs="宋体"/>
                <w:color w:val="000000"/>
                <w:szCs w:val="21"/>
                <w:highlight w:val="none"/>
              </w:rPr>
            </w:pPr>
            <w:r>
              <w:rPr>
                <w:rFonts w:hint="eastAsia" w:ascii="宋体" w:hAnsi="宋体" w:eastAsia="宋体" w:cs="宋体"/>
                <w:kern w:val="0"/>
                <w:szCs w:val="21"/>
                <w:highlight w:val="none"/>
                <w:lang w:bidi="ar"/>
              </w:rPr>
              <w:t>（</w:t>
            </w:r>
            <w:r>
              <w:rPr>
                <w:rFonts w:hint="eastAsia" w:ascii="宋体" w:hAnsi="宋体" w:eastAsia="宋体" w:cs="宋体"/>
                <w:kern w:val="0"/>
                <w:szCs w:val="21"/>
                <w:highlight w:val="none"/>
                <w:lang w:val="en-US" w:eastAsia="zh-CN" w:bidi="ar"/>
              </w:rPr>
              <w:t>四</w:t>
            </w:r>
            <w:r>
              <w:rPr>
                <w:rFonts w:hint="eastAsia" w:ascii="宋体" w:hAnsi="宋体" w:eastAsia="宋体" w:cs="宋体"/>
                <w:kern w:val="0"/>
                <w:szCs w:val="21"/>
                <w:highlight w:val="none"/>
                <w:lang w:bidi="ar"/>
              </w:rPr>
              <w:t>）未在投标文件递交截止时间前提交投标保证</w:t>
            </w:r>
            <w:r>
              <w:rPr>
                <w:rFonts w:hint="eastAsia" w:ascii="宋体" w:hAnsi="宋体" w:eastAsia="宋体" w:cs="宋体"/>
                <w:kern w:val="0"/>
                <w:szCs w:val="21"/>
                <w:highlight w:val="none"/>
                <w:lang w:val="en-US" w:eastAsia="zh-CN" w:bidi="ar"/>
              </w:rPr>
              <w:t>金</w:t>
            </w:r>
            <w:r>
              <w:rPr>
                <w:rFonts w:hint="eastAsia" w:ascii="宋体" w:hAnsi="宋体" w:eastAsia="宋体" w:cs="宋体"/>
                <w:kern w:val="0"/>
                <w:szCs w:val="21"/>
                <w:highlight w:val="none"/>
                <w:lang w:bidi="ar"/>
              </w:rPr>
              <w:t>的或者提交的投标保证</w:t>
            </w:r>
            <w:r>
              <w:rPr>
                <w:rFonts w:hint="eastAsia" w:ascii="宋体" w:hAnsi="宋体" w:eastAsia="宋体" w:cs="宋体"/>
                <w:kern w:val="0"/>
                <w:szCs w:val="21"/>
                <w:highlight w:val="none"/>
                <w:lang w:val="en-US" w:eastAsia="zh-CN" w:bidi="ar"/>
              </w:rPr>
              <w:t>金</w:t>
            </w:r>
            <w:r>
              <w:rPr>
                <w:rFonts w:hint="eastAsia" w:ascii="宋体" w:hAnsi="宋体" w:eastAsia="宋体" w:cs="宋体"/>
                <w:kern w:val="0"/>
                <w:szCs w:val="21"/>
                <w:highlight w:val="none"/>
                <w:lang w:bidi="ar"/>
              </w:rPr>
              <w:t>有瑕疵的，</w:t>
            </w:r>
            <w:r>
              <w:rPr>
                <w:rFonts w:hint="eastAsia" w:ascii="宋体" w:hAnsi="宋体" w:eastAsia="宋体" w:cs="宋体"/>
                <w:b/>
                <w:bCs/>
                <w:kern w:val="0"/>
                <w:szCs w:val="21"/>
                <w:highlight w:val="none"/>
                <w:lang w:bidi="ar"/>
              </w:rPr>
              <w:t>投标将被否决。</w:t>
            </w:r>
          </w:p>
        </w:tc>
      </w:tr>
      <w:tr w14:paraId="7194A798">
        <w:tblPrEx>
          <w:tblCellMar>
            <w:top w:w="0" w:type="dxa"/>
            <w:left w:w="108" w:type="dxa"/>
            <w:bottom w:w="0" w:type="dxa"/>
            <w:right w:w="108" w:type="dxa"/>
          </w:tblCellMar>
        </w:tblPrEx>
        <w:trPr>
          <w:trHeight w:val="907" w:hRule="atLeast"/>
          <w:jc w:val="center"/>
        </w:trPr>
        <w:tc>
          <w:tcPr>
            <w:tcW w:w="625" w:type="pct"/>
            <w:tcBorders>
              <w:top w:val="single" w:color="auto" w:sz="4" w:space="0"/>
              <w:left w:val="single" w:color="auto" w:sz="4" w:space="0"/>
              <w:bottom w:val="single" w:color="auto" w:sz="4" w:space="0"/>
              <w:right w:val="single" w:color="auto" w:sz="4" w:space="0"/>
            </w:tcBorders>
            <w:noWrap w:val="0"/>
            <w:vAlign w:val="center"/>
          </w:tcPr>
          <w:p w14:paraId="30B71066">
            <w:pPr>
              <w:pStyle w:val="118"/>
              <w:keepNext w:val="0"/>
              <w:keepLines w:val="0"/>
              <w:suppressLineNumbers w:val="0"/>
              <w:spacing w:before="62" w:beforeLines="20" w:beforeAutospacing="0" w:after="62" w:afterLines="20" w:afterAutospacing="0"/>
              <w:ind w:left="0" w:right="0"/>
              <w:jc w:val="center"/>
              <w:rPr>
                <w:rFonts w:hint="eastAsia" w:ascii="宋体" w:hAnsi="宋体" w:eastAsia="宋体" w:cs="宋体"/>
                <w:color w:val="000000"/>
                <w:szCs w:val="21"/>
                <w:highlight w:val="none"/>
              </w:rPr>
            </w:pPr>
          </w:p>
        </w:tc>
        <w:tc>
          <w:tcPr>
            <w:tcW w:w="1205" w:type="pct"/>
            <w:tcBorders>
              <w:top w:val="single" w:color="auto" w:sz="4" w:space="0"/>
              <w:left w:val="single" w:color="auto" w:sz="4" w:space="0"/>
              <w:bottom w:val="single" w:color="auto" w:sz="4" w:space="0"/>
              <w:right w:val="single" w:color="auto" w:sz="4" w:space="0"/>
            </w:tcBorders>
            <w:noWrap w:val="0"/>
            <w:vAlign w:val="center"/>
          </w:tcPr>
          <w:p w14:paraId="14B8B719">
            <w:pPr>
              <w:pStyle w:val="118"/>
              <w:keepNext w:val="0"/>
              <w:keepLines w:val="0"/>
              <w:suppressLineNumbers w:val="0"/>
              <w:spacing w:before="62" w:beforeLines="20" w:beforeAutospacing="0" w:after="62" w:afterLines="20" w:afterAutospacing="0"/>
              <w:ind w:left="0" w:right="0"/>
              <w:jc w:val="center"/>
              <w:rPr>
                <w:rFonts w:hint="eastAsia" w:ascii="宋体" w:hAnsi="宋体" w:eastAsia="宋体" w:cs="宋体"/>
                <w:color w:val="000000"/>
                <w:szCs w:val="21"/>
                <w:highlight w:val="none"/>
              </w:rPr>
            </w:pPr>
            <w:r>
              <w:rPr>
                <w:rFonts w:hint="eastAsia" w:ascii="宋体" w:hAnsi="宋体" w:eastAsia="宋体" w:cs="宋体"/>
                <w:szCs w:val="21"/>
                <w:highlight w:val="none"/>
              </w:rPr>
              <w:t>★投标保证金不予退还情形</w:t>
            </w:r>
          </w:p>
        </w:tc>
        <w:tc>
          <w:tcPr>
            <w:tcW w:w="3169" w:type="pct"/>
            <w:tcBorders>
              <w:top w:val="single" w:color="auto" w:sz="4" w:space="0"/>
              <w:left w:val="single" w:color="auto" w:sz="4" w:space="0"/>
              <w:bottom w:val="single" w:color="auto" w:sz="4" w:space="0"/>
              <w:right w:val="single" w:color="auto" w:sz="4" w:space="0"/>
            </w:tcBorders>
            <w:noWrap w:val="0"/>
            <w:vAlign w:val="center"/>
          </w:tcPr>
          <w:p w14:paraId="62E06057">
            <w:pPr>
              <w:pStyle w:val="118"/>
              <w:keepNext w:val="0"/>
              <w:keepLines w:val="0"/>
              <w:suppressLineNumbers w:val="0"/>
              <w:spacing w:before="62" w:beforeLines="20" w:beforeAutospacing="0" w:after="62" w:afterLines="20" w:afterAutospacing="0" w:line="360" w:lineRule="auto"/>
              <w:ind w:left="0" w:right="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投标人或中标人出现下列行为之一，投标保证金不予退还：</w:t>
            </w:r>
          </w:p>
          <w:p w14:paraId="4529AF7A">
            <w:pPr>
              <w:pStyle w:val="118"/>
              <w:keepNext w:val="0"/>
              <w:keepLines w:val="0"/>
              <w:suppressLineNumbers w:val="0"/>
              <w:spacing w:before="62" w:beforeLines="20" w:beforeAutospacing="0" w:after="62" w:afterLines="20" w:afterAutospacing="0" w:line="360" w:lineRule="auto"/>
              <w:ind w:left="0" w:right="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（1）投标人在投标截止后至投标有效期期满前,要求撤回已递交的投标文件；</w:t>
            </w:r>
          </w:p>
          <w:p w14:paraId="3DB91CA9">
            <w:pPr>
              <w:pStyle w:val="118"/>
              <w:keepNext w:val="0"/>
              <w:keepLines w:val="0"/>
              <w:suppressLineNumbers w:val="0"/>
              <w:spacing w:before="62" w:beforeLines="20" w:beforeAutospacing="0" w:after="62" w:afterLines="20" w:afterAutospacing="0" w:line="360" w:lineRule="auto"/>
              <w:ind w:left="0" w:right="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（2）中标后放弃中标的；</w:t>
            </w:r>
          </w:p>
          <w:p w14:paraId="132349AB">
            <w:pPr>
              <w:pStyle w:val="118"/>
              <w:keepNext w:val="0"/>
              <w:keepLines w:val="0"/>
              <w:suppressLineNumbers w:val="0"/>
              <w:spacing w:before="62" w:beforeLines="20" w:beforeAutospacing="0" w:after="62" w:afterLines="20" w:afterAutospacing="0" w:line="360" w:lineRule="auto"/>
              <w:ind w:left="0" w:right="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（3）中标或成交后无正当理由不与招标人订立合同的；</w:t>
            </w:r>
          </w:p>
          <w:p w14:paraId="1A239482">
            <w:pPr>
              <w:pStyle w:val="118"/>
              <w:keepNext w:val="0"/>
              <w:keepLines w:val="0"/>
              <w:suppressLineNumbers w:val="0"/>
              <w:spacing w:before="62" w:beforeLines="20" w:beforeAutospacing="0" w:after="62" w:afterLines="20" w:afterAutospacing="0" w:line="360" w:lineRule="auto"/>
              <w:ind w:left="0" w:right="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（4）中标人在签订合同时向招标人提出附加条件或要求变更实质性合同条款的；</w:t>
            </w:r>
          </w:p>
          <w:p w14:paraId="6B87B753">
            <w:pPr>
              <w:pStyle w:val="118"/>
              <w:keepNext w:val="0"/>
              <w:keepLines w:val="0"/>
              <w:suppressLineNumbers w:val="0"/>
              <w:spacing w:before="62" w:beforeLines="20" w:beforeAutospacing="0" w:after="62" w:afterLines="20" w:afterAutospacing="0" w:line="360" w:lineRule="auto"/>
              <w:ind w:left="0" w:right="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（5）中标人不按照招标文件要求提交履约保证金的；</w:t>
            </w:r>
          </w:p>
          <w:p w14:paraId="4790E662">
            <w:pPr>
              <w:pStyle w:val="118"/>
              <w:keepNext w:val="0"/>
              <w:keepLines w:val="0"/>
              <w:suppressLineNumbers w:val="0"/>
              <w:spacing w:before="62" w:beforeLines="20" w:beforeAutospacing="0" w:after="62" w:afterLines="20" w:afterAutospacing="0"/>
              <w:ind w:left="0" w:right="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（6）投标人有恶意欺诈、弄虚作假、围标串标、哄抬标价、徇私行贿等法律法规中所列违规行为的。</w:t>
            </w:r>
          </w:p>
        </w:tc>
      </w:tr>
      <w:tr w14:paraId="61ECD641">
        <w:tblPrEx>
          <w:tblCellMar>
            <w:top w:w="0" w:type="dxa"/>
            <w:left w:w="108" w:type="dxa"/>
            <w:bottom w:w="0" w:type="dxa"/>
            <w:right w:w="108" w:type="dxa"/>
          </w:tblCellMar>
        </w:tblPrEx>
        <w:trPr>
          <w:trHeight w:val="907" w:hRule="atLeast"/>
          <w:jc w:val="center"/>
        </w:trPr>
        <w:tc>
          <w:tcPr>
            <w:tcW w:w="625" w:type="pct"/>
            <w:tcBorders>
              <w:top w:val="single" w:color="auto" w:sz="4" w:space="0"/>
              <w:left w:val="single" w:color="auto" w:sz="4" w:space="0"/>
              <w:bottom w:val="single" w:color="auto" w:sz="4" w:space="0"/>
              <w:right w:val="single" w:color="auto" w:sz="4" w:space="0"/>
            </w:tcBorders>
            <w:noWrap w:val="0"/>
            <w:vAlign w:val="center"/>
          </w:tcPr>
          <w:p w14:paraId="45F46B57">
            <w:pPr>
              <w:pStyle w:val="118"/>
              <w:keepNext w:val="0"/>
              <w:keepLines w:val="0"/>
              <w:suppressLineNumbers w:val="0"/>
              <w:spacing w:before="62" w:beforeLines="20" w:beforeAutospacing="0" w:after="62" w:afterLines="20" w:afterAutospacing="0"/>
              <w:ind w:left="0" w:right="0"/>
              <w:jc w:val="center"/>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3.6</w:t>
            </w:r>
          </w:p>
        </w:tc>
        <w:tc>
          <w:tcPr>
            <w:tcW w:w="1205" w:type="pct"/>
            <w:tcBorders>
              <w:top w:val="single" w:color="auto" w:sz="4" w:space="0"/>
              <w:left w:val="single" w:color="auto" w:sz="4" w:space="0"/>
              <w:bottom w:val="single" w:color="auto" w:sz="4" w:space="0"/>
              <w:right w:val="single" w:color="auto" w:sz="4" w:space="0"/>
            </w:tcBorders>
            <w:noWrap w:val="0"/>
            <w:vAlign w:val="center"/>
          </w:tcPr>
          <w:p w14:paraId="7BC879FE">
            <w:pPr>
              <w:pStyle w:val="118"/>
              <w:keepNext w:val="0"/>
              <w:keepLines w:val="0"/>
              <w:suppressLineNumbers w:val="0"/>
              <w:spacing w:before="62" w:beforeLines="20" w:beforeAutospacing="0" w:after="62" w:afterLines="20" w:afterAutospacing="0"/>
              <w:ind w:left="0" w:right="0"/>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备选投标方案</w:t>
            </w:r>
          </w:p>
        </w:tc>
        <w:tc>
          <w:tcPr>
            <w:tcW w:w="3169" w:type="pct"/>
            <w:tcBorders>
              <w:top w:val="single" w:color="auto" w:sz="4" w:space="0"/>
              <w:left w:val="single" w:color="auto" w:sz="4" w:space="0"/>
              <w:bottom w:val="single" w:color="auto" w:sz="4" w:space="0"/>
              <w:right w:val="single" w:color="auto" w:sz="4" w:space="0"/>
            </w:tcBorders>
            <w:noWrap w:val="0"/>
            <w:vAlign w:val="center"/>
          </w:tcPr>
          <w:p w14:paraId="3E6A425C">
            <w:pPr>
              <w:pStyle w:val="118"/>
              <w:keepNext w:val="0"/>
              <w:keepLines w:val="0"/>
              <w:suppressLineNumbers w:val="0"/>
              <w:spacing w:before="62" w:beforeLines="20" w:beforeAutospacing="0" w:after="62" w:afterLines="20" w:afterAutospacing="0" w:line="360" w:lineRule="auto"/>
              <w:ind w:left="0" w:right="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■不允许</w:t>
            </w:r>
          </w:p>
          <w:p w14:paraId="4E7B8FDA">
            <w:pPr>
              <w:pStyle w:val="118"/>
              <w:keepNext w:val="0"/>
              <w:keepLines w:val="0"/>
              <w:suppressLineNumbers w:val="0"/>
              <w:spacing w:before="62" w:beforeLines="20" w:beforeAutospacing="0" w:after="62" w:afterLines="20" w:afterAutospacing="0" w:line="360" w:lineRule="auto"/>
              <w:ind w:left="0" w:right="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□允许</w:t>
            </w:r>
          </w:p>
        </w:tc>
      </w:tr>
      <w:tr w14:paraId="20885BFF">
        <w:tblPrEx>
          <w:tblCellMar>
            <w:top w:w="0" w:type="dxa"/>
            <w:left w:w="108" w:type="dxa"/>
            <w:bottom w:w="0" w:type="dxa"/>
            <w:right w:w="108" w:type="dxa"/>
          </w:tblCellMar>
        </w:tblPrEx>
        <w:trPr>
          <w:trHeight w:val="411" w:hRule="atLeast"/>
          <w:jc w:val="center"/>
        </w:trPr>
        <w:tc>
          <w:tcPr>
            <w:tcW w:w="625" w:type="pct"/>
            <w:tcBorders>
              <w:top w:val="single" w:color="auto" w:sz="4" w:space="0"/>
              <w:left w:val="single" w:color="auto" w:sz="4" w:space="0"/>
              <w:bottom w:val="single" w:color="auto" w:sz="4" w:space="0"/>
              <w:right w:val="single" w:color="auto" w:sz="4" w:space="0"/>
            </w:tcBorders>
            <w:noWrap w:val="0"/>
            <w:vAlign w:val="center"/>
          </w:tcPr>
          <w:p w14:paraId="797D7FB7">
            <w:pPr>
              <w:pStyle w:val="118"/>
              <w:keepNext w:val="0"/>
              <w:keepLines w:val="0"/>
              <w:suppressLineNumbers w:val="0"/>
              <w:spacing w:before="62" w:beforeLines="20" w:beforeAutospacing="0" w:after="62" w:afterLines="20" w:afterAutospacing="0"/>
              <w:ind w:left="0" w:right="0"/>
              <w:jc w:val="center"/>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3.7.1</w:t>
            </w:r>
          </w:p>
        </w:tc>
        <w:tc>
          <w:tcPr>
            <w:tcW w:w="1205" w:type="pct"/>
            <w:tcBorders>
              <w:top w:val="single" w:color="auto" w:sz="4" w:space="0"/>
              <w:left w:val="single" w:color="auto" w:sz="4" w:space="0"/>
              <w:bottom w:val="single" w:color="auto" w:sz="4" w:space="0"/>
              <w:right w:val="single" w:color="auto" w:sz="4" w:space="0"/>
            </w:tcBorders>
            <w:noWrap w:val="0"/>
            <w:vAlign w:val="center"/>
          </w:tcPr>
          <w:p w14:paraId="316186DF">
            <w:pPr>
              <w:pStyle w:val="118"/>
              <w:keepNext w:val="0"/>
              <w:keepLines w:val="0"/>
              <w:suppressLineNumbers w:val="0"/>
              <w:spacing w:before="62" w:beforeLines="20" w:beforeAutospacing="0" w:after="62" w:afterLines="20" w:afterAutospacing="0"/>
              <w:ind w:left="0" w:right="0"/>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投标文件的份数</w:t>
            </w:r>
          </w:p>
        </w:tc>
        <w:tc>
          <w:tcPr>
            <w:tcW w:w="3169" w:type="pct"/>
            <w:tcBorders>
              <w:top w:val="single" w:color="auto" w:sz="4" w:space="0"/>
              <w:left w:val="single" w:color="auto" w:sz="4" w:space="0"/>
              <w:bottom w:val="single" w:color="auto" w:sz="4" w:space="0"/>
              <w:right w:val="single" w:color="auto" w:sz="4" w:space="0"/>
            </w:tcBorders>
            <w:noWrap w:val="0"/>
            <w:vAlign w:val="center"/>
          </w:tcPr>
          <w:p w14:paraId="3A330CE7">
            <w:pPr>
              <w:pStyle w:val="118"/>
              <w:keepNext w:val="0"/>
              <w:keepLines w:val="0"/>
              <w:suppressLineNumbers w:val="0"/>
              <w:spacing w:before="62" w:beforeLines="20" w:beforeAutospacing="0" w:after="62" w:afterLines="20" w:afterAutospacing="0"/>
              <w:ind w:left="0" w:right="0"/>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rPr>
              <w:t>电子文件 1 份（电子U盘中须包括投标文件正本的盖章签字扫描件及可编辑电子版。）；纸质文件正本 1 份，副本 2 份。</w:t>
            </w:r>
            <w:r>
              <w:rPr>
                <w:rFonts w:hint="eastAsia" w:ascii="宋体" w:hAnsi="宋体" w:cs="宋体"/>
                <w:color w:val="000000"/>
                <w:szCs w:val="21"/>
                <w:highlight w:val="none"/>
                <w:lang w:val="en-US" w:eastAsia="zh-CN"/>
              </w:rPr>
              <w:t>副本可用正本的复印件。</w:t>
            </w:r>
          </w:p>
        </w:tc>
      </w:tr>
      <w:tr w14:paraId="6DBC9299">
        <w:tblPrEx>
          <w:tblCellMar>
            <w:top w:w="0" w:type="dxa"/>
            <w:left w:w="108" w:type="dxa"/>
            <w:bottom w:w="0" w:type="dxa"/>
            <w:right w:w="108" w:type="dxa"/>
          </w:tblCellMar>
        </w:tblPrEx>
        <w:trPr>
          <w:trHeight w:val="907" w:hRule="atLeast"/>
          <w:jc w:val="center"/>
        </w:trPr>
        <w:tc>
          <w:tcPr>
            <w:tcW w:w="625" w:type="pct"/>
            <w:tcBorders>
              <w:top w:val="single" w:color="auto" w:sz="4" w:space="0"/>
              <w:left w:val="single" w:color="auto" w:sz="4" w:space="0"/>
              <w:bottom w:val="single" w:color="auto" w:sz="4" w:space="0"/>
              <w:right w:val="single" w:color="auto" w:sz="4" w:space="0"/>
            </w:tcBorders>
            <w:noWrap w:val="0"/>
            <w:vAlign w:val="center"/>
          </w:tcPr>
          <w:p w14:paraId="29161EB1">
            <w:pPr>
              <w:pStyle w:val="118"/>
              <w:keepNext w:val="0"/>
              <w:keepLines w:val="0"/>
              <w:suppressLineNumbers w:val="0"/>
              <w:spacing w:before="62" w:beforeLines="20" w:beforeAutospacing="0" w:after="62" w:afterLines="20" w:afterAutospacing="0"/>
              <w:ind w:left="0" w:right="0"/>
              <w:jc w:val="center"/>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3.7.2、3.7.3</w:t>
            </w:r>
          </w:p>
        </w:tc>
        <w:tc>
          <w:tcPr>
            <w:tcW w:w="1205" w:type="pct"/>
            <w:tcBorders>
              <w:top w:val="single" w:color="auto" w:sz="4" w:space="0"/>
              <w:left w:val="single" w:color="auto" w:sz="4" w:space="0"/>
              <w:bottom w:val="single" w:color="auto" w:sz="4" w:space="0"/>
              <w:right w:val="single" w:color="auto" w:sz="4" w:space="0"/>
            </w:tcBorders>
            <w:noWrap w:val="0"/>
            <w:vAlign w:val="center"/>
          </w:tcPr>
          <w:p w14:paraId="492A75C4">
            <w:pPr>
              <w:pStyle w:val="118"/>
              <w:keepNext w:val="0"/>
              <w:keepLines w:val="0"/>
              <w:suppressLineNumbers w:val="0"/>
              <w:spacing w:before="62" w:beforeLines="20" w:beforeAutospacing="0" w:after="62" w:afterLines="20" w:afterAutospacing="0"/>
              <w:ind w:left="0" w:right="0"/>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纸质投标文件的密封、</w:t>
            </w:r>
          </w:p>
          <w:p w14:paraId="2FEDDF73">
            <w:pPr>
              <w:pStyle w:val="118"/>
              <w:keepNext w:val="0"/>
              <w:keepLines w:val="0"/>
              <w:suppressLineNumbers w:val="0"/>
              <w:spacing w:before="62" w:beforeLines="20" w:beforeAutospacing="0" w:after="62" w:afterLines="20" w:afterAutospacing="0"/>
              <w:ind w:left="0" w:right="0"/>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标记要求</w:t>
            </w:r>
          </w:p>
        </w:tc>
        <w:tc>
          <w:tcPr>
            <w:tcW w:w="3169" w:type="pct"/>
            <w:tcBorders>
              <w:top w:val="single" w:color="auto" w:sz="4" w:space="0"/>
              <w:left w:val="single" w:color="auto" w:sz="4" w:space="0"/>
              <w:bottom w:val="single" w:color="auto" w:sz="4" w:space="0"/>
              <w:right w:val="single" w:color="auto" w:sz="4" w:space="0"/>
            </w:tcBorders>
            <w:noWrap w:val="0"/>
            <w:vAlign w:val="center"/>
          </w:tcPr>
          <w:p w14:paraId="37365718">
            <w:pPr>
              <w:pStyle w:val="118"/>
              <w:keepNext w:val="0"/>
              <w:keepLines w:val="0"/>
              <w:suppressLineNumbers w:val="0"/>
              <w:spacing w:before="62" w:beforeLines="20" w:beforeAutospacing="0" w:after="62" w:afterLines="20" w:afterAutospacing="0"/>
              <w:ind w:left="0" w:right="0"/>
              <w:rPr>
                <w:rFonts w:hint="eastAsia" w:ascii="宋体" w:hAnsi="宋体" w:eastAsia="宋体" w:cs="宋体"/>
                <w:bCs/>
                <w:color w:val="000000"/>
                <w:szCs w:val="21"/>
                <w:highlight w:val="none"/>
              </w:rPr>
            </w:pPr>
            <w:r>
              <w:rPr>
                <w:rFonts w:hint="eastAsia" w:ascii="宋体" w:hAnsi="宋体" w:eastAsia="宋体" w:cs="宋体"/>
                <w:color w:val="000000"/>
                <w:szCs w:val="21"/>
                <w:highlight w:val="none"/>
              </w:rPr>
              <w:t>（1）</w:t>
            </w:r>
            <w:r>
              <w:rPr>
                <w:rFonts w:hint="eastAsia" w:ascii="宋体" w:hAnsi="宋体" w:cs="宋体"/>
                <w:color w:val="000000"/>
                <w:szCs w:val="21"/>
                <w:highlight w:val="none"/>
              </w:rPr>
              <w:t>采用A4纸双面打印，胶装成册，密封粘接缝隙加盖投标人公章或由法定代表人（负责人）或其委托代理人签字。未按要求密封的纸质投标文件不予接收。</w:t>
            </w:r>
          </w:p>
          <w:p w14:paraId="742A6D00">
            <w:pPr>
              <w:pStyle w:val="118"/>
              <w:keepNext w:val="0"/>
              <w:keepLines w:val="0"/>
              <w:suppressLineNumbers w:val="0"/>
              <w:spacing w:before="62" w:beforeLines="20" w:beforeAutospacing="0" w:after="62" w:afterLines="20" w:afterAutospacing="0"/>
              <w:ind w:left="0" w:right="0"/>
              <w:rPr>
                <w:rFonts w:hint="eastAsia" w:ascii="宋体" w:hAnsi="宋体" w:eastAsia="宋体" w:cs="宋体"/>
                <w:color w:val="000000"/>
                <w:szCs w:val="20"/>
                <w:highlight w:val="none"/>
              </w:rPr>
            </w:pPr>
            <w:r>
              <w:rPr>
                <w:rFonts w:hint="eastAsia" w:ascii="宋体" w:hAnsi="宋体" w:eastAsia="宋体" w:cs="宋体"/>
                <w:bCs/>
                <w:color w:val="000000"/>
                <w:szCs w:val="21"/>
                <w:highlight w:val="none"/>
              </w:rPr>
              <w:t>（2）</w:t>
            </w:r>
            <w:r>
              <w:rPr>
                <w:rFonts w:hint="eastAsia" w:ascii="宋体" w:hAnsi="宋体" w:eastAsia="宋体" w:cs="宋体"/>
                <w:color w:val="000000"/>
                <w:szCs w:val="21"/>
                <w:highlight w:val="none"/>
              </w:rPr>
              <w:t>包封具体样式如下：</w:t>
            </w:r>
          </w:p>
          <w:p w14:paraId="0F32B2AE">
            <w:pPr>
              <w:pStyle w:val="118"/>
              <w:keepNext w:val="0"/>
              <w:keepLines w:val="0"/>
              <w:suppressLineNumbers w:val="0"/>
              <w:spacing w:before="62" w:beforeLines="20" w:beforeAutospacing="0" w:after="62" w:afterLines="20" w:afterAutospacing="0"/>
              <w:ind w:left="0" w:right="0"/>
              <w:rPr>
                <w:rFonts w:hint="eastAsia" w:ascii="宋体" w:hAnsi="宋体" w:eastAsia="宋体" w:cs="宋体"/>
                <w:b/>
                <w:color w:val="000000"/>
                <w:szCs w:val="21"/>
                <w:highlight w:val="none"/>
                <w:lang w:eastAsia="zh-Hans"/>
              </w:rPr>
            </w:pPr>
            <w:r>
              <w:rPr>
                <w:rFonts w:hint="eastAsia" w:ascii="宋体" w:hAnsi="宋体" w:eastAsia="宋体" w:cs="宋体"/>
                <w:color w:val="000000"/>
                <w:szCs w:val="21"/>
                <w:highlight w:val="none"/>
              </w:rPr>
              <mc:AlternateContent>
                <mc:Choice Requires="wps">
                  <w:drawing>
                    <wp:inline distT="0" distB="0" distL="114300" distR="114300">
                      <wp:extent cx="3823970" cy="2676525"/>
                      <wp:effectExtent l="4445" t="4445" r="6985" b="11430"/>
                      <wp:docPr id="1" name="文本框 25"/>
                      <wp:cNvGraphicFramePr/>
                      <a:graphic xmlns:a="http://schemas.openxmlformats.org/drawingml/2006/main">
                        <a:graphicData uri="http://schemas.microsoft.com/office/word/2010/wordprocessingShape">
                          <wps:wsp>
                            <wps:cNvSpPr txBox="1">
                              <a:spLocks noRot="1"/>
                            </wps:cNvSpPr>
                            <wps:spPr>
                              <a:xfrm>
                                <a:off x="0" y="0"/>
                                <a:ext cx="3823970" cy="267652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117BB1D8">
                                  <w:pPr>
                                    <w:rPr>
                                      <w:rFonts w:hint="eastAsia" w:ascii="仿宋" w:hAnsi="仿宋" w:eastAsia="仿宋" w:cs="仿宋"/>
                                      <w:kern w:val="0"/>
                                      <w:szCs w:val="21"/>
                                      <w:u w:val="single"/>
                                    </w:rPr>
                                  </w:pPr>
                                  <w:r>
                                    <w:rPr>
                                      <w:rFonts w:hint="eastAsia" w:ascii="仿宋" w:hAnsi="仿宋" w:eastAsia="仿宋" w:cs="仿宋"/>
                                      <w:kern w:val="0"/>
                                      <w:szCs w:val="21"/>
                                    </w:rPr>
                                    <w:t>项目名称：</w:t>
                                  </w:r>
                                  <w:r>
                                    <w:rPr>
                                      <w:rFonts w:hint="eastAsia" w:ascii="仿宋" w:hAnsi="仿宋" w:eastAsia="仿宋" w:cs="仿宋"/>
                                      <w:kern w:val="0"/>
                                      <w:szCs w:val="21"/>
                                      <w:u w:val="single"/>
                                    </w:rPr>
                                    <w:t xml:space="preserve">                </w:t>
                                  </w:r>
                                  <w:r>
                                    <w:rPr>
                                      <w:rFonts w:hint="eastAsia" w:ascii="仿宋" w:hAnsi="仿宋" w:eastAsia="仿宋" w:cs="仿宋"/>
                                      <w:kern w:val="0"/>
                                      <w:szCs w:val="21"/>
                                    </w:rPr>
                                    <w:t xml:space="preserve">    </w:t>
                                  </w:r>
                                </w:p>
                                <w:p w14:paraId="7B3626DE">
                                  <w:pPr>
                                    <w:rPr>
                                      <w:rFonts w:hint="eastAsia" w:ascii="仿宋" w:hAnsi="仿宋" w:eastAsia="仿宋" w:cs="仿宋"/>
                                      <w:kern w:val="0"/>
                                      <w:szCs w:val="21"/>
                                      <w:u w:val="single"/>
                                    </w:rPr>
                                  </w:pPr>
                                  <w:r>
                                    <w:rPr>
                                      <w:rFonts w:hint="eastAsia" w:ascii="仿宋" w:hAnsi="仿宋" w:eastAsia="仿宋" w:cs="仿宋"/>
                                      <w:kern w:val="0"/>
                                      <w:szCs w:val="21"/>
                                    </w:rPr>
                                    <w:t>招标人名称：</w:t>
                                  </w:r>
                                  <w:r>
                                    <w:rPr>
                                      <w:rFonts w:hint="eastAsia" w:ascii="仿宋" w:hAnsi="仿宋" w:eastAsia="仿宋" w:cs="仿宋"/>
                                      <w:kern w:val="0"/>
                                      <w:szCs w:val="21"/>
                                      <w:u w:val="single"/>
                                    </w:rPr>
                                    <w:t xml:space="preserve">                 </w:t>
                                  </w:r>
                                </w:p>
                                <w:p w14:paraId="17C9AD2A">
                                  <w:pPr>
                                    <w:rPr>
                                      <w:rFonts w:hint="eastAsia" w:ascii="仿宋" w:hAnsi="仿宋" w:eastAsia="仿宋" w:cs="仿宋"/>
                                      <w:kern w:val="0"/>
                                      <w:szCs w:val="21"/>
                                      <w:u w:val="single"/>
                                    </w:rPr>
                                  </w:pPr>
                                  <w:r>
                                    <w:rPr>
                                      <w:rFonts w:hint="eastAsia" w:ascii="仿宋" w:hAnsi="仿宋" w:eastAsia="仿宋" w:cs="仿宋"/>
                                      <w:kern w:val="0"/>
                                      <w:szCs w:val="21"/>
                                    </w:rPr>
                                    <w:t>招标人地址：</w:t>
                                  </w:r>
                                  <w:r>
                                    <w:rPr>
                                      <w:rFonts w:hint="eastAsia" w:ascii="仿宋" w:hAnsi="仿宋" w:eastAsia="仿宋" w:cs="仿宋"/>
                                      <w:kern w:val="0"/>
                                      <w:szCs w:val="21"/>
                                      <w:u w:val="single"/>
                                    </w:rPr>
                                    <w:t xml:space="preserve">                 </w:t>
                                  </w:r>
                                </w:p>
                                <w:p w14:paraId="1D09FA71">
                                  <w:pPr>
                                    <w:jc w:val="center"/>
                                    <w:rPr>
                                      <w:rFonts w:hint="eastAsia" w:ascii="仿宋" w:hAnsi="仿宋" w:eastAsia="仿宋" w:cs="仿宋"/>
                                      <w:kern w:val="0"/>
                                      <w:szCs w:val="21"/>
                                    </w:rPr>
                                  </w:pPr>
                                  <w:r>
                                    <w:rPr>
                                      <w:rFonts w:hint="eastAsia" w:ascii="仿宋" w:hAnsi="仿宋" w:eastAsia="仿宋" w:cs="仿宋"/>
                                      <w:kern w:val="0"/>
                                      <w:szCs w:val="21"/>
                                    </w:rPr>
                                    <w:t>本文件于</w:t>
                                  </w:r>
                                  <w:r>
                                    <w:rPr>
                                      <w:rFonts w:hint="eastAsia" w:ascii="仿宋" w:hAnsi="仿宋" w:eastAsia="仿宋" w:cs="仿宋"/>
                                      <w:szCs w:val="21"/>
                                    </w:rPr>
                                    <w:t>【</w:t>
                                  </w:r>
                                  <w:r>
                                    <w:rPr>
                                      <w:rFonts w:hint="eastAsia" w:ascii="仿宋" w:hAnsi="仿宋" w:eastAsia="仿宋" w:cs="仿宋"/>
                                      <w:szCs w:val="21"/>
                                      <w:u w:val="single"/>
                                    </w:rPr>
                                    <w:t>XX</w:t>
                                  </w:r>
                                  <w:r>
                                    <w:rPr>
                                      <w:rFonts w:hint="eastAsia" w:ascii="仿宋" w:hAnsi="仿宋" w:eastAsia="仿宋" w:cs="仿宋"/>
                                      <w:szCs w:val="21"/>
                                    </w:rPr>
                                    <w:t>】年【</w:t>
                                  </w:r>
                                  <w:r>
                                    <w:rPr>
                                      <w:rFonts w:hint="eastAsia" w:ascii="仿宋" w:hAnsi="仿宋" w:eastAsia="仿宋" w:cs="仿宋"/>
                                      <w:szCs w:val="21"/>
                                      <w:u w:val="single"/>
                                    </w:rPr>
                                    <w:t>XX</w:t>
                                  </w:r>
                                  <w:r>
                                    <w:rPr>
                                      <w:rFonts w:hint="eastAsia" w:ascii="仿宋" w:hAnsi="仿宋" w:eastAsia="仿宋" w:cs="仿宋"/>
                                      <w:szCs w:val="21"/>
                                    </w:rPr>
                                    <w:t>】月【</w:t>
                                  </w:r>
                                  <w:r>
                                    <w:rPr>
                                      <w:rFonts w:hint="eastAsia" w:ascii="仿宋" w:hAnsi="仿宋" w:eastAsia="仿宋" w:cs="仿宋"/>
                                      <w:szCs w:val="21"/>
                                      <w:u w:val="single"/>
                                    </w:rPr>
                                    <w:t>XX</w:t>
                                  </w:r>
                                  <w:r>
                                    <w:rPr>
                                      <w:rFonts w:hint="eastAsia" w:ascii="仿宋" w:hAnsi="仿宋" w:eastAsia="仿宋" w:cs="仿宋"/>
                                      <w:szCs w:val="21"/>
                                    </w:rPr>
                                    <w:t>】日【</w:t>
                                  </w:r>
                                  <w:r>
                                    <w:rPr>
                                      <w:rFonts w:hint="eastAsia" w:ascii="仿宋" w:hAnsi="仿宋" w:eastAsia="仿宋" w:cs="仿宋"/>
                                      <w:szCs w:val="21"/>
                                      <w:u w:val="single"/>
                                    </w:rPr>
                                    <w:t>XX</w:t>
                                  </w:r>
                                  <w:r>
                                    <w:rPr>
                                      <w:rFonts w:hint="eastAsia" w:ascii="仿宋" w:hAnsi="仿宋" w:eastAsia="仿宋" w:cs="仿宋"/>
                                      <w:szCs w:val="21"/>
                                    </w:rPr>
                                    <w:t>】时【</w:t>
                                  </w:r>
                                  <w:r>
                                    <w:rPr>
                                      <w:rFonts w:hint="eastAsia" w:ascii="仿宋" w:hAnsi="仿宋" w:eastAsia="仿宋" w:cs="仿宋"/>
                                      <w:szCs w:val="21"/>
                                      <w:u w:val="single"/>
                                    </w:rPr>
                                    <w:t>XX</w:t>
                                  </w:r>
                                  <w:r>
                                    <w:rPr>
                                      <w:rFonts w:hint="eastAsia" w:ascii="仿宋" w:hAnsi="仿宋" w:eastAsia="仿宋" w:cs="仿宋"/>
                                      <w:szCs w:val="21"/>
                                    </w:rPr>
                                    <w:t>】分</w:t>
                                  </w:r>
                                  <w:r>
                                    <w:rPr>
                                      <w:rFonts w:hint="eastAsia" w:ascii="仿宋" w:hAnsi="仿宋" w:eastAsia="仿宋" w:cs="仿宋"/>
                                      <w:kern w:val="0"/>
                                      <w:szCs w:val="21"/>
                                    </w:rPr>
                                    <w:t>（北京时间）（开标时间）前不得开封</w:t>
                                  </w:r>
                                </w:p>
                                <w:p w14:paraId="110594C2">
                                  <w:pPr>
                                    <w:rPr>
                                      <w:rFonts w:hint="eastAsia" w:ascii="仿宋" w:hAnsi="仿宋" w:eastAsia="仿宋" w:cs="仿宋"/>
                                      <w:kern w:val="0"/>
                                      <w:szCs w:val="21"/>
                                    </w:rPr>
                                  </w:pPr>
                                  <w:r>
                                    <w:rPr>
                                      <w:rFonts w:hint="eastAsia" w:ascii="仿宋" w:hAnsi="仿宋" w:eastAsia="仿宋" w:cs="仿宋"/>
                                      <w:kern w:val="0"/>
                                      <w:szCs w:val="21"/>
                                    </w:rPr>
                                    <w:t>投标人名称：</w:t>
                                  </w:r>
                                  <w:r>
                                    <w:rPr>
                                      <w:rFonts w:hint="eastAsia" w:ascii="仿宋" w:hAnsi="仿宋" w:eastAsia="仿宋" w:cs="仿宋"/>
                                      <w:kern w:val="0"/>
                                      <w:szCs w:val="21"/>
                                      <w:u w:val="single"/>
                                    </w:rPr>
                                    <w:t xml:space="preserve">               </w:t>
                                  </w:r>
                                  <w:r>
                                    <w:rPr>
                                      <w:rFonts w:hint="eastAsia" w:ascii="仿宋" w:hAnsi="仿宋" w:eastAsia="仿宋" w:cs="仿宋"/>
                                      <w:kern w:val="0"/>
                                      <w:szCs w:val="21"/>
                                    </w:rPr>
                                    <w:t>（公章）</w:t>
                                  </w:r>
                                </w:p>
                                <w:p w14:paraId="74F111E7">
                                  <w:pPr>
                                    <w:rPr>
                                      <w:rFonts w:hint="eastAsia" w:ascii="仿宋" w:hAnsi="仿宋" w:eastAsia="仿宋" w:cs="仿宋"/>
                                      <w:kern w:val="0"/>
                                      <w:szCs w:val="21"/>
                                      <w:u w:val="single"/>
                                    </w:rPr>
                                  </w:pPr>
                                  <w:r>
                                    <w:rPr>
                                      <w:rFonts w:hint="eastAsia" w:ascii="仿宋" w:hAnsi="仿宋" w:eastAsia="仿宋" w:cs="仿宋"/>
                                      <w:kern w:val="0"/>
                                      <w:szCs w:val="21"/>
                                    </w:rPr>
                                    <w:t>投标人地址：</w:t>
                                  </w:r>
                                  <w:r>
                                    <w:rPr>
                                      <w:rFonts w:hint="eastAsia" w:ascii="仿宋" w:hAnsi="仿宋" w:eastAsia="仿宋" w:cs="仿宋"/>
                                      <w:kern w:val="0"/>
                                      <w:szCs w:val="21"/>
                                      <w:u w:val="single"/>
                                    </w:rPr>
                                    <w:t xml:space="preserve">                 </w:t>
                                  </w:r>
                                </w:p>
                                <w:p w14:paraId="64907A8B">
                                  <w:pPr>
                                    <w:rPr>
                                      <w:rFonts w:hint="eastAsia" w:ascii="仿宋" w:hAnsi="仿宋" w:eastAsia="仿宋" w:cs="仿宋"/>
                                      <w:kern w:val="0"/>
                                      <w:szCs w:val="21"/>
                                      <w:u w:val="single"/>
                                    </w:rPr>
                                  </w:pPr>
                                  <w:r>
                                    <w:rPr>
                                      <w:rFonts w:hint="eastAsia" w:ascii="仿宋" w:hAnsi="仿宋" w:eastAsia="仿宋" w:cs="仿宋"/>
                                      <w:kern w:val="0"/>
                                      <w:szCs w:val="21"/>
                                    </w:rPr>
                                    <w:t>封装文件内容：</w:t>
                                  </w:r>
                                  <w:r>
                                    <w:rPr>
                                      <w:rFonts w:hint="eastAsia" w:ascii="仿宋" w:hAnsi="仿宋" w:eastAsia="仿宋" w:cs="仿宋"/>
                                      <w:kern w:val="0"/>
                                      <w:szCs w:val="21"/>
                                      <w:u w:val="single"/>
                                    </w:rPr>
                                    <w:t xml:space="preserve">                 </w:t>
                                  </w:r>
                                </w:p>
                                <w:p w14:paraId="07938687">
                                  <w:pPr>
                                    <w:rPr>
                                      <w:rFonts w:hint="eastAsia" w:ascii="仿宋" w:hAnsi="仿宋" w:eastAsia="仿宋" w:cs="仿宋"/>
                                    </w:rPr>
                                  </w:pPr>
                                  <w:r>
                                    <w:rPr>
                                      <w:rFonts w:hint="eastAsia" w:ascii="仿宋" w:hAnsi="仿宋" w:eastAsia="仿宋" w:cs="仿宋"/>
                                      <w:kern w:val="0"/>
                                      <w:szCs w:val="21"/>
                                    </w:rPr>
                                    <w:t>投标人联系人及联系电话：</w:t>
                                  </w:r>
                                  <w:r>
                                    <w:rPr>
                                      <w:rFonts w:hint="eastAsia" w:ascii="仿宋" w:hAnsi="仿宋" w:eastAsia="仿宋" w:cs="仿宋"/>
                                      <w:kern w:val="0"/>
                                      <w:szCs w:val="21"/>
                                      <w:u w:val="single"/>
                                    </w:rPr>
                                    <w:t xml:space="preserve">                 </w:t>
                                  </w:r>
                                </w:p>
                              </w:txbxContent>
                            </wps:txbx>
                            <wps:bodyPr wrap="square" upright="1">
                              <a:spAutoFit/>
                            </wps:bodyPr>
                          </wps:wsp>
                        </a:graphicData>
                      </a:graphic>
                    </wp:inline>
                  </w:drawing>
                </mc:Choice>
                <mc:Fallback>
                  <w:pict>
                    <v:shape id="文本框 25" o:spid="_x0000_s1026" o:spt="202" type="#_x0000_t202" style="height:210.75pt;width:301.1pt;" fillcolor="#FFFFFF" filled="t" stroked="t" coordsize="21600,21600" o:gfxdata="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FC9wGLVAAAABQEAAA8AAAAAAAAAAQAgAAAAIgAAAGRycy9kb3ducmV2LnhtbFBL&#10;AQIUABQAAAAIAIdO4kDVM+XqMgIAAIMEAAAOAAAAAAAAAAEAIAAAACQBAABkcnMvZTJvRG9jLnht&#10;bFBLBQYAAAAABgAGAFkBAADIBQAAAAA=&#10;">
                      <v:fill on="t" focussize="0,0"/>
                      <v:stroke color="#000000" joinstyle="miter"/>
                      <v:imagedata o:title=""/>
                      <o:lock v:ext="edit" rotation="t" aspectratio="f"/>
                      <v:textbox style="mso-fit-shape-to-text:t;">
                        <w:txbxContent>
                          <w:p w14:paraId="117BB1D8">
                            <w:pPr>
                              <w:rPr>
                                <w:rFonts w:hint="eastAsia" w:ascii="仿宋" w:hAnsi="仿宋" w:eastAsia="仿宋" w:cs="仿宋"/>
                                <w:kern w:val="0"/>
                                <w:szCs w:val="21"/>
                                <w:u w:val="single"/>
                              </w:rPr>
                            </w:pPr>
                            <w:r>
                              <w:rPr>
                                <w:rFonts w:hint="eastAsia" w:ascii="仿宋" w:hAnsi="仿宋" w:eastAsia="仿宋" w:cs="仿宋"/>
                                <w:kern w:val="0"/>
                                <w:szCs w:val="21"/>
                              </w:rPr>
                              <w:t>项目名称：</w:t>
                            </w:r>
                            <w:r>
                              <w:rPr>
                                <w:rFonts w:hint="eastAsia" w:ascii="仿宋" w:hAnsi="仿宋" w:eastAsia="仿宋" w:cs="仿宋"/>
                                <w:kern w:val="0"/>
                                <w:szCs w:val="21"/>
                                <w:u w:val="single"/>
                              </w:rPr>
                              <w:t xml:space="preserve">                </w:t>
                            </w:r>
                            <w:r>
                              <w:rPr>
                                <w:rFonts w:hint="eastAsia" w:ascii="仿宋" w:hAnsi="仿宋" w:eastAsia="仿宋" w:cs="仿宋"/>
                                <w:kern w:val="0"/>
                                <w:szCs w:val="21"/>
                              </w:rPr>
                              <w:t xml:space="preserve">    </w:t>
                            </w:r>
                          </w:p>
                          <w:p w14:paraId="7B3626DE">
                            <w:pPr>
                              <w:rPr>
                                <w:rFonts w:hint="eastAsia" w:ascii="仿宋" w:hAnsi="仿宋" w:eastAsia="仿宋" w:cs="仿宋"/>
                                <w:kern w:val="0"/>
                                <w:szCs w:val="21"/>
                                <w:u w:val="single"/>
                              </w:rPr>
                            </w:pPr>
                            <w:r>
                              <w:rPr>
                                <w:rFonts w:hint="eastAsia" w:ascii="仿宋" w:hAnsi="仿宋" w:eastAsia="仿宋" w:cs="仿宋"/>
                                <w:kern w:val="0"/>
                                <w:szCs w:val="21"/>
                              </w:rPr>
                              <w:t>招标人名称：</w:t>
                            </w:r>
                            <w:r>
                              <w:rPr>
                                <w:rFonts w:hint="eastAsia" w:ascii="仿宋" w:hAnsi="仿宋" w:eastAsia="仿宋" w:cs="仿宋"/>
                                <w:kern w:val="0"/>
                                <w:szCs w:val="21"/>
                                <w:u w:val="single"/>
                              </w:rPr>
                              <w:t xml:space="preserve">                 </w:t>
                            </w:r>
                          </w:p>
                          <w:p w14:paraId="17C9AD2A">
                            <w:pPr>
                              <w:rPr>
                                <w:rFonts w:hint="eastAsia" w:ascii="仿宋" w:hAnsi="仿宋" w:eastAsia="仿宋" w:cs="仿宋"/>
                                <w:kern w:val="0"/>
                                <w:szCs w:val="21"/>
                                <w:u w:val="single"/>
                              </w:rPr>
                            </w:pPr>
                            <w:r>
                              <w:rPr>
                                <w:rFonts w:hint="eastAsia" w:ascii="仿宋" w:hAnsi="仿宋" w:eastAsia="仿宋" w:cs="仿宋"/>
                                <w:kern w:val="0"/>
                                <w:szCs w:val="21"/>
                              </w:rPr>
                              <w:t>招标人地址：</w:t>
                            </w:r>
                            <w:r>
                              <w:rPr>
                                <w:rFonts w:hint="eastAsia" w:ascii="仿宋" w:hAnsi="仿宋" w:eastAsia="仿宋" w:cs="仿宋"/>
                                <w:kern w:val="0"/>
                                <w:szCs w:val="21"/>
                                <w:u w:val="single"/>
                              </w:rPr>
                              <w:t xml:space="preserve">                 </w:t>
                            </w:r>
                          </w:p>
                          <w:p w14:paraId="1D09FA71">
                            <w:pPr>
                              <w:jc w:val="center"/>
                              <w:rPr>
                                <w:rFonts w:hint="eastAsia" w:ascii="仿宋" w:hAnsi="仿宋" w:eastAsia="仿宋" w:cs="仿宋"/>
                                <w:kern w:val="0"/>
                                <w:szCs w:val="21"/>
                              </w:rPr>
                            </w:pPr>
                            <w:r>
                              <w:rPr>
                                <w:rFonts w:hint="eastAsia" w:ascii="仿宋" w:hAnsi="仿宋" w:eastAsia="仿宋" w:cs="仿宋"/>
                                <w:kern w:val="0"/>
                                <w:szCs w:val="21"/>
                              </w:rPr>
                              <w:t>本文件于</w:t>
                            </w:r>
                            <w:r>
                              <w:rPr>
                                <w:rFonts w:hint="eastAsia" w:ascii="仿宋" w:hAnsi="仿宋" w:eastAsia="仿宋" w:cs="仿宋"/>
                                <w:szCs w:val="21"/>
                              </w:rPr>
                              <w:t>【</w:t>
                            </w:r>
                            <w:r>
                              <w:rPr>
                                <w:rFonts w:hint="eastAsia" w:ascii="仿宋" w:hAnsi="仿宋" w:eastAsia="仿宋" w:cs="仿宋"/>
                                <w:szCs w:val="21"/>
                                <w:u w:val="single"/>
                              </w:rPr>
                              <w:t>XX</w:t>
                            </w:r>
                            <w:r>
                              <w:rPr>
                                <w:rFonts w:hint="eastAsia" w:ascii="仿宋" w:hAnsi="仿宋" w:eastAsia="仿宋" w:cs="仿宋"/>
                                <w:szCs w:val="21"/>
                              </w:rPr>
                              <w:t>】年【</w:t>
                            </w:r>
                            <w:r>
                              <w:rPr>
                                <w:rFonts w:hint="eastAsia" w:ascii="仿宋" w:hAnsi="仿宋" w:eastAsia="仿宋" w:cs="仿宋"/>
                                <w:szCs w:val="21"/>
                                <w:u w:val="single"/>
                              </w:rPr>
                              <w:t>XX</w:t>
                            </w:r>
                            <w:r>
                              <w:rPr>
                                <w:rFonts w:hint="eastAsia" w:ascii="仿宋" w:hAnsi="仿宋" w:eastAsia="仿宋" w:cs="仿宋"/>
                                <w:szCs w:val="21"/>
                              </w:rPr>
                              <w:t>】月【</w:t>
                            </w:r>
                            <w:r>
                              <w:rPr>
                                <w:rFonts w:hint="eastAsia" w:ascii="仿宋" w:hAnsi="仿宋" w:eastAsia="仿宋" w:cs="仿宋"/>
                                <w:szCs w:val="21"/>
                                <w:u w:val="single"/>
                              </w:rPr>
                              <w:t>XX</w:t>
                            </w:r>
                            <w:r>
                              <w:rPr>
                                <w:rFonts w:hint="eastAsia" w:ascii="仿宋" w:hAnsi="仿宋" w:eastAsia="仿宋" w:cs="仿宋"/>
                                <w:szCs w:val="21"/>
                              </w:rPr>
                              <w:t>】日【</w:t>
                            </w:r>
                            <w:r>
                              <w:rPr>
                                <w:rFonts w:hint="eastAsia" w:ascii="仿宋" w:hAnsi="仿宋" w:eastAsia="仿宋" w:cs="仿宋"/>
                                <w:szCs w:val="21"/>
                                <w:u w:val="single"/>
                              </w:rPr>
                              <w:t>XX</w:t>
                            </w:r>
                            <w:r>
                              <w:rPr>
                                <w:rFonts w:hint="eastAsia" w:ascii="仿宋" w:hAnsi="仿宋" w:eastAsia="仿宋" w:cs="仿宋"/>
                                <w:szCs w:val="21"/>
                              </w:rPr>
                              <w:t>】时【</w:t>
                            </w:r>
                            <w:r>
                              <w:rPr>
                                <w:rFonts w:hint="eastAsia" w:ascii="仿宋" w:hAnsi="仿宋" w:eastAsia="仿宋" w:cs="仿宋"/>
                                <w:szCs w:val="21"/>
                                <w:u w:val="single"/>
                              </w:rPr>
                              <w:t>XX</w:t>
                            </w:r>
                            <w:r>
                              <w:rPr>
                                <w:rFonts w:hint="eastAsia" w:ascii="仿宋" w:hAnsi="仿宋" w:eastAsia="仿宋" w:cs="仿宋"/>
                                <w:szCs w:val="21"/>
                              </w:rPr>
                              <w:t>】分</w:t>
                            </w:r>
                            <w:r>
                              <w:rPr>
                                <w:rFonts w:hint="eastAsia" w:ascii="仿宋" w:hAnsi="仿宋" w:eastAsia="仿宋" w:cs="仿宋"/>
                                <w:kern w:val="0"/>
                                <w:szCs w:val="21"/>
                              </w:rPr>
                              <w:t>（北京时间）（开标时间）前不得开封</w:t>
                            </w:r>
                          </w:p>
                          <w:p w14:paraId="110594C2">
                            <w:pPr>
                              <w:rPr>
                                <w:rFonts w:hint="eastAsia" w:ascii="仿宋" w:hAnsi="仿宋" w:eastAsia="仿宋" w:cs="仿宋"/>
                                <w:kern w:val="0"/>
                                <w:szCs w:val="21"/>
                              </w:rPr>
                            </w:pPr>
                            <w:r>
                              <w:rPr>
                                <w:rFonts w:hint="eastAsia" w:ascii="仿宋" w:hAnsi="仿宋" w:eastAsia="仿宋" w:cs="仿宋"/>
                                <w:kern w:val="0"/>
                                <w:szCs w:val="21"/>
                              </w:rPr>
                              <w:t>投标人名称：</w:t>
                            </w:r>
                            <w:r>
                              <w:rPr>
                                <w:rFonts w:hint="eastAsia" w:ascii="仿宋" w:hAnsi="仿宋" w:eastAsia="仿宋" w:cs="仿宋"/>
                                <w:kern w:val="0"/>
                                <w:szCs w:val="21"/>
                                <w:u w:val="single"/>
                              </w:rPr>
                              <w:t xml:space="preserve">               </w:t>
                            </w:r>
                            <w:r>
                              <w:rPr>
                                <w:rFonts w:hint="eastAsia" w:ascii="仿宋" w:hAnsi="仿宋" w:eastAsia="仿宋" w:cs="仿宋"/>
                                <w:kern w:val="0"/>
                                <w:szCs w:val="21"/>
                              </w:rPr>
                              <w:t>（公章）</w:t>
                            </w:r>
                          </w:p>
                          <w:p w14:paraId="74F111E7">
                            <w:pPr>
                              <w:rPr>
                                <w:rFonts w:hint="eastAsia" w:ascii="仿宋" w:hAnsi="仿宋" w:eastAsia="仿宋" w:cs="仿宋"/>
                                <w:kern w:val="0"/>
                                <w:szCs w:val="21"/>
                                <w:u w:val="single"/>
                              </w:rPr>
                            </w:pPr>
                            <w:r>
                              <w:rPr>
                                <w:rFonts w:hint="eastAsia" w:ascii="仿宋" w:hAnsi="仿宋" w:eastAsia="仿宋" w:cs="仿宋"/>
                                <w:kern w:val="0"/>
                                <w:szCs w:val="21"/>
                              </w:rPr>
                              <w:t>投标人地址：</w:t>
                            </w:r>
                            <w:r>
                              <w:rPr>
                                <w:rFonts w:hint="eastAsia" w:ascii="仿宋" w:hAnsi="仿宋" w:eastAsia="仿宋" w:cs="仿宋"/>
                                <w:kern w:val="0"/>
                                <w:szCs w:val="21"/>
                                <w:u w:val="single"/>
                              </w:rPr>
                              <w:t xml:space="preserve">                 </w:t>
                            </w:r>
                          </w:p>
                          <w:p w14:paraId="64907A8B">
                            <w:pPr>
                              <w:rPr>
                                <w:rFonts w:hint="eastAsia" w:ascii="仿宋" w:hAnsi="仿宋" w:eastAsia="仿宋" w:cs="仿宋"/>
                                <w:kern w:val="0"/>
                                <w:szCs w:val="21"/>
                                <w:u w:val="single"/>
                              </w:rPr>
                            </w:pPr>
                            <w:r>
                              <w:rPr>
                                <w:rFonts w:hint="eastAsia" w:ascii="仿宋" w:hAnsi="仿宋" w:eastAsia="仿宋" w:cs="仿宋"/>
                                <w:kern w:val="0"/>
                                <w:szCs w:val="21"/>
                              </w:rPr>
                              <w:t>封装文件内容：</w:t>
                            </w:r>
                            <w:r>
                              <w:rPr>
                                <w:rFonts w:hint="eastAsia" w:ascii="仿宋" w:hAnsi="仿宋" w:eastAsia="仿宋" w:cs="仿宋"/>
                                <w:kern w:val="0"/>
                                <w:szCs w:val="21"/>
                                <w:u w:val="single"/>
                              </w:rPr>
                              <w:t xml:space="preserve">                 </w:t>
                            </w:r>
                          </w:p>
                          <w:p w14:paraId="07938687">
                            <w:pPr>
                              <w:rPr>
                                <w:rFonts w:hint="eastAsia" w:ascii="仿宋" w:hAnsi="仿宋" w:eastAsia="仿宋" w:cs="仿宋"/>
                              </w:rPr>
                            </w:pPr>
                            <w:r>
                              <w:rPr>
                                <w:rFonts w:hint="eastAsia" w:ascii="仿宋" w:hAnsi="仿宋" w:eastAsia="仿宋" w:cs="仿宋"/>
                                <w:kern w:val="0"/>
                                <w:szCs w:val="21"/>
                              </w:rPr>
                              <w:t>投标人联系人及联系电话：</w:t>
                            </w:r>
                            <w:r>
                              <w:rPr>
                                <w:rFonts w:hint="eastAsia" w:ascii="仿宋" w:hAnsi="仿宋" w:eastAsia="仿宋" w:cs="仿宋"/>
                                <w:kern w:val="0"/>
                                <w:szCs w:val="21"/>
                                <w:u w:val="single"/>
                              </w:rPr>
                              <w:t xml:space="preserve">                 </w:t>
                            </w:r>
                          </w:p>
                        </w:txbxContent>
                      </v:textbox>
                      <w10:wrap type="none"/>
                      <w10:anchorlock/>
                    </v:shape>
                  </w:pict>
                </mc:Fallback>
              </mc:AlternateContent>
            </w:r>
          </w:p>
        </w:tc>
      </w:tr>
      <w:tr w14:paraId="4EB6FB4B">
        <w:tblPrEx>
          <w:tblCellMar>
            <w:top w:w="0" w:type="dxa"/>
            <w:left w:w="108" w:type="dxa"/>
            <w:bottom w:w="0" w:type="dxa"/>
            <w:right w:w="108" w:type="dxa"/>
          </w:tblCellMar>
        </w:tblPrEx>
        <w:trPr>
          <w:trHeight w:val="907" w:hRule="atLeast"/>
          <w:jc w:val="center"/>
        </w:trPr>
        <w:tc>
          <w:tcPr>
            <w:tcW w:w="625" w:type="pct"/>
            <w:tcBorders>
              <w:top w:val="single" w:color="auto" w:sz="4" w:space="0"/>
              <w:left w:val="single" w:color="auto" w:sz="4" w:space="0"/>
              <w:bottom w:val="single" w:color="auto" w:sz="4" w:space="0"/>
              <w:right w:val="single" w:color="auto" w:sz="4" w:space="0"/>
            </w:tcBorders>
            <w:noWrap w:val="0"/>
            <w:vAlign w:val="center"/>
          </w:tcPr>
          <w:p w14:paraId="52C6A248">
            <w:pPr>
              <w:pStyle w:val="118"/>
              <w:keepNext w:val="0"/>
              <w:keepLines w:val="0"/>
              <w:suppressLineNumbers w:val="0"/>
              <w:spacing w:before="62" w:beforeLines="20" w:beforeAutospacing="0" w:after="62" w:afterLines="20" w:afterAutospacing="0"/>
              <w:ind w:left="0" w:leftChars="0" w:right="0" w:rightChars="0"/>
              <w:jc w:val="center"/>
              <w:rPr>
                <w:rFonts w:hint="eastAsia" w:ascii="宋体" w:hAnsi="宋体" w:eastAsia="宋体" w:cs="宋体"/>
                <w:color w:val="000000"/>
                <w:kern w:val="0"/>
                <w:sz w:val="21"/>
                <w:szCs w:val="21"/>
                <w:lang w:val="en-US" w:eastAsia="zh-CN" w:bidi="ar-SA"/>
              </w:rPr>
            </w:pPr>
            <w:r>
              <w:rPr>
                <w:rFonts w:hint="eastAsia" w:ascii="宋体" w:hAnsi="宋体" w:eastAsia="宋体" w:cs="宋体"/>
                <w:color w:val="000000"/>
                <w:kern w:val="0"/>
                <w:sz w:val="21"/>
                <w:szCs w:val="21"/>
                <w:lang w:val="en-US" w:eastAsia="zh-CN" w:bidi="ar-SA"/>
              </w:rPr>
              <w:t>5.1</w:t>
            </w:r>
          </w:p>
        </w:tc>
        <w:tc>
          <w:tcPr>
            <w:tcW w:w="1205" w:type="pct"/>
            <w:tcBorders>
              <w:top w:val="single" w:color="auto" w:sz="4" w:space="0"/>
              <w:left w:val="single" w:color="auto" w:sz="4" w:space="0"/>
              <w:bottom w:val="single" w:color="auto" w:sz="4" w:space="0"/>
              <w:right w:val="single" w:color="auto" w:sz="4" w:space="0"/>
            </w:tcBorders>
            <w:noWrap w:val="0"/>
            <w:vAlign w:val="center"/>
          </w:tcPr>
          <w:p w14:paraId="17CA1C84">
            <w:pPr>
              <w:pStyle w:val="118"/>
              <w:keepNext w:val="0"/>
              <w:keepLines w:val="0"/>
              <w:suppressLineNumbers w:val="0"/>
              <w:spacing w:before="62" w:beforeLines="20" w:beforeAutospacing="0" w:after="62" w:afterLines="20" w:afterAutospacing="0"/>
              <w:ind w:left="0" w:leftChars="0" w:right="0" w:rightChars="0"/>
              <w:jc w:val="center"/>
              <w:rPr>
                <w:rFonts w:hint="eastAsia" w:ascii="宋体" w:hAnsi="宋体" w:eastAsia="宋体" w:cs="宋体"/>
                <w:color w:val="000000"/>
                <w:spacing w:val="-6"/>
                <w:kern w:val="0"/>
                <w:sz w:val="21"/>
                <w:szCs w:val="21"/>
                <w:lang w:val="en-US" w:eastAsia="zh-CN" w:bidi="ar-SA"/>
              </w:rPr>
            </w:pPr>
            <w:r>
              <w:rPr>
                <w:rFonts w:hint="eastAsia" w:ascii="宋体" w:hAnsi="宋体" w:eastAsia="宋体" w:cs="宋体"/>
                <w:color w:val="000000"/>
                <w:spacing w:val="-6"/>
                <w:szCs w:val="21"/>
              </w:rPr>
              <w:t>投标文件递交截止时间</w:t>
            </w:r>
          </w:p>
        </w:tc>
        <w:tc>
          <w:tcPr>
            <w:tcW w:w="3169" w:type="pct"/>
            <w:tcBorders>
              <w:top w:val="single" w:color="auto" w:sz="4" w:space="0"/>
              <w:left w:val="single" w:color="auto" w:sz="4" w:space="0"/>
              <w:bottom w:val="single" w:color="auto" w:sz="4" w:space="0"/>
              <w:right w:val="single" w:color="auto" w:sz="4" w:space="0"/>
            </w:tcBorders>
            <w:noWrap w:val="0"/>
            <w:vAlign w:val="center"/>
          </w:tcPr>
          <w:p w14:paraId="7A19B495">
            <w:pPr>
              <w:keepNext w:val="0"/>
              <w:keepLines w:val="0"/>
              <w:suppressLineNumbers w:val="0"/>
              <w:spacing w:before="62" w:beforeLines="20" w:beforeAutospacing="0" w:after="62" w:afterLines="20" w:afterAutospacing="0"/>
              <w:ind w:left="0" w:leftChars="0" w:right="0" w:rightChars="0"/>
              <w:rPr>
                <w:rFonts w:hint="eastAsia" w:ascii="宋体" w:hAnsi="宋体" w:eastAsia="宋体" w:cs="宋体"/>
                <w:b/>
                <w:color w:val="000000"/>
                <w:kern w:val="2"/>
                <w:sz w:val="21"/>
                <w:szCs w:val="21"/>
                <w:lang w:val="en-US" w:eastAsia="zh-CN" w:bidi="ar-SA"/>
              </w:rPr>
            </w:pPr>
            <w:r>
              <w:rPr>
                <w:rFonts w:hint="eastAsia" w:ascii="宋体" w:hAnsi="宋体" w:eastAsia="宋体" w:cs="宋体"/>
                <w:color w:val="000000"/>
                <w:szCs w:val="21"/>
              </w:rPr>
              <w:t>详见第一章 招标公告“六、投标文件的递交”</w:t>
            </w:r>
          </w:p>
        </w:tc>
      </w:tr>
      <w:tr w14:paraId="1508BA3C">
        <w:tblPrEx>
          <w:tblCellMar>
            <w:top w:w="0" w:type="dxa"/>
            <w:left w:w="108" w:type="dxa"/>
            <w:bottom w:w="0" w:type="dxa"/>
            <w:right w:w="108" w:type="dxa"/>
          </w:tblCellMar>
        </w:tblPrEx>
        <w:trPr>
          <w:trHeight w:val="907" w:hRule="atLeast"/>
          <w:jc w:val="center"/>
        </w:trPr>
        <w:tc>
          <w:tcPr>
            <w:tcW w:w="625" w:type="pct"/>
            <w:tcBorders>
              <w:top w:val="single" w:color="auto" w:sz="4" w:space="0"/>
              <w:left w:val="single" w:color="auto" w:sz="4" w:space="0"/>
              <w:bottom w:val="single" w:color="auto" w:sz="4" w:space="0"/>
              <w:right w:val="single" w:color="auto" w:sz="4" w:space="0"/>
            </w:tcBorders>
            <w:noWrap w:val="0"/>
            <w:vAlign w:val="center"/>
          </w:tcPr>
          <w:p w14:paraId="665D846D">
            <w:pPr>
              <w:pStyle w:val="118"/>
              <w:keepNext w:val="0"/>
              <w:keepLines w:val="0"/>
              <w:suppressLineNumbers w:val="0"/>
              <w:spacing w:before="62" w:beforeLines="20" w:beforeAutospacing="0" w:after="62" w:afterLines="20" w:afterAutospacing="0"/>
              <w:ind w:left="0" w:leftChars="0" w:right="0" w:rightChars="0"/>
              <w:jc w:val="center"/>
              <w:rPr>
                <w:rFonts w:hint="eastAsia" w:ascii="宋体" w:hAnsi="宋体" w:eastAsia="宋体" w:cs="宋体"/>
                <w:color w:val="000000"/>
                <w:kern w:val="0"/>
                <w:sz w:val="21"/>
                <w:szCs w:val="21"/>
                <w:lang w:val="en-US" w:eastAsia="zh-CN" w:bidi="ar-SA"/>
              </w:rPr>
            </w:pPr>
            <w:r>
              <w:rPr>
                <w:rFonts w:hint="eastAsia" w:ascii="宋体" w:hAnsi="宋体" w:eastAsia="宋体" w:cs="宋体"/>
                <w:color w:val="000000"/>
                <w:kern w:val="0"/>
                <w:sz w:val="21"/>
                <w:szCs w:val="21"/>
                <w:lang w:val="en-US" w:eastAsia="zh-CN" w:bidi="ar-SA"/>
              </w:rPr>
              <w:t>5.1</w:t>
            </w:r>
          </w:p>
        </w:tc>
        <w:tc>
          <w:tcPr>
            <w:tcW w:w="1205" w:type="pct"/>
            <w:tcBorders>
              <w:top w:val="single" w:color="auto" w:sz="4" w:space="0"/>
              <w:left w:val="single" w:color="auto" w:sz="4" w:space="0"/>
              <w:bottom w:val="single" w:color="auto" w:sz="4" w:space="0"/>
              <w:right w:val="single" w:color="auto" w:sz="4" w:space="0"/>
            </w:tcBorders>
            <w:noWrap w:val="0"/>
            <w:vAlign w:val="center"/>
          </w:tcPr>
          <w:p w14:paraId="6FF70DCB">
            <w:pPr>
              <w:pStyle w:val="118"/>
              <w:keepNext w:val="0"/>
              <w:keepLines w:val="0"/>
              <w:suppressLineNumbers w:val="0"/>
              <w:spacing w:before="62" w:beforeLines="20" w:beforeAutospacing="0" w:after="62" w:afterLines="20" w:afterAutospacing="0"/>
              <w:ind w:left="0" w:leftChars="0" w:right="0" w:rightChars="0"/>
              <w:jc w:val="center"/>
              <w:rPr>
                <w:rFonts w:hint="eastAsia" w:ascii="宋体" w:hAnsi="宋体" w:eastAsia="宋体" w:cs="宋体"/>
                <w:color w:val="000000"/>
                <w:kern w:val="0"/>
                <w:sz w:val="21"/>
                <w:szCs w:val="21"/>
                <w:lang w:val="en-US" w:eastAsia="zh-CN" w:bidi="ar-SA"/>
              </w:rPr>
            </w:pPr>
            <w:r>
              <w:rPr>
                <w:rFonts w:hint="eastAsia" w:ascii="宋体" w:hAnsi="宋体" w:eastAsia="宋体" w:cs="宋体"/>
                <w:color w:val="000000"/>
                <w:szCs w:val="21"/>
              </w:rPr>
              <w:t>投标文件递交地点</w:t>
            </w:r>
          </w:p>
        </w:tc>
        <w:tc>
          <w:tcPr>
            <w:tcW w:w="3169" w:type="pct"/>
            <w:tcBorders>
              <w:top w:val="single" w:color="auto" w:sz="4" w:space="0"/>
              <w:left w:val="single" w:color="auto" w:sz="4" w:space="0"/>
              <w:bottom w:val="single" w:color="auto" w:sz="4" w:space="0"/>
              <w:right w:val="single" w:color="auto" w:sz="4" w:space="0"/>
            </w:tcBorders>
            <w:noWrap w:val="0"/>
            <w:vAlign w:val="center"/>
          </w:tcPr>
          <w:p w14:paraId="5C4B629D">
            <w:pPr>
              <w:keepNext w:val="0"/>
              <w:keepLines w:val="0"/>
              <w:suppressLineNumbers w:val="0"/>
              <w:spacing w:before="62" w:beforeLines="20" w:beforeAutospacing="0" w:after="62" w:afterLines="20" w:afterAutospacing="0"/>
              <w:ind w:left="0" w:leftChars="0" w:right="0" w:rightChars="0"/>
              <w:rPr>
                <w:rFonts w:hint="eastAsia" w:ascii="宋体" w:hAnsi="宋体" w:eastAsia="宋体" w:cs="宋体"/>
                <w:b/>
                <w:color w:val="000000"/>
                <w:kern w:val="2"/>
                <w:sz w:val="21"/>
                <w:szCs w:val="21"/>
                <w:lang w:val="en-US" w:eastAsia="zh-CN" w:bidi="ar-SA"/>
              </w:rPr>
            </w:pPr>
            <w:r>
              <w:rPr>
                <w:rFonts w:hint="eastAsia" w:ascii="宋体" w:hAnsi="宋体" w:eastAsia="宋体" w:cs="宋体"/>
                <w:color w:val="000000"/>
                <w:szCs w:val="21"/>
              </w:rPr>
              <w:t>详见第一章 招标公告“六、投标文件的递交”</w:t>
            </w:r>
          </w:p>
        </w:tc>
      </w:tr>
      <w:tr w14:paraId="7032981C">
        <w:tblPrEx>
          <w:tblCellMar>
            <w:top w:w="0" w:type="dxa"/>
            <w:left w:w="108" w:type="dxa"/>
            <w:bottom w:w="0" w:type="dxa"/>
            <w:right w:w="108" w:type="dxa"/>
          </w:tblCellMar>
        </w:tblPrEx>
        <w:trPr>
          <w:trHeight w:val="907" w:hRule="atLeast"/>
          <w:jc w:val="center"/>
        </w:trPr>
        <w:tc>
          <w:tcPr>
            <w:tcW w:w="625" w:type="pct"/>
            <w:tcBorders>
              <w:top w:val="single" w:color="auto" w:sz="4" w:space="0"/>
              <w:left w:val="single" w:color="auto" w:sz="4" w:space="0"/>
              <w:bottom w:val="single" w:color="auto" w:sz="4" w:space="0"/>
              <w:right w:val="single" w:color="auto" w:sz="4" w:space="0"/>
            </w:tcBorders>
            <w:noWrap w:val="0"/>
            <w:vAlign w:val="center"/>
          </w:tcPr>
          <w:p w14:paraId="66F25E90">
            <w:pPr>
              <w:pStyle w:val="118"/>
              <w:keepNext w:val="0"/>
              <w:keepLines w:val="0"/>
              <w:suppressLineNumbers w:val="0"/>
              <w:spacing w:before="62" w:beforeLines="20" w:beforeAutospacing="0" w:after="62" w:afterLines="20" w:afterAutospacing="0"/>
              <w:ind w:left="0" w:leftChars="0" w:right="0" w:rightChars="0"/>
              <w:jc w:val="center"/>
              <w:rPr>
                <w:rFonts w:hint="eastAsia" w:ascii="宋体" w:hAnsi="宋体" w:eastAsia="宋体" w:cs="宋体"/>
                <w:color w:val="000000"/>
                <w:kern w:val="0"/>
                <w:sz w:val="21"/>
                <w:szCs w:val="21"/>
                <w:lang w:val="en-US" w:eastAsia="zh-CN" w:bidi="ar-SA"/>
              </w:rPr>
            </w:pPr>
            <w:r>
              <w:rPr>
                <w:rFonts w:hint="eastAsia" w:ascii="宋体" w:hAnsi="宋体" w:eastAsia="宋体" w:cs="宋体"/>
                <w:color w:val="000000"/>
                <w:kern w:val="0"/>
                <w:sz w:val="21"/>
                <w:szCs w:val="21"/>
                <w:lang w:val="en-US" w:eastAsia="zh-CN" w:bidi="ar-SA"/>
              </w:rPr>
              <w:t>5.2.2</w:t>
            </w:r>
          </w:p>
        </w:tc>
        <w:tc>
          <w:tcPr>
            <w:tcW w:w="1205" w:type="pct"/>
            <w:tcBorders>
              <w:top w:val="single" w:color="auto" w:sz="4" w:space="0"/>
              <w:left w:val="single" w:color="auto" w:sz="4" w:space="0"/>
              <w:bottom w:val="single" w:color="auto" w:sz="4" w:space="0"/>
              <w:right w:val="single" w:color="auto" w:sz="4" w:space="0"/>
            </w:tcBorders>
            <w:noWrap w:val="0"/>
            <w:vAlign w:val="center"/>
          </w:tcPr>
          <w:p w14:paraId="437110B8">
            <w:pPr>
              <w:pStyle w:val="118"/>
              <w:keepNext w:val="0"/>
              <w:keepLines w:val="0"/>
              <w:suppressLineNumbers w:val="0"/>
              <w:spacing w:before="62" w:beforeLines="20" w:beforeAutospacing="0" w:after="62" w:afterLines="20" w:afterAutospacing="0"/>
              <w:ind w:left="0" w:leftChars="0" w:right="0" w:rightChars="0"/>
              <w:jc w:val="center"/>
              <w:rPr>
                <w:rFonts w:hint="eastAsia" w:ascii="宋体" w:hAnsi="宋体" w:eastAsia="宋体" w:cs="宋体"/>
                <w:color w:val="000000"/>
                <w:kern w:val="0"/>
                <w:sz w:val="21"/>
                <w:szCs w:val="21"/>
                <w:lang w:val="en-US" w:eastAsia="zh-CN" w:bidi="ar-SA"/>
              </w:rPr>
            </w:pPr>
            <w:r>
              <w:rPr>
                <w:rFonts w:hint="eastAsia" w:ascii="宋体" w:hAnsi="宋体" w:eastAsia="宋体" w:cs="宋体"/>
                <w:color w:val="000000"/>
                <w:szCs w:val="21"/>
              </w:rPr>
              <w:t>投标文件退还</w:t>
            </w:r>
          </w:p>
        </w:tc>
        <w:tc>
          <w:tcPr>
            <w:tcW w:w="3169" w:type="pct"/>
            <w:tcBorders>
              <w:top w:val="single" w:color="auto" w:sz="4" w:space="0"/>
              <w:left w:val="single" w:color="auto" w:sz="4" w:space="0"/>
              <w:bottom w:val="single" w:color="auto" w:sz="4" w:space="0"/>
              <w:right w:val="single" w:color="auto" w:sz="4" w:space="0"/>
            </w:tcBorders>
            <w:noWrap w:val="0"/>
            <w:vAlign w:val="center"/>
          </w:tcPr>
          <w:p w14:paraId="3EE1B46B">
            <w:pPr>
              <w:pStyle w:val="118"/>
              <w:keepNext w:val="0"/>
              <w:keepLines w:val="0"/>
              <w:suppressLineNumbers w:val="0"/>
              <w:spacing w:before="62" w:beforeLines="20" w:beforeAutospacing="0" w:after="62" w:afterLines="20" w:afterAutospacing="0"/>
              <w:ind w:left="0" w:right="0"/>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■不退还</w:t>
            </w:r>
          </w:p>
          <w:p w14:paraId="5A6C1E5C">
            <w:pPr>
              <w:pStyle w:val="123"/>
              <w:keepNext w:val="0"/>
              <w:keepLines w:val="0"/>
              <w:suppressLineNumbers w:val="0"/>
              <w:spacing w:before="62" w:beforeLines="20" w:beforeAutospacing="0" w:after="62" w:afterLines="20" w:afterAutospacing="0" w:line="312" w:lineRule="auto"/>
              <w:ind w:left="0" w:leftChars="0" w:right="0" w:rightChars="0"/>
              <w:rPr>
                <w:rFonts w:hint="eastAsia" w:ascii="宋体" w:hAnsi="宋体" w:eastAsia="宋体" w:cs="宋体"/>
                <w:color w:val="000000"/>
                <w:kern w:val="0"/>
                <w:sz w:val="21"/>
                <w:szCs w:val="21"/>
                <w:u w:val="single"/>
                <w:lang w:val="en-US" w:eastAsia="zh-CN" w:bidi="ar-SA"/>
              </w:rPr>
            </w:pPr>
            <w:r>
              <w:rPr>
                <w:rFonts w:hint="eastAsia" w:ascii="宋体" w:hAnsi="宋体" w:eastAsia="宋体" w:cs="宋体"/>
                <w:color w:val="000000"/>
                <w:kern w:val="2"/>
                <w:sz w:val="21"/>
                <w:szCs w:val="21"/>
                <w:lang w:val="en-US" w:eastAsia="zh-CN" w:bidi="ar-SA"/>
              </w:rPr>
              <w:t>□退还</w:t>
            </w:r>
          </w:p>
        </w:tc>
      </w:tr>
      <w:tr w14:paraId="21EBFBF9">
        <w:tblPrEx>
          <w:tblCellMar>
            <w:top w:w="0" w:type="dxa"/>
            <w:left w:w="108" w:type="dxa"/>
            <w:bottom w:w="0" w:type="dxa"/>
            <w:right w:w="108" w:type="dxa"/>
          </w:tblCellMar>
        </w:tblPrEx>
        <w:trPr>
          <w:jc w:val="center"/>
        </w:trPr>
        <w:tc>
          <w:tcPr>
            <w:tcW w:w="625" w:type="pct"/>
            <w:tcBorders>
              <w:top w:val="single" w:color="auto" w:sz="4" w:space="0"/>
              <w:left w:val="single" w:color="auto" w:sz="4" w:space="0"/>
              <w:bottom w:val="single" w:color="auto" w:sz="4" w:space="0"/>
              <w:right w:val="single" w:color="auto" w:sz="4" w:space="0"/>
            </w:tcBorders>
            <w:noWrap w:val="0"/>
            <w:vAlign w:val="center"/>
          </w:tcPr>
          <w:p w14:paraId="314E5C7B">
            <w:pPr>
              <w:pStyle w:val="118"/>
              <w:keepNext w:val="0"/>
              <w:keepLines w:val="0"/>
              <w:suppressLineNumbers w:val="0"/>
              <w:spacing w:before="62" w:beforeLines="20" w:beforeAutospacing="0" w:after="62" w:afterLines="20" w:afterAutospacing="0"/>
              <w:ind w:left="0" w:right="0"/>
              <w:jc w:val="center"/>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6.1</w:t>
            </w:r>
          </w:p>
        </w:tc>
        <w:tc>
          <w:tcPr>
            <w:tcW w:w="1205" w:type="pct"/>
            <w:tcBorders>
              <w:top w:val="single" w:color="auto" w:sz="4" w:space="0"/>
              <w:left w:val="single" w:color="auto" w:sz="4" w:space="0"/>
              <w:bottom w:val="single" w:color="auto" w:sz="4" w:space="0"/>
              <w:right w:val="single" w:color="auto" w:sz="4" w:space="0"/>
            </w:tcBorders>
            <w:noWrap w:val="0"/>
            <w:vAlign w:val="center"/>
          </w:tcPr>
          <w:p w14:paraId="516A54A9">
            <w:pPr>
              <w:pStyle w:val="118"/>
              <w:keepNext w:val="0"/>
              <w:keepLines w:val="0"/>
              <w:suppressLineNumbers w:val="0"/>
              <w:spacing w:before="62" w:beforeLines="20" w:beforeAutospacing="0" w:after="62" w:afterLines="20" w:afterAutospacing="0"/>
              <w:ind w:left="0" w:right="0"/>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评标委员会组成人数</w:t>
            </w:r>
          </w:p>
        </w:tc>
        <w:tc>
          <w:tcPr>
            <w:tcW w:w="3169" w:type="pct"/>
            <w:tcBorders>
              <w:top w:val="single" w:color="auto" w:sz="4" w:space="0"/>
              <w:left w:val="single" w:color="auto" w:sz="4" w:space="0"/>
              <w:bottom w:val="single" w:color="auto" w:sz="4" w:space="0"/>
              <w:right w:val="single" w:color="auto" w:sz="4" w:space="0"/>
            </w:tcBorders>
            <w:noWrap w:val="0"/>
            <w:vAlign w:val="center"/>
          </w:tcPr>
          <w:p w14:paraId="2723CCE3">
            <w:pPr>
              <w:keepNext w:val="0"/>
              <w:keepLines w:val="0"/>
              <w:suppressLineNumbers w:val="0"/>
              <w:spacing w:before="62" w:beforeLines="20" w:beforeAutospacing="0" w:after="62" w:afterLines="20" w:afterAutospacing="0"/>
              <w:ind w:left="0" w:right="0"/>
              <w:rPr>
                <w:rFonts w:hint="eastAsia" w:ascii="宋体" w:hAnsi="宋体" w:eastAsia="宋体" w:cs="宋体"/>
                <w:color w:val="000000"/>
                <w:szCs w:val="21"/>
                <w:highlight w:val="none"/>
              </w:rPr>
            </w:pPr>
            <w:r>
              <w:rPr>
                <w:rFonts w:hint="eastAsia" w:ascii="宋体" w:hAnsi="宋体" w:eastAsia="宋体" w:cs="宋体"/>
                <w:color w:val="000000"/>
                <w:szCs w:val="21"/>
              </w:rPr>
              <w:t xml:space="preserve"> </w:t>
            </w:r>
            <w:r>
              <w:rPr>
                <w:rFonts w:hint="eastAsia" w:ascii="宋体" w:hAnsi="宋体" w:eastAsia="宋体" w:cs="宋体"/>
                <w:color w:val="000000"/>
                <w:szCs w:val="21"/>
                <w:lang w:val="en-US" w:eastAsia="zh-CN"/>
              </w:rPr>
              <w:t>7</w:t>
            </w:r>
            <w:r>
              <w:rPr>
                <w:rFonts w:hint="eastAsia" w:ascii="宋体" w:hAnsi="宋体" w:eastAsia="宋体" w:cs="宋体"/>
                <w:color w:val="000000"/>
                <w:szCs w:val="21"/>
              </w:rPr>
              <w:t xml:space="preserve"> 人</w:t>
            </w:r>
          </w:p>
        </w:tc>
      </w:tr>
      <w:tr w14:paraId="55BE36BC">
        <w:tblPrEx>
          <w:tblCellMar>
            <w:top w:w="0" w:type="dxa"/>
            <w:left w:w="108" w:type="dxa"/>
            <w:bottom w:w="0" w:type="dxa"/>
            <w:right w:w="108" w:type="dxa"/>
          </w:tblCellMar>
        </w:tblPrEx>
        <w:trPr>
          <w:jc w:val="center"/>
        </w:trPr>
        <w:tc>
          <w:tcPr>
            <w:tcW w:w="625" w:type="pct"/>
            <w:tcBorders>
              <w:top w:val="single" w:color="auto" w:sz="4" w:space="0"/>
              <w:left w:val="single" w:color="auto" w:sz="4" w:space="0"/>
              <w:bottom w:val="single" w:color="auto" w:sz="4" w:space="0"/>
              <w:right w:val="single" w:color="auto" w:sz="4" w:space="0"/>
            </w:tcBorders>
            <w:noWrap w:val="0"/>
            <w:vAlign w:val="center"/>
          </w:tcPr>
          <w:p w14:paraId="7470AE3B">
            <w:pPr>
              <w:pStyle w:val="118"/>
              <w:keepNext w:val="0"/>
              <w:keepLines w:val="0"/>
              <w:suppressLineNumbers w:val="0"/>
              <w:spacing w:before="62" w:beforeLines="20" w:beforeAutospacing="0" w:after="62" w:afterLines="20" w:afterAutospacing="0"/>
              <w:ind w:left="0" w:right="0"/>
              <w:jc w:val="center"/>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6.3</w:t>
            </w:r>
          </w:p>
        </w:tc>
        <w:tc>
          <w:tcPr>
            <w:tcW w:w="1205" w:type="pct"/>
            <w:tcBorders>
              <w:top w:val="single" w:color="auto" w:sz="4" w:space="0"/>
              <w:left w:val="single" w:color="auto" w:sz="4" w:space="0"/>
              <w:bottom w:val="single" w:color="auto" w:sz="4" w:space="0"/>
              <w:right w:val="single" w:color="auto" w:sz="4" w:space="0"/>
            </w:tcBorders>
            <w:noWrap w:val="0"/>
            <w:vAlign w:val="center"/>
          </w:tcPr>
          <w:p w14:paraId="4311D35E">
            <w:pPr>
              <w:pStyle w:val="118"/>
              <w:keepNext w:val="0"/>
              <w:keepLines w:val="0"/>
              <w:suppressLineNumbers w:val="0"/>
              <w:spacing w:before="62" w:beforeLines="20" w:beforeAutospacing="0" w:after="62" w:afterLines="20" w:afterAutospacing="0"/>
              <w:ind w:left="0" w:right="0"/>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评标方法</w:t>
            </w:r>
          </w:p>
        </w:tc>
        <w:tc>
          <w:tcPr>
            <w:tcW w:w="3169" w:type="pct"/>
            <w:tcBorders>
              <w:top w:val="single" w:color="auto" w:sz="4" w:space="0"/>
              <w:left w:val="single" w:color="auto" w:sz="4" w:space="0"/>
              <w:bottom w:val="single" w:color="auto" w:sz="4" w:space="0"/>
              <w:right w:val="single" w:color="auto" w:sz="4" w:space="0"/>
            </w:tcBorders>
            <w:noWrap w:val="0"/>
            <w:vAlign w:val="center"/>
          </w:tcPr>
          <w:p w14:paraId="4A3CE109">
            <w:pPr>
              <w:pStyle w:val="118"/>
              <w:keepNext w:val="0"/>
              <w:keepLines w:val="0"/>
              <w:suppressLineNumbers w:val="0"/>
              <w:spacing w:before="62" w:beforeLines="20" w:beforeAutospacing="0" w:after="62" w:afterLines="20" w:afterAutospacing="0"/>
              <w:ind w:left="0" w:right="0"/>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□经评审的最低投标价法</w:t>
            </w:r>
          </w:p>
          <w:p w14:paraId="55559AF5">
            <w:pPr>
              <w:pStyle w:val="118"/>
              <w:keepNext w:val="0"/>
              <w:keepLines w:val="0"/>
              <w:suppressLineNumbers w:val="0"/>
              <w:spacing w:before="62" w:beforeLines="20" w:beforeAutospacing="0" w:after="62" w:afterLines="20" w:afterAutospacing="0"/>
              <w:ind w:left="0" w:right="0"/>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■综合评分法</w:t>
            </w:r>
          </w:p>
          <w:p w14:paraId="6A79AC90">
            <w:pPr>
              <w:pStyle w:val="118"/>
              <w:keepNext w:val="0"/>
              <w:keepLines w:val="0"/>
              <w:suppressLineNumbers w:val="0"/>
              <w:spacing w:before="62" w:beforeLines="20" w:beforeAutospacing="0" w:after="62" w:afterLines="20" w:afterAutospacing="0"/>
              <w:ind w:left="0" w:right="0"/>
              <w:rPr>
                <w:rFonts w:hint="eastAsia" w:ascii="宋体" w:hAnsi="宋体" w:eastAsia="宋体" w:cs="宋体"/>
                <w:color w:val="000000"/>
                <w:szCs w:val="21"/>
                <w:highlight w:val="none"/>
              </w:rPr>
            </w:pPr>
            <w:r>
              <w:rPr>
                <w:rFonts w:hint="eastAsia" w:ascii="宋体" w:hAnsi="宋体" w:eastAsia="宋体" w:cs="宋体"/>
                <w:color w:val="000000"/>
                <w:kern w:val="2"/>
                <w:sz w:val="21"/>
                <w:szCs w:val="21"/>
                <w:lang w:val="en-US" w:eastAsia="zh-CN" w:bidi="ar-SA"/>
              </w:rPr>
              <w:t xml:space="preserve">□其他：       </w:t>
            </w:r>
          </w:p>
        </w:tc>
      </w:tr>
      <w:tr w14:paraId="18F29112">
        <w:tblPrEx>
          <w:tblCellMar>
            <w:top w:w="0" w:type="dxa"/>
            <w:left w:w="108" w:type="dxa"/>
            <w:bottom w:w="0" w:type="dxa"/>
            <w:right w:w="108" w:type="dxa"/>
          </w:tblCellMar>
        </w:tblPrEx>
        <w:trPr>
          <w:jc w:val="center"/>
        </w:trPr>
        <w:tc>
          <w:tcPr>
            <w:tcW w:w="625" w:type="pct"/>
            <w:tcBorders>
              <w:top w:val="single" w:color="auto" w:sz="4" w:space="0"/>
              <w:left w:val="single" w:color="auto" w:sz="4" w:space="0"/>
              <w:bottom w:val="single" w:color="auto" w:sz="4" w:space="0"/>
              <w:right w:val="single" w:color="auto" w:sz="4" w:space="0"/>
            </w:tcBorders>
            <w:noWrap w:val="0"/>
            <w:vAlign w:val="center"/>
          </w:tcPr>
          <w:p w14:paraId="4F768CC7">
            <w:pPr>
              <w:pStyle w:val="118"/>
              <w:keepNext w:val="0"/>
              <w:keepLines w:val="0"/>
              <w:suppressLineNumbers w:val="0"/>
              <w:spacing w:before="62" w:beforeLines="20" w:beforeAutospacing="0" w:after="62" w:afterLines="20" w:afterAutospacing="0"/>
              <w:ind w:left="0" w:right="0"/>
              <w:jc w:val="center"/>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6.4</w:t>
            </w:r>
          </w:p>
        </w:tc>
        <w:tc>
          <w:tcPr>
            <w:tcW w:w="1205" w:type="pct"/>
            <w:tcBorders>
              <w:top w:val="single" w:color="auto" w:sz="4" w:space="0"/>
              <w:left w:val="single" w:color="auto" w:sz="4" w:space="0"/>
              <w:bottom w:val="single" w:color="auto" w:sz="4" w:space="0"/>
              <w:right w:val="single" w:color="auto" w:sz="4" w:space="0"/>
            </w:tcBorders>
            <w:noWrap w:val="0"/>
            <w:vAlign w:val="center"/>
          </w:tcPr>
          <w:p w14:paraId="41BCF55E">
            <w:pPr>
              <w:pStyle w:val="118"/>
              <w:keepNext w:val="0"/>
              <w:keepLines w:val="0"/>
              <w:suppressLineNumbers w:val="0"/>
              <w:spacing w:before="62" w:beforeLines="20" w:beforeAutospacing="0" w:after="62" w:afterLines="20" w:afterAutospacing="0"/>
              <w:ind w:left="0" w:right="0"/>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中标人候选人推荐原则</w:t>
            </w:r>
          </w:p>
        </w:tc>
        <w:tc>
          <w:tcPr>
            <w:tcW w:w="3169" w:type="pct"/>
            <w:tcBorders>
              <w:top w:val="single" w:color="auto" w:sz="4" w:space="0"/>
              <w:left w:val="single" w:color="auto" w:sz="4" w:space="0"/>
              <w:bottom w:val="single" w:color="auto" w:sz="4" w:space="0"/>
              <w:right w:val="single" w:color="auto" w:sz="4" w:space="0"/>
            </w:tcBorders>
            <w:noWrap w:val="0"/>
            <w:vAlign w:val="center"/>
          </w:tcPr>
          <w:p w14:paraId="4F37D14B">
            <w:pPr>
              <w:pStyle w:val="118"/>
              <w:keepNext w:val="0"/>
              <w:keepLines w:val="0"/>
              <w:suppressLineNumbers w:val="0"/>
              <w:spacing w:before="62" w:beforeLines="20" w:beforeAutospacing="0" w:after="62" w:afterLines="20" w:afterAutospacing="0"/>
              <w:ind w:left="0" w:right="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rPr>
              <w:t>评标委员会</w:t>
            </w:r>
            <w:r>
              <w:rPr>
                <w:rFonts w:hint="eastAsia" w:ascii="宋体" w:hAnsi="宋体" w:eastAsia="宋体" w:cs="宋体"/>
                <w:color w:val="000000"/>
                <w:szCs w:val="21"/>
                <w:highlight w:val="none"/>
              </w:rPr>
              <w:t>根据</w:t>
            </w:r>
            <w:r>
              <w:rPr>
                <w:rFonts w:hint="eastAsia" w:ascii="宋体" w:hAnsi="宋体" w:eastAsia="宋体" w:cs="宋体"/>
                <w:color w:val="000000"/>
                <w:szCs w:val="21"/>
                <w:highlight w:val="none"/>
                <w:lang w:val="en-US"/>
              </w:rPr>
              <w:t>招标</w:t>
            </w:r>
            <w:r>
              <w:rPr>
                <w:rFonts w:hint="eastAsia" w:ascii="宋体" w:hAnsi="宋体" w:eastAsia="宋体" w:cs="宋体"/>
                <w:color w:val="000000"/>
                <w:szCs w:val="21"/>
                <w:highlight w:val="none"/>
              </w:rPr>
              <w:t>文件规定的评审标准对有效</w:t>
            </w:r>
            <w:r>
              <w:rPr>
                <w:rFonts w:hint="eastAsia" w:ascii="宋体" w:hAnsi="宋体" w:eastAsia="宋体" w:cs="宋体"/>
                <w:color w:val="000000"/>
                <w:szCs w:val="21"/>
                <w:highlight w:val="none"/>
                <w:lang w:val="en-US"/>
              </w:rPr>
              <w:t>投标人</w:t>
            </w:r>
            <w:r>
              <w:rPr>
                <w:rFonts w:hint="eastAsia" w:ascii="宋体" w:hAnsi="宋体" w:eastAsia="宋体" w:cs="宋体"/>
                <w:color w:val="000000"/>
                <w:szCs w:val="21"/>
                <w:highlight w:val="none"/>
              </w:rPr>
              <w:t>进行综合打分，根据综合得分由高至低排出的名次，按照以下方式顺序推荐</w:t>
            </w:r>
            <w:r>
              <w:rPr>
                <w:rFonts w:hint="eastAsia" w:ascii="宋体" w:hAnsi="宋体" w:eastAsia="宋体" w:cs="宋体"/>
                <w:color w:val="000000"/>
                <w:szCs w:val="21"/>
                <w:highlight w:val="none"/>
                <w:lang w:val="en-US"/>
              </w:rPr>
              <w:t>中标</w:t>
            </w:r>
            <w:r>
              <w:rPr>
                <w:rFonts w:hint="eastAsia" w:ascii="宋体" w:hAnsi="宋体" w:eastAsia="宋体" w:cs="宋体"/>
                <w:color w:val="000000"/>
                <w:szCs w:val="21"/>
                <w:highlight w:val="none"/>
              </w:rPr>
              <w:t>候选人：</w:t>
            </w:r>
          </w:p>
          <w:p w14:paraId="52D2A026">
            <w:pPr>
              <w:pStyle w:val="118"/>
              <w:keepNext w:val="0"/>
              <w:keepLines w:val="0"/>
              <w:numPr>
                <w:ilvl w:val="0"/>
                <w:numId w:val="2"/>
              </w:numPr>
              <w:suppressLineNumbers w:val="0"/>
              <w:spacing w:before="62" w:beforeLines="20" w:beforeAutospacing="0" w:after="62" w:afterLines="20" w:afterAutospacing="0"/>
              <w:ind w:left="0" w:leftChars="0" w:right="0" w:firstLine="0" w:firstLineChars="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有效</w:t>
            </w:r>
            <w:r>
              <w:rPr>
                <w:rFonts w:hint="eastAsia" w:ascii="宋体" w:hAnsi="宋体" w:eastAsia="宋体" w:cs="宋体"/>
                <w:color w:val="auto"/>
                <w:szCs w:val="21"/>
                <w:highlight w:val="none"/>
                <w:lang w:val="en-US"/>
              </w:rPr>
              <w:t>投标人</w:t>
            </w:r>
            <w:r>
              <w:rPr>
                <w:rFonts w:hint="eastAsia" w:ascii="宋体" w:hAnsi="宋体" w:eastAsia="宋体" w:cs="宋体"/>
                <w:color w:val="auto"/>
                <w:szCs w:val="21"/>
                <w:highlight w:val="none"/>
              </w:rPr>
              <w:t>数量为</w:t>
            </w:r>
            <w:r>
              <w:rPr>
                <w:rFonts w:hint="eastAsia" w:ascii="宋体" w:hAnsi="宋体" w:cs="宋体"/>
                <w:color w:val="auto"/>
                <w:szCs w:val="21"/>
                <w:highlight w:val="none"/>
                <w:u w:val="single"/>
                <w:lang w:val="en-US" w:eastAsia="zh-CN"/>
              </w:rPr>
              <w:t>6</w:t>
            </w:r>
            <w:r>
              <w:rPr>
                <w:rFonts w:hint="eastAsia" w:ascii="宋体" w:hAnsi="宋体" w:eastAsia="宋体" w:cs="宋体"/>
                <w:color w:val="auto"/>
                <w:szCs w:val="21"/>
                <w:highlight w:val="none"/>
                <w:u w:val="single"/>
              </w:rPr>
              <w:t>（含）</w:t>
            </w:r>
            <w:r>
              <w:rPr>
                <w:rFonts w:hint="eastAsia" w:ascii="宋体" w:hAnsi="宋体" w:eastAsia="宋体" w:cs="宋体"/>
                <w:color w:val="auto"/>
                <w:szCs w:val="21"/>
                <w:highlight w:val="none"/>
              </w:rPr>
              <w:t>以上时，推荐</w:t>
            </w:r>
            <w:r>
              <w:rPr>
                <w:rFonts w:hint="eastAsia" w:ascii="宋体" w:hAnsi="宋体" w:cs="宋体"/>
                <w:color w:val="auto"/>
                <w:szCs w:val="21"/>
                <w:highlight w:val="none"/>
                <w:lang w:val="en-US" w:eastAsia="zh-CN"/>
              </w:rPr>
              <w:t>前</w:t>
            </w:r>
            <w:r>
              <w:rPr>
                <w:rFonts w:hint="eastAsia" w:ascii="宋体" w:hAnsi="宋体" w:cs="宋体"/>
                <w:color w:val="auto"/>
                <w:szCs w:val="21"/>
                <w:highlight w:val="none"/>
                <w:u w:val="single"/>
                <w:lang w:val="en-US" w:eastAsia="zh-CN"/>
              </w:rPr>
              <w:t>6</w:t>
            </w:r>
            <w:r>
              <w:rPr>
                <w:rFonts w:hint="eastAsia" w:ascii="宋体" w:hAnsi="宋体" w:eastAsia="宋体" w:cs="宋体"/>
                <w:color w:val="auto"/>
                <w:szCs w:val="21"/>
                <w:highlight w:val="none"/>
                <w:u w:val="single"/>
              </w:rPr>
              <w:t>名</w:t>
            </w:r>
            <w:r>
              <w:rPr>
                <w:rFonts w:hint="eastAsia" w:ascii="宋体" w:hAnsi="宋体" w:eastAsia="宋体" w:cs="宋体"/>
                <w:color w:val="auto"/>
                <w:szCs w:val="21"/>
                <w:highlight w:val="none"/>
                <w:lang w:val="en-US"/>
              </w:rPr>
              <w:t>中标</w:t>
            </w:r>
            <w:r>
              <w:rPr>
                <w:rFonts w:hint="eastAsia" w:ascii="宋体" w:hAnsi="宋体" w:eastAsia="宋体" w:cs="宋体"/>
                <w:color w:val="auto"/>
                <w:szCs w:val="21"/>
                <w:highlight w:val="none"/>
              </w:rPr>
              <w:t>候选人；</w:t>
            </w:r>
          </w:p>
          <w:p w14:paraId="0F6DC1CD">
            <w:pPr>
              <w:pStyle w:val="118"/>
              <w:keepNext w:val="0"/>
              <w:keepLines w:val="0"/>
              <w:numPr>
                <w:ilvl w:val="0"/>
                <w:numId w:val="2"/>
              </w:numPr>
              <w:suppressLineNumbers w:val="0"/>
              <w:spacing w:before="62" w:beforeLines="20" w:beforeAutospacing="0" w:after="62" w:afterLines="20" w:afterAutospacing="0"/>
              <w:ind w:left="0" w:leftChars="0" w:right="0" w:firstLine="0" w:firstLineChars="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综合得分相同时，价格得分高者排名优先；价格得分也相同时，技术部分评审得分高者排名优先；技术部分评审得分也相同时，商务部分评审得分高者排名优先，商务部分评审得分也相同时，由现场评审委员会全体成员投票表决得分相同投标人优先顺序。</w:t>
            </w:r>
          </w:p>
        </w:tc>
      </w:tr>
      <w:tr w14:paraId="64E18BB0">
        <w:tblPrEx>
          <w:tblCellMar>
            <w:top w:w="0" w:type="dxa"/>
            <w:left w:w="108" w:type="dxa"/>
            <w:bottom w:w="0" w:type="dxa"/>
            <w:right w:w="108" w:type="dxa"/>
          </w:tblCellMar>
        </w:tblPrEx>
        <w:trPr>
          <w:jc w:val="center"/>
        </w:trPr>
        <w:tc>
          <w:tcPr>
            <w:tcW w:w="625" w:type="pct"/>
            <w:tcBorders>
              <w:top w:val="single" w:color="auto" w:sz="4" w:space="0"/>
              <w:left w:val="single" w:color="auto" w:sz="4" w:space="0"/>
              <w:bottom w:val="single" w:color="auto" w:sz="4" w:space="0"/>
              <w:right w:val="single" w:color="auto" w:sz="4" w:space="0"/>
            </w:tcBorders>
            <w:noWrap w:val="0"/>
            <w:vAlign w:val="center"/>
          </w:tcPr>
          <w:p w14:paraId="403DF2E4">
            <w:pPr>
              <w:pStyle w:val="118"/>
              <w:keepNext w:val="0"/>
              <w:keepLines w:val="0"/>
              <w:suppressLineNumbers w:val="0"/>
              <w:spacing w:before="62" w:beforeLines="20" w:beforeAutospacing="0" w:after="62" w:afterLines="20" w:afterAutospacing="0"/>
              <w:ind w:left="0" w:right="0"/>
              <w:jc w:val="center"/>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7.2</w:t>
            </w:r>
          </w:p>
        </w:tc>
        <w:tc>
          <w:tcPr>
            <w:tcW w:w="1205" w:type="pct"/>
            <w:tcBorders>
              <w:top w:val="single" w:color="auto" w:sz="4" w:space="0"/>
              <w:left w:val="single" w:color="auto" w:sz="4" w:space="0"/>
              <w:bottom w:val="single" w:color="auto" w:sz="4" w:space="0"/>
              <w:right w:val="single" w:color="auto" w:sz="4" w:space="0"/>
            </w:tcBorders>
            <w:noWrap w:val="0"/>
            <w:vAlign w:val="center"/>
          </w:tcPr>
          <w:p w14:paraId="1CD0F94B">
            <w:pPr>
              <w:pStyle w:val="118"/>
              <w:keepNext w:val="0"/>
              <w:keepLines w:val="0"/>
              <w:suppressLineNumbers w:val="0"/>
              <w:spacing w:before="62" w:beforeLines="20" w:beforeAutospacing="0" w:after="62" w:afterLines="20" w:afterAutospacing="0"/>
              <w:ind w:left="0" w:right="0"/>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中标人确定</w:t>
            </w:r>
          </w:p>
        </w:tc>
        <w:tc>
          <w:tcPr>
            <w:tcW w:w="3169" w:type="pct"/>
            <w:tcBorders>
              <w:top w:val="single" w:color="auto" w:sz="4" w:space="0"/>
              <w:left w:val="single" w:color="auto" w:sz="4" w:space="0"/>
              <w:bottom w:val="single" w:color="auto" w:sz="4" w:space="0"/>
              <w:right w:val="single" w:color="auto" w:sz="4" w:space="0"/>
            </w:tcBorders>
            <w:noWrap w:val="0"/>
            <w:vAlign w:val="center"/>
          </w:tcPr>
          <w:p w14:paraId="6E4F4FD1">
            <w:pPr>
              <w:pStyle w:val="118"/>
              <w:keepNext w:val="0"/>
              <w:keepLines w:val="0"/>
              <w:suppressLineNumbers w:val="0"/>
              <w:spacing w:before="62" w:beforeLines="20" w:beforeAutospacing="0" w:after="62" w:afterLines="20" w:afterAutospacing="0"/>
              <w:ind w:left="0" w:right="0"/>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kern w:val="2"/>
                <w:sz w:val="21"/>
                <w:szCs w:val="21"/>
                <w:highlight w:val="none"/>
                <w:lang w:val="en-US" w:eastAsia="zh-CN" w:bidi="ar-SA"/>
              </w:rPr>
              <w:t>□评标委员会直接确定中标人，中标人数量：/个</w:t>
            </w:r>
          </w:p>
          <w:p w14:paraId="34BE2419">
            <w:pPr>
              <w:pStyle w:val="118"/>
              <w:keepNext w:val="0"/>
              <w:keepLines w:val="0"/>
              <w:suppressLineNumbers w:val="0"/>
              <w:spacing w:before="62" w:beforeLines="20" w:beforeAutospacing="0" w:after="62" w:afterLines="20" w:afterAutospacing="0"/>
              <w:ind w:left="0" w:right="0"/>
              <w:rPr>
                <w:rFonts w:hint="eastAsia" w:ascii="宋体" w:hAnsi="宋体" w:eastAsia="宋体" w:cs="宋体"/>
                <w:b/>
                <w:bCs/>
                <w:color w:val="000000"/>
                <w:kern w:val="2"/>
                <w:sz w:val="21"/>
                <w:szCs w:val="21"/>
                <w:highlight w:val="none"/>
                <w:lang w:val="en-US" w:eastAsia="zh-CN" w:bidi="ar-SA"/>
              </w:rPr>
            </w:pPr>
            <w:r>
              <w:rPr>
                <w:rFonts w:hint="eastAsia" w:ascii="宋体" w:hAnsi="宋体" w:eastAsia="宋体" w:cs="宋体"/>
                <w:color w:val="000000"/>
                <w:kern w:val="2"/>
                <w:sz w:val="21"/>
                <w:szCs w:val="21"/>
                <w:highlight w:val="none"/>
                <w:lang w:val="en-US" w:eastAsia="zh-CN" w:bidi="ar-SA"/>
              </w:rPr>
              <w:t>■</w:t>
            </w:r>
            <w:r>
              <w:rPr>
                <w:rFonts w:hint="eastAsia" w:ascii="宋体" w:hAnsi="宋体" w:eastAsia="宋体" w:cs="宋体"/>
                <w:b/>
                <w:bCs/>
                <w:color w:val="000000"/>
                <w:kern w:val="2"/>
                <w:sz w:val="21"/>
                <w:szCs w:val="21"/>
                <w:highlight w:val="none"/>
                <w:lang w:val="en-US" w:eastAsia="zh-CN" w:bidi="ar-SA"/>
              </w:rPr>
              <w:t>招标人根据评标委员会推荐的中标候选人名单确定中标人，中标人数量：</w:t>
            </w:r>
          </w:p>
          <w:p w14:paraId="7E6A3278">
            <w:pPr>
              <w:pStyle w:val="118"/>
              <w:keepNext w:val="0"/>
              <w:keepLines w:val="0"/>
              <w:numPr>
                <w:ilvl w:val="0"/>
                <w:numId w:val="3"/>
              </w:numPr>
              <w:suppressLineNumbers w:val="0"/>
              <w:spacing w:before="62" w:beforeLines="20" w:beforeAutospacing="0" w:after="62" w:afterLines="20" w:afterAutospacing="0"/>
              <w:ind w:left="0" w:leftChars="0" w:right="0" w:rightChars="0" w:firstLine="0" w:firstLineChars="0"/>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有效投标人数量为</w:t>
            </w:r>
            <w:r>
              <w:rPr>
                <w:rFonts w:hint="eastAsia" w:ascii="宋体" w:hAnsi="宋体" w:cs="宋体"/>
                <w:b/>
                <w:bCs/>
                <w:color w:val="auto"/>
                <w:szCs w:val="21"/>
                <w:highlight w:val="none"/>
                <w:lang w:val="en-US" w:eastAsia="zh-CN"/>
              </w:rPr>
              <w:t>6</w:t>
            </w:r>
            <w:r>
              <w:rPr>
                <w:rFonts w:hint="eastAsia" w:ascii="宋体" w:hAnsi="宋体" w:eastAsia="宋体" w:cs="宋体"/>
                <w:b/>
                <w:bCs/>
                <w:color w:val="auto"/>
                <w:szCs w:val="21"/>
                <w:highlight w:val="none"/>
                <w:u w:val="single"/>
              </w:rPr>
              <w:t>（含）</w:t>
            </w:r>
            <w:r>
              <w:rPr>
                <w:rFonts w:hint="eastAsia" w:ascii="宋体" w:hAnsi="宋体" w:eastAsia="宋体" w:cs="宋体"/>
                <w:b/>
                <w:bCs/>
                <w:color w:val="auto"/>
                <w:szCs w:val="21"/>
                <w:highlight w:val="none"/>
              </w:rPr>
              <w:t>以上时，中标人数量</w:t>
            </w:r>
            <w:r>
              <w:rPr>
                <w:rFonts w:hint="eastAsia" w:ascii="宋体" w:hAnsi="宋体" w:cs="宋体"/>
                <w:b/>
                <w:bCs/>
                <w:color w:val="auto"/>
                <w:szCs w:val="21"/>
                <w:highlight w:val="none"/>
                <w:u w:val="single"/>
                <w:lang w:val="en-US" w:eastAsia="zh-CN"/>
              </w:rPr>
              <w:t>4</w:t>
            </w:r>
            <w:r>
              <w:rPr>
                <w:rFonts w:hint="eastAsia" w:ascii="宋体" w:hAnsi="宋体" w:eastAsia="宋体" w:cs="宋体"/>
                <w:b/>
                <w:bCs/>
                <w:color w:val="auto"/>
                <w:szCs w:val="21"/>
                <w:highlight w:val="none"/>
                <w:u w:val="single"/>
              </w:rPr>
              <w:t>家</w:t>
            </w:r>
            <w:r>
              <w:rPr>
                <w:rFonts w:hint="eastAsia" w:ascii="宋体" w:hAnsi="宋体" w:eastAsia="宋体" w:cs="宋体"/>
                <w:b/>
                <w:bCs/>
                <w:color w:val="auto"/>
                <w:szCs w:val="21"/>
                <w:highlight w:val="none"/>
              </w:rPr>
              <w:t>；如有效投标人数量少于</w:t>
            </w:r>
            <w:r>
              <w:rPr>
                <w:rFonts w:hint="eastAsia" w:ascii="宋体" w:hAnsi="宋体" w:cs="宋体"/>
                <w:b/>
                <w:bCs/>
                <w:color w:val="auto"/>
                <w:szCs w:val="21"/>
                <w:highlight w:val="none"/>
                <w:u w:val="single"/>
                <w:lang w:val="en-US" w:eastAsia="zh-CN"/>
              </w:rPr>
              <w:t>6</w:t>
            </w:r>
            <w:r>
              <w:rPr>
                <w:rFonts w:hint="eastAsia" w:ascii="宋体" w:hAnsi="宋体" w:eastAsia="宋体" w:cs="宋体"/>
                <w:b/>
                <w:bCs/>
                <w:color w:val="auto"/>
                <w:szCs w:val="21"/>
                <w:highlight w:val="none"/>
                <w:u w:val="single"/>
              </w:rPr>
              <w:t>家</w:t>
            </w:r>
            <w:r>
              <w:rPr>
                <w:rFonts w:hint="eastAsia" w:ascii="宋体" w:hAnsi="宋体" w:eastAsia="宋体" w:cs="宋体"/>
                <w:b/>
                <w:bCs/>
                <w:color w:val="auto"/>
                <w:szCs w:val="21"/>
                <w:highlight w:val="none"/>
              </w:rPr>
              <w:t>，本项目将</w:t>
            </w:r>
            <w:r>
              <w:rPr>
                <w:rFonts w:hint="eastAsia" w:ascii="宋体" w:hAnsi="宋体" w:cs="宋体"/>
                <w:b/>
                <w:bCs/>
                <w:color w:val="auto"/>
                <w:szCs w:val="21"/>
                <w:highlight w:val="none"/>
                <w:lang w:val="en-US" w:eastAsia="zh-CN"/>
              </w:rPr>
              <w:t>招标失败</w:t>
            </w:r>
            <w:r>
              <w:rPr>
                <w:rFonts w:hint="eastAsia" w:ascii="宋体" w:hAnsi="宋体" w:eastAsia="宋体" w:cs="宋体"/>
                <w:b/>
                <w:bCs/>
                <w:color w:val="auto"/>
                <w:szCs w:val="21"/>
                <w:highlight w:val="none"/>
                <w:lang w:eastAsia="zh-CN"/>
              </w:rPr>
              <w:t>。</w:t>
            </w:r>
          </w:p>
          <w:p w14:paraId="0AD9F5A5">
            <w:pPr>
              <w:pStyle w:val="118"/>
              <w:keepNext w:val="0"/>
              <w:keepLines w:val="0"/>
              <w:numPr>
                <w:ilvl w:val="0"/>
                <w:numId w:val="0"/>
              </w:numPr>
              <w:suppressLineNumbers w:val="0"/>
              <w:spacing w:before="62" w:beforeLines="20" w:beforeAutospacing="0" w:after="62" w:afterLines="20" w:afterAutospacing="0"/>
              <w:ind w:left="0" w:leftChars="0" w:right="0" w:rightChars="0" w:firstLine="0" w:firstLineChars="0"/>
              <w:jc w:val="left"/>
              <w:rPr>
                <w:rFonts w:hint="eastAsia" w:ascii="宋体" w:hAnsi="宋体" w:eastAsia="宋体" w:cs="宋体"/>
                <w:b/>
                <w:bCs/>
                <w:color w:val="000000"/>
                <w:kern w:val="2"/>
                <w:sz w:val="21"/>
                <w:szCs w:val="21"/>
                <w:highlight w:val="yellow"/>
                <w:lang w:val="en-US" w:eastAsia="zh-CN" w:bidi="ar-SA"/>
              </w:rPr>
            </w:pPr>
            <w:r>
              <w:rPr>
                <w:rFonts w:hint="default" w:ascii="宋体" w:hAnsi="宋体" w:eastAsia="宋体" w:cs="宋体"/>
                <w:color w:val="auto"/>
                <w:szCs w:val="21"/>
                <w:highlight w:val="none"/>
                <w:lang w:val="en-US" w:eastAsia="zh-CN"/>
              </w:rPr>
              <w:t>(2)</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000000"/>
                <w:szCs w:val="21"/>
                <w:highlight w:val="none"/>
              </w:rPr>
              <w:t>中标人放弃中标、因不可抗力不能履行合同、不按照招标文件要求提交履约保证金、存在重大经营或法律风险，或者被查实存在影响中标结果的违法行为等情形，不符合中标条件的，招标人按照评标委员会提出的中标候选人名单排序依次确定其他中标候选人为中标人，或者重新招标。</w:t>
            </w:r>
          </w:p>
        </w:tc>
      </w:tr>
      <w:tr w14:paraId="3984B656">
        <w:tblPrEx>
          <w:tblCellMar>
            <w:top w:w="0" w:type="dxa"/>
            <w:left w:w="108" w:type="dxa"/>
            <w:bottom w:w="0" w:type="dxa"/>
            <w:right w:w="108" w:type="dxa"/>
          </w:tblCellMar>
        </w:tblPrEx>
        <w:trPr>
          <w:jc w:val="center"/>
        </w:trPr>
        <w:tc>
          <w:tcPr>
            <w:tcW w:w="625" w:type="pct"/>
            <w:tcBorders>
              <w:top w:val="single" w:color="auto" w:sz="4" w:space="0"/>
              <w:left w:val="single" w:color="auto" w:sz="4" w:space="0"/>
              <w:bottom w:val="single" w:color="auto" w:sz="4" w:space="0"/>
              <w:right w:val="single" w:color="auto" w:sz="4" w:space="0"/>
            </w:tcBorders>
            <w:noWrap w:val="0"/>
            <w:vAlign w:val="center"/>
          </w:tcPr>
          <w:p w14:paraId="51B71471">
            <w:pPr>
              <w:pStyle w:val="118"/>
              <w:keepNext w:val="0"/>
              <w:keepLines w:val="0"/>
              <w:suppressLineNumbers w:val="0"/>
              <w:spacing w:before="62" w:beforeLines="20" w:beforeAutospacing="0" w:after="62" w:afterLines="20" w:afterAutospacing="0"/>
              <w:ind w:left="0" w:right="0"/>
              <w:jc w:val="center"/>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7.2</w:t>
            </w:r>
          </w:p>
        </w:tc>
        <w:tc>
          <w:tcPr>
            <w:tcW w:w="1205" w:type="pct"/>
            <w:tcBorders>
              <w:top w:val="single" w:color="auto" w:sz="4" w:space="0"/>
              <w:left w:val="single" w:color="auto" w:sz="4" w:space="0"/>
              <w:bottom w:val="single" w:color="auto" w:sz="4" w:space="0"/>
              <w:right w:val="single" w:color="auto" w:sz="4" w:space="0"/>
            </w:tcBorders>
            <w:noWrap w:val="0"/>
            <w:vAlign w:val="center"/>
          </w:tcPr>
          <w:p w14:paraId="4931069E">
            <w:pPr>
              <w:pStyle w:val="118"/>
              <w:keepNext w:val="0"/>
              <w:keepLines w:val="0"/>
              <w:numPr>
                <w:ilvl w:val="0"/>
                <w:numId w:val="0"/>
              </w:numPr>
              <w:suppressLineNumbers w:val="0"/>
              <w:spacing w:before="62" w:beforeLines="20" w:beforeAutospacing="0" w:after="62" w:afterLines="20" w:afterAutospacing="0"/>
              <w:ind w:left="0" w:leftChars="0" w:right="0" w:rightChars="0" w:firstLine="0" w:firstLineChars="0"/>
              <w:jc w:val="center"/>
              <w:rPr>
                <w:rFonts w:hint="default" w:ascii="宋体" w:hAnsi="宋体" w:eastAsia="宋体" w:cs="宋体"/>
                <w:color w:val="000000"/>
                <w:szCs w:val="20"/>
                <w:highlight w:val="none"/>
              </w:rPr>
            </w:pPr>
            <w:r>
              <w:rPr>
                <w:rFonts w:hint="eastAsia" w:ascii="宋体" w:hAnsi="宋体" w:eastAsia="宋体" w:cs="宋体"/>
                <w:color w:val="000000"/>
                <w:szCs w:val="21"/>
                <w:highlight w:val="none"/>
              </w:rPr>
              <w:t>入围使用原则</w:t>
            </w:r>
          </w:p>
        </w:tc>
        <w:tc>
          <w:tcPr>
            <w:tcW w:w="3169" w:type="pct"/>
            <w:tcBorders>
              <w:top w:val="single" w:color="auto" w:sz="4" w:space="0"/>
              <w:left w:val="single" w:color="auto" w:sz="4" w:space="0"/>
              <w:bottom w:val="single" w:color="auto" w:sz="4" w:space="0"/>
              <w:right w:val="single" w:color="auto" w:sz="4" w:space="0"/>
            </w:tcBorders>
            <w:noWrap w:val="0"/>
            <w:vAlign w:val="center"/>
          </w:tcPr>
          <w:p w14:paraId="07E5F1BE">
            <w:pPr>
              <w:pStyle w:val="118"/>
              <w:keepNext w:val="0"/>
              <w:keepLines w:val="0"/>
              <w:numPr>
                <w:ilvl w:val="0"/>
                <w:numId w:val="0"/>
              </w:numPr>
              <w:suppressLineNumbers w:val="0"/>
              <w:spacing w:before="62" w:beforeLines="20" w:beforeAutospacing="0" w:after="62" w:afterLines="20" w:afterAutospacing="0"/>
              <w:ind w:left="0" w:leftChars="0" w:right="0" w:rightChars="0"/>
              <w:jc w:val="left"/>
              <w:rPr>
                <w:rFonts w:hint="default" w:ascii="宋体" w:hAnsi="宋体" w:eastAsia="宋体" w:cs="宋体"/>
                <w:color w:val="000000"/>
                <w:szCs w:val="20"/>
                <w:highlight w:val="none"/>
              </w:rPr>
            </w:pPr>
            <w:r>
              <w:rPr>
                <w:rFonts w:hint="eastAsia" w:ascii="宋体" w:hAnsi="宋体" w:eastAsia="宋体" w:cs="宋体"/>
                <w:color w:val="000000"/>
                <w:szCs w:val="21"/>
                <w:highlight w:val="none"/>
              </w:rPr>
              <w:t>入围4家供应商。</w:t>
            </w:r>
            <w:r>
              <w:rPr>
                <w:rFonts w:hint="eastAsia" w:ascii="宋体" w:hAnsi="宋体" w:eastAsia="宋体" w:cs="宋体"/>
                <w:color w:val="000000"/>
                <w:szCs w:val="21"/>
                <w:highlight w:val="none"/>
                <w:lang w:val="en-US" w:eastAsia="zh-CN"/>
              </w:rPr>
              <w:t>入围供应商使用规则：按照轮流派单的规则，如在后期使用过程中遇到派单量极不平均的情况，将进行重新调整规划，原则上保证每家派单量的基本持平。</w:t>
            </w:r>
          </w:p>
        </w:tc>
      </w:tr>
      <w:tr w14:paraId="6991A374">
        <w:tblPrEx>
          <w:tblCellMar>
            <w:top w:w="0" w:type="dxa"/>
            <w:left w:w="108" w:type="dxa"/>
            <w:bottom w:w="0" w:type="dxa"/>
            <w:right w:w="108" w:type="dxa"/>
          </w:tblCellMar>
        </w:tblPrEx>
        <w:trPr>
          <w:jc w:val="center"/>
        </w:trPr>
        <w:tc>
          <w:tcPr>
            <w:tcW w:w="625" w:type="pct"/>
            <w:tcBorders>
              <w:top w:val="single" w:color="auto" w:sz="4" w:space="0"/>
              <w:left w:val="single" w:color="auto" w:sz="4" w:space="0"/>
              <w:bottom w:val="single" w:color="auto" w:sz="4" w:space="0"/>
              <w:right w:val="single" w:color="auto" w:sz="4" w:space="0"/>
            </w:tcBorders>
            <w:noWrap w:val="0"/>
            <w:vAlign w:val="center"/>
          </w:tcPr>
          <w:p w14:paraId="25835A72">
            <w:pPr>
              <w:pStyle w:val="118"/>
              <w:keepNext w:val="0"/>
              <w:keepLines w:val="0"/>
              <w:suppressLineNumbers w:val="0"/>
              <w:spacing w:before="62" w:beforeLines="20" w:beforeAutospacing="0" w:after="62" w:afterLines="20" w:afterAutospacing="0"/>
              <w:ind w:left="0" w:right="0"/>
              <w:jc w:val="center"/>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8.1</w:t>
            </w:r>
          </w:p>
        </w:tc>
        <w:tc>
          <w:tcPr>
            <w:tcW w:w="1205" w:type="pct"/>
            <w:tcBorders>
              <w:top w:val="single" w:color="auto" w:sz="4" w:space="0"/>
              <w:left w:val="single" w:color="auto" w:sz="4" w:space="0"/>
              <w:bottom w:val="single" w:color="auto" w:sz="4" w:space="0"/>
              <w:right w:val="single" w:color="auto" w:sz="4" w:space="0"/>
            </w:tcBorders>
            <w:noWrap w:val="0"/>
            <w:vAlign w:val="center"/>
          </w:tcPr>
          <w:p w14:paraId="67B588B8">
            <w:pPr>
              <w:pStyle w:val="118"/>
              <w:keepNext w:val="0"/>
              <w:keepLines w:val="0"/>
              <w:suppressLineNumbers w:val="0"/>
              <w:spacing w:before="62" w:beforeLines="20" w:beforeAutospacing="0" w:after="62" w:afterLines="20" w:afterAutospacing="0"/>
              <w:ind w:left="0" w:right="0"/>
              <w:jc w:val="center"/>
              <w:rPr>
                <w:rFonts w:hint="eastAsia" w:ascii="宋体" w:hAnsi="宋体" w:eastAsia="宋体" w:cs="宋体"/>
                <w:color w:val="000000"/>
                <w:szCs w:val="21"/>
                <w:highlight w:val="yellow"/>
              </w:rPr>
            </w:pPr>
            <w:r>
              <w:rPr>
                <w:rFonts w:hint="eastAsia" w:ascii="宋体" w:hAnsi="宋体" w:eastAsia="宋体" w:cs="宋体"/>
                <w:color w:val="000000"/>
                <w:szCs w:val="21"/>
                <w:highlight w:val="none"/>
              </w:rPr>
              <w:t>履约保证金金额和</w:t>
            </w:r>
            <w:r>
              <w:rPr>
                <w:rFonts w:hint="eastAsia" w:ascii="宋体" w:hAnsi="宋体" w:eastAsia="宋体" w:cs="宋体"/>
                <w:color w:val="000000"/>
                <w:szCs w:val="21"/>
                <w:highlight w:val="none"/>
              </w:rPr>
              <w:br w:type="textWrapping"/>
            </w:r>
            <w:r>
              <w:rPr>
                <w:rFonts w:hint="eastAsia" w:ascii="宋体" w:hAnsi="宋体" w:eastAsia="宋体" w:cs="宋体"/>
                <w:color w:val="000000"/>
                <w:szCs w:val="21"/>
                <w:highlight w:val="none"/>
              </w:rPr>
              <w:t>方式</w:t>
            </w:r>
          </w:p>
        </w:tc>
        <w:tc>
          <w:tcPr>
            <w:tcW w:w="3169" w:type="pct"/>
            <w:tcBorders>
              <w:top w:val="single" w:color="auto" w:sz="4" w:space="0"/>
              <w:left w:val="single" w:color="auto" w:sz="4" w:space="0"/>
              <w:bottom w:val="single" w:color="auto" w:sz="4" w:space="0"/>
              <w:right w:val="single" w:color="auto" w:sz="4" w:space="0"/>
            </w:tcBorders>
            <w:noWrap w:val="0"/>
            <w:vAlign w:val="center"/>
          </w:tcPr>
          <w:p w14:paraId="5D79C5A9">
            <w:pPr>
              <w:pStyle w:val="118"/>
              <w:keepNext w:val="0"/>
              <w:keepLines w:val="0"/>
              <w:suppressLineNumbers w:val="0"/>
              <w:spacing w:before="62" w:beforeLines="20" w:beforeAutospacing="0" w:after="62" w:afterLines="20" w:afterAutospacing="0"/>
              <w:ind w:left="0" w:right="0"/>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不收取</w:t>
            </w:r>
          </w:p>
        </w:tc>
      </w:tr>
      <w:tr w14:paraId="55FEC039">
        <w:tblPrEx>
          <w:tblCellMar>
            <w:top w:w="0" w:type="dxa"/>
            <w:left w:w="108" w:type="dxa"/>
            <w:bottom w:w="0" w:type="dxa"/>
            <w:right w:w="108" w:type="dxa"/>
          </w:tblCellMar>
        </w:tblPrEx>
        <w:trPr>
          <w:jc w:val="center"/>
        </w:trPr>
        <w:tc>
          <w:tcPr>
            <w:tcW w:w="625" w:type="pct"/>
            <w:tcBorders>
              <w:top w:val="single" w:color="auto" w:sz="4" w:space="0"/>
              <w:left w:val="single" w:color="auto" w:sz="4" w:space="0"/>
              <w:bottom w:val="single" w:color="auto" w:sz="4" w:space="0"/>
              <w:right w:val="single" w:color="auto" w:sz="4" w:space="0"/>
            </w:tcBorders>
            <w:noWrap w:val="0"/>
            <w:vAlign w:val="center"/>
          </w:tcPr>
          <w:p w14:paraId="1FEAA7E0">
            <w:pPr>
              <w:pStyle w:val="118"/>
              <w:keepNext w:val="0"/>
              <w:keepLines w:val="0"/>
              <w:suppressLineNumbers w:val="0"/>
              <w:spacing w:before="62" w:beforeLines="20" w:beforeAutospacing="0" w:after="62" w:afterLines="20" w:afterAutospacing="0"/>
              <w:ind w:left="0" w:right="0"/>
              <w:jc w:val="center"/>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9.</w:t>
            </w:r>
          </w:p>
        </w:tc>
        <w:tc>
          <w:tcPr>
            <w:tcW w:w="1205" w:type="pct"/>
            <w:tcBorders>
              <w:top w:val="single" w:color="auto" w:sz="4" w:space="0"/>
              <w:left w:val="single" w:color="auto" w:sz="4" w:space="0"/>
              <w:bottom w:val="single" w:color="auto" w:sz="4" w:space="0"/>
              <w:right w:val="single" w:color="auto" w:sz="4" w:space="0"/>
            </w:tcBorders>
            <w:noWrap w:val="0"/>
            <w:vAlign w:val="center"/>
          </w:tcPr>
          <w:p w14:paraId="3B84FD44">
            <w:pPr>
              <w:keepNext w:val="0"/>
              <w:keepLines w:val="0"/>
              <w:suppressLineNumbers w:val="0"/>
              <w:adjustRightInd w:val="0"/>
              <w:spacing w:before="62" w:beforeLines="20" w:beforeAutospacing="0" w:after="62" w:afterLines="20" w:afterAutospacing="0"/>
              <w:ind w:left="0" w:right="0"/>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招标代理服务费</w:t>
            </w:r>
          </w:p>
        </w:tc>
        <w:tc>
          <w:tcPr>
            <w:tcW w:w="3169" w:type="pct"/>
            <w:tcBorders>
              <w:top w:val="single" w:color="auto" w:sz="4" w:space="0"/>
              <w:left w:val="single" w:color="auto" w:sz="4" w:space="0"/>
              <w:bottom w:val="single" w:color="auto" w:sz="4" w:space="0"/>
              <w:right w:val="single" w:color="auto" w:sz="4" w:space="0"/>
            </w:tcBorders>
            <w:noWrap w:val="0"/>
            <w:vAlign w:val="center"/>
          </w:tcPr>
          <w:p w14:paraId="3B646BEA">
            <w:pPr>
              <w:keepNext w:val="0"/>
              <w:keepLines w:val="0"/>
              <w:numPr>
                <w:ilvl w:val="0"/>
                <w:numId w:val="0"/>
              </w:numPr>
              <w:suppressLineNumbers w:val="0"/>
              <w:autoSpaceDE w:val="0"/>
              <w:autoSpaceDN w:val="0"/>
              <w:spacing w:before="0" w:beforeAutospacing="0" w:after="0" w:afterAutospacing="0"/>
              <w:ind w:left="0" w:right="0" w:rightChars="0"/>
              <w:rPr>
                <w:rFonts w:hint="eastAsia" w:ascii="宋体" w:hAnsi="宋体" w:eastAsia="宋体" w:cs="宋体"/>
                <w:color w:val="000000"/>
                <w:kern w:val="0"/>
                <w:sz w:val="21"/>
                <w:szCs w:val="21"/>
                <w:highlight w:val="none"/>
                <w:lang w:val="en-US" w:eastAsia="zh-CN" w:bidi="ar-SA"/>
              </w:rPr>
            </w:pPr>
            <w:r>
              <w:rPr>
                <w:rFonts w:hint="eastAsia" w:ascii="宋体" w:hAnsi="宋体" w:cs="宋体"/>
                <w:color w:val="000000"/>
                <w:kern w:val="0"/>
                <w:sz w:val="21"/>
                <w:szCs w:val="21"/>
                <w:highlight w:val="none"/>
                <w:lang w:val="en-US" w:eastAsia="zh-CN" w:bidi="ar-SA"/>
              </w:rPr>
              <w:t>（1）</w:t>
            </w:r>
            <w:r>
              <w:rPr>
                <w:rFonts w:hint="eastAsia" w:ascii="宋体" w:hAnsi="宋体" w:eastAsia="宋体" w:cs="宋体"/>
                <w:color w:val="000000"/>
                <w:kern w:val="0"/>
                <w:sz w:val="21"/>
                <w:szCs w:val="21"/>
                <w:highlight w:val="none"/>
                <w:lang w:val="en-US" w:eastAsia="zh-CN" w:bidi="ar-SA"/>
              </w:rPr>
              <w:t>参考原国家发展计划委员会《招标代理服务收费管理暂行办法》(计价格[2002]1980号文)、国家发展改革委员会办公厅发布的关于《招标代理服务收费有关问题的通知》(发改办[2003]857号文)和国家发展改革委《关于降低部分建设项目收费标准规范收费行为等有关问题的通知》(发改价格[2011]534号)的规定</w:t>
            </w:r>
          </w:p>
          <w:p w14:paraId="6BBD578F">
            <w:pPr>
              <w:keepNext w:val="0"/>
              <w:keepLines w:val="0"/>
              <w:numPr>
                <w:ilvl w:val="0"/>
                <w:numId w:val="0"/>
              </w:numPr>
              <w:suppressLineNumbers w:val="0"/>
              <w:autoSpaceDE w:val="0"/>
              <w:autoSpaceDN w:val="0"/>
              <w:spacing w:before="0" w:beforeAutospacing="0" w:after="0" w:afterAutospacing="0"/>
              <w:ind w:left="0" w:right="0" w:rightChars="0"/>
              <w:rPr>
                <w:rFonts w:hint="eastAsia" w:ascii="宋体" w:hAnsi="宋体" w:eastAsia="宋体" w:cs="宋体"/>
                <w:color w:val="000000"/>
                <w:kern w:val="0"/>
                <w:sz w:val="21"/>
                <w:szCs w:val="21"/>
                <w:highlight w:val="none"/>
                <w:lang w:val="en-US" w:eastAsia="zh-CN" w:bidi="ar-SA"/>
              </w:rPr>
            </w:pPr>
            <w:r>
              <w:rPr>
                <w:rFonts w:hint="eastAsia" w:ascii="宋体" w:hAnsi="宋体" w:cs="宋体"/>
                <w:color w:val="000000"/>
                <w:kern w:val="0"/>
                <w:sz w:val="21"/>
                <w:szCs w:val="21"/>
                <w:highlight w:val="none"/>
                <w:lang w:val="en-US" w:eastAsia="zh-CN" w:bidi="ar-SA"/>
              </w:rPr>
              <w:t>（2）依据招标人2024年招标代理机构统采项目招标代理合同的收费要求，依据（1）标准的54%收取代理服务费，代理服务费由入围供应商平均后支付</w:t>
            </w:r>
            <w:r>
              <w:rPr>
                <w:rFonts w:hint="eastAsia" w:ascii="宋体" w:hAnsi="宋体" w:eastAsia="宋体" w:cs="宋体"/>
                <w:color w:val="000000"/>
                <w:kern w:val="0"/>
                <w:sz w:val="21"/>
                <w:szCs w:val="21"/>
                <w:highlight w:val="none"/>
                <w:lang w:val="en-US" w:eastAsia="zh-CN" w:bidi="ar-SA"/>
              </w:rPr>
              <w:t>。</w:t>
            </w:r>
          </w:p>
          <w:p w14:paraId="608E986E">
            <w:pPr>
              <w:keepNext w:val="0"/>
              <w:keepLines w:val="0"/>
              <w:suppressLineNumbers w:val="0"/>
              <w:autoSpaceDE w:val="0"/>
              <w:autoSpaceDN w:val="0"/>
              <w:spacing w:before="0" w:beforeAutospacing="0" w:after="0" w:afterAutospacing="0"/>
              <w:ind w:left="0" w:right="0"/>
              <w:rPr>
                <w:rFonts w:hint="eastAsia" w:ascii="宋体" w:hAnsi="宋体" w:eastAsia="宋体" w:cs="宋体"/>
                <w:color w:val="000000"/>
                <w:kern w:val="0"/>
                <w:sz w:val="21"/>
                <w:szCs w:val="21"/>
                <w:highlight w:val="none"/>
                <w:lang w:val="en-US" w:eastAsia="zh-CN" w:bidi="ar-SA"/>
              </w:rPr>
            </w:pPr>
            <w:r>
              <w:rPr>
                <w:rFonts w:hint="eastAsia" w:ascii="宋体" w:hAnsi="宋体" w:eastAsia="宋体" w:cs="宋体"/>
                <w:color w:val="000000"/>
                <w:kern w:val="0"/>
                <w:sz w:val="21"/>
                <w:szCs w:val="21"/>
                <w:highlight w:val="none"/>
                <w:lang w:val="en-US" w:eastAsia="zh-CN" w:bidi="ar-SA"/>
              </w:rPr>
              <w:t>（3）缴纳时限：中标人在收到招标代理服务费付款通知书后15日内，向招标代理机构一次性支付。</w:t>
            </w:r>
          </w:p>
          <w:p w14:paraId="66A9F5D6">
            <w:pPr>
              <w:pStyle w:val="118"/>
              <w:keepNext w:val="0"/>
              <w:keepLines w:val="0"/>
              <w:numPr>
                <w:ilvl w:val="0"/>
                <w:numId w:val="0"/>
              </w:numPr>
              <w:suppressLineNumbers w:val="0"/>
              <w:spacing w:before="62" w:beforeLines="20" w:beforeAutospacing="0" w:after="62" w:afterLines="20" w:afterAutospacing="0"/>
              <w:ind w:left="0" w:leftChars="0" w:right="0" w:rightChars="0"/>
              <w:jc w:val="left"/>
              <w:rPr>
                <w:rFonts w:hint="eastAsia" w:ascii="宋体" w:hAnsi="宋体" w:eastAsia="宋体" w:cs="宋体"/>
                <w:color w:val="000000"/>
                <w:szCs w:val="21"/>
                <w:highlight w:val="none"/>
              </w:rPr>
            </w:pPr>
            <w:r>
              <w:rPr>
                <w:rFonts w:hint="eastAsia" w:ascii="宋体" w:hAnsi="宋体" w:eastAsia="宋体" w:cs="宋体"/>
                <w:color w:val="000000"/>
                <w:kern w:val="0"/>
                <w:sz w:val="21"/>
                <w:szCs w:val="21"/>
                <w:highlight w:val="none"/>
                <w:lang w:val="en-US" w:eastAsia="zh-CN" w:bidi="ar-SA"/>
              </w:rPr>
              <w:t>（4）未按照招标文件要求支付招标代理服务费的，投标保证金将不予退还。</w:t>
            </w:r>
          </w:p>
        </w:tc>
      </w:tr>
    </w:tbl>
    <w:p w14:paraId="41578698">
      <w:pPr>
        <w:rPr>
          <w:rFonts w:hint="eastAsia" w:ascii="宋体" w:hAnsi="宋体" w:eastAsia="宋体" w:cs="宋体"/>
          <w:color w:val="000000"/>
          <w:highlight w:val="none"/>
        </w:rPr>
      </w:pPr>
    </w:p>
    <w:p w14:paraId="012780B0">
      <w:pPr>
        <w:rPr>
          <w:rFonts w:hint="eastAsia" w:ascii="宋体" w:hAnsi="宋体" w:eastAsia="宋体" w:cs="宋体"/>
          <w:color w:val="000000"/>
          <w:szCs w:val="24"/>
          <w:highlight w:val="none"/>
        </w:rPr>
      </w:pPr>
      <w:bookmarkStart w:id="63" w:name="_Toc65682924"/>
      <w:bookmarkStart w:id="64" w:name="_Toc109124233"/>
      <w:bookmarkStart w:id="65" w:name="_Toc24060"/>
      <w:r>
        <w:rPr>
          <w:rFonts w:hint="eastAsia" w:ascii="宋体" w:hAnsi="宋体" w:eastAsia="宋体" w:cs="宋体"/>
          <w:color w:val="000000"/>
          <w:szCs w:val="24"/>
          <w:highlight w:val="none"/>
        </w:rPr>
        <w:br w:type="page"/>
      </w:r>
    </w:p>
    <w:p w14:paraId="0D82B553">
      <w:pPr>
        <w:pStyle w:val="3"/>
        <w:rPr>
          <w:rFonts w:hint="eastAsia" w:ascii="宋体" w:hAnsi="宋体" w:eastAsia="宋体" w:cs="宋体"/>
          <w:color w:val="000000"/>
          <w:szCs w:val="24"/>
          <w:highlight w:val="none"/>
        </w:rPr>
      </w:pPr>
      <w:bookmarkStart w:id="66" w:name="_Toc7687"/>
      <w:r>
        <w:rPr>
          <w:rFonts w:hint="eastAsia" w:ascii="宋体" w:hAnsi="宋体" w:eastAsia="宋体" w:cs="宋体"/>
          <w:color w:val="000000"/>
          <w:szCs w:val="24"/>
          <w:highlight w:val="none"/>
        </w:rPr>
        <w:t>1.总则</w:t>
      </w:r>
      <w:bookmarkEnd w:id="63"/>
      <w:bookmarkEnd w:id="64"/>
      <w:bookmarkEnd w:id="65"/>
      <w:bookmarkEnd w:id="66"/>
    </w:p>
    <w:p w14:paraId="7FBD7F67">
      <w:pPr>
        <w:pStyle w:val="4"/>
        <w:ind w:firstLine="0" w:firstLineChars="0"/>
        <w:rPr>
          <w:rFonts w:hint="eastAsia" w:ascii="宋体" w:hAnsi="宋体" w:eastAsia="宋体" w:cs="宋体"/>
          <w:color w:val="000000"/>
          <w:highlight w:val="none"/>
        </w:rPr>
      </w:pPr>
      <w:bookmarkStart w:id="67" w:name="_Toc71191953"/>
      <w:bookmarkStart w:id="68" w:name="_Toc326223536"/>
      <w:bookmarkStart w:id="69" w:name="_Toc152045530"/>
      <w:bookmarkStart w:id="70" w:name="_Toc8151"/>
      <w:bookmarkStart w:id="71" w:name="_Toc179632547"/>
      <w:bookmarkStart w:id="72" w:name="_Toc109124234"/>
      <w:bookmarkStart w:id="73" w:name="_Toc246996919"/>
      <w:bookmarkStart w:id="74" w:name="_Toc144974498"/>
      <w:bookmarkStart w:id="75" w:name="_Toc65682925"/>
      <w:bookmarkStart w:id="76" w:name="_Toc334766923"/>
      <w:bookmarkStart w:id="77" w:name="_Toc152042306"/>
      <w:bookmarkStart w:id="78" w:name="_Toc31396"/>
      <w:bookmarkStart w:id="79" w:name="_Toc66390001"/>
      <w:bookmarkStart w:id="80" w:name="_Toc332188169"/>
      <w:bookmarkStart w:id="81" w:name="_Toc247085690"/>
      <w:bookmarkStart w:id="82" w:name="_Toc60224320"/>
      <w:bookmarkStart w:id="83" w:name="_Toc246996176"/>
      <w:r>
        <w:rPr>
          <w:rFonts w:hint="eastAsia" w:ascii="宋体" w:hAnsi="宋体" w:eastAsia="宋体" w:cs="宋体"/>
          <w:color w:val="000000"/>
          <w:highlight w:val="none"/>
        </w:rPr>
        <w:t>1.1 项目概况</w:t>
      </w:r>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p>
    <w:p w14:paraId="1D9D5543">
      <w:pPr>
        <w:widowControl/>
        <w:topLinePunct/>
        <w:spacing w:line="360" w:lineRule="auto"/>
        <w:ind w:firstLine="480" w:firstLineChars="200"/>
        <w:rPr>
          <w:rFonts w:hint="eastAsia" w:ascii="宋体" w:hAnsi="宋体" w:eastAsia="宋体" w:cs="宋体"/>
          <w:color w:val="000000"/>
          <w:kern w:val="0"/>
          <w:sz w:val="24"/>
          <w:szCs w:val="24"/>
          <w:highlight w:val="none"/>
        </w:rPr>
      </w:pPr>
      <w:bookmarkStart w:id="84" w:name="_Toc334766924"/>
      <w:bookmarkStart w:id="85" w:name="_Toc144974499"/>
      <w:bookmarkStart w:id="86" w:name="_Toc247085691"/>
      <w:bookmarkStart w:id="87" w:name="_Toc246996177"/>
      <w:bookmarkStart w:id="88" w:name="_Toc179632548"/>
      <w:bookmarkStart w:id="89" w:name="_Toc332188170"/>
      <w:bookmarkStart w:id="90" w:name="_Toc246996920"/>
      <w:bookmarkStart w:id="91" w:name="_Toc152045531"/>
      <w:bookmarkStart w:id="92" w:name="_Toc326223537"/>
      <w:bookmarkStart w:id="93" w:name="_Toc152042307"/>
      <w:bookmarkStart w:id="94" w:name="_Toc327827316"/>
      <w:bookmarkStart w:id="95" w:name="_Toc327739994"/>
      <w:r>
        <w:rPr>
          <w:rFonts w:hint="eastAsia" w:ascii="宋体" w:hAnsi="宋体" w:eastAsia="宋体" w:cs="宋体"/>
          <w:color w:val="000000"/>
          <w:kern w:val="0"/>
          <w:sz w:val="24"/>
          <w:szCs w:val="24"/>
          <w:highlight w:val="none"/>
        </w:rPr>
        <w:t>根据《中华人民共和国招标投标法》、《中华人民共和国招标投标法实施条例》、《国有金融企业集中采购管理暂行规定》等有关法律、法规和规章以及招标人采购管理制度的规定，本招标项目已具备招标条件，现对本项目进行招标。</w:t>
      </w:r>
    </w:p>
    <w:p w14:paraId="3C757084">
      <w:pPr>
        <w:pStyle w:val="4"/>
        <w:ind w:firstLine="0" w:firstLineChars="0"/>
        <w:rPr>
          <w:rFonts w:hint="eastAsia" w:ascii="宋体" w:hAnsi="宋体" w:eastAsia="宋体" w:cs="宋体"/>
          <w:color w:val="000000"/>
          <w:highlight w:val="none"/>
        </w:rPr>
      </w:pPr>
      <w:bookmarkStart w:id="96" w:name="_Toc19949"/>
      <w:bookmarkStart w:id="97" w:name="_Toc71191954"/>
      <w:bookmarkStart w:id="98" w:name="_Toc60224321"/>
      <w:bookmarkStart w:id="99" w:name="_Toc109124235"/>
      <w:bookmarkStart w:id="100" w:name="_Toc20387"/>
      <w:r>
        <w:rPr>
          <w:rFonts w:hint="eastAsia" w:ascii="宋体" w:hAnsi="宋体" w:eastAsia="宋体" w:cs="宋体"/>
          <w:color w:val="000000"/>
          <w:highlight w:val="none"/>
        </w:rPr>
        <w:t>1.2 资金来源和落实情况</w:t>
      </w:r>
      <w:bookmarkEnd w:id="84"/>
      <w:bookmarkEnd w:id="85"/>
      <w:bookmarkEnd w:id="86"/>
      <w:bookmarkEnd w:id="87"/>
      <w:bookmarkEnd w:id="88"/>
      <w:bookmarkEnd w:id="89"/>
      <w:bookmarkEnd w:id="90"/>
      <w:bookmarkEnd w:id="91"/>
      <w:bookmarkEnd w:id="92"/>
      <w:bookmarkEnd w:id="93"/>
      <w:bookmarkEnd w:id="96"/>
      <w:bookmarkEnd w:id="97"/>
      <w:bookmarkEnd w:id="98"/>
      <w:bookmarkEnd w:id="99"/>
      <w:bookmarkEnd w:id="100"/>
    </w:p>
    <w:p w14:paraId="40424D22">
      <w:pPr>
        <w:spacing w:line="360" w:lineRule="auto"/>
        <w:ind w:firstLine="480" w:firstLineChars="200"/>
        <w:rPr>
          <w:rFonts w:hint="eastAsia" w:ascii="宋体" w:hAnsi="宋体" w:eastAsia="宋体" w:cs="宋体"/>
          <w:color w:val="000000"/>
          <w:sz w:val="24"/>
          <w:szCs w:val="24"/>
          <w:highlight w:val="none"/>
        </w:rPr>
      </w:pPr>
      <w:bookmarkStart w:id="101" w:name="_Hlk136962920"/>
      <w:r>
        <w:rPr>
          <w:rFonts w:hint="eastAsia" w:ascii="宋体" w:hAnsi="宋体" w:eastAsia="宋体" w:cs="宋体"/>
          <w:color w:val="000000"/>
          <w:sz w:val="24"/>
          <w:szCs w:val="24"/>
          <w:highlight w:val="none"/>
        </w:rPr>
        <w:t>本招标项目的资金已落实</w:t>
      </w:r>
      <w:bookmarkEnd w:id="101"/>
      <w:r>
        <w:rPr>
          <w:rFonts w:hint="eastAsia" w:ascii="宋体" w:hAnsi="宋体" w:eastAsia="宋体" w:cs="宋体"/>
          <w:color w:val="000000"/>
          <w:sz w:val="24"/>
          <w:szCs w:val="24"/>
          <w:highlight w:val="none"/>
        </w:rPr>
        <w:t>。</w:t>
      </w:r>
    </w:p>
    <w:p w14:paraId="00791446">
      <w:pPr>
        <w:pStyle w:val="4"/>
        <w:ind w:firstLine="0" w:firstLineChars="0"/>
        <w:rPr>
          <w:rFonts w:hint="eastAsia" w:ascii="宋体" w:hAnsi="宋体" w:eastAsia="宋体" w:cs="宋体"/>
          <w:color w:val="000000"/>
          <w:highlight w:val="none"/>
        </w:rPr>
      </w:pPr>
      <w:bookmarkStart w:id="102" w:name="_Toc14202"/>
      <w:bookmarkStart w:id="103" w:name="_Toc112068331"/>
      <w:bookmarkStart w:id="104" w:name="_Toc144741546"/>
      <w:bookmarkStart w:id="105" w:name="_Toc152045532"/>
      <w:bookmarkStart w:id="106" w:name="_Toc12184"/>
      <w:bookmarkStart w:id="107" w:name="_Toc326223538"/>
      <w:bookmarkStart w:id="108" w:name="_Toc60224322"/>
      <w:bookmarkStart w:id="109" w:name="_Toc332188171"/>
      <w:bookmarkStart w:id="110" w:name="_Toc246996178"/>
      <w:bookmarkStart w:id="111" w:name="_Toc144974500"/>
      <w:bookmarkStart w:id="112" w:name="_Toc179632549"/>
      <w:bookmarkStart w:id="113" w:name="_Toc152042308"/>
      <w:bookmarkStart w:id="114" w:name="_Toc247085692"/>
      <w:bookmarkStart w:id="115" w:name="_Toc71191955"/>
      <w:bookmarkStart w:id="116" w:name="_Toc246996921"/>
      <w:bookmarkStart w:id="117" w:name="_Toc109124236"/>
      <w:bookmarkStart w:id="118" w:name="_Toc334766925"/>
      <w:r>
        <w:rPr>
          <w:rFonts w:hint="eastAsia" w:ascii="宋体" w:hAnsi="宋体" w:eastAsia="宋体" w:cs="宋体"/>
          <w:color w:val="000000"/>
          <w:highlight w:val="none"/>
        </w:rPr>
        <w:t>1.3招标方式</w:t>
      </w:r>
      <w:bookmarkEnd w:id="102"/>
      <w:bookmarkEnd w:id="103"/>
      <w:bookmarkEnd w:id="104"/>
    </w:p>
    <w:p w14:paraId="2B59E629">
      <w:pPr>
        <w:widowControl/>
        <w:topLinePunct/>
        <w:spacing w:line="360" w:lineRule="auto"/>
        <w:ind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1.3.1 公开招标：是指招标人以招标公告的方式邀请不特定的法人或者其他组织投标。</w:t>
      </w:r>
    </w:p>
    <w:p w14:paraId="59E182D3">
      <w:pPr>
        <w:widowControl/>
        <w:topLinePunct/>
        <w:spacing w:line="360" w:lineRule="auto"/>
        <w:ind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1.3.2 邀请招标：是指招标人以投标邀请函的方式邀请特定的法人或者其他组织投标。</w:t>
      </w:r>
    </w:p>
    <w:p w14:paraId="7E99AD22">
      <w:pPr>
        <w:widowControl/>
        <w:topLinePunct/>
        <w:spacing w:line="360" w:lineRule="auto"/>
        <w:ind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1.3.3 本项目招标方式见投标人须知前附表。</w:t>
      </w:r>
    </w:p>
    <w:p w14:paraId="528F74AD">
      <w:pPr>
        <w:pStyle w:val="4"/>
        <w:ind w:firstLine="0" w:firstLineChars="0"/>
        <w:rPr>
          <w:rFonts w:hint="eastAsia" w:ascii="宋体" w:hAnsi="宋体" w:eastAsia="宋体" w:cs="宋体"/>
          <w:color w:val="000000"/>
          <w:highlight w:val="none"/>
        </w:rPr>
      </w:pPr>
      <w:bookmarkStart w:id="119" w:name="_Toc1498"/>
      <w:bookmarkStart w:id="120" w:name="_Toc112068332"/>
      <w:bookmarkStart w:id="121" w:name="_Toc144741547"/>
      <w:r>
        <w:rPr>
          <w:rFonts w:hint="eastAsia" w:ascii="宋体" w:hAnsi="宋体" w:eastAsia="宋体" w:cs="宋体"/>
          <w:color w:val="000000"/>
          <w:highlight w:val="none"/>
        </w:rPr>
        <w:t>1.4招标组织形式</w:t>
      </w:r>
      <w:bookmarkEnd w:id="119"/>
      <w:bookmarkEnd w:id="120"/>
      <w:bookmarkEnd w:id="121"/>
    </w:p>
    <w:p w14:paraId="05E6A8CA">
      <w:pPr>
        <w:widowControl/>
        <w:topLinePunct/>
        <w:spacing w:line="360" w:lineRule="auto"/>
        <w:ind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本次招标由招标人自行组织/委托招标代理机构采用代理招标的方式进行，招标组织形式、代理机构名称见投标人须知前附表。</w:t>
      </w:r>
    </w:p>
    <w:p w14:paraId="7C1CCB3E">
      <w:pPr>
        <w:pStyle w:val="4"/>
        <w:ind w:firstLine="0" w:firstLineChars="0"/>
        <w:rPr>
          <w:rFonts w:hint="eastAsia" w:ascii="宋体" w:hAnsi="宋体" w:eastAsia="宋体" w:cs="宋体"/>
          <w:color w:val="000000"/>
          <w:highlight w:val="none"/>
        </w:rPr>
      </w:pPr>
      <w:bookmarkStart w:id="122" w:name="_Toc144741548"/>
      <w:bookmarkStart w:id="123" w:name="_Toc4287"/>
      <w:bookmarkStart w:id="124" w:name="_Toc112068333"/>
      <w:r>
        <w:rPr>
          <w:rFonts w:hint="eastAsia" w:ascii="宋体" w:hAnsi="宋体" w:eastAsia="宋体" w:cs="宋体"/>
          <w:color w:val="000000"/>
          <w:highlight w:val="none"/>
        </w:rPr>
        <w:t>1.5资格审查</w:t>
      </w:r>
      <w:bookmarkEnd w:id="122"/>
      <w:bookmarkEnd w:id="123"/>
      <w:bookmarkEnd w:id="124"/>
    </w:p>
    <w:p w14:paraId="6FB6ADC2">
      <w:pPr>
        <w:widowControl/>
        <w:topLinePunct/>
        <w:spacing w:line="360" w:lineRule="auto"/>
        <w:ind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1.5.1资格预审：是指在投标前对潜在投标人进行的资格审查。采用资格预审方式的，资格条件已经在招标文件发出前的“资格预审文件”中作出规定。</w:t>
      </w:r>
    </w:p>
    <w:p w14:paraId="108C424B">
      <w:pPr>
        <w:widowControl/>
        <w:topLinePunct/>
        <w:spacing w:line="360" w:lineRule="auto"/>
        <w:ind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1.5.2资格后审：是指在开标后由评标委员会根据招标文件的规定对投标人进行的资格审查。采用资格后审方式的，招标人必须在招标文件中详细规定资格审查标准和方法，</w:t>
      </w:r>
      <w:bookmarkStart w:id="125" w:name="_Hlk136963129"/>
      <w:r>
        <w:rPr>
          <w:rFonts w:hint="eastAsia" w:ascii="宋体" w:hAnsi="宋体" w:eastAsia="宋体" w:cs="宋体"/>
          <w:color w:val="000000"/>
          <w:kern w:val="0"/>
          <w:sz w:val="24"/>
          <w:szCs w:val="24"/>
          <w:highlight w:val="none"/>
        </w:rPr>
        <w:t>投标人应具备的资格条件见第一章“招标公告”或“投标邀请书”。</w:t>
      </w:r>
      <w:bookmarkEnd w:id="125"/>
    </w:p>
    <w:p w14:paraId="21287CC7">
      <w:pPr>
        <w:widowControl/>
        <w:topLinePunct/>
        <w:spacing w:line="360" w:lineRule="auto"/>
        <w:ind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1.5.3资格后审不合格的投标人，评标委员会应否决其投标。</w:t>
      </w:r>
    </w:p>
    <w:p w14:paraId="3EA92E05">
      <w:pPr>
        <w:widowControl/>
        <w:topLinePunct/>
        <w:spacing w:line="360" w:lineRule="auto"/>
        <w:ind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1.5.4本项目资格审查方式见投标人须知前附表。</w:t>
      </w:r>
    </w:p>
    <w:p w14:paraId="6FF95179">
      <w:pPr>
        <w:pStyle w:val="4"/>
        <w:ind w:firstLine="0" w:firstLineChars="0"/>
        <w:rPr>
          <w:rFonts w:hint="eastAsia" w:ascii="宋体" w:hAnsi="宋体" w:eastAsia="宋体" w:cs="宋体"/>
          <w:color w:val="000000"/>
          <w:highlight w:val="none"/>
        </w:rPr>
      </w:pPr>
      <w:bookmarkStart w:id="126" w:name="_Toc112068335"/>
      <w:bookmarkStart w:id="127" w:name="_Toc144741549"/>
      <w:bookmarkStart w:id="128" w:name="_Toc22445"/>
      <w:r>
        <w:rPr>
          <w:rFonts w:hint="eastAsia" w:ascii="宋体" w:hAnsi="宋体" w:eastAsia="宋体" w:cs="宋体"/>
          <w:color w:val="000000"/>
          <w:highlight w:val="none"/>
        </w:rPr>
        <w:t>1.6投标费用</w:t>
      </w:r>
      <w:bookmarkEnd w:id="126"/>
      <w:bookmarkEnd w:id="127"/>
      <w:bookmarkEnd w:id="128"/>
    </w:p>
    <w:p w14:paraId="29DE4EC2">
      <w:pPr>
        <w:widowControl/>
        <w:topLinePunct/>
        <w:spacing w:line="360" w:lineRule="auto"/>
        <w:ind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不论结果如何，投标人自行承担所有准备和参与投标有关的费用。</w:t>
      </w:r>
    </w:p>
    <w:p w14:paraId="5CBEF486">
      <w:pPr>
        <w:pStyle w:val="4"/>
        <w:ind w:firstLine="0" w:firstLineChars="0"/>
        <w:rPr>
          <w:rFonts w:hint="eastAsia" w:ascii="宋体" w:hAnsi="宋体" w:eastAsia="宋体" w:cs="宋体"/>
          <w:color w:val="000000"/>
          <w:highlight w:val="none"/>
        </w:rPr>
      </w:pPr>
      <w:bookmarkStart w:id="129" w:name="_Toc144741550"/>
      <w:bookmarkStart w:id="130" w:name="_Toc112068336"/>
      <w:bookmarkStart w:id="131" w:name="_Toc12033"/>
      <w:bookmarkStart w:id="132" w:name="_Hlk136963192"/>
      <w:r>
        <w:rPr>
          <w:rFonts w:hint="eastAsia" w:ascii="宋体" w:hAnsi="宋体" w:eastAsia="宋体" w:cs="宋体"/>
          <w:color w:val="000000"/>
          <w:highlight w:val="none"/>
        </w:rPr>
        <w:t>1.7保密</w:t>
      </w:r>
      <w:bookmarkEnd w:id="129"/>
      <w:bookmarkEnd w:id="130"/>
      <w:bookmarkEnd w:id="131"/>
    </w:p>
    <w:p w14:paraId="2DD98045">
      <w:pPr>
        <w:widowControl/>
        <w:topLinePunct/>
        <w:spacing w:line="360" w:lineRule="auto"/>
        <w:ind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参与招标投标活动的各方应对招标文件和投标文件中的商业和技术等秘密保密，违者应对由此造成的后果承担法律责任。</w:t>
      </w:r>
    </w:p>
    <w:p w14:paraId="45103050">
      <w:pPr>
        <w:pStyle w:val="4"/>
        <w:ind w:firstLine="0" w:firstLineChars="0"/>
        <w:rPr>
          <w:rFonts w:hint="eastAsia" w:ascii="宋体" w:hAnsi="宋体" w:eastAsia="宋体" w:cs="宋体"/>
          <w:color w:val="000000"/>
          <w:highlight w:val="none"/>
        </w:rPr>
      </w:pPr>
      <w:bookmarkStart w:id="133" w:name="_Toc15329"/>
      <w:bookmarkStart w:id="134" w:name="_Toc144741551"/>
      <w:bookmarkStart w:id="135" w:name="_Toc112068337"/>
      <w:r>
        <w:rPr>
          <w:rFonts w:hint="eastAsia" w:ascii="宋体" w:hAnsi="宋体" w:eastAsia="宋体" w:cs="宋体"/>
          <w:color w:val="000000"/>
          <w:highlight w:val="none"/>
        </w:rPr>
        <w:t>1.8计量单位</w:t>
      </w:r>
      <w:bookmarkEnd w:id="133"/>
      <w:bookmarkEnd w:id="134"/>
      <w:bookmarkEnd w:id="135"/>
    </w:p>
    <w:p w14:paraId="5F81A28C">
      <w:pPr>
        <w:widowControl/>
        <w:topLinePunct/>
        <w:spacing w:line="360" w:lineRule="auto"/>
        <w:ind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所有计量均采用中华人民共和国法定计量单位。</w:t>
      </w:r>
    </w:p>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32"/>
    <w:p w14:paraId="678E81DB">
      <w:pPr>
        <w:pStyle w:val="3"/>
        <w:bidi w:val="0"/>
        <w:rPr>
          <w:rFonts w:hint="eastAsia" w:ascii="宋体" w:hAnsi="宋体" w:eastAsia="宋体" w:cs="宋体"/>
        </w:rPr>
      </w:pPr>
      <w:bookmarkStart w:id="136" w:name="_Toc171"/>
      <w:bookmarkStart w:id="137" w:name="_Toc246996187"/>
      <w:bookmarkStart w:id="138" w:name="_Toc152045542"/>
      <w:bookmarkStart w:id="139" w:name="_Toc22301"/>
      <w:bookmarkStart w:id="140" w:name="_Toc152042318"/>
      <w:bookmarkStart w:id="141" w:name="_Toc179632560"/>
      <w:bookmarkStart w:id="142" w:name="_Toc109124244"/>
      <w:bookmarkStart w:id="143" w:name="_Toc247085701"/>
      <w:bookmarkStart w:id="144" w:name="_Toc246996930"/>
      <w:bookmarkStart w:id="145" w:name="_Toc144974510"/>
      <w:r>
        <w:rPr>
          <w:rFonts w:hint="eastAsia" w:ascii="宋体" w:hAnsi="宋体" w:eastAsia="宋体" w:cs="宋体"/>
        </w:rPr>
        <w:t>2.招标文件</w:t>
      </w:r>
      <w:bookmarkEnd w:id="136"/>
      <w:bookmarkEnd w:id="137"/>
      <w:bookmarkEnd w:id="138"/>
      <w:bookmarkEnd w:id="139"/>
      <w:bookmarkEnd w:id="140"/>
      <w:bookmarkEnd w:id="141"/>
      <w:bookmarkEnd w:id="142"/>
      <w:bookmarkEnd w:id="143"/>
      <w:bookmarkEnd w:id="144"/>
      <w:bookmarkEnd w:id="145"/>
    </w:p>
    <w:p w14:paraId="7C2971E2">
      <w:pPr>
        <w:pStyle w:val="4"/>
        <w:ind w:firstLine="0" w:firstLineChars="0"/>
        <w:rPr>
          <w:rFonts w:hint="eastAsia" w:ascii="宋体" w:hAnsi="宋体" w:eastAsia="宋体" w:cs="宋体"/>
          <w:color w:val="000000"/>
          <w:highlight w:val="none"/>
        </w:rPr>
      </w:pPr>
      <w:bookmarkStart w:id="146" w:name="_Toc4227"/>
      <w:bookmarkStart w:id="147" w:name="_Toc60224332"/>
      <w:bookmarkStart w:id="148" w:name="_Toc109124245"/>
      <w:bookmarkStart w:id="149" w:name="_Toc247085702"/>
      <w:bookmarkStart w:id="150" w:name="_Toc152045543"/>
      <w:bookmarkStart w:id="151" w:name="_Toc144974511"/>
      <w:bookmarkStart w:id="152" w:name="_Toc246996931"/>
      <w:bookmarkStart w:id="153" w:name="_Toc16024"/>
      <w:bookmarkStart w:id="154" w:name="_Toc179632561"/>
      <w:bookmarkStart w:id="155" w:name="_Toc71191964"/>
      <w:bookmarkStart w:id="156" w:name="_Toc326223548"/>
      <w:bookmarkStart w:id="157" w:name="_Toc246996188"/>
      <w:bookmarkStart w:id="158" w:name="_Toc152042319"/>
      <w:bookmarkStart w:id="159" w:name="_Toc332188181"/>
      <w:bookmarkStart w:id="160" w:name="_Toc334766935"/>
      <w:r>
        <w:rPr>
          <w:rFonts w:hint="eastAsia" w:ascii="宋体" w:hAnsi="宋体" w:eastAsia="宋体" w:cs="宋体"/>
          <w:color w:val="000000"/>
          <w:highlight w:val="none"/>
        </w:rPr>
        <w:t>2.1招标文件的组成</w:t>
      </w:r>
      <w:bookmarkEnd w:id="146"/>
    </w:p>
    <w:p w14:paraId="6108E5F3">
      <w:pPr>
        <w:widowControl/>
        <w:topLinePunct/>
        <w:spacing w:line="360" w:lineRule="auto"/>
        <w:ind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2.1.1招标人应当根据招标项目的特点和需要编制招标文件。招标文件应当包括招标项目的技术要求、对投标人资格审查的标准、投标报价要求和评标标准等所有实质性要求和条件以及拟签订合同的主要条款。招标文件的组成见投标人须知前附表。</w:t>
      </w:r>
    </w:p>
    <w:p w14:paraId="6358D318">
      <w:pPr>
        <w:widowControl/>
        <w:topLinePunct/>
        <w:spacing w:line="360" w:lineRule="auto"/>
        <w:ind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2.1.2 招标文件对同一内容的表述应当一致。第一章 “招标公告”或者“投标邀请书”与招标文件在同一内容的表述上有矛盾或冲突时，以第一章 “招标公告”或者“投标邀请书”为准；投标人须知前附表与投标人须知正文在同一内容的表述上有矛盾或冲突时，以投标人须知前附表为准。</w:t>
      </w:r>
    </w:p>
    <w:p w14:paraId="0771656B">
      <w:pPr>
        <w:widowControl/>
        <w:topLinePunct/>
        <w:spacing w:line="360" w:lineRule="auto"/>
        <w:ind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2.1.3招标人在招标文件中以显著的方式标明实质性要求、条件以及不满足实质性要求和条件的投标将被否决的提示，实质性要求的标识见投标人须知前附表。</w:t>
      </w:r>
    </w:p>
    <w:p w14:paraId="4995E324">
      <w:pPr>
        <w:pStyle w:val="4"/>
        <w:ind w:firstLine="0" w:firstLineChars="0"/>
        <w:rPr>
          <w:rFonts w:hint="eastAsia" w:ascii="宋体" w:hAnsi="宋体" w:eastAsia="宋体" w:cs="宋体"/>
          <w:color w:val="000000"/>
          <w:highlight w:val="none"/>
        </w:rPr>
      </w:pPr>
      <w:bookmarkStart w:id="161" w:name="_Toc4336"/>
      <w:r>
        <w:rPr>
          <w:rFonts w:hint="eastAsia" w:ascii="宋体" w:hAnsi="宋体" w:eastAsia="宋体" w:cs="宋体"/>
          <w:color w:val="000000"/>
          <w:highlight w:val="none"/>
        </w:rPr>
        <w:t>2.2踏勘现场</w:t>
      </w:r>
      <w:bookmarkEnd w:id="161"/>
    </w:p>
    <w:p w14:paraId="374CB7B3">
      <w:pPr>
        <w:widowControl/>
        <w:topLinePunct/>
        <w:spacing w:line="360" w:lineRule="auto"/>
        <w:ind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2.2.1招标人根据招标项目的具体情况，可以按照投标人须知前附表规定的时间和地点组织潜在投标人踏勘项目现场。招标人不得组织单个或者部分潜在投标人踏勘项目现场。</w:t>
      </w:r>
    </w:p>
    <w:p w14:paraId="2B1D72E9">
      <w:pPr>
        <w:widowControl/>
        <w:topLinePunct/>
        <w:spacing w:line="360" w:lineRule="auto"/>
        <w:ind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2.2.2投标人应全面踏勘项目现场，应对可能影响投标报价及技术管理方案的现场条件进行全面踏勘。</w:t>
      </w:r>
    </w:p>
    <w:p w14:paraId="4533A850">
      <w:pPr>
        <w:widowControl/>
        <w:topLinePunct/>
        <w:spacing w:line="360" w:lineRule="auto"/>
        <w:ind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2.2.3投标人根据踏勘项目现场做出的投标分析、推论和判断，应当自行负责，招标人不对投标人据此作出的判断和决策负责。</w:t>
      </w:r>
    </w:p>
    <w:p w14:paraId="1F30963D">
      <w:pPr>
        <w:widowControl/>
        <w:topLinePunct/>
        <w:spacing w:line="360" w:lineRule="auto"/>
        <w:ind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2.2.4投标人踏勘现场发生的费用自理。除招标人的原因外，投标人自行负责在踏勘现场中所发生的人员伤亡和财产损失。</w:t>
      </w:r>
    </w:p>
    <w:p w14:paraId="27B1CE98">
      <w:pPr>
        <w:pStyle w:val="4"/>
        <w:ind w:firstLine="0" w:firstLineChars="0"/>
        <w:rPr>
          <w:rFonts w:hint="eastAsia" w:ascii="宋体" w:hAnsi="宋体" w:eastAsia="宋体" w:cs="宋体"/>
          <w:color w:val="000000"/>
          <w:highlight w:val="none"/>
        </w:rPr>
      </w:pPr>
      <w:bookmarkStart w:id="162" w:name="_Toc24569"/>
      <w:r>
        <w:rPr>
          <w:rFonts w:hint="eastAsia" w:ascii="宋体" w:hAnsi="宋体" w:eastAsia="宋体" w:cs="宋体"/>
          <w:color w:val="000000"/>
          <w:highlight w:val="none"/>
        </w:rPr>
        <w:t>2.3投标预备会</w:t>
      </w:r>
      <w:bookmarkEnd w:id="162"/>
    </w:p>
    <w:p w14:paraId="7B63CEDB">
      <w:pPr>
        <w:widowControl/>
        <w:topLinePunct/>
        <w:spacing w:line="360" w:lineRule="auto"/>
        <w:ind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招标人认为必要时，将按照投标人须知前附表规定的时间和地点召开投标预备会(标前会)，公开解答潜在投标人对招标文件提出的疑问。</w:t>
      </w:r>
    </w:p>
    <w:p w14:paraId="15BD8103">
      <w:pPr>
        <w:pStyle w:val="4"/>
        <w:ind w:firstLine="0" w:firstLineChars="0"/>
        <w:rPr>
          <w:rFonts w:hint="eastAsia" w:ascii="宋体" w:hAnsi="宋体" w:eastAsia="宋体" w:cs="宋体"/>
          <w:color w:val="000000"/>
          <w:highlight w:val="none"/>
        </w:rPr>
      </w:pPr>
      <w:bookmarkStart w:id="163" w:name="_Toc16221"/>
      <w:r>
        <w:rPr>
          <w:rFonts w:hint="eastAsia" w:ascii="宋体" w:hAnsi="宋体" w:eastAsia="宋体" w:cs="宋体"/>
          <w:color w:val="000000"/>
          <w:highlight w:val="none"/>
        </w:rPr>
        <w:t>2.4招标文件的修改</w:t>
      </w:r>
      <w:bookmarkEnd w:id="163"/>
    </w:p>
    <w:p w14:paraId="130AEB4C">
      <w:pPr>
        <w:widowControl/>
        <w:topLinePunct/>
        <w:spacing w:line="360" w:lineRule="auto"/>
        <w:ind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2.4.1投标人对招标文件有疑问的，应当按照投标人须知前附表规定的时间和方式，要求招标人对招标文件进行澄清。</w:t>
      </w:r>
    </w:p>
    <w:p w14:paraId="52A3D739">
      <w:pPr>
        <w:widowControl/>
        <w:topLinePunct/>
        <w:spacing w:line="360" w:lineRule="auto"/>
        <w:ind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2.4.2招标人可以对已发出的招标文件进行必要的澄清或者修改。澄清或修改内容可能影响投标文件编制的，招标人应当在投标截止时间至少15日前，以书面形式通知所有获取招标文件的潜在投标人，不足15日的，招标人应相应顺延提交投标文件的截止时间。</w:t>
      </w:r>
    </w:p>
    <w:p w14:paraId="1E009127">
      <w:pPr>
        <w:widowControl/>
        <w:topLinePunct/>
        <w:spacing w:line="360" w:lineRule="auto"/>
        <w:ind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2.4.3投标人收到澄清或修改后，应当按照投标人须知前附表规定的时间和方式通知招标人，确认已收到该澄清或修改。</w:t>
      </w:r>
    </w:p>
    <w:p w14:paraId="4C272D6C">
      <w:pPr>
        <w:widowControl/>
        <w:topLinePunct/>
        <w:spacing w:line="360" w:lineRule="auto"/>
        <w:ind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2.4.4所有关于招标文件的澄清和修改均作为招标文件的组成部分。当招标文件、招标文件的澄清或修改等在同一内容的表述上不一致时，以最后发出的书面文件为准。</w:t>
      </w:r>
    </w:p>
    <w:p w14:paraId="46E34B1C">
      <w:pPr>
        <w:pStyle w:val="4"/>
        <w:ind w:firstLine="0" w:firstLineChars="0"/>
        <w:rPr>
          <w:rFonts w:hint="eastAsia" w:ascii="宋体" w:hAnsi="宋体" w:eastAsia="宋体" w:cs="宋体"/>
          <w:color w:val="000000"/>
          <w:highlight w:val="none"/>
        </w:rPr>
      </w:pPr>
      <w:bookmarkStart w:id="164" w:name="_Toc17255"/>
      <w:r>
        <w:rPr>
          <w:rFonts w:hint="eastAsia" w:ascii="宋体" w:hAnsi="宋体" w:eastAsia="宋体" w:cs="宋体"/>
          <w:color w:val="000000"/>
          <w:highlight w:val="none"/>
        </w:rPr>
        <w:t>2.5招标文件的异议</w:t>
      </w:r>
      <w:bookmarkEnd w:id="164"/>
    </w:p>
    <w:p w14:paraId="6B892AF6">
      <w:pPr>
        <w:widowControl/>
        <w:topLinePunct/>
        <w:spacing w:line="360" w:lineRule="auto"/>
        <w:ind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潜在投标人或者其他利害关系人（是与招标项目或者招标活动有直接或者间接利益关系的法人、其他组织和自然人）对招标文件有异议的，应当在投标截止时间10日前提出。招标人应当自收到异议之日起3日内作出答复。作出答复前，应当暂停招标投标活动。</w:t>
      </w:r>
    </w:p>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p w14:paraId="6C0BD000">
      <w:pPr>
        <w:pStyle w:val="3"/>
        <w:bidi w:val="0"/>
        <w:rPr>
          <w:rFonts w:hint="eastAsia" w:ascii="宋体" w:hAnsi="宋体" w:eastAsia="宋体" w:cs="宋体"/>
        </w:rPr>
      </w:pPr>
      <w:bookmarkStart w:id="165" w:name="_Toc247085705"/>
      <w:bookmarkStart w:id="166" w:name="_Toc246996934"/>
      <w:bookmarkStart w:id="167" w:name="_Toc152042322"/>
      <w:bookmarkStart w:id="168" w:name="_Toc15396"/>
      <w:bookmarkStart w:id="169" w:name="_Toc152045546"/>
      <w:bookmarkStart w:id="170" w:name="_Toc246996191"/>
      <w:bookmarkStart w:id="171" w:name="_Toc179632564"/>
      <w:bookmarkStart w:id="172" w:name="_Toc31128"/>
      <w:bookmarkStart w:id="173" w:name="_Toc144974514"/>
      <w:bookmarkStart w:id="174" w:name="_Toc109124250"/>
      <w:r>
        <w:rPr>
          <w:rFonts w:hint="eastAsia" w:ascii="宋体" w:hAnsi="宋体" w:eastAsia="宋体" w:cs="宋体"/>
        </w:rPr>
        <w:t>3.投标文件</w:t>
      </w:r>
      <w:bookmarkEnd w:id="165"/>
      <w:bookmarkEnd w:id="166"/>
      <w:bookmarkEnd w:id="167"/>
      <w:bookmarkEnd w:id="168"/>
      <w:bookmarkEnd w:id="169"/>
      <w:bookmarkEnd w:id="170"/>
      <w:bookmarkEnd w:id="171"/>
      <w:bookmarkEnd w:id="172"/>
      <w:bookmarkEnd w:id="173"/>
      <w:bookmarkEnd w:id="174"/>
    </w:p>
    <w:p w14:paraId="51B13DDA">
      <w:pPr>
        <w:pStyle w:val="4"/>
        <w:ind w:firstLine="0" w:firstLineChars="0"/>
        <w:rPr>
          <w:rFonts w:hint="eastAsia" w:ascii="宋体" w:hAnsi="宋体" w:eastAsia="宋体" w:cs="宋体"/>
          <w:color w:val="000000"/>
          <w:highlight w:val="none"/>
        </w:rPr>
      </w:pPr>
      <w:bookmarkStart w:id="175" w:name="_Toc60224337"/>
      <w:bookmarkStart w:id="176" w:name="_Toc246996935"/>
      <w:bookmarkStart w:id="177" w:name="_Toc247085706"/>
      <w:bookmarkStart w:id="178" w:name="_Toc326223552"/>
      <w:bookmarkStart w:id="179" w:name="_Toc152045547"/>
      <w:bookmarkStart w:id="180" w:name="_Toc152042323"/>
      <w:bookmarkStart w:id="181" w:name="_Toc334766939"/>
      <w:bookmarkStart w:id="182" w:name="_Toc332188185"/>
      <w:bookmarkStart w:id="183" w:name="_Toc71191970"/>
      <w:bookmarkStart w:id="184" w:name="_Toc19843"/>
      <w:bookmarkStart w:id="185" w:name="_Toc144974515"/>
      <w:bookmarkStart w:id="186" w:name="_Toc179632565"/>
      <w:bookmarkStart w:id="187" w:name="_Toc246996192"/>
      <w:bookmarkStart w:id="188" w:name="_Toc21832"/>
      <w:bookmarkStart w:id="189" w:name="_Toc109124251"/>
      <w:r>
        <w:rPr>
          <w:rFonts w:hint="eastAsia" w:ascii="宋体" w:hAnsi="宋体" w:eastAsia="宋体" w:cs="宋体"/>
          <w:color w:val="000000"/>
          <w:highlight w:val="none"/>
        </w:rPr>
        <w:t>3.1 投标文件的组成</w:t>
      </w:r>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p>
    <w:p w14:paraId="0D663446">
      <w:pPr>
        <w:spacing w:line="360" w:lineRule="auto"/>
        <w:ind w:firstLine="480" w:firstLineChars="200"/>
        <w:textAlignment w:val="baseline"/>
        <w:rPr>
          <w:rFonts w:hint="eastAsia" w:ascii="宋体" w:hAnsi="宋体" w:eastAsia="宋体" w:cs="宋体"/>
          <w:color w:val="000000"/>
          <w:sz w:val="24"/>
          <w:szCs w:val="24"/>
          <w:highlight w:val="none"/>
        </w:rPr>
      </w:pPr>
      <w:bookmarkStart w:id="190" w:name="_Toc326223553"/>
      <w:bookmarkStart w:id="191" w:name="_Toc179632566"/>
      <w:bookmarkStart w:id="192" w:name="_Toc144974516"/>
      <w:bookmarkStart w:id="193" w:name="_Toc334766940"/>
      <w:bookmarkStart w:id="194" w:name="_Toc246996936"/>
      <w:bookmarkStart w:id="195" w:name="_Toc152042324"/>
      <w:bookmarkStart w:id="196" w:name="_Toc332188186"/>
      <w:bookmarkStart w:id="197" w:name="_Toc152045548"/>
      <w:bookmarkStart w:id="198" w:name="_Toc246996193"/>
      <w:bookmarkStart w:id="199" w:name="_Toc247085707"/>
      <w:r>
        <w:rPr>
          <w:rFonts w:hint="eastAsia" w:ascii="宋体" w:hAnsi="宋体" w:eastAsia="宋体" w:cs="宋体"/>
          <w:color w:val="000000"/>
          <w:sz w:val="24"/>
          <w:szCs w:val="24"/>
          <w:highlight w:val="none"/>
        </w:rPr>
        <w:t>投标人应当按照投标人须知前附表的要求制作并提交投标文件。投标文件的组成见投标人须知前附表。</w:t>
      </w:r>
    </w:p>
    <w:p w14:paraId="11714F0A">
      <w:pPr>
        <w:pStyle w:val="4"/>
        <w:ind w:firstLine="0" w:firstLineChars="0"/>
        <w:rPr>
          <w:rFonts w:hint="eastAsia" w:ascii="宋体" w:hAnsi="宋体" w:eastAsia="宋体" w:cs="宋体"/>
          <w:color w:val="000000"/>
          <w:highlight w:val="none"/>
        </w:rPr>
      </w:pPr>
      <w:bookmarkStart w:id="200" w:name="_Toc109124252"/>
      <w:bookmarkStart w:id="201" w:name="_Toc71191971"/>
      <w:bookmarkStart w:id="202" w:name="_Toc28066"/>
      <w:bookmarkStart w:id="203" w:name="_Toc60224338"/>
      <w:bookmarkStart w:id="204" w:name="_Toc14308"/>
      <w:r>
        <w:rPr>
          <w:rFonts w:hint="eastAsia" w:ascii="宋体" w:hAnsi="宋体" w:eastAsia="宋体" w:cs="宋体"/>
          <w:color w:val="000000"/>
          <w:highlight w:val="none"/>
        </w:rPr>
        <w:t xml:space="preserve">3.2 </w:t>
      </w:r>
      <w:bookmarkEnd w:id="190"/>
      <w:bookmarkEnd w:id="191"/>
      <w:bookmarkEnd w:id="192"/>
      <w:bookmarkEnd w:id="193"/>
      <w:bookmarkEnd w:id="194"/>
      <w:bookmarkEnd w:id="195"/>
      <w:bookmarkEnd w:id="196"/>
      <w:bookmarkEnd w:id="197"/>
      <w:bookmarkEnd w:id="198"/>
      <w:bookmarkEnd w:id="199"/>
      <w:r>
        <w:rPr>
          <w:rFonts w:hint="eastAsia" w:ascii="宋体" w:hAnsi="宋体" w:eastAsia="宋体" w:cs="宋体"/>
          <w:color w:val="000000"/>
          <w:highlight w:val="none"/>
        </w:rPr>
        <w:t>投标文件的编制</w:t>
      </w:r>
      <w:bookmarkEnd w:id="200"/>
      <w:bookmarkEnd w:id="201"/>
      <w:bookmarkEnd w:id="202"/>
      <w:bookmarkEnd w:id="203"/>
      <w:bookmarkEnd w:id="204"/>
    </w:p>
    <w:p w14:paraId="2DD91571">
      <w:pPr>
        <w:spacing w:line="360" w:lineRule="auto"/>
        <w:ind w:firstLine="480" w:firstLineChars="200"/>
        <w:textAlignment w:val="baseline"/>
        <w:rPr>
          <w:rFonts w:hint="eastAsia" w:ascii="宋体" w:hAnsi="宋体" w:eastAsia="宋体" w:cs="宋体"/>
          <w:color w:val="000000"/>
          <w:sz w:val="24"/>
          <w:szCs w:val="24"/>
          <w:highlight w:val="none"/>
        </w:rPr>
      </w:pPr>
      <w:bookmarkStart w:id="205" w:name="_Toc332188187"/>
      <w:bookmarkStart w:id="206" w:name="_Toc326223554"/>
      <w:bookmarkStart w:id="207" w:name="_Toc144974517"/>
      <w:bookmarkStart w:id="208" w:name="_Toc246996194"/>
      <w:bookmarkStart w:id="209" w:name="_Toc247085708"/>
      <w:bookmarkStart w:id="210" w:name="_Toc179632567"/>
      <w:bookmarkStart w:id="211" w:name="_Toc334766941"/>
      <w:bookmarkStart w:id="212" w:name="_Toc152045549"/>
      <w:bookmarkStart w:id="213" w:name="_Toc246996937"/>
      <w:bookmarkStart w:id="214" w:name="_Toc152042325"/>
      <w:r>
        <w:rPr>
          <w:rFonts w:hint="eastAsia" w:ascii="宋体" w:hAnsi="宋体" w:eastAsia="宋体" w:cs="宋体"/>
          <w:color w:val="000000"/>
          <w:sz w:val="24"/>
          <w:szCs w:val="24"/>
          <w:highlight w:val="none"/>
        </w:rPr>
        <w:t xml:space="preserve">3.2.1投标人应当按照招标文件的要求编制投标文件，并对其投标文件的真实性、合法性承担法律责任，投标文件应当对招标文件提出的实质性要求和条件作出响应。 </w:t>
      </w:r>
    </w:p>
    <w:p w14:paraId="1B98A188">
      <w:pPr>
        <w:spacing w:line="360" w:lineRule="auto"/>
        <w:ind w:firstLine="480" w:firstLineChars="200"/>
        <w:textAlignment w:val="baseline"/>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3.2.2投标人应认真阅读招标文件中所有的事项、格式、条款和技术规范等。投标人没有按照招标文件要求递交全部资料，或者投标人没有对招标文件在各方面都作出实质性响应是投标人的风险，并可能导致其投标被否决。投标文件应答和编写的具体要求见投标人须知前附表。</w:t>
      </w:r>
    </w:p>
    <w:p w14:paraId="1B434EF0">
      <w:pPr>
        <w:spacing w:line="360" w:lineRule="auto"/>
        <w:ind w:firstLine="480" w:firstLineChars="200"/>
        <w:textAlignment w:val="baseline"/>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3.2.3投标人提交的投标文件以及投标人与招标人就有关投标的所有往来函电均应使用中文。投标人提交的证明文件和印刷的文献可以使用另一种语言，但相应内容应当译成中文，在解释投标文件时以中文译本为准。</w:t>
      </w:r>
    </w:p>
    <w:p w14:paraId="2D1086C2">
      <w:pPr>
        <w:spacing w:line="360" w:lineRule="auto"/>
        <w:ind w:firstLine="480" w:firstLineChars="200"/>
        <w:textAlignment w:val="baseline"/>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3.2.4纸质投标文件应当使用不褪色的材料书写或打印，并加盖公章或者由投标人的法定代表人（负责人）或者其委托代理人签字。委托代理人签字的，投标文件应当附法定代表人（负责人）签署的授权委托书。投标文件应尽量避免涂改、行间插字或删除。如果出现上述情况，改动之处应当加盖公章或由投标人的法定代表人（负责人）或其委托代理人签字确认。电子投标文件的签章要求及纸质投标文件盖章或者签字另有要求的，见投标人须知前附表。</w:t>
      </w:r>
    </w:p>
    <w:p w14:paraId="5BB49322">
      <w:pPr>
        <w:pStyle w:val="4"/>
        <w:ind w:firstLine="0" w:firstLineChars="0"/>
        <w:rPr>
          <w:rFonts w:hint="eastAsia" w:ascii="宋体" w:hAnsi="宋体" w:eastAsia="宋体" w:cs="宋体"/>
          <w:color w:val="000000"/>
          <w:highlight w:val="none"/>
        </w:rPr>
      </w:pPr>
      <w:bookmarkStart w:id="215" w:name="_Toc109124253"/>
      <w:bookmarkStart w:id="216" w:name="_Toc60224339"/>
      <w:bookmarkStart w:id="217" w:name="_Toc71191972"/>
      <w:bookmarkStart w:id="218" w:name="_Toc18181"/>
      <w:bookmarkStart w:id="219" w:name="_Toc7610"/>
      <w:r>
        <w:rPr>
          <w:rFonts w:hint="eastAsia" w:ascii="宋体" w:hAnsi="宋体" w:eastAsia="宋体" w:cs="宋体"/>
          <w:color w:val="000000"/>
          <w:highlight w:val="none"/>
        </w:rPr>
        <w:t>3.3 投标报价</w:t>
      </w:r>
      <w:bookmarkEnd w:id="215"/>
      <w:bookmarkEnd w:id="216"/>
      <w:bookmarkEnd w:id="217"/>
      <w:bookmarkEnd w:id="218"/>
      <w:bookmarkEnd w:id="219"/>
    </w:p>
    <w:p w14:paraId="11C2BF57">
      <w:pPr>
        <w:widowControl/>
        <w:topLinePunct/>
        <w:spacing w:line="360" w:lineRule="auto"/>
        <w:ind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3.3.1投标人应当根据招标文件要求进行报价，投标人应当报出符合招标文件要求的拟提供投标货物或服务的单价、总价、费率、税率等内容。</w:t>
      </w:r>
    </w:p>
    <w:p w14:paraId="331CC9A9">
      <w:pPr>
        <w:widowControl/>
        <w:topLinePunct/>
        <w:spacing w:line="360" w:lineRule="auto"/>
        <w:ind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3.3.2 除招标文件另有规定外，投标报价一律用人民币填报，招标人不接受任何非人民币币种的投标报价。</w:t>
      </w:r>
    </w:p>
    <w:p w14:paraId="40890803">
      <w:pPr>
        <w:widowControl/>
        <w:topLinePunct/>
        <w:spacing w:line="360" w:lineRule="auto"/>
        <w:ind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3.3.3除招标文件另有规定外，投标人对每种货物或服务只允许有一个报价，招标人不接受有任何选择的报价。</w:t>
      </w:r>
    </w:p>
    <w:p w14:paraId="0F478DFD">
      <w:pPr>
        <w:widowControl/>
        <w:topLinePunct/>
        <w:spacing w:line="360" w:lineRule="auto"/>
        <w:ind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3.3.4招标人设有最高投标限价的，投标人的投标报价不得超过最高投标限价，否则其投标将被否决。最高投标限价或者其计算方法见投标人须知前附表。</w:t>
      </w:r>
    </w:p>
    <w:p w14:paraId="511CF79C">
      <w:pPr>
        <w:widowControl/>
        <w:topLinePunct/>
        <w:spacing w:line="360" w:lineRule="auto"/>
        <w:ind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 xml:space="preserve">3.3.5投标报价的具体要求见投标人须知前附表。 </w:t>
      </w:r>
    </w:p>
    <w:p w14:paraId="33DFFEA2">
      <w:pPr>
        <w:pStyle w:val="4"/>
        <w:ind w:firstLine="0" w:firstLineChars="0"/>
        <w:rPr>
          <w:rFonts w:hint="eastAsia" w:ascii="宋体" w:hAnsi="宋体" w:eastAsia="宋体" w:cs="宋体"/>
          <w:color w:val="000000"/>
          <w:highlight w:val="none"/>
        </w:rPr>
      </w:pPr>
      <w:bookmarkStart w:id="220" w:name="_Toc109124254"/>
      <w:bookmarkStart w:id="221" w:name="_Toc14115"/>
      <w:bookmarkStart w:id="222" w:name="_Toc60224340"/>
      <w:bookmarkStart w:id="223" w:name="_Toc10829"/>
      <w:bookmarkStart w:id="224" w:name="_Toc71191973"/>
      <w:r>
        <w:rPr>
          <w:rFonts w:hint="eastAsia" w:ascii="宋体" w:hAnsi="宋体" w:eastAsia="宋体" w:cs="宋体"/>
          <w:color w:val="000000"/>
          <w:highlight w:val="none"/>
        </w:rPr>
        <w:t xml:space="preserve">3.4 </w:t>
      </w:r>
      <w:bookmarkEnd w:id="205"/>
      <w:bookmarkEnd w:id="206"/>
      <w:bookmarkEnd w:id="207"/>
      <w:bookmarkEnd w:id="208"/>
      <w:bookmarkEnd w:id="209"/>
      <w:bookmarkEnd w:id="210"/>
      <w:bookmarkEnd w:id="211"/>
      <w:bookmarkEnd w:id="212"/>
      <w:bookmarkEnd w:id="213"/>
      <w:bookmarkEnd w:id="214"/>
      <w:r>
        <w:rPr>
          <w:rFonts w:hint="eastAsia" w:ascii="宋体" w:hAnsi="宋体" w:eastAsia="宋体" w:cs="宋体"/>
          <w:color w:val="000000"/>
          <w:highlight w:val="none"/>
        </w:rPr>
        <w:t>投标有效期</w:t>
      </w:r>
      <w:bookmarkEnd w:id="220"/>
      <w:bookmarkEnd w:id="221"/>
      <w:bookmarkEnd w:id="222"/>
      <w:bookmarkEnd w:id="223"/>
      <w:bookmarkEnd w:id="224"/>
    </w:p>
    <w:p w14:paraId="662AD343">
      <w:pPr>
        <w:widowControl/>
        <w:topLinePunct/>
        <w:spacing w:line="360" w:lineRule="auto"/>
        <w:ind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3.4.1投标有效期从提交投标文件的截止之日起算，投标有效期的具体时间见投标人须知前附表。投标人承诺的投标有效期必须不短于招标文件规定的投标有效期，否则将构成对招标文件的非实质性响应，投标将被否决。</w:t>
      </w:r>
    </w:p>
    <w:p w14:paraId="4C8E7372">
      <w:pPr>
        <w:widowControl/>
        <w:topLinePunct/>
        <w:spacing w:line="360" w:lineRule="auto"/>
        <w:ind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3.4.2在原投标有效期结束前，出现特殊情况的，招标人可以书面形式要求所有投标人延长投标有效期。投标人同意延长的，不得要求或被允许修改其投标文件的实质性内容</w:t>
      </w:r>
      <w:r>
        <w:rPr>
          <w:rFonts w:hint="eastAsia" w:ascii="宋体" w:hAnsi="宋体" w:eastAsia="宋体" w:cs="宋体"/>
          <w:color w:val="000000"/>
          <w:kern w:val="0"/>
          <w:sz w:val="24"/>
          <w:szCs w:val="24"/>
          <w:highlight w:val="none"/>
          <w:lang w:eastAsia="zh-CN"/>
        </w:rPr>
        <w:t>。</w:t>
      </w:r>
      <w:r>
        <w:rPr>
          <w:rFonts w:hint="eastAsia" w:ascii="宋体" w:hAnsi="宋体" w:eastAsia="宋体" w:cs="宋体"/>
          <w:color w:val="000000"/>
          <w:kern w:val="0"/>
          <w:sz w:val="24"/>
          <w:szCs w:val="24"/>
          <w:highlight w:val="none"/>
        </w:rPr>
        <w:t>投标人拒绝延长投标有效期的，其投标失效。</w:t>
      </w:r>
    </w:p>
    <w:p w14:paraId="05DBA9A4">
      <w:pPr>
        <w:pStyle w:val="4"/>
        <w:ind w:firstLine="0" w:firstLineChars="0"/>
        <w:rPr>
          <w:rFonts w:hint="eastAsia" w:ascii="宋体" w:hAnsi="宋体" w:eastAsia="宋体" w:cs="宋体"/>
          <w:color w:val="000000"/>
          <w:highlight w:val="none"/>
        </w:rPr>
      </w:pPr>
      <w:bookmarkStart w:id="225" w:name="_Toc71191974"/>
      <w:bookmarkStart w:id="226" w:name="_Toc152042326"/>
      <w:bookmarkStart w:id="227" w:name="_Toc7184"/>
      <w:bookmarkStart w:id="228" w:name="_Toc109124255"/>
      <w:bookmarkStart w:id="229" w:name="_Toc246996195"/>
      <w:bookmarkStart w:id="230" w:name="_Toc247085709"/>
      <w:bookmarkStart w:id="231" w:name="_Toc28248"/>
      <w:bookmarkStart w:id="232" w:name="_Toc144974518"/>
      <w:bookmarkStart w:id="233" w:name="_Toc334766942"/>
      <w:bookmarkStart w:id="234" w:name="_Toc152045550"/>
      <w:bookmarkStart w:id="235" w:name="_Toc326223555"/>
      <w:bookmarkStart w:id="236" w:name="_Toc179632568"/>
      <w:bookmarkStart w:id="237" w:name="_Toc332188188"/>
      <w:bookmarkStart w:id="238" w:name="_Toc60224341"/>
      <w:bookmarkStart w:id="239" w:name="_Toc246996938"/>
      <w:r>
        <w:rPr>
          <w:rFonts w:hint="eastAsia" w:ascii="宋体" w:hAnsi="宋体" w:eastAsia="宋体" w:cs="宋体"/>
          <w:color w:val="000000"/>
          <w:highlight w:val="none"/>
        </w:rPr>
        <w:t>3.5 投标保证金</w:t>
      </w:r>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p>
    <w:p w14:paraId="76209ADD">
      <w:pPr>
        <w:widowControl/>
        <w:topLinePunct/>
        <w:spacing w:line="360" w:lineRule="auto"/>
        <w:ind w:firstLine="480" w:firstLineChars="200"/>
        <w:rPr>
          <w:rFonts w:hint="eastAsia" w:ascii="宋体" w:hAnsi="宋体" w:eastAsia="宋体" w:cs="宋体"/>
          <w:color w:val="000000"/>
          <w:kern w:val="0"/>
          <w:sz w:val="24"/>
          <w:szCs w:val="24"/>
          <w:highlight w:val="none"/>
        </w:rPr>
      </w:pPr>
      <w:bookmarkStart w:id="240" w:name="_Hlk112074683"/>
      <w:bookmarkStart w:id="241" w:name="_Toc334766943"/>
      <w:bookmarkStart w:id="242" w:name="_Toc152042328"/>
      <w:bookmarkStart w:id="243" w:name="_Toc144974520"/>
      <w:bookmarkStart w:id="244" w:name="_Toc246996939"/>
      <w:bookmarkStart w:id="245" w:name="_Toc326223556"/>
      <w:bookmarkStart w:id="246" w:name="_Toc247085710"/>
      <w:bookmarkStart w:id="247" w:name="_Toc179632570"/>
      <w:bookmarkStart w:id="248" w:name="_Toc246996196"/>
      <w:bookmarkStart w:id="249" w:name="_Toc332188189"/>
      <w:bookmarkStart w:id="250" w:name="_Toc152045552"/>
      <w:r>
        <w:rPr>
          <w:rFonts w:hint="eastAsia" w:ascii="宋体" w:hAnsi="宋体" w:eastAsia="宋体" w:cs="宋体"/>
          <w:color w:val="000000"/>
          <w:kern w:val="0"/>
          <w:sz w:val="24"/>
          <w:szCs w:val="24"/>
          <w:highlight w:val="none"/>
        </w:rPr>
        <w:t>3.5.1招标人要求投标人提交投标保证金的，投标保证金不得超过招标项目估算价的2%，且不超过人民币80万元。投标保证金有效期与投标有效期一致。本招标项目的投标保证金金额、形式见投标人须知前附表。</w:t>
      </w:r>
    </w:p>
    <w:p w14:paraId="74CE3F73">
      <w:pPr>
        <w:widowControl/>
        <w:topLinePunct/>
        <w:spacing w:line="360" w:lineRule="auto"/>
        <w:ind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3.5.2</w:t>
      </w:r>
      <w:bookmarkStart w:id="251" w:name="_Hlk142926284"/>
      <w:r>
        <w:rPr>
          <w:rFonts w:hint="eastAsia" w:ascii="宋体" w:hAnsi="宋体" w:eastAsia="宋体" w:cs="宋体"/>
          <w:color w:val="000000"/>
          <w:kern w:val="0"/>
          <w:sz w:val="24"/>
          <w:szCs w:val="24"/>
          <w:highlight w:val="none"/>
        </w:rPr>
        <w:t>投标人或中标人出现下列行为之一，投标保证金不予退还：</w:t>
      </w:r>
    </w:p>
    <w:p w14:paraId="48A9E490">
      <w:pPr>
        <w:widowControl/>
        <w:topLinePunct/>
        <w:spacing w:line="360" w:lineRule="auto"/>
        <w:ind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（1）投标人在投标截止后至投标有效期期满前,要求撤回已递交的投标文件；</w:t>
      </w:r>
    </w:p>
    <w:p w14:paraId="2A1F85DA">
      <w:pPr>
        <w:widowControl/>
        <w:topLinePunct/>
        <w:spacing w:line="360" w:lineRule="auto"/>
        <w:ind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（2）中标后放弃中标的；</w:t>
      </w:r>
    </w:p>
    <w:p w14:paraId="442EFEE4">
      <w:pPr>
        <w:widowControl/>
        <w:topLinePunct/>
        <w:spacing w:line="360" w:lineRule="auto"/>
        <w:ind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（3）中标或成交后无正当理由不与招标人订立合同的；</w:t>
      </w:r>
    </w:p>
    <w:p w14:paraId="419AA12D">
      <w:pPr>
        <w:widowControl/>
        <w:topLinePunct/>
        <w:spacing w:line="360" w:lineRule="auto"/>
        <w:ind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（4）中标人在签订合同时向招标人提出附加条件或要求变更实质性合同条款的；</w:t>
      </w:r>
    </w:p>
    <w:p w14:paraId="3A077BBA">
      <w:pPr>
        <w:widowControl/>
        <w:topLinePunct/>
        <w:spacing w:line="360" w:lineRule="auto"/>
        <w:ind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（5）中标人不按照招标文件要求提交履约保证金的；</w:t>
      </w:r>
    </w:p>
    <w:p w14:paraId="55CAFF0D">
      <w:pPr>
        <w:widowControl/>
        <w:topLinePunct/>
        <w:spacing w:line="360" w:lineRule="auto"/>
        <w:ind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（6）投标人有恶意欺诈、弄虚作假、围标串标、哄抬标价、徇私行贿等法律法规中所列违规行为的。</w:t>
      </w:r>
    </w:p>
    <w:bookmarkEnd w:id="240"/>
    <w:bookmarkEnd w:id="251"/>
    <w:p w14:paraId="6A01F2F0">
      <w:pPr>
        <w:pStyle w:val="4"/>
        <w:ind w:firstLine="0" w:firstLineChars="0"/>
        <w:rPr>
          <w:rFonts w:hint="eastAsia" w:ascii="宋体" w:hAnsi="宋体" w:eastAsia="宋体" w:cs="宋体"/>
          <w:color w:val="000000"/>
          <w:highlight w:val="none"/>
        </w:rPr>
      </w:pPr>
      <w:bookmarkStart w:id="252" w:name="_Toc30245"/>
      <w:bookmarkStart w:id="253" w:name="_Toc20959"/>
      <w:bookmarkStart w:id="254" w:name="_Toc71191975"/>
      <w:bookmarkStart w:id="255" w:name="_Toc60224342"/>
      <w:bookmarkStart w:id="256" w:name="_Toc109124256"/>
      <w:r>
        <w:rPr>
          <w:rFonts w:hint="eastAsia" w:ascii="宋体" w:hAnsi="宋体" w:eastAsia="宋体" w:cs="宋体"/>
          <w:color w:val="000000"/>
          <w:highlight w:val="none"/>
        </w:rPr>
        <w:t xml:space="preserve">3.6 </w:t>
      </w:r>
      <w:bookmarkEnd w:id="241"/>
      <w:bookmarkEnd w:id="242"/>
      <w:bookmarkEnd w:id="243"/>
      <w:bookmarkEnd w:id="244"/>
      <w:bookmarkEnd w:id="245"/>
      <w:bookmarkEnd w:id="246"/>
      <w:bookmarkEnd w:id="247"/>
      <w:bookmarkEnd w:id="248"/>
      <w:bookmarkEnd w:id="249"/>
      <w:bookmarkEnd w:id="250"/>
      <w:r>
        <w:rPr>
          <w:rFonts w:hint="eastAsia" w:ascii="宋体" w:hAnsi="宋体" w:eastAsia="宋体" w:cs="宋体"/>
          <w:color w:val="000000"/>
          <w:highlight w:val="none"/>
        </w:rPr>
        <w:t>备选投标方案</w:t>
      </w:r>
      <w:bookmarkEnd w:id="252"/>
      <w:bookmarkEnd w:id="253"/>
      <w:bookmarkEnd w:id="254"/>
      <w:bookmarkEnd w:id="255"/>
      <w:bookmarkEnd w:id="256"/>
    </w:p>
    <w:p w14:paraId="5EF310D4">
      <w:pPr>
        <w:widowControl/>
        <w:topLinePunct/>
        <w:spacing w:line="360" w:lineRule="auto"/>
        <w:ind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招标人可以要求投标人在提交符合招标文件规定要求的投标文件外，提交备选投标方案，但应当在招标文件中做出说明，并提出相应的评审和比较办法。除投标人须知前附表另有规定外，投标人不得递交备选投标方案。</w:t>
      </w:r>
    </w:p>
    <w:p w14:paraId="0B960DAA">
      <w:pPr>
        <w:pStyle w:val="4"/>
        <w:ind w:firstLine="0" w:firstLineChars="0"/>
        <w:rPr>
          <w:rFonts w:hint="eastAsia" w:ascii="宋体" w:hAnsi="宋体" w:eastAsia="宋体" w:cs="宋体"/>
          <w:color w:val="000000"/>
          <w:highlight w:val="none"/>
        </w:rPr>
      </w:pPr>
      <w:bookmarkStart w:id="257" w:name="_Toc326223557"/>
      <w:bookmarkStart w:id="258" w:name="_Toc332188190"/>
      <w:bookmarkStart w:id="259" w:name="_Toc334766944"/>
      <w:bookmarkStart w:id="260" w:name="_Toc4921"/>
      <w:bookmarkStart w:id="261" w:name="_Toc4488"/>
      <w:bookmarkStart w:id="262" w:name="_Toc109124257"/>
      <w:bookmarkStart w:id="263" w:name="_Toc60224343"/>
      <w:bookmarkStart w:id="264" w:name="_Toc71191976"/>
      <w:r>
        <w:rPr>
          <w:rFonts w:hint="eastAsia" w:ascii="宋体" w:hAnsi="宋体" w:eastAsia="宋体" w:cs="宋体"/>
          <w:color w:val="000000"/>
          <w:highlight w:val="none"/>
        </w:rPr>
        <w:t xml:space="preserve">3.7 </w:t>
      </w:r>
      <w:bookmarkEnd w:id="257"/>
      <w:bookmarkEnd w:id="258"/>
      <w:bookmarkEnd w:id="259"/>
      <w:r>
        <w:rPr>
          <w:rFonts w:hint="eastAsia" w:ascii="宋体" w:hAnsi="宋体" w:eastAsia="宋体" w:cs="宋体"/>
          <w:color w:val="000000"/>
          <w:highlight w:val="none"/>
        </w:rPr>
        <w:t>纸质投标文件的式样、密封和标记</w:t>
      </w:r>
      <w:bookmarkEnd w:id="260"/>
      <w:bookmarkEnd w:id="261"/>
      <w:bookmarkEnd w:id="262"/>
      <w:bookmarkEnd w:id="263"/>
      <w:bookmarkEnd w:id="264"/>
    </w:p>
    <w:p w14:paraId="37C88F28">
      <w:pPr>
        <w:widowControl/>
        <w:topLinePunct/>
        <w:spacing w:line="360" w:lineRule="auto"/>
        <w:ind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3.7.1 投标人应当编制一份投标文件“正本”和投标人须知前附表所述份数的“副本”和“电子版”，副本为正本复印件。电子文件与纸质文件不一致时，以纸质文件为准，纸质文件正本与副本不一致时，以正本为准。</w:t>
      </w:r>
    </w:p>
    <w:p w14:paraId="29F63085">
      <w:pPr>
        <w:widowControl/>
        <w:topLinePunct/>
        <w:spacing w:line="360" w:lineRule="auto"/>
        <w:ind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3.7.2 投标文件的正本、副本应当分别装订，并于封面上明确标明“正本”“副本”字样。</w:t>
      </w:r>
    </w:p>
    <w:p w14:paraId="5869398D">
      <w:pPr>
        <w:widowControl/>
        <w:topLinePunct/>
        <w:spacing w:line="360" w:lineRule="auto"/>
        <w:ind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3.7.3 纸质投标文件应当按照招标文件规定密封包装，外层包封应当写明招标人名称、地址、项目名称、招标编号以及投标人的名称、地址等信息，明确标明“正本”“副本”字样，注明“开标时间以前不得开封”。招标人对于纸质投标文件密封、标记另有要求的，见投标人须知前附表。</w:t>
      </w:r>
    </w:p>
    <w:p w14:paraId="096994CE">
      <w:pPr>
        <w:pStyle w:val="4"/>
        <w:ind w:firstLine="0" w:firstLineChars="0"/>
        <w:rPr>
          <w:rFonts w:hint="eastAsia" w:ascii="宋体" w:hAnsi="宋体" w:eastAsia="宋体" w:cs="宋体"/>
          <w:color w:val="000000"/>
          <w:highlight w:val="none"/>
        </w:rPr>
      </w:pPr>
      <w:bookmarkStart w:id="265" w:name="_Toc71191977"/>
      <w:bookmarkStart w:id="266" w:name="_Toc19897"/>
      <w:bookmarkStart w:id="267" w:name="_Toc17087"/>
      <w:bookmarkStart w:id="268" w:name="_Toc109124258"/>
      <w:bookmarkStart w:id="269" w:name="_Toc60224344"/>
      <w:bookmarkStart w:id="270" w:name="_Toc144974521"/>
      <w:bookmarkStart w:id="271" w:name="_Toc152045553"/>
      <w:bookmarkStart w:id="272" w:name="_Toc152042329"/>
      <w:bookmarkStart w:id="273" w:name="_Toc246996940"/>
      <w:bookmarkStart w:id="274" w:name="_Toc246996197"/>
      <w:bookmarkStart w:id="275" w:name="_Toc247085711"/>
      <w:bookmarkStart w:id="276" w:name="_Toc179632571"/>
      <w:r>
        <w:rPr>
          <w:rFonts w:hint="eastAsia" w:ascii="宋体" w:hAnsi="宋体" w:eastAsia="宋体" w:cs="宋体"/>
          <w:color w:val="000000"/>
          <w:highlight w:val="none"/>
        </w:rPr>
        <w:t>3.8 电子招投标的投标文件上传形式</w:t>
      </w:r>
      <w:bookmarkEnd w:id="265"/>
      <w:bookmarkEnd w:id="266"/>
      <w:bookmarkEnd w:id="267"/>
      <w:bookmarkEnd w:id="268"/>
      <w:bookmarkEnd w:id="269"/>
    </w:p>
    <w:p w14:paraId="62541DB9">
      <w:pPr>
        <w:spacing w:line="360" w:lineRule="auto"/>
        <w:ind w:firstLine="480" w:firstLineChars="200"/>
        <w:textAlignment w:val="baseline"/>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投标文件应当按照投标人须知前附表要求的形式上传。</w:t>
      </w:r>
    </w:p>
    <w:bookmarkEnd w:id="270"/>
    <w:bookmarkEnd w:id="271"/>
    <w:bookmarkEnd w:id="272"/>
    <w:bookmarkEnd w:id="273"/>
    <w:bookmarkEnd w:id="274"/>
    <w:bookmarkEnd w:id="275"/>
    <w:bookmarkEnd w:id="276"/>
    <w:p w14:paraId="08FEBF19">
      <w:pPr>
        <w:pStyle w:val="3"/>
        <w:bidi w:val="0"/>
        <w:rPr>
          <w:rFonts w:hint="eastAsia" w:ascii="宋体" w:hAnsi="宋体" w:eastAsia="宋体" w:cs="宋体"/>
        </w:rPr>
      </w:pPr>
      <w:bookmarkStart w:id="277" w:name="_Toc9092"/>
      <w:bookmarkStart w:id="278" w:name="_Toc152042331"/>
      <w:bookmarkStart w:id="279" w:name="_Toc28146"/>
      <w:bookmarkStart w:id="280" w:name="_Toc152045555"/>
      <w:bookmarkStart w:id="281" w:name="_Toc179632573"/>
      <w:bookmarkStart w:id="282" w:name="_Toc109124259"/>
      <w:bookmarkStart w:id="283" w:name="_Toc246996942"/>
      <w:bookmarkStart w:id="284" w:name="_Toc247085713"/>
      <w:bookmarkStart w:id="285" w:name="_Toc246996199"/>
      <w:bookmarkStart w:id="286" w:name="_Toc144974523"/>
      <w:r>
        <w:rPr>
          <w:rFonts w:hint="eastAsia" w:ascii="宋体" w:hAnsi="宋体" w:eastAsia="宋体" w:cs="宋体"/>
        </w:rPr>
        <w:t>4.投标</w:t>
      </w:r>
      <w:bookmarkEnd w:id="277"/>
      <w:bookmarkEnd w:id="278"/>
      <w:bookmarkEnd w:id="279"/>
      <w:bookmarkEnd w:id="280"/>
      <w:bookmarkEnd w:id="281"/>
      <w:bookmarkEnd w:id="282"/>
      <w:bookmarkEnd w:id="283"/>
      <w:bookmarkEnd w:id="284"/>
      <w:bookmarkEnd w:id="285"/>
      <w:bookmarkEnd w:id="286"/>
    </w:p>
    <w:p w14:paraId="0A4206FE">
      <w:pPr>
        <w:pStyle w:val="4"/>
        <w:ind w:firstLine="0" w:firstLineChars="0"/>
        <w:rPr>
          <w:rFonts w:hint="eastAsia" w:ascii="宋体" w:hAnsi="宋体" w:eastAsia="宋体" w:cs="宋体"/>
          <w:color w:val="000000"/>
          <w:highlight w:val="none"/>
        </w:rPr>
      </w:pPr>
      <w:bookmarkStart w:id="287" w:name="_Toc334766946"/>
      <w:bookmarkStart w:id="288" w:name="_Toc332188192"/>
      <w:bookmarkStart w:id="289" w:name="_Toc179632574"/>
      <w:bookmarkStart w:id="290" w:name="_Toc326223559"/>
      <w:bookmarkStart w:id="291" w:name="_Toc152045556"/>
      <w:bookmarkStart w:id="292" w:name="_Toc247085714"/>
      <w:bookmarkStart w:id="293" w:name="_Toc152042332"/>
      <w:bookmarkStart w:id="294" w:name="_Toc246996200"/>
      <w:bookmarkStart w:id="295" w:name="_Toc144974524"/>
      <w:bookmarkStart w:id="296" w:name="_Toc246996943"/>
      <w:bookmarkStart w:id="297" w:name="_Toc71191979"/>
      <w:bookmarkStart w:id="298" w:name="_Toc109124260"/>
      <w:bookmarkStart w:id="299" w:name="_Toc20297"/>
      <w:bookmarkStart w:id="300" w:name="_Toc60224346"/>
      <w:bookmarkStart w:id="301" w:name="_Toc16059"/>
      <w:r>
        <w:rPr>
          <w:rFonts w:hint="eastAsia" w:ascii="宋体" w:hAnsi="宋体" w:eastAsia="宋体" w:cs="宋体"/>
          <w:color w:val="000000"/>
          <w:highlight w:val="none"/>
        </w:rPr>
        <w:t xml:space="preserve">4.1 </w:t>
      </w:r>
      <w:bookmarkEnd w:id="287"/>
      <w:bookmarkEnd w:id="288"/>
      <w:bookmarkEnd w:id="289"/>
      <w:bookmarkEnd w:id="290"/>
      <w:bookmarkEnd w:id="291"/>
      <w:bookmarkEnd w:id="292"/>
      <w:bookmarkEnd w:id="293"/>
      <w:bookmarkEnd w:id="294"/>
      <w:bookmarkEnd w:id="295"/>
      <w:bookmarkEnd w:id="296"/>
      <w:r>
        <w:rPr>
          <w:rFonts w:hint="eastAsia" w:ascii="宋体" w:hAnsi="宋体" w:eastAsia="宋体" w:cs="宋体"/>
          <w:color w:val="000000"/>
          <w:highlight w:val="none"/>
        </w:rPr>
        <w:t>投标文件的递交</w:t>
      </w:r>
      <w:bookmarkEnd w:id="297"/>
      <w:bookmarkEnd w:id="298"/>
      <w:bookmarkEnd w:id="299"/>
      <w:bookmarkEnd w:id="300"/>
      <w:bookmarkEnd w:id="301"/>
    </w:p>
    <w:p w14:paraId="04C5B56B">
      <w:pPr>
        <w:spacing w:line="360" w:lineRule="auto"/>
        <w:ind w:firstLine="480" w:firstLineChars="200"/>
        <w:textAlignment w:val="baseline"/>
        <w:rPr>
          <w:rFonts w:hint="eastAsia" w:ascii="宋体" w:hAnsi="宋体" w:eastAsia="宋体" w:cs="宋体"/>
          <w:b/>
          <w:bCs/>
          <w:highlight w:val="none"/>
        </w:rPr>
      </w:pPr>
      <w:bookmarkStart w:id="302" w:name="_Toc334766947"/>
      <w:bookmarkStart w:id="303" w:name="_Toc152045557"/>
      <w:bookmarkStart w:id="304" w:name="_Toc326223560"/>
      <w:bookmarkStart w:id="305" w:name="_Toc332188193"/>
      <w:bookmarkStart w:id="306" w:name="_Toc179632575"/>
      <w:bookmarkStart w:id="307" w:name="_Toc246996944"/>
      <w:bookmarkStart w:id="308" w:name="_Toc246996201"/>
      <w:bookmarkStart w:id="309" w:name="_Toc247085715"/>
      <w:bookmarkStart w:id="310" w:name="_Toc144974525"/>
      <w:bookmarkStart w:id="311" w:name="_Toc152042333"/>
      <w:r>
        <w:rPr>
          <w:rFonts w:hint="eastAsia" w:ascii="宋体" w:hAnsi="宋体" w:eastAsia="宋体" w:cs="宋体"/>
          <w:color w:val="000000"/>
          <w:kern w:val="0"/>
          <w:sz w:val="24"/>
          <w:szCs w:val="24"/>
          <w:highlight w:val="none"/>
        </w:rPr>
        <w:t>4.1.1递交</w:t>
      </w:r>
      <w:r>
        <w:rPr>
          <w:rFonts w:hint="eastAsia" w:ascii="宋体" w:hAnsi="宋体" w:eastAsia="宋体" w:cs="宋体"/>
          <w:color w:val="000000"/>
          <w:sz w:val="24"/>
          <w:szCs w:val="24"/>
          <w:highlight w:val="none"/>
        </w:rPr>
        <w:t>投标文件的截止时间、递交地点、递交方式及要求见第一章招标公告。</w:t>
      </w:r>
    </w:p>
    <w:p w14:paraId="1CFE7198">
      <w:pPr>
        <w:widowControl/>
        <w:topLinePunct/>
        <w:spacing w:line="360" w:lineRule="auto"/>
        <w:ind w:firstLine="464" w:firstLineChars="200"/>
        <w:rPr>
          <w:rFonts w:hint="eastAsia" w:ascii="宋体" w:hAnsi="宋体" w:eastAsia="宋体" w:cs="宋体"/>
          <w:color w:val="000000"/>
          <w:kern w:val="0"/>
          <w:sz w:val="24"/>
          <w:szCs w:val="24"/>
          <w:highlight w:val="none"/>
        </w:rPr>
      </w:pPr>
      <w:r>
        <w:rPr>
          <w:rFonts w:hint="eastAsia" w:ascii="宋体" w:hAnsi="宋体" w:eastAsia="宋体" w:cs="宋体"/>
          <w:color w:val="000000"/>
          <w:spacing w:val="-4"/>
          <w:kern w:val="0"/>
          <w:sz w:val="24"/>
          <w:szCs w:val="24"/>
          <w:highlight w:val="none"/>
        </w:rPr>
        <w:t>4.1.2 投标人所递交的投标文件不予退还。</w:t>
      </w:r>
    </w:p>
    <w:p w14:paraId="111515F8">
      <w:pPr>
        <w:widowControl/>
        <w:topLinePunct/>
        <w:spacing w:line="360" w:lineRule="auto"/>
        <w:ind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4.1.3 出现下列情形之一时，招标人/招标代理机构不予接收投标文件：</w:t>
      </w:r>
    </w:p>
    <w:p w14:paraId="789F4937">
      <w:pPr>
        <w:widowControl/>
        <w:topLinePunct/>
        <w:spacing w:line="360" w:lineRule="auto"/>
        <w:ind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w:t>
      </w:r>
      <w:r>
        <w:rPr>
          <w:rFonts w:hint="eastAsia" w:ascii="宋体" w:hAnsi="宋体" w:eastAsia="宋体" w:cs="宋体"/>
          <w:color w:val="000000"/>
          <w:kern w:val="0"/>
          <w:sz w:val="24"/>
          <w:szCs w:val="24"/>
          <w:highlight w:val="none"/>
          <w:lang w:val="en-US" w:eastAsia="zh-CN"/>
        </w:rPr>
        <w:t>1</w:t>
      </w:r>
      <w:r>
        <w:rPr>
          <w:rFonts w:hint="eastAsia" w:ascii="宋体" w:hAnsi="宋体" w:eastAsia="宋体" w:cs="宋体"/>
          <w:color w:val="000000"/>
          <w:kern w:val="0"/>
          <w:sz w:val="24"/>
          <w:szCs w:val="24"/>
          <w:highlight w:val="none"/>
        </w:rPr>
        <w:t>）逾期递交或者未在指定地点递交纸质投标文件的投标人；</w:t>
      </w:r>
    </w:p>
    <w:p w14:paraId="5B3B834F">
      <w:pPr>
        <w:widowControl/>
        <w:topLinePunct/>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rPr>
        <w:t>（</w:t>
      </w:r>
      <w:r>
        <w:rPr>
          <w:rFonts w:hint="eastAsia" w:ascii="宋体" w:hAnsi="宋体" w:eastAsia="宋体" w:cs="宋体"/>
          <w:color w:val="000000"/>
          <w:kern w:val="0"/>
          <w:sz w:val="24"/>
          <w:szCs w:val="24"/>
          <w:highlight w:val="none"/>
          <w:lang w:val="en-US" w:eastAsia="zh-CN"/>
        </w:rPr>
        <w:t>2</w:t>
      </w:r>
      <w:r>
        <w:rPr>
          <w:rFonts w:hint="eastAsia" w:ascii="宋体" w:hAnsi="宋体" w:eastAsia="宋体" w:cs="宋体"/>
          <w:color w:val="000000"/>
          <w:kern w:val="0"/>
          <w:sz w:val="24"/>
          <w:szCs w:val="24"/>
          <w:highlight w:val="none"/>
        </w:rPr>
        <w:t>）电子投标文件未按招标文件要求加密的；</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lang w:val="en-US" w:eastAsia="zh-CN"/>
        </w:rPr>
        <w:t>电子标</w:t>
      </w:r>
      <w:r>
        <w:rPr>
          <w:rFonts w:hint="eastAsia" w:ascii="宋体" w:hAnsi="宋体" w:eastAsia="宋体" w:cs="宋体"/>
          <w:color w:val="auto"/>
          <w:kern w:val="0"/>
          <w:sz w:val="24"/>
          <w:szCs w:val="24"/>
          <w:highlight w:val="none"/>
        </w:rPr>
        <w:t>项目适用）</w:t>
      </w:r>
    </w:p>
    <w:p w14:paraId="57CB4842">
      <w:pPr>
        <w:widowControl/>
        <w:topLinePunct/>
        <w:spacing w:line="360" w:lineRule="auto"/>
        <w:ind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w:t>
      </w:r>
      <w:r>
        <w:rPr>
          <w:rFonts w:hint="eastAsia" w:ascii="宋体" w:hAnsi="宋体" w:eastAsia="宋体" w:cs="宋体"/>
          <w:color w:val="000000"/>
          <w:kern w:val="0"/>
          <w:sz w:val="24"/>
          <w:szCs w:val="24"/>
          <w:highlight w:val="none"/>
          <w:lang w:val="en-US" w:eastAsia="zh-CN"/>
        </w:rPr>
        <w:t>3</w:t>
      </w:r>
      <w:r>
        <w:rPr>
          <w:rFonts w:hint="eastAsia" w:ascii="宋体" w:hAnsi="宋体" w:eastAsia="宋体" w:cs="宋体"/>
          <w:color w:val="000000"/>
          <w:kern w:val="0"/>
          <w:sz w:val="24"/>
          <w:szCs w:val="24"/>
          <w:highlight w:val="none"/>
        </w:rPr>
        <w:t>）未通过资格预审的申请人递交的；（资格预审项目适用）</w:t>
      </w:r>
    </w:p>
    <w:p w14:paraId="5ABA610A">
      <w:pPr>
        <w:widowControl/>
        <w:topLinePunct/>
        <w:spacing w:line="360" w:lineRule="auto"/>
        <w:ind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w:t>
      </w:r>
      <w:r>
        <w:rPr>
          <w:rFonts w:hint="eastAsia" w:ascii="宋体" w:hAnsi="宋体" w:eastAsia="宋体" w:cs="宋体"/>
          <w:color w:val="000000"/>
          <w:kern w:val="0"/>
          <w:sz w:val="24"/>
          <w:szCs w:val="24"/>
          <w:highlight w:val="none"/>
          <w:lang w:val="en-US" w:eastAsia="zh-CN"/>
        </w:rPr>
        <w:t>4</w:t>
      </w:r>
      <w:r>
        <w:rPr>
          <w:rFonts w:hint="eastAsia" w:ascii="宋体" w:hAnsi="宋体" w:eastAsia="宋体" w:cs="宋体"/>
          <w:color w:val="000000"/>
          <w:kern w:val="0"/>
          <w:sz w:val="24"/>
          <w:szCs w:val="24"/>
          <w:highlight w:val="none"/>
        </w:rPr>
        <w:t>）未按招标公告或者投标邀请书要求获得本项目招标文件的。</w:t>
      </w:r>
    </w:p>
    <w:p w14:paraId="6A61A112">
      <w:pPr>
        <w:pStyle w:val="4"/>
        <w:ind w:firstLine="0" w:firstLineChars="0"/>
        <w:rPr>
          <w:rFonts w:hint="eastAsia" w:ascii="宋体" w:hAnsi="宋体" w:eastAsia="宋体" w:cs="宋体"/>
          <w:color w:val="000000"/>
          <w:highlight w:val="none"/>
        </w:rPr>
      </w:pPr>
      <w:bookmarkStart w:id="312" w:name="_Toc4530"/>
      <w:bookmarkStart w:id="313" w:name="_Toc109124261"/>
      <w:bookmarkStart w:id="314" w:name="_Toc71191980"/>
      <w:bookmarkStart w:id="315" w:name="_Toc60224347"/>
      <w:bookmarkStart w:id="316" w:name="_Toc21759"/>
      <w:r>
        <w:rPr>
          <w:rFonts w:hint="eastAsia" w:ascii="宋体" w:hAnsi="宋体" w:eastAsia="宋体" w:cs="宋体"/>
          <w:color w:val="000000"/>
          <w:highlight w:val="none"/>
        </w:rPr>
        <w:t xml:space="preserve">4.2 </w:t>
      </w:r>
      <w:bookmarkEnd w:id="302"/>
      <w:bookmarkEnd w:id="303"/>
      <w:bookmarkEnd w:id="304"/>
      <w:bookmarkEnd w:id="305"/>
      <w:bookmarkEnd w:id="306"/>
      <w:bookmarkEnd w:id="307"/>
      <w:bookmarkEnd w:id="308"/>
      <w:bookmarkEnd w:id="309"/>
      <w:bookmarkEnd w:id="310"/>
      <w:bookmarkEnd w:id="311"/>
      <w:r>
        <w:rPr>
          <w:rFonts w:hint="eastAsia" w:ascii="宋体" w:hAnsi="宋体" w:eastAsia="宋体" w:cs="宋体"/>
          <w:color w:val="000000"/>
          <w:highlight w:val="none"/>
        </w:rPr>
        <w:t>投标文件的修改</w:t>
      </w:r>
      <w:r>
        <w:rPr>
          <w:rFonts w:hint="eastAsia" w:ascii="宋体" w:hAnsi="宋体" w:eastAsia="宋体" w:cs="宋体"/>
          <w:color w:val="000000"/>
          <w:highlight w:val="none"/>
          <w:lang w:eastAsia="zh-CN"/>
        </w:rPr>
        <w:t>、</w:t>
      </w:r>
      <w:r>
        <w:rPr>
          <w:rFonts w:hint="eastAsia" w:ascii="宋体" w:hAnsi="宋体" w:eastAsia="宋体" w:cs="宋体"/>
          <w:color w:val="000000"/>
          <w:highlight w:val="none"/>
          <w:lang w:val="en-US" w:eastAsia="zh-CN"/>
        </w:rPr>
        <w:t>撤回</w:t>
      </w:r>
      <w:r>
        <w:rPr>
          <w:rFonts w:hint="eastAsia" w:ascii="宋体" w:hAnsi="宋体" w:eastAsia="宋体" w:cs="宋体"/>
          <w:color w:val="000000"/>
          <w:highlight w:val="none"/>
        </w:rPr>
        <w:t>和撤销</w:t>
      </w:r>
      <w:bookmarkEnd w:id="312"/>
      <w:bookmarkEnd w:id="313"/>
      <w:bookmarkEnd w:id="314"/>
      <w:bookmarkEnd w:id="315"/>
      <w:bookmarkEnd w:id="316"/>
    </w:p>
    <w:p w14:paraId="51266FEC">
      <w:pPr>
        <w:widowControl/>
        <w:topLinePunct/>
        <w:spacing w:line="360" w:lineRule="auto"/>
        <w:ind w:firstLine="480" w:firstLineChars="200"/>
        <w:rPr>
          <w:rFonts w:hint="eastAsia" w:ascii="宋体" w:hAnsi="宋体" w:eastAsia="宋体" w:cs="宋体"/>
          <w:color w:val="000000"/>
          <w:kern w:val="0"/>
          <w:sz w:val="24"/>
          <w:szCs w:val="24"/>
          <w:highlight w:val="none"/>
        </w:rPr>
      </w:pPr>
      <w:bookmarkStart w:id="317" w:name="_Toc246996202"/>
      <w:bookmarkStart w:id="318" w:name="_Toc152045558"/>
      <w:bookmarkStart w:id="319" w:name="_Toc144974526"/>
      <w:bookmarkStart w:id="320" w:name="_Toc326223561"/>
      <w:bookmarkStart w:id="321" w:name="_Toc332188194"/>
      <w:bookmarkStart w:id="322" w:name="_Toc152042334"/>
      <w:bookmarkStart w:id="323" w:name="_Toc179632576"/>
      <w:bookmarkStart w:id="324" w:name="_Toc246996945"/>
      <w:bookmarkStart w:id="325" w:name="_Toc334766948"/>
      <w:bookmarkStart w:id="326" w:name="_Toc247085716"/>
      <w:r>
        <w:rPr>
          <w:rFonts w:hint="eastAsia" w:ascii="宋体" w:hAnsi="宋体" w:eastAsia="宋体" w:cs="宋体"/>
          <w:color w:val="000000"/>
          <w:kern w:val="0"/>
          <w:sz w:val="24"/>
          <w:szCs w:val="24"/>
          <w:highlight w:val="none"/>
        </w:rPr>
        <w:t>4.2.1投标人在招标文件要求的投标截止时间前，可以补充、修改或撤回已提交的投标文件。补充、修改的内容为投标文件的组成部分，应当在投标截止时间前按照招标文件的规定进行加密、递交。</w:t>
      </w:r>
    </w:p>
    <w:p w14:paraId="18C62385">
      <w:pPr>
        <w:widowControl/>
        <w:topLinePunct/>
        <w:spacing w:line="360" w:lineRule="auto"/>
        <w:ind w:firstLine="480" w:firstLineChars="200"/>
        <w:rPr>
          <w:rFonts w:hint="eastAsia" w:ascii="宋体" w:hAnsi="宋体" w:eastAsia="宋体" w:cs="宋体"/>
          <w:highlight w:val="none"/>
        </w:rPr>
      </w:pPr>
      <w:r>
        <w:rPr>
          <w:rFonts w:hint="eastAsia" w:ascii="宋体" w:hAnsi="宋体" w:eastAsia="宋体" w:cs="宋体"/>
          <w:color w:val="000000"/>
          <w:kern w:val="0"/>
          <w:sz w:val="24"/>
          <w:szCs w:val="24"/>
          <w:highlight w:val="none"/>
        </w:rPr>
        <w:t>4.2.</w:t>
      </w:r>
      <w:r>
        <w:rPr>
          <w:rFonts w:hint="eastAsia" w:ascii="宋体" w:hAnsi="宋体" w:eastAsia="宋体" w:cs="宋体"/>
          <w:color w:val="000000"/>
          <w:kern w:val="0"/>
          <w:sz w:val="24"/>
          <w:szCs w:val="24"/>
          <w:highlight w:val="none"/>
          <w:lang w:val="en-US" w:eastAsia="zh-CN"/>
        </w:rPr>
        <w:t>2</w:t>
      </w:r>
      <w:r>
        <w:rPr>
          <w:rFonts w:hint="eastAsia" w:ascii="宋体" w:hAnsi="宋体" w:eastAsia="宋体" w:cs="宋体"/>
          <w:color w:val="000000"/>
          <w:kern w:val="0"/>
          <w:sz w:val="24"/>
          <w:szCs w:val="24"/>
          <w:highlight w:val="none"/>
        </w:rPr>
        <w:t xml:space="preserve"> 投标截止时间后，投标人在投标有效期内撤销其投标文件，投标保证金不予退还。</w:t>
      </w:r>
    </w:p>
    <w:bookmarkEnd w:id="317"/>
    <w:bookmarkEnd w:id="318"/>
    <w:bookmarkEnd w:id="319"/>
    <w:bookmarkEnd w:id="320"/>
    <w:bookmarkEnd w:id="321"/>
    <w:bookmarkEnd w:id="322"/>
    <w:bookmarkEnd w:id="323"/>
    <w:bookmarkEnd w:id="324"/>
    <w:bookmarkEnd w:id="325"/>
    <w:bookmarkEnd w:id="326"/>
    <w:p w14:paraId="4DFE3810">
      <w:pPr>
        <w:pStyle w:val="3"/>
        <w:bidi w:val="0"/>
        <w:rPr>
          <w:rFonts w:hint="eastAsia" w:ascii="宋体" w:hAnsi="宋体" w:eastAsia="宋体" w:cs="宋体"/>
        </w:rPr>
      </w:pPr>
      <w:bookmarkStart w:id="327" w:name="_Toc246996203"/>
      <w:bookmarkStart w:id="328" w:name="_Toc20953"/>
      <w:bookmarkStart w:id="329" w:name="_Toc179632577"/>
      <w:bookmarkStart w:id="330" w:name="_Toc246996946"/>
      <w:bookmarkStart w:id="331" w:name="_Toc152042335"/>
      <w:bookmarkStart w:id="332" w:name="_Toc152045559"/>
      <w:bookmarkStart w:id="333" w:name="_Toc247085717"/>
      <w:bookmarkStart w:id="334" w:name="_Toc3247"/>
      <w:bookmarkStart w:id="335" w:name="_Toc109124262"/>
      <w:bookmarkStart w:id="336" w:name="_Toc144974527"/>
      <w:r>
        <w:rPr>
          <w:rFonts w:hint="eastAsia" w:ascii="宋体" w:hAnsi="宋体" w:eastAsia="宋体" w:cs="宋体"/>
        </w:rPr>
        <w:t>5.开标</w:t>
      </w:r>
      <w:bookmarkEnd w:id="327"/>
      <w:bookmarkEnd w:id="328"/>
      <w:bookmarkEnd w:id="329"/>
      <w:bookmarkEnd w:id="330"/>
      <w:bookmarkEnd w:id="331"/>
      <w:bookmarkEnd w:id="332"/>
      <w:bookmarkEnd w:id="333"/>
      <w:bookmarkEnd w:id="334"/>
      <w:bookmarkEnd w:id="335"/>
      <w:bookmarkEnd w:id="336"/>
    </w:p>
    <w:p w14:paraId="08D57BB1">
      <w:pPr>
        <w:pStyle w:val="4"/>
        <w:ind w:firstLine="0" w:firstLineChars="0"/>
        <w:rPr>
          <w:rFonts w:hint="eastAsia" w:ascii="宋体" w:hAnsi="宋体" w:eastAsia="宋体" w:cs="宋体"/>
          <w:color w:val="000000"/>
          <w:highlight w:val="none"/>
        </w:rPr>
      </w:pPr>
      <w:bookmarkStart w:id="337" w:name="_Toc152042336"/>
      <w:bookmarkStart w:id="338" w:name="_Toc334766950"/>
      <w:bookmarkStart w:id="339" w:name="_Toc8091"/>
      <w:bookmarkStart w:id="340" w:name="_Toc71191982"/>
      <w:bookmarkStart w:id="341" w:name="_Toc2860"/>
      <w:bookmarkStart w:id="342" w:name="_Toc179632578"/>
      <w:bookmarkStart w:id="343" w:name="_Toc109124263"/>
      <w:bookmarkStart w:id="344" w:name="_Toc246996947"/>
      <w:bookmarkStart w:id="345" w:name="_Toc326223563"/>
      <w:bookmarkStart w:id="346" w:name="_Toc60224349"/>
      <w:bookmarkStart w:id="347" w:name="_Toc246996204"/>
      <w:bookmarkStart w:id="348" w:name="_Toc247085718"/>
      <w:bookmarkStart w:id="349" w:name="_Toc332188196"/>
      <w:bookmarkStart w:id="350" w:name="_Toc144974528"/>
      <w:bookmarkStart w:id="351" w:name="_Toc152045560"/>
      <w:r>
        <w:rPr>
          <w:rFonts w:hint="eastAsia" w:ascii="宋体" w:hAnsi="宋体" w:eastAsia="宋体" w:cs="宋体"/>
          <w:color w:val="000000"/>
          <w:highlight w:val="none"/>
        </w:rPr>
        <w:t>5.1 开标时间</w:t>
      </w:r>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p>
    <w:p w14:paraId="0A61170A">
      <w:pPr>
        <w:pStyle w:val="33"/>
        <w:ind w:firstLine="480" w:firstLineChars="200"/>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本项目在招标公告要求的投标截止时间的同一时间进行开标。</w:t>
      </w:r>
    </w:p>
    <w:p w14:paraId="6CBE181C">
      <w:pPr>
        <w:pStyle w:val="4"/>
        <w:ind w:firstLine="0" w:firstLineChars="0"/>
        <w:rPr>
          <w:rFonts w:hint="eastAsia" w:ascii="宋体" w:hAnsi="宋体" w:eastAsia="宋体" w:cs="宋体"/>
          <w:color w:val="000000"/>
          <w:highlight w:val="none"/>
        </w:rPr>
      </w:pPr>
      <w:bookmarkStart w:id="352" w:name="_Toc152045561"/>
      <w:bookmarkStart w:id="353" w:name="_Toc31886"/>
      <w:bookmarkStart w:id="354" w:name="_Toc179632579"/>
      <w:bookmarkStart w:id="355" w:name="_Toc152042337"/>
      <w:bookmarkStart w:id="356" w:name="_Toc246996948"/>
      <w:bookmarkStart w:id="357" w:name="_Toc144974529"/>
      <w:bookmarkStart w:id="358" w:name="_Toc247085719"/>
      <w:bookmarkStart w:id="359" w:name="_Toc527"/>
      <w:bookmarkStart w:id="360" w:name="_Toc109124264"/>
      <w:bookmarkStart w:id="361" w:name="_Toc71191983"/>
      <w:bookmarkStart w:id="362" w:name="_Toc326223564"/>
      <w:bookmarkStart w:id="363" w:name="_Toc60224350"/>
      <w:bookmarkStart w:id="364" w:name="_Toc334766951"/>
      <w:bookmarkStart w:id="365" w:name="_Toc246996205"/>
      <w:bookmarkStart w:id="366" w:name="_Toc332188197"/>
      <w:r>
        <w:rPr>
          <w:rFonts w:hint="eastAsia" w:ascii="宋体" w:hAnsi="宋体" w:eastAsia="宋体" w:cs="宋体"/>
          <w:color w:val="000000"/>
          <w:highlight w:val="none"/>
        </w:rPr>
        <w:t>5.2 开标程序</w:t>
      </w:r>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p>
    <w:p w14:paraId="42EA2EAC">
      <w:pPr>
        <w:widowControl/>
        <w:topLinePunct/>
        <w:spacing w:line="360" w:lineRule="auto"/>
        <w:ind w:firstLine="480" w:firstLineChars="200"/>
        <w:rPr>
          <w:rFonts w:hint="eastAsia" w:ascii="宋体" w:hAnsi="宋体" w:eastAsia="宋体" w:cs="宋体"/>
          <w:color w:val="000000"/>
          <w:kern w:val="0"/>
          <w:sz w:val="24"/>
          <w:szCs w:val="24"/>
        </w:rPr>
      </w:pPr>
      <w:bookmarkStart w:id="367" w:name="_Toc326223565"/>
      <w:bookmarkStart w:id="368" w:name="_Toc334766952"/>
      <w:bookmarkStart w:id="369" w:name="_Toc332188198"/>
      <w:bookmarkStart w:id="370" w:name="_Toc60224351"/>
      <w:bookmarkStart w:id="371" w:name="_Toc109124265"/>
      <w:bookmarkStart w:id="372" w:name="_Toc17472"/>
      <w:bookmarkStart w:id="373" w:name="_Toc71191984"/>
      <w:r>
        <w:rPr>
          <w:rFonts w:hint="eastAsia" w:ascii="宋体" w:hAnsi="宋体" w:eastAsia="宋体" w:cs="宋体"/>
          <w:color w:val="000000"/>
          <w:kern w:val="0"/>
          <w:sz w:val="24"/>
          <w:szCs w:val="24"/>
        </w:rPr>
        <w:t>5.2.1 开标会议由招标人或其委托的招标代理机构组织并主持，邀请所有的投标人或其代表出席。招标人应当当众宣布参加本次招标的投标人个数，由投标人代表或招标人委托的公证机构或招标人委派的采购监督人员对投标文件密封情况进行检查，检查结果由主持人宣布。</w:t>
      </w:r>
    </w:p>
    <w:p w14:paraId="025AD569">
      <w:pPr>
        <w:widowControl/>
        <w:topLinePunct/>
        <w:spacing w:line="360" w:lineRule="auto"/>
        <w:ind w:firstLine="480" w:firstLineChars="200"/>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5.2.2 招标人在递交投标文件截止时间前收到的所有投标文件在开标时都应当当众予以拆封、宣读。但按照招标文件规定递交合格的书面撤回通知的投标文件不予开封。</w:t>
      </w:r>
    </w:p>
    <w:p w14:paraId="7D98EF2C">
      <w:pPr>
        <w:widowControl/>
        <w:topLinePunct/>
        <w:spacing w:line="360" w:lineRule="auto"/>
        <w:ind w:firstLine="480" w:firstLineChars="200"/>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5.2.3 开标时，招标人应当宣读所有未撤回的投标文件中的投标一览表，内容一般包括：投标人名称、投标报价、税率以及招标文件中规定的其他内容，并将唱标内容如实记录在开标记录表，由唱标人、记录人、投标人代表签字确认，存档备查。</w:t>
      </w:r>
    </w:p>
    <w:p w14:paraId="60D45280">
      <w:pPr>
        <w:pStyle w:val="4"/>
        <w:ind w:firstLine="0" w:firstLineChars="0"/>
        <w:rPr>
          <w:rFonts w:hint="eastAsia" w:ascii="宋体" w:hAnsi="宋体" w:eastAsia="宋体" w:cs="宋体"/>
          <w:color w:val="000000"/>
          <w:highlight w:val="none"/>
        </w:rPr>
      </w:pPr>
      <w:bookmarkStart w:id="374" w:name="_Toc6525"/>
      <w:r>
        <w:rPr>
          <w:rFonts w:hint="eastAsia" w:ascii="宋体" w:hAnsi="宋体" w:eastAsia="宋体" w:cs="宋体"/>
          <w:color w:val="000000"/>
          <w:highlight w:val="none"/>
        </w:rPr>
        <w:t>5.3 开标异议</w:t>
      </w:r>
      <w:bookmarkEnd w:id="367"/>
      <w:bookmarkEnd w:id="368"/>
      <w:bookmarkEnd w:id="369"/>
      <w:bookmarkEnd w:id="370"/>
      <w:bookmarkEnd w:id="371"/>
      <w:bookmarkEnd w:id="372"/>
      <w:bookmarkEnd w:id="373"/>
      <w:bookmarkEnd w:id="374"/>
    </w:p>
    <w:p w14:paraId="5A4E1CA3">
      <w:pPr>
        <w:widowControl/>
        <w:topLinePunct/>
        <w:spacing w:line="360" w:lineRule="auto"/>
        <w:ind w:firstLine="480" w:firstLineChars="200"/>
        <w:rPr>
          <w:rFonts w:hint="eastAsia" w:ascii="宋体" w:hAnsi="宋体" w:eastAsia="宋体" w:cs="宋体"/>
          <w:color w:val="000000"/>
          <w:kern w:val="0"/>
          <w:sz w:val="24"/>
          <w:szCs w:val="24"/>
        </w:rPr>
      </w:pPr>
      <w:bookmarkStart w:id="375" w:name="_Toc60224352"/>
      <w:bookmarkStart w:id="376" w:name="_Toc6867"/>
      <w:bookmarkStart w:id="377" w:name="_Toc109124266"/>
      <w:bookmarkStart w:id="378" w:name="_Toc71191985"/>
      <w:bookmarkStart w:id="379" w:name="_Toc152042338"/>
      <w:bookmarkStart w:id="380" w:name="_Toc246996206"/>
      <w:bookmarkStart w:id="381" w:name="_Toc152045562"/>
      <w:bookmarkStart w:id="382" w:name="_Toc144974530"/>
      <w:bookmarkStart w:id="383" w:name="_Toc179632580"/>
      <w:bookmarkStart w:id="384" w:name="_Toc247085720"/>
      <w:bookmarkStart w:id="385" w:name="_Toc246996949"/>
      <w:r>
        <w:rPr>
          <w:rFonts w:hint="eastAsia" w:ascii="宋体" w:hAnsi="宋体" w:eastAsia="宋体" w:cs="宋体"/>
          <w:color w:val="000000"/>
          <w:kern w:val="0"/>
          <w:sz w:val="24"/>
          <w:szCs w:val="24"/>
        </w:rPr>
        <w:t>5.3.1 投标人对开标有异议的，应当在开标现场提出，招标人应当当场作出答复，并制作记录。</w:t>
      </w:r>
    </w:p>
    <w:p w14:paraId="75EC0052">
      <w:pPr>
        <w:widowControl/>
        <w:topLinePunct/>
        <w:spacing w:line="360" w:lineRule="auto"/>
        <w:ind w:firstLine="480" w:firstLineChars="200"/>
        <w:rPr>
          <w:rFonts w:hint="eastAsia" w:ascii="宋体" w:hAnsi="宋体" w:eastAsia="宋体" w:cs="宋体"/>
          <w:color w:val="000000"/>
          <w:spacing w:val="-6"/>
          <w:kern w:val="0"/>
          <w:sz w:val="24"/>
          <w:szCs w:val="24"/>
        </w:rPr>
      </w:pPr>
      <w:r>
        <w:rPr>
          <w:rFonts w:hint="eastAsia" w:ascii="宋体" w:hAnsi="宋体" w:eastAsia="宋体" w:cs="宋体"/>
          <w:color w:val="000000"/>
          <w:kern w:val="0"/>
          <w:sz w:val="24"/>
          <w:szCs w:val="24"/>
        </w:rPr>
        <w:t xml:space="preserve">5.3.2 </w:t>
      </w:r>
      <w:r>
        <w:rPr>
          <w:rFonts w:hint="eastAsia" w:ascii="宋体" w:hAnsi="宋体" w:eastAsia="宋体" w:cs="宋体"/>
          <w:color w:val="000000"/>
          <w:spacing w:val="-6"/>
          <w:kern w:val="0"/>
          <w:sz w:val="24"/>
          <w:szCs w:val="24"/>
        </w:rPr>
        <w:t>投标人认为存在低于成本价投标情形的，可以在开标现场提出异议，并在评标完成前向招标人递交书面材料，招标人应当及时将书面材料转交评标委员会。</w:t>
      </w:r>
    </w:p>
    <w:p w14:paraId="7CE82490">
      <w:pPr>
        <w:pStyle w:val="4"/>
        <w:ind w:firstLine="0" w:firstLineChars="0"/>
        <w:rPr>
          <w:rFonts w:hint="eastAsia" w:ascii="宋体" w:hAnsi="宋体" w:eastAsia="宋体" w:cs="宋体"/>
          <w:color w:val="000000"/>
          <w:highlight w:val="none"/>
        </w:rPr>
      </w:pPr>
      <w:bookmarkStart w:id="386" w:name="_Toc2187"/>
      <w:r>
        <w:rPr>
          <w:rFonts w:hint="eastAsia" w:ascii="宋体" w:hAnsi="宋体" w:eastAsia="宋体" w:cs="宋体"/>
          <w:color w:val="000000"/>
          <w:highlight w:val="none"/>
        </w:rPr>
        <w:t>5.4 电子招投标的其他开标要求及异常处理</w:t>
      </w:r>
      <w:bookmarkEnd w:id="375"/>
      <w:bookmarkEnd w:id="376"/>
      <w:bookmarkEnd w:id="377"/>
      <w:bookmarkEnd w:id="378"/>
      <w:bookmarkEnd w:id="386"/>
    </w:p>
    <w:p w14:paraId="59398BB0">
      <w:pPr>
        <w:widowControl/>
        <w:topLinePunct/>
        <w:spacing w:line="360" w:lineRule="auto"/>
        <w:ind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招标人采用电子招标投标方式的，开标的其他要求及异常处理方式见投标人须知前附表。</w:t>
      </w:r>
    </w:p>
    <w:p w14:paraId="57C6B73C">
      <w:pPr>
        <w:pStyle w:val="4"/>
        <w:ind w:firstLine="0" w:firstLineChars="0"/>
        <w:rPr>
          <w:rFonts w:hint="eastAsia" w:ascii="宋体" w:hAnsi="宋体" w:eastAsia="宋体" w:cs="宋体"/>
          <w:color w:val="000000"/>
          <w:highlight w:val="none"/>
        </w:rPr>
      </w:pPr>
      <w:bookmarkStart w:id="387" w:name="_Toc478566041"/>
      <w:bookmarkStart w:id="388" w:name="_Toc478566233"/>
      <w:bookmarkStart w:id="389" w:name="_Toc525896321"/>
      <w:bookmarkStart w:id="390" w:name="_Toc478565678"/>
      <w:bookmarkStart w:id="391" w:name="_Toc474147997"/>
      <w:bookmarkStart w:id="392" w:name="_Toc1598"/>
      <w:bookmarkStart w:id="393" w:name="_Toc19094"/>
      <w:bookmarkStart w:id="394" w:name="_Toc109124267"/>
      <w:r>
        <w:rPr>
          <w:rFonts w:hint="eastAsia" w:ascii="宋体" w:hAnsi="宋体" w:eastAsia="宋体" w:cs="宋体"/>
          <w:color w:val="000000"/>
          <w:highlight w:val="none"/>
        </w:rPr>
        <w:t>5.5不得开标</w:t>
      </w:r>
      <w:bookmarkEnd w:id="387"/>
      <w:bookmarkEnd w:id="388"/>
      <w:bookmarkEnd w:id="389"/>
      <w:bookmarkEnd w:id="390"/>
      <w:bookmarkEnd w:id="391"/>
      <w:r>
        <w:rPr>
          <w:rFonts w:hint="eastAsia" w:ascii="宋体" w:hAnsi="宋体" w:eastAsia="宋体" w:cs="宋体"/>
          <w:color w:val="000000"/>
          <w:highlight w:val="none"/>
        </w:rPr>
        <w:t>的情形</w:t>
      </w:r>
      <w:bookmarkEnd w:id="392"/>
    </w:p>
    <w:p w14:paraId="30B4704F">
      <w:pPr>
        <w:widowControl/>
        <w:topLinePunct/>
        <w:spacing w:line="360" w:lineRule="auto"/>
        <w:ind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按照招标文件要求递交电子投标文件的投标人数量少于3个（中标人为1家时）或者少于投标人须知前附表规定的数量时，招标人不得开标，应当重新招标。</w:t>
      </w:r>
    </w:p>
    <w:p w14:paraId="30354B4D">
      <w:pPr>
        <w:pStyle w:val="3"/>
        <w:bidi w:val="0"/>
        <w:rPr>
          <w:rFonts w:hint="eastAsia" w:ascii="宋体" w:hAnsi="宋体" w:eastAsia="宋体" w:cs="宋体"/>
        </w:rPr>
      </w:pPr>
      <w:bookmarkStart w:id="395" w:name="_Toc5956"/>
      <w:r>
        <w:rPr>
          <w:rFonts w:hint="eastAsia" w:ascii="宋体" w:hAnsi="宋体" w:eastAsia="宋体" w:cs="宋体"/>
        </w:rPr>
        <w:t>6.评标</w:t>
      </w:r>
      <w:bookmarkEnd w:id="379"/>
      <w:bookmarkEnd w:id="380"/>
      <w:bookmarkEnd w:id="381"/>
      <w:bookmarkEnd w:id="382"/>
      <w:bookmarkEnd w:id="383"/>
      <w:bookmarkEnd w:id="384"/>
      <w:bookmarkEnd w:id="385"/>
      <w:bookmarkEnd w:id="393"/>
      <w:bookmarkEnd w:id="394"/>
      <w:bookmarkEnd w:id="395"/>
    </w:p>
    <w:p w14:paraId="10C35602">
      <w:pPr>
        <w:pStyle w:val="4"/>
        <w:rPr>
          <w:rFonts w:hint="eastAsia" w:ascii="宋体" w:hAnsi="宋体" w:eastAsia="宋体" w:cs="宋体"/>
          <w:color w:val="000000"/>
          <w:highlight w:val="none"/>
        </w:rPr>
      </w:pPr>
      <w:bookmarkStart w:id="396" w:name="_Toc179632581"/>
      <w:bookmarkStart w:id="397" w:name="_Toc152042339"/>
      <w:bookmarkStart w:id="398" w:name="_Toc71191987"/>
      <w:bookmarkStart w:id="399" w:name="_Toc144974531"/>
      <w:bookmarkStart w:id="400" w:name="_Toc246996207"/>
      <w:bookmarkStart w:id="401" w:name="_Toc332188200"/>
      <w:bookmarkStart w:id="402" w:name="_Toc109124268"/>
      <w:bookmarkStart w:id="403" w:name="_Toc246996950"/>
      <w:bookmarkStart w:id="404" w:name="_Toc326223567"/>
      <w:bookmarkStart w:id="405" w:name="_Toc16388"/>
      <w:bookmarkStart w:id="406" w:name="_Toc60224354"/>
      <w:bookmarkStart w:id="407" w:name="_Toc334766954"/>
      <w:bookmarkStart w:id="408" w:name="_Toc17861"/>
      <w:bookmarkStart w:id="409" w:name="_Toc152045563"/>
      <w:bookmarkStart w:id="410" w:name="_Toc247085721"/>
      <w:r>
        <w:rPr>
          <w:rFonts w:hint="eastAsia" w:ascii="宋体" w:hAnsi="宋体" w:eastAsia="宋体" w:cs="宋体"/>
          <w:color w:val="000000"/>
          <w:highlight w:val="none"/>
        </w:rPr>
        <w:t>6.1 评标委员会</w:t>
      </w:r>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p>
    <w:p w14:paraId="1C484A0B">
      <w:pPr>
        <w:widowControl/>
        <w:topLinePunct/>
        <w:spacing w:line="360" w:lineRule="auto"/>
        <w:ind w:firstLine="480" w:firstLineChars="200"/>
        <w:rPr>
          <w:rFonts w:hint="eastAsia" w:ascii="宋体" w:hAnsi="宋体" w:eastAsia="宋体" w:cs="宋体"/>
          <w:color w:val="000000"/>
          <w:kern w:val="0"/>
          <w:sz w:val="24"/>
          <w:szCs w:val="24"/>
          <w:highlight w:val="none"/>
        </w:rPr>
      </w:pPr>
      <w:bookmarkStart w:id="411" w:name="_Toc326223568"/>
      <w:bookmarkStart w:id="412" w:name="_Toc152042340"/>
      <w:bookmarkStart w:id="413" w:name="_Toc179632582"/>
      <w:bookmarkStart w:id="414" w:name="_Toc246996951"/>
      <w:bookmarkStart w:id="415" w:name="_Toc334766955"/>
      <w:bookmarkStart w:id="416" w:name="_Toc332188201"/>
      <w:bookmarkStart w:id="417" w:name="_Toc247085722"/>
      <w:bookmarkStart w:id="418" w:name="_Toc152045564"/>
      <w:bookmarkStart w:id="419" w:name="_Toc144974532"/>
      <w:bookmarkStart w:id="420" w:name="_Toc246996208"/>
      <w:r>
        <w:rPr>
          <w:rFonts w:hint="eastAsia" w:ascii="宋体" w:hAnsi="宋体" w:eastAsia="宋体" w:cs="宋体"/>
          <w:color w:val="000000"/>
          <w:kern w:val="0"/>
          <w:sz w:val="24"/>
          <w:szCs w:val="24"/>
          <w:highlight w:val="none"/>
        </w:rPr>
        <w:t>6.1.1 评标由依法组建的评标委员会负责，具体人数见投标人须知前附表。国有金融采购的一般采购项目从评审专家库中随机抽取选定评审专家，对技术复杂、专业性强或者有特殊要求的采购项目，通过随机抽取方式难以确定合适评审专家的，可由国有金融企业按程序自行选定。</w:t>
      </w:r>
    </w:p>
    <w:p w14:paraId="5065883A">
      <w:pPr>
        <w:widowControl/>
        <w:topLinePunct/>
        <w:spacing w:line="360" w:lineRule="auto"/>
        <w:ind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 xml:space="preserve">6.1.2 </w:t>
      </w:r>
      <w:r>
        <w:rPr>
          <w:rFonts w:hint="eastAsia" w:ascii="宋体" w:hAnsi="宋体" w:eastAsia="宋体" w:cs="宋体"/>
          <w:color w:val="000000"/>
          <w:spacing w:val="-4"/>
          <w:kern w:val="0"/>
          <w:sz w:val="24"/>
          <w:szCs w:val="24"/>
          <w:highlight w:val="none"/>
        </w:rPr>
        <w:t>评标期间，任何单位和个人不得非法干预或者影响评标的过程和结果。</w:t>
      </w:r>
    </w:p>
    <w:p w14:paraId="0B8C6F79">
      <w:pPr>
        <w:widowControl/>
        <w:topLinePunct/>
        <w:spacing w:line="360" w:lineRule="auto"/>
        <w:ind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6.1.3 评标委员会成员名单在中标结果确定前保密。</w:t>
      </w:r>
    </w:p>
    <w:p w14:paraId="60B583A1">
      <w:pPr>
        <w:pStyle w:val="4"/>
        <w:ind w:firstLine="0" w:firstLineChars="0"/>
        <w:rPr>
          <w:rFonts w:hint="eastAsia" w:ascii="宋体" w:hAnsi="宋体" w:eastAsia="宋体" w:cs="宋体"/>
          <w:color w:val="000000"/>
          <w:highlight w:val="none"/>
        </w:rPr>
      </w:pPr>
      <w:bookmarkStart w:id="421" w:name="_Toc109124269"/>
      <w:bookmarkStart w:id="422" w:name="_Toc21947"/>
      <w:bookmarkStart w:id="423" w:name="_Toc60224355"/>
      <w:bookmarkStart w:id="424" w:name="_Toc13320"/>
      <w:bookmarkStart w:id="425" w:name="_Toc71191988"/>
      <w:r>
        <w:rPr>
          <w:rFonts w:hint="eastAsia" w:ascii="宋体" w:hAnsi="宋体" w:eastAsia="宋体" w:cs="宋体"/>
          <w:color w:val="000000"/>
          <w:highlight w:val="none"/>
        </w:rPr>
        <w:t>6.2 评标原则</w:t>
      </w:r>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p>
    <w:p w14:paraId="4D8C9E75">
      <w:pPr>
        <w:widowControl/>
        <w:topLinePunct/>
        <w:spacing w:line="360" w:lineRule="auto"/>
        <w:ind w:firstLine="480" w:firstLineChars="200"/>
        <w:rPr>
          <w:rFonts w:hint="eastAsia" w:ascii="宋体" w:hAnsi="宋体" w:eastAsia="宋体" w:cs="宋体"/>
          <w:color w:val="000000"/>
          <w:kern w:val="0"/>
          <w:sz w:val="24"/>
          <w:szCs w:val="24"/>
          <w:highlight w:val="none"/>
        </w:rPr>
      </w:pPr>
      <w:bookmarkStart w:id="426" w:name="_Toc179632583"/>
      <w:bookmarkStart w:id="427" w:name="_Toc152042341"/>
      <w:bookmarkStart w:id="428" w:name="_Toc246996952"/>
      <w:bookmarkStart w:id="429" w:name="_Toc144974533"/>
      <w:bookmarkStart w:id="430" w:name="_Toc326223569"/>
      <w:bookmarkStart w:id="431" w:name="_Toc247085723"/>
      <w:bookmarkStart w:id="432" w:name="_Toc334766956"/>
      <w:bookmarkStart w:id="433" w:name="_Toc152045565"/>
      <w:bookmarkStart w:id="434" w:name="_Toc246996209"/>
      <w:bookmarkStart w:id="435" w:name="_Toc332188202"/>
      <w:r>
        <w:rPr>
          <w:rFonts w:hint="eastAsia" w:ascii="宋体" w:hAnsi="宋体" w:eastAsia="宋体" w:cs="宋体"/>
          <w:color w:val="000000"/>
          <w:kern w:val="0"/>
          <w:sz w:val="24"/>
          <w:szCs w:val="24"/>
          <w:highlight w:val="none"/>
        </w:rPr>
        <w:t>6.2.1 评标活动遵循公平、公正、科学和择优的原则。</w:t>
      </w:r>
    </w:p>
    <w:p w14:paraId="326D1403">
      <w:pPr>
        <w:widowControl/>
        <w:topLinePunct/>
        <w:spacing w:line="360" w:lineRule="auto"/>
        <w:ind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6.2.2评标委员会应当按照第三章“评标办法”规定的评标标准和方法，客观、公正地对投标文件进行评审和比较、提出评审意见。招标文件没有规定的评标标准和方法不得作为评标的依据。</w:t>
      </w:r>
    </w:p>
    <w:p w14:paraId="52D49E13">
      <w:pPr>
        <w:pStyle w:val="4"/>
        <w:ind w:firstLine="0" w:firstLineChars="0"/>
        <w:rPr>
          <w:rFonts w:hint="eastAsia" w:ascii="宋体" w:hAnsi="宋体" w:eastAsia="宋体" w:cs="宋体"/>
          <w:color w:val="000000"/>
          <w:highlight w:val="none"/>
        </w:rPr>
      </w:pPr>
      <w:bookmarkStart w:id="436" w:name="_Toc29632"/>
      <w:bookmarkStart w:id="437" w:name="_Toc71191989"/>
      <w:bookmarkStart w:id="438" w:name="_Toc109124270"/>
      <w:bookmarkStart w:id="439" w:name="_Toc21213"/>
      <w:bookmarkStart w:id="440" w:name="_Toc60224356"/>
      <w:r>
        <w:rPr>
          <w:rFonts w:hint="eastAsia" w:ascii="宋体" w:hAnsi="宋体" w:eastAsia="宋体" w:cs="宋体"/>
          <w:color w:val="000000"/>
          <w:highlight w:val="none"/>
        </w:rPr>
        <w:t>6.3 评标</w:t>
      </w:r>
      <w:bookmarkEnd w:id="426"/>
      <w:bookmarkEnd w:id="427"/>
      <w:bookmarkEnd w:id="428"/>
      <w:bookmarkEnd w:id="429"/>
      <w:bookmarkEnd w:id="430"/>
      <w:bookmarkEnd w:id="431"/>
      <w:bookmarkEnd w:id="432"/>
      <w:bookmarkEnd w:id="433"/>
      <w:bookmarkEnd w:id="434"/>
      <w:bookmarkEnd w:id="435"/>
      <w:r>
        <w:rPr>
          <w:rFonts w:hint="eastAsia" w:ascii="宋体" w:hAnsi="宋体" w:eastAsia="宋体" w:cs="宋体"/>
          <w:color w:val="000000"/>
          <w:highlight w:val="none"/>
        </w:rPr>
        <w:t>方法</w:t>
      </w:r>
      <w:bookmarkEnd w:id="436"/>
      <w:bookmarkEnd w:id="437"/>
      <w:bookmarkEnd w:id="438"/>
      <w:bookmarkEnd w:id="439"/>
      <w:bookmarkEnd w:id="440"/>
    </w:p>
    <w:p w14:paraId="491F79D7">
      <w:pPr>
        <w:widowControl/>
        <w:topLinePunct/>
        <w:spacing w:line="360" w:lineRule="auto"/>
        <w:ind w:firstLine="480" w:firstLineChars="200"/>
        <w:rPr>
          <w:rFonts w:hint="eastAsia" w:ascii="宋体" w:hAnsi="宋体" w:eastAsia="宋体" w:cs="宋体"/>
          <w:color w:val="000000"/>
          <w:kern w:val="0"/>
          <w:sz w:val="24"/>
          <w:szCs w:val="24"/>
          <w:highlight w:val="none"/>
        </w:rPr>
      </w:pPr>
      <w:bookmarkStart w:id="441" w:name="_Toc152045566"/>
      <w:bookmarkStart w:id="442" w:name="_Toc152042342"/>
      <w:bookmarkStart w:id="443" w:name="_Toc179632584"/>
      <w:bookmarkStart w:id="444" w:name="_Toc144974534"/>
      <w:bookmarkStart w:id="445" w:name="_Toc246996210"/>
      <w:bookmarkStart w:id="446" w:name="_Toc247085724"/>
      <w:bookmarkStart w:id="447" w:name="_Toc246996953"/>
      <w:r>
        <w:rPr>
          <w:rFonts w:hint="eastAsia" w:ascii="宋体" w:hAnsi="宋体" w:eastAsia="宋体" w:cs="宋体"/>
          <w:color w:val="000000"/>
          <w:kern w:val="0"/>
          <w:sz w:val="24"/>
          <w:szCs w:val="24"/>
          <w:highlight w:val="none"/>
        </w:rPr>
        <w:t>6.3.1 招标文件中详细载明下述评标方法之一作为本次评标所采用的评标方法。评标方法见投标人须知前附表。</w:t>
      </w:r>
    </w:p>
    <w:p w14:paraId="3BB479B9">
      <w:pPr>
        <w:widowControl/>
        <w:topLinePunct/>
        <w:spacing w:line="360" w:lineRule="auto"/>
        <w:ind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6.3.2 经评审的最低投标价法：能够满足招标文件的实质性要求，并且经评审的投标价格最低的投标，应当推荐为中标候选人，但是价格低于成本的除外。</w:t>
      </w:r>
    </w:p>
    <w:p w14:paraId="1D7955DF">
      <w:pPr>
        <w:widowControl/>
        <w:topLinePunct/>
        <w:spacing w:line="360" w:lineRule="auto"/>
        <w:ind w:firstLine="480" w:firstLineChars="200"/>
        <w:rPr>
          <w:rFonts w:hint="eastAsia" w:ascii="宋体" w:hAnsi="宋体" w:eastAsia="宋体" w:cs="宋体"/>
          <w:color w:val="000000"/>
          <w:spacing w:val="-4"/>
          <w:kern w:val="0"/>
          <w:sz w:val="24"/>
          <w:szCs w:val="24"/>
          <w:highlight w:val="none"/>
        </w:rPr>
      </w:pPr>
      <w:r>
        <w:rPr>
          <w:rFonts w:hint="eastAsia" w:ascii="宋体" w:hAnsi="宋体" w:eastAsia="宋体" w:cs="宋体"/>
          <w:color w:val="000000"/>
          <w:kern w:val="0"/>
          <w:sz w:val="24"/>
          <w:szCs w:val="24"/>
          <w:highlight w:val="none"/>
        </w:rPr>
        <w:t xml:space="preserve">6.3.3 </w:t>
      </w:r>
      <w:r>
        <w:rPr>
          <w:rFonts w:hint="eastAsia" w:ascii="宋体" w:hAnsi="宋体" w:eastAsia="宋体" w:cs="宋体"/>
          <w:color w:val="000000"/>
          <w:spacing w:val="-4"/>
          <w:kern w:val="0"/>
          <w:sz w:val="24"/>
          <w:szCs w:val="24"/>
          <w:highlight w:val="none"/>
        </w:rPr>
        <w:t>综合评分法：最大限度地满足招标文件中规定的各项综合评价标准的投标，应当推荐为中标候选人，量化的标准和权重应当在招标文件中明确规定。</w:t>
      </w:r>
    </w:p>
    <w:p w14:paraId="677C613B">
      <w:pPr>
        <w:widowControl/>
        <w:topLinePunct/>
        <w:spacing w:line="360" w:lineRule="auto"/>
        <w:ind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6.3.4 法律、法规允许的其他评标方法。</w:t>
      </w:r>
    </w:p>
    <w:p w14:paraId="19E179BB">
      <w:pPr>
        <w:pStyle w:val="4"/>
        <w:ind w:firstLine="0" w:firstLineChars="0"/>
        <w:rPr>
          <w:rFonts w:hint="eastAsia" w:ascii="宋体" w:hAnsi="宋体" w:eastAsia="宋体" w:cs="宋体"/>
          <w:color w:val="000000"/>
          <w:highlight w:val="none"/>
        </w:rPr>
      </w:pPr>
      <w:bookmarkStart w:id="448" w:name="_Toc22331"/>
      <w:bookmarkStart w:id="449" w:name="_Toc5657"/>
      <w:bookmarkStart w:id="450" w:name="_Toc60224357"/>
      <w:bookmarkStart w:id="451" w:name="_Toc109124271"/>
      <w:bookmarkStart w:id="452" w:name="_Toc71191990"/>
      <w:r>
        <w:rPr>
          <w:rFonts w:hint="eastAsia" w:ascii="宋体" w:hAnsi="宋体" w:eastAsia="宋体" w:cs="宋体"/>
          <w:color w:val="000000"/>
          <w:highlight w:val="none"/>
        </w:rPr>
        <w:t>6.4 中标候选人推荐原则</w:t>
      </w:r>
      <w:bookmarkEnd w:id="448"/>
      <w:bookmarkEnd w:id="449"/>
      <w:bookmarkEnd w:id="450"/>
      <w:bookmarkEnd w:id="451"/>
      <w:bookmarkEnd w:id="452"/>
    </w:p>
    <w:p w14:paraId="4ADAA0B0">
      <w:pPr>
        <w:widowControl/>
        <w:topLinePunct/>
        <w:spacing w:line="360" w:lineRule="auto"/>
        <w:ind w:firstLine="464" w:firstLineChars="200"/>
        <w:rPr>
          <w:rFonts w:hint="eastAsia" w:ascii="宋体" w:hAnsi="宋体" w:eastAsia="宋体" w:cs="宋体"/>
          <w:color w:val="000000"/>
          <w:spacing w:val="-4"/>
          <w:kern w:val="0"/>
          <w:sz w:val="24"/>
          <w:szCs w:val="24"/>
          <w:highlight w:val="none"/>
        </w:rPr>
      </w:pPr>
      <w:r>
        <w:rPr>
          <w:rFonts w:hint="eastAsia" w:ascii="宋体" w:hAnsi="宋体" w:eastAsia="宋体" w:cs="宋体"/>
          <w:color w:val="000000"/>
          <w:spacing w:val="-4"/>
          <w:kern w:val="0"/>
          <w:sz w:val="24"/>
          <w:szCs w:val="24"/>
          <w:highlight w:val="none"/>
        </w:rPr>
        <w:t>评标委员会根据投标人须知前附表约定的原则推荐中标候选人。</w:t>
      </w:r>
    </w:p>
    <w:p w14:paraId="7EA0890D">
      <w:pPr>
        <w:pStyle w:val="4"/>
        <w:ind w:firstLine="0" w:firstLineChars="0"/>
        <w:rPr>
          <w:rFonts w:hint="eastAsia" w:ascii="宋体" w:hAnsi="宋体" w:eastAsia="宋体" w:cs="宋体"/>
          <w:color w:val="000000"/>
          <w:highlight w:val="none"/>
        </w:rPr>
      </w:pPr>
      <w:bookmarkStart w:id="453" w:name="_Toc109124272"/>
      <w:bookmarkStart w:id="454" w:name="_Toc8982"/>
      <w:bookmarkStart w:id="455" w:name="_Toc71191991"/>
      <w:bookmarkStart w:id="456" w:name="_Toc5998"/>
      <w:bookmarkStart w:id="457" w:name="_Toc60224358"/>
      <w:r>
        <w:rPr>
          <w:rFonts w:hint="eastAsia" w:ascii="宋体" w:hAnsi="宋体" w:eastAsia="宋体" w:cs="宋体"/>
          <w:color w:val="000000"/>
          <w:highlight w:val="none"/>
        </w:rPr>
        <w:t>6.5 评标报告</w:t>
      </w:r>
      <w:bookmarkEnd w:id="453"/>
      <w:bookmarkEnd w:id="454"/>
      <w:bookmarkEnd w:id="455"/>
      <w:bookmarkEnd w:id="456"/>
      <w:bookmarkEnd w:id="457"/>
    </w:p>
    <w:p w14:paraId="7B83FA90">
      <w:pPr>
        <w:widowControl/>
        <w:topLinePunct/>
        <w:spacing w:line="360" w:lineRule="auto"/>
        <w:ind w:firstLine="464" w:firstLineChars="200"/>
        <w:rPr>
          <w:rFonts w:hint="eastAsia" w:ascii="宋体" w:hAnsi="宋体" w:eastAsia="宋体" w:cs="宋体"/>
          <w:color w:val="000000"/>
          <w:spacing w:val="-4"/>
          <w:kern w:val="0"/>
          <w:sz w:val="24"/>
          <w:szCs w:val="24"/>
          <w:highlight w:val="none"/>
        </w:rPr>
      </w:pPr>
      <w:r>
        <w:rPr>
          <w:rFonts w:hint="eastAsia" w:ascii="宋体" w:hAnsi="宋体" w:eastAsia="宋体" w:cs="宋体"/>
          <w:color w:val="000000"/>
          <w:spacing w:val="-4"/>
          <w:kern w:val="0"/>
          <w:sz w:val="24"/>
          <w:szCs w:val="24"/>
          <w:highlight w:val="none"/>
        </w:rPr>
        <w:t>6.5.1评标完成后，评标委员会应当及时向招标人提交书面评标报告，并推荐合格的中标候选人，中标候选人应标明排序。</w:t>
      </w:r>
    </w:p>
    <w:p w14:paraId="06A928DE">
      <w:pPr>
        <w:widowControl/>
        <w:topLinePunct/>
        <w:spacing w:line="360" w:lineRule="auto"/>
        <w:ind w:firstLine="464" w:firstLineChars="200"/>
        <w:rPr>
          <w:rFonts w:hint="eastAsia" w:ascii="宋体" w:hAnsi="宋体" w:eastAsia="宋体" w:cs="宋体"/>
          <w:color w:val="000000"/>
          <w:spacing w:val="-4"/>
          <w:kern w:val="0"/>
          <w:sz w:val="24"/>
          <w:szCs w:val="24"/>
          <w:highlight w:val="none"/>
        </w:rPr>
      </w:pPr>
      <w:r>
        <w:rPr>
          <w:rFonts w:hint="eastAsia" w:ascii="宋体" w:hAnsi="宋体" w:eastAsia="宋体" w:cs="宋体"/>
          <w:color w:val="000000"/>
          <w:spacing w:val="-4"/>
          <w:kern w:val="0"/>
          <w:sz w:val="24"/>
          <w:szCs w:val="24"/>
          <w:highlight w:val="none"/>
        </w:rPr>
        <w:t>6.5.2评标报告应当由评标委员会全体成员签字。对评标结果有不同意见的评标委员会成员应当以书面形式说明其不同意见和理由，评标报告应当注明该不同意见。评标委员会成员拒绝在评标报告上签字又不书面说明其不同意见和理由的，视为同意评标结果。</w:t>
      </w:r>
    </w:p>
    <w:p w14:paraId="7DE99656">
      <w:pPr>
        <w:pStyle w:val="3"/>
        <w:bidi w:val="0"/>
        <w:rPr>
          <w:rFonts w:hint="eastAsia" w:ascii="宋体" w:hAnsi="宋体" w:eastAsia="宋体" w:cs="宋体"/>
        </w:rPr>
      </w:pPr>
      <w:bookmarkStart w:id="458" w:name="_Toc384"/>
      <w:bookmarkStart w:id="459" w:name="_Toc109124273"/>
      <w:bookmarkStart w:id="460" w:name="_Toc532"/>
      <w:r>
        <w:rPr>
          <w:rFonts w:hint="eastAsia" w:ascii="宋体" w:hAnsi="宋体" w:eastAsia="宋体" w:cs="宋体"/>
        </w:rPr>
        <w:t>7.</w:t>
      </w:r>
      <w:bookmarkEnd w:id="441"/>
      <w:bookmarkEnd w:id="442"/>
      <w:bookmarkEnd w:id="443"/>
      <w:bookmarkEnd w:id="444"/>
      <w:bookmarkEnd w:id="445"/>
      <w:bookmarkEnd w:id="446"/>
      <w:bookmarkEnd w:id="447"/>
      <w:r>
        <w:rPr>
          <w:rFonts w:hint="eastAsia" w:ascii="宋体" w:hAnsi="宋体" w:eastAsia="宋体" w:cs="宋体"/>
        </w:rPr>
        <w:t>中标</w:t>
      </w:r>
      <w:bookmarkEnd w:id="458"/>
      <w:bookmarkEnd w:id="459"/>
      <w:bookmarkEnd w:id="460"/>
    </w:p>
    <w:p w14:paraId="3BCE3855">
      <w:pPr>
        <w:pStyle w:val="4"/>
        <w:ind w:firstLine="0" w:firstLineChars="0"/>
        <w:rPr>
          <w:rFonts w:hint="eastAsia" w:ascii="宋体" w:hAnsi="宋体" w:eastAsia="宋体" w:cs="宋体"/>
          <w:color w:val="000000"/>
          <w:highlight w:val="none"/>
        </w:rPr>
      </w:pPr>
      <w:bookmarkStart w:id="461" w:name="_Toc152045567"/>
      <w:bookmarkStart w:id="462" w:name="_Toc246996954"/>
      <w:bookmarkStart w:id="463" w:name="_Toc332188204"/>
      <w:bookmarkStart w:id="464" w:name="_Toc334766958"/>
      <w:bookmarkStart w:id="465" w:name="_Toc179632585"/>
      <w:bookmarkStart w:id="466" w:name="_Toc246996211"/>
      <w:bookmarkStart w:id="467" w:name="_Toc247085725"/>
      <w:bookmarkStart w:id="468" w:name="_Toc144974535"/>
      <w:bookmarkStart w:id="469" w:name="_Toc326223571"/>
      <w:bookmarkStart w:id="470" w:name="_Toc152042343"/>
      <w:bookmarkStart w:id="471" w:name="_Toc109124274"/>
      <w:bookmarkStart w:id="472" w:name="_Toc27928"/>
      <w:bookmarkStart w:id="473" w:name="_Toc19333"/>
      <w:bookmarkStart w:id="474" w:name="_Toc71191993"/>
      <w:bookmarkStart w:id="475" w:name="_Toc60224360"/>
      <w:r>
        <w:rPr>
          <w:rFonts w:hint="eastAsia" w:ascii="宋体" w:hAnsi="宋体" w:eastAsia="宋体" w:cs="宋体"/>
          <w:color w:val="000000"/>
          <w:highlight w:val="none"/>
        </w:rPr>
        <w:t>7.1</w:t>
      </w:r>
      <w:bookmarkEnd w:id="461"/>
      <w:bookmarkEnd w:id="462"/>
      <w:bookmarkEnd w:id="463"/>
      <w:bookmarkEnd w:id="464"/>
      <w:bookmarkEnd w:id="465"/>
      <w:bookmarkEnd w:id="466"/>
      <w:bookmarkEnd w:id="467"/>
      <w:bookmarkEnd w:id="468"/>
      <w:bookmarkEnd w:id="469"/>
      <w:bookmarkEnd w:id="470"/>
      <w:r>
        <w:rPr>
          <w:rFonts w:hint="eastAsia" w:ascii="宋体" w:hAnsi="宋体" w:eastAsia="宋体" w:cs="宋体"/>
          <w:color w:val="000000"/>
          <w:highlight w:val="none"/>
        </w:rPr>
        <w:t xml:space="preserve"> 中标候选人公示</w:t>
      </w:r>
      <w:bookmarkEnd w:id="471"/>
      <w:bookmarkEnd w:id="472"/>
      <w:bookmarkEnd w:id="473"/>
      <w:bookmarkEnd w:id="474"/>
      <w:bookmarkEnd w:id="475"/>
    </w:p>
    <w:p w14:paraId="704D38AC">
      <w:pPr>
        <w:widowControl/>
        <w:topLinePunct/>
        <w:spacing w:line="360" w:lineRule="auto"/>
        <w:ind w:firstLine="480" w:firstLineChars="200"/>
        <w:rPr>
          <w:rFonts w:hint="eastAsia" w:ascii="宋体" w:hAnsi="宋体" w:eastAsia="宋体" w:cs="宋体"/>
          <w:color w:val="000000"/>
          <w:kern w:val="0"/>
          <w:sz w:val="24"/>
          <w:szCs w:val="24"/>
          <w:highlight w:val="none"/>
        </w:rPr>
      </w:pPr>
      <w:bookmarkStart w:id="476" w:name="_Toc326223572"/>
      <w:bookmarkStart w:id="477" w:name="_Toc334766959"/>
      <w:bookmarkStart w:id="478" w:name="_Toc332188205"/>
      <w:r>
        <w:rPr>
          <w:rFonts w:hint="eastAsia" w:ascii="宋体" w:hAnsi="宋体" w:eastAsia="宋体" w:cs="宋体"/>
          <w:color w:val="000000"/>
          <w:kern w:val="0"/>
          <w:sz w:val="24"/>
          <w:szCs w:val="24"/>
          <w:highlight w:val="none"/>
        </w:rPr>
        <w:t>7.1.1公开招标的采购项目，招标人将在完成评标报告之日起3日内在招标公告发布的同一平台发布中标候选人公示，公示期不少于3个日历日，如公示期最后一日为法定节假日，公示期将顺延至下1个工作日。</w:t>
      </w:r>
    </w:p>
    <w:p w14:paraId="351F6A07">
      <w:pPr>
        <w:widowControl/>
        <w:topLinePunct/>
        <w:spacing w:line="360" w:lineRule="auto"/>
        <w:ind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7.1.2投标人或者其他利害关系人（是与该招标项目或者招标活动有直接或者间接利益关系的法人、其他组织和自然人）对评标结果有异议的，应在中标候选人公示期间以书面形式通过邮件或信函方式提出，应有具体明确的异议事项、与异议事项相关的请求和必要的证明材料。</w:t>
      </w:r>
    </w:p>
    <w:p w14:paraId="0CFD6A6C">
      <w:pPr>
        <w:widowControl/>
        <w:topLinePunct/>
        <w:spacing w:line="360" w:lineRule="auto"/>
        <w:ind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7.1.3异议采取实名制，如异议人为自然人，应提交个人签名的异议函以及必要的证明材料、有效的身份证明材料、个人与招标项目直接或间接利益关系说明函。如异议人为法人、其他组织，应提交加盖公章并由法定代表人（负责人）或受其委托的授权代表签字的异议函及必要的证明材料。</w:t>
      </w:r>
    </w:p>
    <w:p w14:paraId="72FEEC14">
      <w:pPr>
        <w:widowControl/>
        <w:topLinePunct/>
        <w:spacing w:line="360" w:lineRule="auto"/>
        <w:ind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7.1.4招标人对投标人和其他利害关系人提出的异议作出答复后，投标人和其他利害关系人在异议期内依然存在同样异议的，不应当就同样的问题反复提出同样的异议。</w:t>
      </w:r>
    </w:p>
    <w:p w14:paraId="14802B6F">
      <w:pPr>
        <w:widowControl/>
        <w:topLinePunct/>
        <w:spacing w:line="360" w:lineRule="auto"/>
        <w:ind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7.1.5 投标人捏造事实、提供虚假材料或者以非法手段取得证明材料提出异议，以及假冒他人名义提出异议的，认定为供应商不良行为，按照招标人供应商管理办法有关规定处理。</w:t>
      </w:r>
    </w:p>
    <w:p w14:paraId="6696496C">
      <w:pPr>
        <w:pStyle w:val="4"/>
        <w:ind w:firstLine="0" w:firstLineChars="0"/>
        <w:rPr>
          <w:rFonts w:hint="eastAsia" w:ascii="宋体" w:hAnsi="宋体" w:eastAsia="宋体" w:cs="宋体"/>
          <w:color w:val="000000"/>
          <w:highlight w:val="none"/>
        </w:rPr>
      </w:pPr>
      <w:bookmarkStart w:id="479" w:name="_Toc7545"/>
      <w:bookmarkStart w:id="480" w:name="_Toc109124275"/>
      <w:bookmarkStart w:id="481" w:name="_Toc71191994"/>
      <w:bookmarkStart w:id="482" w:name="_Toc60224361"/>
      <w:bookmarkStart w:id="483" w:name="_Toc25855"/>
      <w:r>
        <w:rPr>
          <w:rFonts w:hint="eastAsia" w:ascii="宋体" w:hAnsi="宋体" w:eastAsia="宋体" w:cs="宋体"/>
          <w:color w:val="000000"/>
          <w:highlight w:val="none"/>
        </w:rPr>
        <w:t xml:space="preserve">7.2 </w:t>
      </w:r>
      <w:bookmarkEnd w:id="476"/>
      <w:bookmarkEnd w:id="477"/>
      <w:bookmarkEnd w:id="478"/>
      <w:r>
        <w:rPr>
          <w:rFonts w:hint="eastAsia" w:ascii="宋体" w:hAnsi="宋体" w:eastAsia="宋体" w:cs="宋体"/>
          <w:color w:val="000000"/>
          <w:highlight w:val="none"/>
        </w:rPr>
        <w:t>确定中标人</w:t>
      </w:r>
      <w:bookmarkEnd w:id="479"/>
      <w:bookmarkEnd w:id="480"/>
      <w:bookmarkEnd w:id="481"/>
      <w:bookmarkEnd w:id="482"/>
      <w:bookmarkEnd w:id="483"/>
    </w:p>
    <w:p w14:paraId="0789F482">
      <w:pPr>
        <w:widowControl/>
        <w:topLinePunct/>
        <w:spacing w:line="360" w:lineRule="auto"/>
        <w:ind w:firstLine="480" w:firstLineChars="200"/>
        <w:rPr>
          <w:rFonts w:hint="eastAsia" w:ascii="宋体" w:hAnsi="宋体" w:eastAsia="宋体" w:cs="宋体"/>
          <w:color w:val="000000"/>
          <w:kern w:val="0"/>
          <w:sz w:val="24"/>
          <w:szCs w:val="24"/>
          <w:highlight w:val="none"/>
        </w:rPr>
      </w:pPr>
      <w:bookmarkStart w:id="484" w:name="_Toc334766960"/>
      <w:bookmarkStart w:id="485" w:name="_Toc179632586"/>
      <w:bookmarkStart w:id="486" w:name="_Toc152045568"/>
      <w:bookmarkStart w:id="487" w:name="_Toc247085726"/>
      <w:bookmarkStart w:id="488" w:name="_Toc144974536"/>
      <w:bookmarkStart w:id="489" w:name="_Toc246996955"/>
      <w:bookmarkStart w:id="490" w:name="_Toc326223573"/>
      <w:bookmarkStart w:id="491" w:name="_Toc332188206"/>
      <w:bookmarkStart w:id="492" w:name="_Toc246996212"/>
      <w:bookmarkStart w:id="493" w:name="_Toc152042344"/>
      <w:r>
        <w:rPr>
          <w:rFonts w:hint="eastAsia" w:ascii="宋体" w:hAnsi="宋体" w:eastAsia="宋体" w:cs="宋体"/>
          <w:color w:val="000000"/>
          <w:kern w:val="0"/>
          <w:sz w:val="24"/>
          <w:szCs w:val="24"/>
          <w:highlight w:val="none"/>
        </w:rPr>
        <w:t>7.2.1 除投标人须知前附表规定评标委员会直接确定中标人外，招标人根据评标委员会提出的书面评标报告和推荐的中标候选人确定中标人，中标人数量见投标人须知前附表。</w:t>
      </w:r>
    </w:p>
    <w:p w14:paraId="28368FDC">
      <w:pPr>
        <w:widowControl/>
        <w:topLinePunct/>
        <w:spacing w:line="360" w:lineRule="auto"/>
        <w:ind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7.2.2 招标人根据评标委员会推荐的中标候选人名单排序依次确定中标人，具体中标原则见投标人须知前附表。</w:t>
      </w:r>
    </w:p>
    <w:p w14:paraId="57F395EB">
      <w:pPr>
        <w:widowControl/>
        <w:topLinePunct/>
        <w:spacing w:line="360" w:lineRule="auto"/>
        <w:ind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7.2.3在确定中标人前，招标人不得与投标人就投标价格、投标方案等实质性内容进行谈判。</w:t>
      </w:r>
    </w:p>
    <w:p w14:paraId="4B0BC37E">
      <w:pPr>
        <w:widowControl/>
        <w:topLinePunct/>
        <w:spacing w:line="360" w:lineRule="auto"/>
        <w:ind w:firstLine="480" w:firstLineChars="200"/>
        <w:rPr>
          <w:rFonts w:hint="eastAsia" w:ascii="宋体" w:hAnsi="宋体" w:eastAsia="宋体" w:cs="宋体"/>
          <w:szCs w:val="21"/>
          <w:highlight w:val="none"/>
        </w:rPr>
      </w:pPr>
      <w:r>
        <w:rPr>
          <w:rFonts w:hint="eastAsia" w:ascii="宋体" w:hAnsi="宋体" w:eastAsia="宋体" w:cs="宋体"/>
          <w:color w:val="000000"/>
          <w:kern w:val="0"/>
          <w:sz w:val="24"/>
          <w:szCs w:val="24"/>
          <w:highlight w:val="none"/>
        </w:rPr>
        <w:t>7.2.4中标候选人的经营、财务状况发生较大变化或者存在违法行为，招标人认为可能影响其履约能力的，将在发出中标通知书前由原评标委员会按照招标文件规定的标准和方法审查确认。</w:t>
      </w:r>
    </w:p>
    <w:p w14:paraId="7F9EA1BA">
      <w:pPr>
        <w:pStyle w:val="4"/>
        <w:ind w:firstLine="0" w:firstLineChars="0"/>
        <w:rPr>
          <w:rFonts w:hint="eastAsia" w:ascii="宋体" w:hAnsi="宋体" w:eastAsia="宋体" w:cs="宋体"/>
          <w:color w:val="000000"/>
          <w:highlight w:val="none"/>
        </w:rPr>
      </w:pPr>
      <w:bookmarkStart w:id="494" w:name="_Toc8102"/>
      <w:bookmarkStart w:id="495" w:name="_Toc60224362"/>
      <w:bookmarkStart w:id="496" w:name="_Toc71191995"/>
      <w:bookmarkStart w:id="497" w:name="_Toc32138"/>
      <w:bookmarkStart w:id="498" w:name="_Toc109124276"/>
      <w:r>
        <w:rPr>
          <w:rFonts w:hint="eastAsia" w:ascii="宋体" w:hAnsi="宋体" w:eastAsia="宋体" w:cs="宋体"/>
          <w:color w:val="000000"/>
          <w:highlight w:val="none"/>
        </w:rPr>
        <w:t>7.3 中标结果</w:t>
      </w:r>
      <w:bookmarkEnd w:id="494"/>
      <w:bookmarkEnd w:id="495"/>
      <w:r>
        <w:rPr>
          <w:rFonts w:hint="eastAsia" w:ascii="宋体" w:hAnsi="宋体" w:eastAsia="宋体" w:cs="宋体"/>
          <w:color w:val="000000"/>
          <w:highlight w:val="none"/>
        </w:rPr>
        <w:t>公示</w:t>
      </w:r>
      <w:bookmarkEnd w:id="496"/>
      <w:bookmarkEnd w:id="497"/>
      <w:bookmarkEnd w:id="498"/>
    </w:p>
    <w:p w14:paraId="08FCFD9B">
      <w:pPr>
        <w:widowControl/>
        <w:topLinePunct/>
        <w:spacing w:line="360" w:lineRule="auto"/>
        <w:ind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采用公开招标方式的采购项目，应当发布中标结果公示，内容包括但不限于招标项目名称、招标人、招标代理机构、招标公告日期、中标人、中标内容及价格等基本要素。中标结果公示应与招标公告在同一渠道公开。</w:t>
      </w:r>
    </w:p>
    <w:p w14:paraId="15B31618">
      <w:pPr>
        <w:pStyle w:val="4"/>
        <w:ind w:firstLine="0" w:firstLineChars="0"/>
        <w:rPr>
          <w:rFonts w:hint="eastAsia" w:ascii="宋体" w:hAnsi="宋体" w:eastAsia="宋体" w:cs="宋体"/>
          <w:color w:val="000000"/>
          <w:highlight w:val="none"/>
        </w:rPr>
      </w:pPr>
      <w:bookmarkStart w:id="499" w:name="_Toc60224363"/>
      <w:bookmarkStart w:id="500" w:name="_Toc24847"/>
      <w:bookmarkStart w:id="501" w:name="_Toc109124277"/>
      <w:bookmarkStart w:id="502" w:name="_Toc71191996"/>
      <w:bookmarkStart w:id="503" w:name="_Toc27069"/>
      <w:r>
        <w:rPr>
          <w:rFonts w:hint="eastAsia" w:ascii="宋体" w:hAnsi="宋体" w:eastAsia="宋体" w:cs="宋体"/>
          <w:color w:val="000000"/>
          <w:highlight w:val="none"/>
        </w:rPr>
        <w:t>7.4 中标通知</w:t>
      </w:r>
      <w:bookmarkEnd w:id="484"/>
      <w:bookmarkEnd w:id="485"/>
      <w:bookmarkEnd w:id="486"/>
      <w:bookmarkEnd w:id="487"/>
      <w:bookmarkEnd w:id="488"/>
      <w:bookmarkEnd w:id="489"/>
      <w:bookmarkEnd w:id="490"/>
      <w:bookmarkEnd w:id="491"/>
      <w:bookmarkEnd w:id="492"/>
      <w:bookmarkEnd w:id="493"/>
      <w:bookmarkEnd w:id="499"/>
      <w:bookmarkEnd w:id="500"/>
      <w:bookmarkEnd w:id="501"/>
      <w:bookmarkEnd w:id="502"/>
      <w:bookmarkEnd w:id="503"/>
    </w:p>
    <w:p w14:paraId="39FCC205">
      <w:pPr>
        <w:widowControl/>
        <w:topLinePunct/>
        <w:spacing w:line="360" w:lineRule="auto"/>
        <w:ind w:firstLine="480" w:firstLineChars="200"/>
        <w:rPr>
          <w:rFonts w:hint="eastAsia" w:ascii="宋体" w:hAnsi="宋体" w:eastAsia="宋体" w:cs="宋体"/>
          <w:color w:val="000000"/>
          <w:kern w:val="0"/>
          <w:sz w:val="24"/>
          <w:szCs w:val="24"/>
          <w:highlight w:val="none"/>
        </w:rPr>
      </w:pPr>
      <w:bookmarkStart w:id="504" w:name="_Toc152042345"/>
      <w:bookmarkStart w:id="505" w:name="_Toc334766961"/>
      <w:bookmarkStart w:id="506" w:name="_Toc144974537"/>
      <w:bookmarkStart w:id="507" w:name="_Toc179632587"/>
      <w:bookmarkStart w:id="508" w:name="_Toc332188207"/>
      <w:bookmarkStart w:id="509" w:name="_Toc152045569"/>
      <w:bookmarkStart w:id="510" w:name="_Toc246996213"/>
      <w:bookmarkStart w:id="511" w:name="_Toc246996956"/>
      <w:bookmarkStart w:id="512" w:name="_Toc326223574"/>
      <w:bookmarkStart w:id="513" w:name="_Toc247085727"/>
      <w:r>
        <w:rPr>
          <w:rFonts w:hint="eastAsia" w:ascii="宋体" w:hAnsi="宋体" w:eastAsia="宋体" w:cs="宋体"/>
          <w:color w:val="000000"/>
          <w:kern w:val="0"/>
          <w:sz w:val="24"/>
          <w:szCs w:val="24"/>
          <w:highlight w:val="none"/>
        </w:rPr>
        <w:t>7.4.1 中标人确定后，招标人应当向中标人发出中标通知书，并同时将中标结果通知所有未中标的投标人。</w:t>
      </w:r>
    </w:p>
    <w:p w14:paraId="795FB697">
      <w:pPr>
        <w:widowControl/>
        <w:topLinePunct/>
        <w:spacing w:line="360" w:lineRule="auto"/>
        <w:ind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7.4.2中标通知书对招标人和中标人具有法律效力。中标通知书发出后，招标人改变中标结果的，或者中标人放弃中标项目的，应当依法承担法律责任</w:t>
      </w:r>
      <w:bookmarkStart w:id="514" w:name="_Hlk142926396"/>
      <w:r>
        <w:rPr>
          <w:rFonts w:hint="eastAsia" w:ascii="宋体" w:hAnsi="宋体" w:eastAsia="宋体" w:cs="宋体"/>
          <w:color w:val="000000"/>
          <w:kern w:val="0"/>
          <w:sz w:val="24"/>
          <w:szCs w:val="24"/>
          <w:highlight w:val="none"/>
        </w:rPr>
        <w:t>，投标保证金不予退还。投标保证金以投标保证保险方式递交的，招标人作为被保险人有权发起保证保险赔偿，保险人有权向投保人（投标人）进行等额追偿。</w:t>
      </w:r>
    </w:p>
    <w:bookmarkEnd w:id="504"/>
    <w:bookmarkEnd w:id="505"/>
    <w:bookmarkEnd w:id="506"/>
    <w:bookmarkEnd w:id="507"/>
    <w:bookmarkEnd w:id="508"/>
    <w:bookmarkEnd w:id="509"/>
    <w:bookmarkEnd w:id="510"/>
    <w:bookmarkEnd w:id="511"/>
    <w:bookmarkEnd w:id="512"/>
    <w:bookmarkEnd w:id="513"/>
    <w:bookmarkEnd w:id="514"/>
    <w:p w14:paraId="7F392868">
      <w:pPr>
        <w:pStyle w:val="3"/>
        <w:bidi w:val="0"/>
        <w:rPr>
          <w:rFonts w:hint="eastAsia" w:ascii="宋体" w:hAnsi="宋体" w:eastAsia="宋体" w:cs="宋体"/>
        </w:rPr>
      </w:pPr>
      <w:bookmarkStart w:id="515" w:name="_Toc5473"/>
      <w:bookmarkStart w:id="516" w:name="_Toc109124278"/>
      <w:bookmarkStart w:id="517" w:name="_Toc32618"/>
      <w:r>
        <w:rPr>
          <w:rFonts w:hint="eastAsia" w:ascii="宋体" w:hAnsi="宋体" w:eastAsia="宋体" w:cs="宋体"/>
        </w:rPr>
        <w:t>8.合同签订</w:t>
      </w:r>
      <w:bookmarkEnd w:id="515"/>
      <w:bookmarkEnd w:id="516"/>
      <w:bookmarkEnd w:id="517"/>
    </w:p>
    <w:p w14:paraId="7E2595A0">
      <w:pPr>
        <w:pStyle w:val="4"/>
        <w:ind w:firstLine="0" w:firstLineChars="0"/>
        <w:rPr>
          <w:rFonts w:hint="eastAsia" w:ascii="宋体" w:hAnsi="宋体" w:eastAsia="宋体" w:cs="宋体"/>
          <w:color w:val="000000"/>
          <w:highlight w:val="none"/>
        </w:rPr>
      </w:pPr>
      <w:bookmarkStart w:id="518" w:name="_Toc246996962"/>
      <w:bookmarkStart w:id="519" w:name="_Toc144974543"/>
      <w:bookmarkStart w:id="520" w:name="_Toc332188210"/>
      <w:bookmarkStart w:id="521" w:name="_Toc247085733"/>
      <w:bookmarkStart w:id="522" w:name="_Toc296590983"/>
      <w:bookmarkStart w:id="523" w:name="_Toc179632593"/>
      <w:bookmarkStart w:id="524" w:name="_Toc334766964"/>
      <w:bookmarkStart w:id="525" w:name="_Toc152042351"/>
      <w:bookmarkStart w:id="526" w:name="_Toc246996219"/>
      <w:bookmarkStart w:id="527" w:name="_Toc326223577"/>
      <w:bookmarkStart w:id="528" w:name="_Toc152045575"/>
      <w:bookmarkStart w:id="529" w:name="_Toc71191998"/>
      <w:bookmarkStart w:id="530" w:name="_Toc6277"/>
      <w:bookmarkStart w:id="531" w:name="_Toc109124279"/>
      <w:bookmarkStart w:id="532" w:name="_Toc60224365"/>
      <w:bookmarkStart w:id="533" w:name="_Toc16752"/>
      <w:r>
        <w:rPr>
          <w:rFonts w:hint="eastAsia" w:ascii="宋体" w:hAnsi="宋体" w:eastAsia="宋体" w:cs="宋体"/>
          <w:color w:val="000000"/>
          <w:highlight w:val="none"/>
        </w:rPr>
        <w:t xml:space="preserve">8.1 </w:t>
      </w:r>
      <w:bookmarkEnd w:id="518"/>
      <w:bookmarkEnd w:id="519"/>
      <w:bookmarkEnd w:id="520"/>
      <w:bookmarkEnd w:id="521"/>
      <w:bookmarkEnd w:id="522"/>
      <w:bookmarkEnd w:id="523"/>
      <w:bookmarkEnd w:id="524"/>
      <w:bookmarkEnd w:id="525"/>
      <w:bookmarkEnd w:id="526"/>
      <w:bookmarkEnd w:id="527"/>
      <w:bookmarkEnd w:id="528"/>
      <w:r>
        <w:rPr>
          <w:rFonts w:hint="eastAsia" w:ascii="宋体" w:hAnsi="宋体" w:eastAsia="宋体" w:cs="宋体"/>
          <w:color w:val="000000"/>
          <w:highlight w:val="none"/>
        </w:rPr>
        <w:t>履约保证金</w:t>
      </w:r>
      <w:bookmarkEnd w:id="529"/>
      <w:bookmarkEnd w:id="530"/>
      <w:bookmarkEnd w:id="531"/>
      <w:bookmarkEnd w:id="532"/>
      <w:bookmarkEnd w:id="533"/>
    </w:p>
    <w:p w14:paraId="54AE73C3">
      <w:pPr>
        <w:widowControl/>
        <w:topLinePunct/>
        <w:spacing w:line="360" w:lineRule="auto"/>
        <w:ind w:firstLine="480" w:firstLineChars="200"/>
        <w:rPr>
          <w:rFonts w:hint="eastAsia" w:ascii="宋体" w:hAnsi="宋体" w:eastAsia="宋体" w:cs="宋体"/>
          <w:color w:val="000000"/>
          <w:kern w:val="0"/>
          <w:sz w:val="24"/>
          <w:szCs w:val="24"/>
          <w:highlight w:val="none"/>
        </w:rPr>
      </w:pPr>
      <w:bookmarkStart w:id="534" w:name="_Toc246996963"/>
      <w:bookmarkStart w:id="535" w:name="_Toc152045576"/>
      <w:bookmarkStart w:id="536" w:name="_Toc152042352"/>
      <w:bookmarkStart w:id="537" w:name="_Toc334766965"/>
      <w:bookmarkStart w:id="538" w:name="_Toc246996220"/>
      <w:bookmarkStart w:id="539" w:name="_Toc247085734"/>
      <w:bookmarkStart w:id="540" w:name="_Toc332188211"/>
      <w:bookmarkStart w:id="541" w:name="_Toc326223578"/>
      <w:bookmarkStart w:id="542" w:name="_Toc179632594"/>
      <w:bookmarkStart w:id="543" w:name="_Toc144974544"/>
      <w:r>
        <w:rPr>
          <w:rFonts w:hint="eastAsia" w:ascii="宋体" w:hAnsi="宋体" w:eastAsia="宋体" w:cs="宋体"/>
          <w:color w:val="000000"/>
          <w:kern w:val="0"/>
          <w:sz w:val="24"/>
          <w:szCs w:val="24"/>
          <w:highlight w:val="none"/>
        </w:rPr>
        <w:t>8.1.1 招标文件要求中标人提交履约保证金的，中标人应当提交中标人应当按照招标文件的要求提交。履约保证金不得超过中标合同金额的10%。履约保证金金额和方式见投标人须知前附表。</w:t>
      </w:r>
    </w:p>
    <w:p w14:paraId="67D96333">
      <w:pPr>
        <w:widowControl/>
        <w:topLinePunct/>
        <w:spacing w:line="360" w:lineRule="auto"/>
        <w:ind w:firstLine="480" w:firstLineChars="200"/>
        <w:rPr>
          <w:rFonts w:hint="eastAsia" w:ascii="宋体" w:hAnsi="宋体" w:eastAsia="宋体" w:cs="宋体"/>
          <w:color w:val="000000"/>
          <w:kern w:val="0"/>
          <w:sz w:val="24"/>
          <w:szCs w:val="24"/>
          <w:highlight w:val="none"/>
        </w:rPr>
      </w:pPr>
      <w:bookmarkStart w:id="544" w:name="_Hlk142926410"/>
      <w:r>
        <w:rPr>
          <w:rFonts w:hint="eastAsia" w:ascii="宋体" w:hAnsi="宋体" w:eastAsia="宋体" w:cs="宋体"/>
          <w:color w:val="000000"/>
          <w:kern w:val="0"/>
          <w:sz w:val="24"/>
          <w:szCs w:val="24"/>
          <w:highlight w:val="none"/>
        </w:rPr>
        <w:t>8.1.2中标人不按照招标文件要求提交履约保证金的，取消其中标资格，投标保证金不予退还。投标保证金以投标保证保险方式递交的，招标人作为被保险人有权发起保证保险赔偿，保险人有权向投保人（投标人）进行等额追偿。</w:t>
      </w:r>
    </w:p>
    <w:bookmarkEnd w:id="544"/>
    <w:p w14:paraId="0D816559">
      <w:pPr>
        <w:widowControl/>
        <w:topLinePunct/>
        <w:spacing w:line="360" w:lineRule="auto"/>
        <w:ind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8.1.3中标人不履行与招标人订立的合同的，履约保证金不予退还，给招标人造成的损失超过履约保证金数额的，还应当对超过部分予以赔偿；没有提交履约保证金的，应当对招标人的损失承担赔偿责任。</w:t>
      </w:r>
    </w:p>
    <w:p w14:paraId="5E36CE2B">
      <w:pPr>
        <w:pStyle w:val="4"/>
        <w:ind w:firstLine="0" w:firstLineChars="0"/>
        <w:rPr>
          <w:rFonts w:hint="eastAsia" w:ascii="宋体" w:hAnsi="宋体" w:eastAsia="宋体" w:cs="宋体"/>
          <w:color w:val="000000"/>
          <w:highlight w:val="none"/>
        </w:rPr>
      </w:pPr>
      <w:bookmarkStart w:id="545" w:name="_Toc60224366"/>
      <w:bookmarkStart w:id="546" w:name="_Toc71191999"/>
      <w:bookmarkStart w:id="547" w:name="_Toc23774"/>
      <w:bookmarkStart w:id="548" w:name="_Toc28993"/>
      <w:bookmarkStart w:id="549" w:name="_Toc109124280"/>
      <w:r>
        <w:rPr>
          <w:rFonts w:hint="eastAsia" w:ascii="宋体" w:hAnsi="宋体" w:eastAsia="宋体" w:cs="宋体"/>
          <w:color w:val="000000"/>
          <w:highlight w:val="none"/>
        </w:rPr>
        <w:t xml:space="preserve">8.2 </w:t>
      </w:r>
      <w:bookmarkEnd w:id="534"/>
      <w:bookmarkEnd w:id="535"/>
      <w:bookmarkEnd w:id="536"/>
      <w:bookmarkEnd w:id="537"/>
      <w:bookmarkEnd w:id="538"/>
      <w:bookmarkEnd w:id="539"/>
      <w:bookmarkEnd w:id="540"/>
      <w:bookmarkEnd w:id="541"/>
      <w:bookmarkEnd w:id="542"/>
      <w:bookmarkEnd w:id="543"/>
      <w:r>
        <w:rPr>
          <w:rFonts w:hint="eastAsia" w:ascii="宋体" w:hAnsi="宋体" w:eastAsia="宋体" w:cs="宋体"/>
          <w:color w:val="000000"/>
          <w:highlight w:val="none"/>
        </w:rPr>
        <w:t>合同签订</w:t>
      </w:r>
      <w:bookmarkEnd w:id="545"/>
      <w:bookmarkEnd w:id="546"/>
      <w:bookmarkEnd w:id="547"/>
      <w:bookmarkEnd w:id="548"/>
      <w:bookmarkEnd w:id="549"/>
    </w:p>
    <w:p w14:paraId="6E94D187">
      <w:pPr>
        <w:widowControl/>
        <w:topLinePunct/>
        <w:spacing w:line="360" w:lineRule="auto"/>
        <w:ind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8.2.1 招标人和中标人应当自中标通知书发出之日起30日内，按照招标文件和中标人的投标文件订立书面合同。合同的标的、价款、质量、履行期限等主要条款应当与招标文件和中标人的投标文件的内容一致。招标人和中标人不得再行订立背离合同实质性内容的其他协议。</w:t>
      </w:r>
    </w:p>
    <w:p w14:paraId="013B076F">
      <w:pPr>
        <w:widowControl/>
        <w:topLinePunct/>
        <w:spacing w:line="360" w:lineRule="auto"/>
        <w:ind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8.2.2中标人无正当理由不与招标人订立合同，在签订合同时向招标人提出附加条件或要求变更实质性合同条款的，取消其中标资格，投标保证金不予退还。投标保证金以投标保证保险方式递交的，招标人作为被保险人有权发起保证保险赔偿，保险人有权向投保人（投标人）进行等额追偿。</w:t>
      </w:r>
    </w:p>
    <w:p w14:paraId="4B69B408">
      <w:pPr>
        <w:keepNext/>
        <w:keepLines/>
        <w:tabs>
          <w:tab w:val="right" w:pos="9638"/>
        </w:tabs>
        <w:adjustRightInd w:val="0"/>
        <w:snapToGrid w:val="0"/>
        <w:spacing w:before="120" w:after="120" w:line="360" w:lineRule="auto"/>
        <w:jc w:val="left"/>
        <w:outlineLvl w:val="1"/>
        <w:rPr>
          <w:rFonts w:hint="eastAsia" w:ascii="宋体" w:hAnsi="宋体" w:eastAsia="宋体" w:cs="宋体"/>
          <w:b/>
          <w:color w:val="000000"/>
          <w:sz w:val="24"/>
          <w:highlight w:val="none"/>
        </w:rPr>
      </w:pPr>
      <w:bookmarkStart w:id="550" w:name="_Toc247085738"/>
      <w:bookmarkStart w:id="551" w:name="_Toc246996967"/>
      <w:bookmarkStart w:id="552" w:name="_Toc179632598"/>
      <w:bookmarkStart w:id="553" w:name="_Toc152045580"/>
      <w:bookmarkStart w:id="554" w:name="_Toc152042357"/>
      <w:bookmarkStart w:id="555" w:name="_Toc144974547"/>
      <w:bookmarkStart w:id="556" w:name="_Toc246996224"/>
      <w:bookmarkStart w:id="557" w:name="_Toc109124281"/>
      <w:bookmarkStart w:id="558" w:name="_Toc23625"/>
      <w:bookmarkStart w:id="559" w:name="_Toc17158"/>
      <w:r>
        <w:rPr>
          <w:rStyle w:val="52"/>
          <w:rFonts w:hint="eastAsia" w:ascii="宋体" w:hAnsi="宋体" w:eastAsia="宋体" w:cs="宋体"/>
        </w:rPr>
        <w:t>9</w:t>
      </w:r>
      <w:bookmarkEnd w:id="550"/>
      <w:bookmarkEnd w:id="551"/>
      <w:bookmarkEnd w:id="552"/>
      <w:bookmarkEnd w:id="553"/>
      <w:bookmarkEnd w:id="554"/>
      <w:bookmarkEnd w:id="555"/>
      <w:bookmarkEnd w:id="556"/>
      <w:r>
        <w:rPr>
          <w:rStyle w:val="52"/>
          <w:rFonts w:hint="eastAsia" w:ascii="宋体" w:hAnsi="宋体" w:eastAsia="宋体" w:cs="宋体"/>
        </w:rPr>
        <w:t>.招标代理服务费</w:t>
      </w:r>
      <w:bookmarkEnd w:id="557"/>
      <w:bookmarkEnd w:id="558"/>
      <w:bookmarkEnd w:id="559"/>
      <w:r>
        <w:rPr>
          <w:rFonts w:hint="eastAsia" w:ascii="宋体" w:hAnsi="宋体" w:eastAsia="宋体" w:cs="宋体"/>
          <w:b/>
          <w:color w:val="000000"/>
          <w:sz w:val="24"/>
          <w:highlight w:val="none"/>
        </w:rPr>
        <w:tab/>
      </w:r>
    </w:p>
    <w:p w14:paraId="531E4FD7">
      <w:pPr>
        <w:widowControl/>
        <w:topLinePunct/>
        <w:spacing w:line="360" w:lineRule="auto"/>
        <w:ind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中标人应当按照招标文件规定交纳招标代理服务费，招标人和招标代理机构另有约定的从其规定。招标代理服务费的金额、形式及交纳时限见投标人须知前附表。</w:t>
      </w:r>
    </w:p>
    <w:p w14:paraId="2F4FA6E4">
      <w:pPr>
        <w:pStyle w:val="3"/>
        <w:bidi w:val="0"/>
        <w:rPr>
          <w:rFonts w:hint="eastAsia" w:ascii="宋体" w:hAnsi="宋体" w:eastAsia="宋体" w:cs="宋体"/>
        </w:rPr>
      </w:pPr>
      <w:bookmarkStart w:id="560" w:name="_Toc109124282"/>
      <w:bookmarkStart w:id="561" w:name="_Toc18001"/>
      <w:bookmarkStart w:id="562" w:name="_Toc29313"/>
      <w:r>
        <w:rPr>
          <w:rFonts w:hint="eastAsia" w:ascii="宋体" w:hAnsi="宋体" w:eastAsia="宋体" w:cs="宋体"/>
        </w:rPr>
        <w:t>10.纪律和监督</w:t>
      </w:r>
      <w:bookmarkEnd w:id="560"/>
      <w:bookmarkEnd w:id="561"/>
      <w:bookmarkEnd w:id="562"/>
    </w:p>
    <w:p w14:paraId="1E4FF10D">
      <w:pPr>
        <w:pStyle w:val="4"/>
        <w:ind w:firstLine="0" w:firstLineChars="0"/>
        <w:rPr>
          <w:rFonts w:hint="eastAsia" w:ascii="宋体" w:hAnsi="宋体" w:eastAsia="宋体" w:cs="宋体"/>
          <w:color w:val="000000"/>
          <w:highlight w:val="none"/>
        </w:rPr>
      </w:pPr>
      <w:bookmarkStart w:id="563" w:name="_Toc60224369"/>
      <w:bookmarkStart w:id="564" w:name="_Toc109124283"/>
      <w:bookmarkStart w:id="565" w:name="_Toc71192002"/>
      <w:bookmarkStart w:id="566" w:name="_Toc23650"/>
      <w:bookmarkStart w:id="567" w:name="_Toc9807"/>
      <w:r>
        <w:rPr>
          <w:rFonts w:hint="eastAsia" w:ascii="宋体" w:hAnsi="宋体" w:eastAsia="宋体" w:cs="宋体"/>
          <w:color w:val="000000"/>
          <w:highlight w:val="none"/>
        </w:rPr>
        <w:t>10.1 对招标人的纪律要求</w:t>
      </w:r>
      <w:bookmarkEnd w:id="563"/>
      <w:bookmarkEnd w:id="564"/>
      <w:bookmarkEnd w:id="565"/>
      <w:bookmarkEnd w:id="566"/>
      <w:bookmarkEnd w:id="567"/>
    </w:p>
    <w:p w14:paraId="0203BD0E">
      <w:pPr>
        <w:widowControl/>
        <w:topLinePunct/>
        <w:spacing w:line="360" w:lineRule="auto"/>
        <w:ind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10.1.1招标人不得向他人透露已获取招标文件的潜在投标人的名称、数量以及可能影响公平竞争的有关招标投标的其他情况。招标人设有标底的，标底必须保密。</w:t>
      </w:r>
    </w:p>
    <w:p w14:paraId="00FC0B32">
      <w:pPr>
        <w:widowControl/>
        <w:topLinePunct/>
        <w:spacing w:line="360" w:lineRule="auto"/>
        <w:ind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10.1.2招标人不得向评标委员会明示或者暗示其倾向或者排斥特定投标人。不得透露对投标文件的评审和比较、中标候选人的推荐情况以及评标有关的其他情况</w:t>
      </w:r>
    </w:p>
    <w:p w14:paraId="5C2CF064">
      <w:pPr>
        <w:widowControl/>
        <w:topLinePunct/>
        <w:spacing w:line="360" w:lineRule="auto"/>
        <w:ind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10.1.3招标人不得与投标人串通投标，损害国家利益、社会公共利益或者他人合法权益。</w:t>
      </w:r>
    </w:p>
    <w:p w14:paraId="342CB90D">
      <w:pPr>
        <w:pStyle w:val="4"/>
        <w:ind w:firstLine="0" w:firstLineChars="0"/>
        <w:rPr>
          <w:rFonts w:hint="eastAsia" w:ascii="宋体" w:hAnsi="宋体" w:eastAsia="宋体" w:cs="宋体"/>
          <w:color w:val="000000"/>
          <w:highlight w:val="none"/>
        </w:rPr>
      </w:pPr>
      <w:bookmarkStart w:id="568" w:name="_Toc109124284"/>
      <w:bookmarkStart w:id="569" w:name="_Toc26437"/>
      <w:bookmarkStart w:id="570" w:name="_Toc16824"/>
      <w:bookmarkStart w:id="571" w:name="_Toc71192003"/>
      <w:bookmarkStart w:id="572" w:name="_Toc60224370"/>
      <w:r>
        <w:rPr>
          <w:rFonts w:hint="eastAsia" w:ascii="宋体" w:hAnsi="宋体" w:eastAsia="宋体" w:cs="宋体"/>
          <w:color w:val="000000"/>
          <w:highlight w:val="none"/>
        </w:rPr>
        <w:t>10.2 对投标人的纪律要求</w:t>
      </w:r>
      <w:bookmarkEnd w:id="568"/>
      <w:bookmarkEnd w:id="569"/>
      <w:bookmarkEnd w:id="570"/>
      <w:bookmarkEnd w:id="571"/>
      <w:bookmarkEnd w:id="572"/>
    </w:p>
    <w:p w14:paraId="690E4943">
      <w:pPr>
        <w:widowControl/>
        <w:topLinePunct/>
        <w:spacing w:line="360" w:lineRule="auto"/>
        <w:ind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10.2.1投标人不得相互串通投标，不得排挤其他投标人的公平竞争，损害招标人或者其他投标人的合法权益。</w:t>
      </w:r>
    </w:p>
    <w:p w14:paraId="12339D92">
      <w:pPr>
        <w:pStyle w:val="33"/>
        <w:ind w:firstLine="480" w:firstLineChars="200"/>
        <w:rPr>
          <w:rFonts w:hint="eastAsia" w:ascii="宋体" w:hAnsi="宋体" w:eastAsia="宋体" w:cs="宋体"/>
          <w:color w:val="363636"/>
          <w:highlight w:val="none"/>
        </w:rPr>
      </w:pPr>
      <w:r>
        <w:rPr>
          <w:rFonts w:hint="eastAsia" w:ascii="宋体" w:hAnsi="宋体" w:eastAsia="宋体" w:cs="宋体"/>
          <w:color w:val="000000"/>
          <w:szCs w:val="24"/>
          <w:highlight w:val="none"/>
        </w:rPr>
        <w:t>10.2.2投标人不得与招标人串通投标，</w:t>
      </w:r>
      <w:r>
        <w:rPr>
          <w:rFonts w:hint="eastAsia" w:ascii="宋体" w:hAnsi="宋体" w:eastAsia="宋体" w:cs="宋体"/>
          <w:color w:val="363636"/>
          <w:highlight w:val="none"/>
        </w:rPr>
        <w:t>损害国家利益、社会公共利益或者他人的合法权益。</w:t>
      </w:r>
    </w:p>
    <w:p w14:paraId="19E81ADD">
      <w:pPr>
        <w:widowControl/>
        <w:topLinePunct/>
        <w:spacing w:line="360" w:lineRule="auto"/>
        <w:ind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10.2.3禁止投标人以向招标人或者评标委员会成员行贿的手段谋取中标。</w:t>
      </w:r>
    </w:p>
    <w:p w14:paraId="1165FE8E">
      <w:pPr>
        <w:widowControl/>
        <w:topLinePunct/>
        <w:spacing w:line="360" w:lineRule="auto"/>
        <w:ind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10.2.4投标人不得以低于成本的报价竞标，不得以他人名义投标或者以其他方式弄虚作假，骗取中标。</w:t>
      </w:r>
    </w:p>
    <w:p w14:paraId="51B55983">
      <w:pPr>
        <w:widowControl/>
        <w:topLinePunct/>
        <w:spacing w:line="360" w:lineRule="auto"/>
        <w:ind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10.2.5投标人不得非法干扰、影响评标的过程和结果。</w:t>
      </w:r>
    </w:p>
    <w:p w14:paraId="795C56E4">
      <w:pPr>
        <w:pStyle w:val="4"/>
        <w:ind w:firstLine="0" w:firstLineChars="0"/>
        <w:rPr>
          <w:rFonts w:hint="eastAsia" w:ascii="宋体" w:hAnsi="宋体" w:eastAsia="宋体" w:cs="宋体"/>
          <w:color w:val="000000"/>
          <w:highlight w:val="none"/>
        </w:rPr>
      </w:pPr>
      <w:bookmarkStart w:id="573" w:name="_Toc109124285"/>
      <w:bookmarkStart w:id="574" w:name="_Toc60224371"/>
      <w:bookmarkStart w:id="575" w:name="_Toc71192004"/>
      <w:bookmarkStart w:id="576" w:name="_Toc4098"/>
      <w:bookmarkStart w:id="577" w:name="_Toc17657"/>
      <w:r>
        <w:rPr>
          <w:rFonts w:hint="eastAsia" w:ascii="宋体" w:hAnsi="宋体" w:eastAsia="宋体" w:cs="宋体"/>
          <w:color w:val="000000"/>
          <w:highlight w:val="none"/>
        </w:rPr>
        <w:t>10.3 对评标委员会成员的纪律要求</w:t>
      </w:r>
      <w:bookmarkEnd w:id="573"/>
      <w:bookmarkEnd w:id="574"/>
      <w:bookmarkEnd w:id="575"/>
      <w:bookmarkEnd w:id="576"/>
      <w:bookmarkEnd w:id="577"/>
    </w:p>
    <w:p w14:paraId="2B016A22">
      <w:pPr>
        <w:widowControl/>
        <w:topLinePunct/>
        <w:spacing w:line="360" w:lineRule="auto"/>
        <w:ind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10.3.1评标委员会成员应当客观、公正地履行职务，遵守职业道德，对所提出的评审意见承担个人责任。</w:t>
      </w:r>
    </w:p>
    <w:p w14:paraId="33A39AFD">
      <w:pPr>
        <w:widowControl/>
        <w:topLinePunct/>
        <w:spacing w:line="360" w:lineRule="auto"/>
        <w:ind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10.3.2评标委员会成员与投标人有利害关系的，应当主动回避，不得进入相关项目的评标委员会，已经进入的应当更换。</w:t>
      </w:r>
    </w:p>
    <w:p w14:paraId="3839A303">
      <w:pPr>
        <w:widowControl/>
        <w:topLinePunct/>
        <w:spacing w:line="360" w:lineRule="auto"/>
        <w:ind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10.3.3评标委员会成员不得私下接触投标人，不得收受投标人给予的财物或者其他好处。</w:t>
      </w:r>
    </w:p>
    <w:p w14:paraId="2C45DFC9">
      <w:pPr>
        <w:widowControl/>
        <w:topLinePunct/>
        <w:spacing w:line="360" w:lineRule="auto"/>
        <w:ind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10.3.4评标委员会成员不得透露对投标文件的评审和比较、中标候选人的推荐情况以及与评标有关的其他情况。</w:t>
      </w:r>
    </w:p>
    <w:p w14:paraId="14214BDD">
      <w:pPr>
        <w:widowControl/>
        <w:topLinePunct/>
        <w:spacing w:line="360" w:lineRule="auto"/>
        <w:ind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10.3.5评标委员会成员不得按照招标文件规定外的评标标准和方法进行评标，不得向招标人征询确定中标人的意向，不得接受任何单位或者个人明示或者暗示提出的倾向或者排斥特定投标人的要求，不得对依法应当否决的投标不提出否决意见。</w:t>
      </w:r>
    </w:p>
    <w:p w14:paraId="4F0765A0">
      <w:pPr>
        <w:widowControl/>
        <w:topLinePunct/>
        <w:spacing w:line="360" w:lineRule="auto"/>
        <w:ind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10.3.6评标委员会成员不得暗示或者诱导投标人作出澄清、说明，不得接受投标人主动提出的澄清、说明。</w:t>
      </w:r>
    </w:p>
    <w:p w14:paraId="2B2FCECD">
      <w:pPr>
        <w:pStyle w:val="4"/>
        <w:ind w:firstLine="0" w:firstLineChars="0"/>
        <w:rPr>
          <w:rFonts w:hint="eastAsia" w:ascii="宋体" w:hAnsi="宋体" w:eastAsia="宋体" w:cs="宋体"/>
          <w:color w:val="000000"/>
          <w:highlight w:val="none"/>
        </w:rPr>
      </w:pPr>
      <w:bookmarkStart w:id="578" w:name="_Toc26531"/>
      <w:bookmarkStart w:id="579" w:name="_Toc109124286"/>
      <w:bookmarkStart w:id="580" w:name="_Toc71192005"/>
      <w:bookmarkStart w:id="581" w:name="_Toc60224372"/>
      <w:bookmarkStart w:id="582" w:name="_Toc3290"/>
      <w:r>
        <w:rPr>
          <w:rFonts w:hint="eastAsia" w:ascii="宋体" w:hAnsi="宋体" w:eastAsia="宋体" w:cs="宋体"/>
          <w:color w:val="000000"/>
          <w:highlight w:val="none"/>
        </w:rPr>
        <w:t>10.4 对招标代理机构的纪律要求</w:t>
      </w:r>
      <w:bookmarkEnd w:id="578"/>
      <w:bookmarkEnd w:id="579"/>
      <w:bookmarkEnd w:id="580"/>
      <w:bookmarkEnd w:id="581"/>
      <w:bookmarkEnd w:id="582"/>
    </w:p>
    <w:p w14:paraId="6876093D">
      <w:pPr>
        <w:widowControl/>
        <w:topLinePunct/>
        <w:spacing w:line="360" w:lineRule="auto"/>
        <w:ind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10.4.1招标代理机构不得泄露应当保密的与招标投标活动有关的情况和资料，不得向他人透露对投标文件的评审和比较、中标候选人的推荐情况以及评标有关的其他情况，不得与招标人、投标人串通损害国家利益、社会公共利益或者他人合法权益。</w:t>
      </w:r>
    </w:p>
    <w:p w14:paraId="13A761AD">
      <w:pPr>
        <w:widowControl/>
        <w:topLinePunct/>
        <w:spacing w:line="360" w:lineRule="auto"/>
        <w:ind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10.4.2招标代理机构不得在所代理的招标项目中投标、代理投标，不得为所代理的招标项目的投标人编制投标文件、提供咨询，不得接受委托编制标底的中介机构参加受托编制标底项目的投标。</w:t>
      </w:r>
    </w:p>
    <w:p w14:paraId="6FB60E03">
      <w:pPr>
        <w:pStyle w:val="4"/>
        <w:ind w:firstLine="0" w:firstLineChars="0"/>
        <w:rPr>
          <w:rFonts w:hint="eastAsia" w:ascii="宋体" w:hAnsi="宋体" w:eastAsia="宋体" w:cs="宋体"/>
          <w:color w:val="000000"/>
          <w:highlight w:val="none"/>
        </w:rPr>
      </w:pPr>
      <w:bookmarkStart w:id="583" w:name="_Toc15868"/>
      <w:bookmarkStart w:id="584" w:name="_Toc71192006"/>
      <w:bookmarkStart w:id="585" w:name="_Toc109124287"/>
      <w:bookmarkStart w:id="586" w:name="_Toc60224373"/>
      <w:bookmarkStart w:id="587" w:name="_Toc27943"/>
      <w:r>
        <w:rPr>
          <w:rFonts w:hint="eastAsia" w:ascii="宋体" w:hAnsi="宋体" w:eastAsia="宋体" w:cs="宋体"/>
          <w:color w:val="000000"/>
          <w:highlight w:val="none"/>
        </w:rPr>
        <w:t>10.5 对与评标活动有关的工作人员的纪律要求</w:t>
      </w:r>
      <w:bookmarkEnd w:id="583"/>
      <w:bookmarkEnd w:id="584"/>
      <w:bookmarkEnd w:id="585"/>
    </w:p>
    <w:p w14:paraId="6FB3D7D1">
      <w:pPr>
        <w:widowControl/>
        <w:topLinePunct/>
        <w:spacing w:line="360" w:lineRule="auto"/>
        <w:ind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与评标活动有关的工作人员不得向他人透露对投标文件的评审和比较、中标候选人的推荐情况以及与评标有关的其他情况。</w:t>
      </w:r>
    </w:p>
    <w:bookmarkEnd w:id="586"/>
    <w:bookmarkEnd w:id="587"/>
    <w:p w14:paraId="5EFC750F">
      <w:pPr>
        <w:pStyle w:val="3"/>
        <w:numPr>
          <w:ilvl w:val="0"/>
          <w:numId w:val="4"/>
        </w:numPr>
        <w:bidi w:val="0"/>
        <w:rPr>
          <w:rFonts w:hint="eastAsia" w:ascii="宋体" w:hAnsi="宋体" w:eastAsia="宋体" w:cs="宋体"/>
        </w:rPr>
      </w:pPr>
      <w:bookmarkStart w:id="588" w:name="_Toc22328"/>
      <w:bookmarkStart w:id="589" w:name="_Toc29072"/>
      <w:bookmarkStart w:id="590" w:name="_Toc71192010"/>
      <w:r>
        <w:rPr>
          <w:rFonts w:hint="eastAsia" w:ascii="宋体" w:hAnsi="宋体" w:eastAsia="宋体" w:cs="宋体"/>
        </w:rPr>
        <w:t>需要补充的其他内容</w:t>
      </w:r>
      <w:bookmarkEnd w:id="588"/>
      <w:bookmarkEnd w:id="589"/>
      <w:bookmarkEnd w:id="590"/>
    </w:p>
    <w:p w14:paraId="619B5798">
      <w:pPr>
        <w:widowControl/>
        <w:topLinePunct/>
        <w:spacing w:line="360" w:lineRule="auto"/>
        <w:ind w:firstLine="480" w:firstLineChars="200"/>
        <w:rPr>
          <w:rFonts w:hint="eastAsia" w:ascii="宋体" w:hAnsi="宋体" w:eastAsia="宋体" w:cs="宋体"/>
          <w:color w:val="000000"/>
          <w:kern w:val="0"/>
          <w:highlight w:val="none"/>
        </w:rPr>
      </w:pPr>
      <w:r>
        <w:rPr>
          <w:rFonts w:hint="eastAsia" w:ascii="宋体" w:hAnsi="宋体" w:eastAsia="宋体" w:cs="宋体"/>
          <w:color w:val="000000"/>
          <w:kern w:val="0"/>
          <w:sz w:val="24"/>
          <w:szCs w:val="24"/>
          <w:highlight w:val="none"/>
        </w:rPr>
        <w:t>需要补充的其他内容：见投标人须知前附表。</w:t>
      </w:r>
    </w:p>
    <w:p w14:paraId="449827A5">
      <w:pPr>
        <w:widowControl/>
        <w:topLinePunct/>
        <w:spacing w:line="360" w:lineRule="auto"/>
        <w:ind w:firstLine="480"/>
        <w:rPr>
          <w:rFonts w:hint="eastAsia" w:ascii="宋体" w:hAnsi="宋体" w:eastAsia="宋体" w:cs="宋体"/>
          <w:color w:val="000000"/>
          <w:kern w:val="0"/>
          <w:highlight w:val="none"/>
        </w:rPr>
      </w:pPr>
    </w:p>
    <w:p w14:paraId="2F077938">
      <w:pPr>
        <w:spacing w:before="120" w:after="120"/>
        <w:rPr>
          <w:rFonts w:hint="eastAsia" w:ascii="宋体" w:hAnsi="宋体" w:eastAsia="宋体" w:cs="宋体"/>
          <w:b/>
          <w:color w:val="000000"/>
          <w:sz w:val="24"/>
          <w:highlight w:val="none"/>
        </w:rPr>
      </w:pPr>
    </w:p>
    <w:p w14:paraId="0C2F1219">
      <w:pPr>
        <w:pStyle w:val="2"/>
        <w:numPr>
          <w:ilvl w:val="0"/>
          <w:numId w:val="0"/>
        </w:numPr>
        <w:spacing w:before="0" w:after="0" w:line="480" w:lineRule="auto"/>
        <w:ind w:left="0" w:leftChars="0" w:firstLine="0" w:firstLineChars="0"/>
        <w:rPr>
          <w:rFonts w:hint="eastAsia" w:ascii="宋体" w:hAnsi="宋体" w:eastAsia="宋体" w:cs="宋体"/>
          <w:color w:val="000000"/>
          <w:highlight w:val="none"/>
        </w:rPr>
      </w:pPr>
      <w:r>
        <w:rPr>
          <w:rFonts w:hint="eastAsia" w:ascii="宋体" w:hAnsi="宋体" w:eastAsia="宋体" w:cs="宋体"/>
          <w:b w:val="0"/>
          <w:color w:val="000000"/>
          <w:sz w:val="32"/>
          <w:highlight w:val="none"/>
        </w:rPr>
        <w:br w:type="page"/>
      </w:r>
      <w:bookmarkEnd w:id="94"/>
      <w:bookmarkEnd w:id="95"/>
      <w:bookmarkStart w:id="591" w:name="_Toc246996241"/>
      <w:bookmarkStart w:id="592" w:name="_Toc485225388"/>
      <w:bookmarkStart w:id="593" w:name="_Toc152042375"/>
      <w:bookmarkStart w:id="594" w:name="_Toc246996984"/>
      <w:bookmarkStart w:id="595" w:name="_Toc109124288"/>
      <w:bookmarkStart w:id="596" w:name="_Toc65682980"/>
      <w:bookmarkStart w:id="597" w:name="_Toc152045598"/>
      <w:bookmarkStart w:id="598" w:name="_Toc179632616"/>
      <w:bookmarkStart w:id="599" w:name="_Toc28881"/>
      <w:bookmarkStart w:id="600" w:name="_Toc247085756"/>
      <w:bookmarkStart w:id="601" w:name="_Toc28186"/>
      <w:bookmarkStart w:id="602" w:name="_Toc144974565"/>
      <w:r>
        <w:rPr>
          <w:rFonts w:hint="eastAsia" w:ascii="宋体" w:hAnsi="宋体" w:eastAsia="宋体" w:cs="宋体"/>
          <w:color w:val="000000"/>
          <w:highlight w:val="none"/>
        </w:rPr>
        <w:t>第三章 评标办法</w:t>
      </w:r>
      <w:bookmarkEnd w:id="591"/>
      <w:bookmarkEnd w:id="592"/>
      <w:bookmarkEnd w:id="593"/>
      <w:bookmarkEnd w:id="594"/>
      <w:bookmarkEnd w:id="595"/>
      <w:bookmarkEnd w:id="596"/>
      <w:bookmarkEnd w:id="597"/>
      <w:bookmarkEnd w:id="598"/>
      <w:bookmarkEnd w:id="599"/>
      <w:bookmarkEnd w:id="600"/>
      <w:bookmarkEnd w:id="601"/>
      <w:bookmarkEnd w:id="602"/>
    </w:p>
    <w:p w14:paraId="43EEFB49">
      <w:pPr>
        <w:pStyle w:val="3"/>
        <w:jc w:val="center"/>
        <w:rPr>
          <w:rFonts w:hint="eastAsia" w:ascii="宋体" w:hAnsi="宋体" w:eastAsia="宋体" w:cs="宋体"/>
          <w:color w:val="000000"/>
          <w:szCs w:val="24"/>
          <w:highlight w:val="none"/>
        </w:rPr>
      </w:pPr>
      <w:bookmarkStart w:id="603" w:name="_Toc109124289"/>
      <w:bookmarkStart w:id="604" w:name="_Toc65682981"/>
      <w:bookmarkStart w:id="605" w:name="_Toc29379"/>
      <w:bookmarkStart w:id="606" w:name="_Toc29326"/>
      <w:r>
        <w:rPr>
          <w:rFonts w:hint="eastAsia" w:ascii="宋体" w:hAnsi="宋体" w:eastAsia="宋体" w:cs="宋体"/>
          <w:color w:val="000000"/>
          <w:szCs w:val="24"/>
          <w:highlight w:val="none"/>
        </w:rPr>
        <w:t>评标办法前附表</w:t>
      </w:r>
      <w:bookmarkEnd w:id="603"/>
      <w:bookmarkEnd w:id="604"/>
      <w:bookmarkEnd w:id="605"/>
      <w:bookmarkEnd w:id="606"/>
    </w:p>
    <w:p w14:paraId="3F1C6797">
      <w:pPr>
        <w:adjustRightInd w:val="0"/>
        <w:snapToGrid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本项目采用综合评分法，总分共100分。</w:t>
      </w:r>
    </w:p>
    <w:p w14:paraId="2E42F5F2">
      <w:pPr>
        <w:pStyle w:val="4"/>
        <w:bidi w:val="0"/>
        <w:rPr>
          <w:rFonts w:hint="eastAsia" w:ascii="宋体" w:hAnsi="宋体" w:eastAsia="宋体" w:cs="宋体"/>
        </w:rPr>
      </w:pPr>
      <w:bookmarkStart w:id="607" w:name="_Toc18026"/>
      <w:bookmarkStart w:id="608" w:name="_Toc22942"/>
      <w:bookmarkStart w:id="609" w:name="_Toc109124290"/>
      <w:bookmarkStart w:id="610" w:name="_Toc65682982"/>
      <w:r>
        <w:rPr>
          <w:rFonts w:hint="eastAsia" w:ascii="宋体" w:hAnsi="宋体" w:eastAsia="宋体" w:cs="宋体"/>
        </w:rPr>
        <w:t>1、初步评审标准</w:t>
      </w:r>
      <w:bookmarkEnd w:id="607"/>
      <w:bookmarkEnd w:id="608"/>
      <w:bookmarkEnd w:id="609"/>
      <w:bookmarkEnd w:id="610"/>
    </w:p>
    <w:tbl>
      <w:tblPr>
        <w:tblStyle w:val="37"/>
        <w:tblW w:w="0" w:type="auto"/>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fixed"/>
        <w:tblCellMar>
          <w:top w:w="0" w:type="dxa"/>
          <w:left w:w="108" w:type="dxa"/>
          <w:bottom w:w="0" w:type="dxa"/>
          <w:right w:w="108" w:type="dxa"/>
        </w:tblCellMar>
      </w:tblPr>
      <w:tblGrid>
        <w:gridCol w:w="727"/>
        <w:gridCol w:w="1370"/>
        <w:gridCol w:w="2595"/>
        <w:gridCol w:w="4973"/>
      </w:tblGrid>
      <w:tr w14:paraId="1AFAD803">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361" w:hRule="atLeast"/>
          <w:jc w:val="center"/>
        </w:trPr>
        <w:tc>
          <w:tcPr>
            <w:tcW w:w="2097" w:type="dxa"/>
            <w:gridSpan w:val="2"/>
            <w:noWrap w:val="0"/>
            <w:vAlign w:val="center"/>
          </w:tcPr>
          <w:p w14:paraId="22E87C37">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b/>
                <w:color w:val="000000"/>
                <w:kern w:val="0"/>
                <w:szCs w:val="21"/>
                <w:highlight w:val="none"/>
              </w:rPr>
            </w:pPr>
            <w:r>
              <w:rPr>
                <w:rFonts w:hint="eastAsia" w:ascii="宋体" w:hAnsi="宋体" w:eastAsia="宋体" w:cs="宋体"/>
                <w:b/>
                <w:color w:val="000000"/>
                <w:kern w:val="0"/>
                <w:szCs w:val="21"/>
                <w:highlight w:val="none"/>
              </w:rPr>
              <w:t>条款号</w:t>
            </w:r>
          </w:p>
        </w:tc>
        <w:tc>
          <w:tcPr>
            <w:tcW w:w="2595" w:type="dxa"/>
            <w:noWrap w:val="0"/>
            <w:vAlign w:val="center"/>
          </w:tcPr>
          <w:p w14:paraId="6D4E9B71">
            <w:pPr>
              <w:keepNext w:val="0"/>
              <w:keepLines w:val="0"/>
              <w:widowControl/>
              <w:suppressLineNumbers w:val="0"/>
              <w:spacing w:before="24" w:beforeAutospacing="0" w:after="24" w:afterAutospacing="0" w:line="240" w:lineRule="auto"/>
              <w:ind w:left="0" w:right="0"/>
              <w:jc w:val="center"/>
              <w:rPr>
                <w:rFonts w:hint="eastAsia" w:ascii="宋体" w:hAnsi="宋体" w:eastAsia="宋体" w:cs="宋体"/>
                <w:b/>
                <w:color w:val="000000"/>
                <w:kern w:val="0"/>
                <w:szCs w:val="21"/>
                <w:highlight w:val="none"/>
              </w:rPr>
            </w:pPr>
            <w:r>
              <w:rPr>
                <w:rFonts w:hint="eastAsia" w:ascii="宋体" w:hAnsi="宋体" w:eastAsia="宋体" w:cs="宋体"/>
                <w:b/>
                <w:color w:val="000000"/>
                <w:kern w:val="0"/>
                <w:szCs w:val="21"/>
                <w:highlight w:val="none"/>
              </w:rPr>
              <w:t>评审因素</w:t>
            </w:r>
          </w:p>
        </w:tc>
        <w:tc>
          <w:tcPr>
            <w:tcW w:w="4973" w:type="dxa"/>
            <w:noWrap w:val="0"/>
            <w:vAlign w:val="center"/>
          </w:tcPr>
          <w:p w14:paraId="788561BB">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b/>
                <w:color w:val="000000"/>
                <w:kern w:val="0"/>
                <w:szCs w:val="21"/>
                <w:highlight w:val="none"/>
              </w:rPr>
            </w:pPr>
            <w:r>
              <w:rPr>
                <w:rFonts w:hint="eastAsia" w:ascii="宋体" w:hAnsi="宋体" w:eastAsia="宋体" w:cs="宋体"/>
                <w:b/>
                <w:color w:val="000000"/>
                <w:kern w:val="0"/>
                <w:szCs w:val="21"/>
                <w:highlight w:val="none"/>
              </w:rPr>
              <w:t>评审标准</w:t>
            </w:r>
          </w:p>
        </w:tc>
      </w:tr>
      <w:tr w14:paraId="5D4D0DE6">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17" w:hRule="atLeast"/>
          <w:jc w:val="center"/>
        </w:trPr>
        <w:tc>
          <w:tcPr>
            <w:tcW w:w="727" w:type="dxa"/>
            <w:vMerge w:val="restart"/>
            <w:noWrap w:val="0"/>
            <w:vAlign w:val="center"/>
          </w:tcPr>
          <w:p w14:paraId="3B383397">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1</w:t>
            </w:r>
          </w:p>
        </w:tc>
        <w:tc>
          <w:tcPr>
            <w:tcW w:w="1370" w:type="dxa"/>
            <w:vMerge w:val="restart"/>
            <w:noWrap w:val="0"/>
            <w:vAlign w:val="center"/>
          </w:tcPr>
          <w:p w14:paraId="66777FDB">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形式评审标准</w:t>
            </w:r>
          </w:p>
        </w:tc>
        <w:tc>
          <w:tcPr>
            <w:tcW w:w="2595" w:type="dxa"/>
            <w:noWrap w:val="0"/>
            <w:vAlign w:val="center"/>
          </w:tcPr>
          <w:p w14:paraId="645CEAF2">
            <w:pPr>
              <w:keepNext w:val="0"/>
              <w:keepLines w:val="0"/>
              <w:suppressLineNumbers w:val="0"/>
              <w:spacing w:before="24" w:beforeAutospacing="0" w:after="24" w:afterAutospacing="0"/>
              <w:ind w:left="0" w:right="0"/>
              <w:jc w:val="center"/>
              <w:rPr>
                <w:rFonts w:hint="eastAsia" w:ascii="宋体" w:hAnsi="宋体" w:eastAsia="宋体" w:cs="宋体"/>
                <w:color w:val="000000"/>
                <w:kern w:val="0"/>
                <w:szCs w:val="21"/>
                <w:highlight w:val="none"/>
              </w:rPr>
            </w:pPr>
            <w:r>
              <w:rPr>
                <w:rFonts w:hint="eastAsia" w:ascii="宋体" w:hAnsi="宋体" w:eastAsia="宋体" w:cs="宋体"/>
                <w:color w:val="000000"/>
                <w:szCs w:val="21"/>
                <w:highlight w:val="none"/>
              </w:rPr>
              <w:t>投标人名称</w:t>
            </w:r>
          </w:p>
        </w:tc>
        <w:tc>
          <w:tcPr>
            <w:tcW w:w="4973" w:type="dxa"/>
            <w:noWrap w:val="0"/>
            <w:vAlign w:val="center"/>
          </w:tcPr>
          <w:p w14:paraId="0DE9A4CA">
            <w:pPr>
              <w:keepNext w:val="0"/>
              <w:keepLines w:val="0"/>
              <w:suppressLineNumbers w:val="0"/>
              <w:spacing w:before="24" w:beforeAutospacing="0" w:after="24" w:afterAutospacing="0"/>
              <w:ind w:left="0" w:right="0"/>
              <w:jc w:val="left"/>
              <w:rPr>
                <w:rFonts w:hint="eastAsia" w:ascii="宋体" w:hAnsi="宋体" w:eastAsia="宋体" w:cs="宋体"/>
                <w:color w:val="000000"/>
                <w:kern w:val="0"/>
                <w:szCs w:val="21"/>
                <w:highlight w:val="none"/>
              </w:rPr>
            </w:pPr>
            <w:r>
              <w:rPr>
                <w:rFonts w:hint="eastAsia" w:ascii="宋体" w:hAnsi="宋体" w:eastAsia="宋体" w:cs="宋体"/>
                <w:color w:val="000000"/>
                <w:szCs w:val="21"/>
                <w:highlight w:val="none"/>
              </w:rPr>
              <w:t>公章名称与企业营业执照、资质证书（如有）等其他证书一致。</w:t>
            </w:r>
          </w:p>
        </w:tc>
      </w:tr>
      <w:tr w14:paraId="501A84C3">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436" w:hRule="atLeast"/>
          <w:jc w:val="center"/>
        </w:trPr>
        <w:tc>
          <w:tcPr>
            <w:tcW w:w="727" w:type="dxa"/>
            <w:vMerge w:val="continue"/>
            <w:noWrap w:val="0"/>
            <w:vAlign w:val="center"/>
          </w:tcPr>
          <w:p w14:paraId="62581E1E">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000000"/>
                <w:kern w:val="0"/>
                <w:szCs w:val="21"/>
                <w:highlight w:val="none"/>
              </w:rPr>
            </w:pPr>
          </w:p>
        </w:tc>
        <w:tc>
          <w:tcPr>
            <w:tcW w:w="1370" w:type="dxa"/>
            <w:vMerge w:val="continue"/>
            <w:noWrap w:val="0"/>
            <w:vAlign w:val="center"/>
          </w:tcPr>
          <w:p w14:paraId="4D03BCA3">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000000"/>
                <w:kern w:val="0"/>
                <w:szCs w:val="21"/>
                <w:highlight w:val="none"/>
              </w:rPr>
            </w:pPr>
          </w:p>
        </w:tc>
        <w:tc>
          <w:tcPr>
            <w:tcW w:w="2595" w:type="dxa"/>
            <w:noWrap w:val="0"/>
            <w:vAlign w:val="center"/>
          </w:tcPr>
          <w:p w14:paraId="7466AC5E">
            <w:pPr>
              <w:keepNext w:val="0"/>
              <w:keepLines w:val="0"/>
              <w:suppressLineNumbers w:val="0"/>
              <w:spacing w:before="24" w:beforeAutospacing="0" w:after="24" w:afterAutospacing="0"/>
              <w:ind w:left="0" w:right="0"/>
              <w:jc w:val="center"/>
              <w:rPr>
                <w:rFonts w:hint="eastAsia" w:ascii="宋体" w:hAnsi="宋体" w:eastAsia="宋体" w:cs="宋体"/>
                <w:color w:val="000000"/>
                <w:kern w:val="0"/>
                <w:szCs w:val="21"/>
                <w:highlight w:val="none"/>
              </w:rPr>
            </w:pPr>
            <w:r>
              <w:rPr>
                <w:rFonts w:hint="eastAsia" w:ascii="宋体" w:hAnsi="宋体" w:eastAsia="宋体" w:cs="宋体"/>
                <w:color w:val="000000"/>
                <w:szCs w:val="21"/>
                <w:highlight w:val="none"/>
              </w:rPr>
              <w:t>法定代表人（负责人）身份证明</w:t>
            </w:r>
          </w:p>
        </w:tc>
        <w:tc>
          <w:tcPr>
            <w:tcW w:w="4973" w:type="dxa"/>
            <w:noWrap w:val="0"/>
            <w:vAlign w:val="center"/>
          </w:tcPr>
          <w:p w14:paraId="21B74E0E">
            <w:pPr>
              <w:pStyle w:val="142"/>
              <w:keepNext w:val="0"/>
              <w:keepLines w:val="0"/>
              <w:suppressLineNumbers w:val="0"/>
              <w:topLinePunct/>
              <w:spacing w:before="0" w:beforeAutospacing="0" w:after="0" w:afterAutospacing="0" w:line="276" w:lineRule="auto"/>
              <w:ind w:left="0" w:right="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（1）提供法定代表人（负责人）身份证复印件。</w:t>
            </w:r>
          </w:p>
          <w:p w14:paraId="4FF40DEE">
            <w:pPr>
              <w:pStyle w:val="142"/>
              <w:keepNext w:val="0"/>
              <w:keepLines w:val="0"/>
              <w:suppressLineNumbers w:val="0"/>
              <w:topLinePunct/>
              <w:spacing w:before="0" w:beforeAutospacing="0" w:after="0" w:afterAutospacing="0" w:line="276" w:lineRule="auto"/>
              <w:ind w:left="0" w:right="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（2）落款加盖公章。</w:t>
            </w:r>
          </w:p>
        </w:tc>
      </w:tr>
      <w:tr w14:paraId="15F26BDB">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47" w:hRule="atLeast"/>
          <w:jc w:val="center"/>
        </w:trPr>
        <w:tc>
          <w:tcPr>
            <w:tcW w:w="727" w:type="dxa"/>
            <w:vMerge w:val="continue"/>
            <w:noWrap w:val="0"/>
            <w:vAlign w:val="center"/>
          </w:tcPr>
          <w:p w14:paraId="4DAAC3D2">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000000"/>
                <w:kern w:val="0"/>
                <w:szCs w:val="21"/>
                <w:highlight w:val="none"/>
              </w:rPr>
            </w:pPr>
          </w:p>
        </w:tc>
        <w:tc>
          <w:tcPr>
            <w:tcW w:w="1370" w:type="dxa"/>
            <w:vMerge w:val="continue"/>
            <w:noWrap w:val="0"/>
            <w:vAlign w:val="center"/>
          </w:tcPr>
          <w:p w14:paraId="1DCFC5C5">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000000"/>
                <w:kern w:val="0"/>
                <w:szCs w:val="21"/>
                <w:highlight w:val="none"/>
              </w:rPr>
            </w:pPr>
          </w:p>
        </w:tc>
        <w:tc>
          <w:tcPr>
            <w:tcW w:w="2595" w:type="dxa"/>
            <w:noWrap w:val="0"/>
            <w:vAlign w:val="center"/>
          </w:tcPr>
          <w:p w14:paraId="45443E33">
            <w:pPr>
              <w:keepNext w:val="0"/>
              <w:keepLines w:val="0"/>
              <w:suppressLineNumbers w:val="0"/>
              <w:spacing w:before="24" w:beforeAutospacing="0" w:after="24" w:afterAutospacing="0"/>
              <w:ind w:left="0" w:right="0"/>
              <w:jc w:val="center"/>
              <w:rPr>
                <w:rFonts w:hint="eastAsia" w:ascii="宋体" w:hAnsi="宋体" w:eastAsia="宋体" w:cs="宋体"/>
                <w:color w:val="000000"/>
                <w:spacing w:val="-4"/>
                <w:kern w:val="0"/>
                <w:szCs w:val="21"/>
                <w:highlight w:val="none"/>
              </w:rPr>
            </w:pPr>
            <w:r>
              <w:rPr>
                <w:rFonts w:hint="eastAsia" w:ascii="宋体" w:hAnsi="宋体" w:eastAsia="宋体" w:cs="宋体"/>
                <w:color w:val="000000"/>
                <w:szCs w:val="21"/>
                <w:highlight w:val="none"/>
              </w:rPr>
              <w:t>法定代表人（负责人）授权委托书</w:t>
            </w:r>
          </w:p>
        </w:tc>
        <w:tc>
          <w:tcPr>
            <w:tcW w:w="4973" w:type="dxa"/>
            <w:noWrap w:val="0"/>
            <w:vAlign w:val="center"/>
          </w:tcPr>
          <w:p w14:paraId="7B38001D">
            <w:pPr>
              <w:pStyle w:val="142"/>
              <w:keepNext w:val="0"/>
              <w:keepLines w:val="0"/>
              <w:suppressLineNumbers w:val="0"/>
              <w:topLinePunct/>
              <w:spacing w:before="0" w:beforeAutospacing="0" w:after="0" w:afterAutospacing="0" w:line="276" w:lineRule="auto"/>
              <w:ind w:left="0" w:right="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（1）提供委托代理人身份证复印件。</w:t>
            </w:r>
          </w:p>
          <w:p w14:paraId="02CE23D0">
            <w:pPr>
              <w:pStyle w:val="142"/>
              <w:keepNext w:val="0"/>
              <w:keepLines w:val="0"/>
              <w:suppressLineNumbers w:val="0"/>
              <w:topLinePunct/>
              <w:spacing w:before="0" w:beforeAutospacing="0" w:after="0" w:afterAutospacing="0" w:line="276" w:lineRule="auto"/>
              <w:ind w:left="0" w:right="0"/>
              <w:rPr>
                <w:rFonts w:hint="eastAsia" w:ascii="宋体" w:hAnsi="宋体" w:eastAsia="宋体" w:cs="宋体"/>
                <w:szCs w:val="21"/>
                <w:highlight w:val="none"/>
              </w:rPr>
            </w:pPr>
            <w:r>
              <w:rPr>
                <w:rFonts w:hint="eastAsia" w:ascii="宋体" w:hAnsi="宋体" w:eastAsia="宋体" w:cs="宋体"/>
                <w:color w:val="000000"/>
                <w:sz w:val="22"/>
                <w:szCs w:val="20"/>
                <w:highlight w:val="none"/>
              </w:rPr>
              <w:t>（2）落款</w:t>
            </w:r>
            <w:r>
              <w:rPr>
                <w:rFonts w:hint="eastAsia" w:ascii="宋体" w:hAnsi="宋体" w:eastAsia="宋体" w:cs="宋体"/>
                <w:bCs/>
                <w:color w:val="000000"/>
                <w:sz w:val="22"/>
                <w:szCs w:val="20"/>
                <w:highlight w:val="none"/>
              </w:rPr>
              <w:t>加盖公章</w:t>
            </w:r>
            <w:r>
              <w:rPr>
                <w:rFonts w:hint="eastAsia" w:ascii="宋体" w:hAnsi="宋体" w:eastAsia="宋体" w:cs="宋体"/>
                <w:b/>
                <w:bCs/>
                <w:color w:val="000000"/>
                <w:sz w:val="22"/>
                <w:szCs w:val="20"/>
                <w:highlight w:val="none"/>
              </w:rPr>
              <w:t>并由</w:t>
            </w:r>
            <w:r>
              <w:rPr>
                <w:rFonts w:hint="eastAsia" w:ascii="宋体" w:hAnsi="宋体" w:eastAsia="宋体" w:cs="宋体"/>
                <w:color w:val="000000"/>
                <w:sz w:val="22"/>
                <w:szCs w:val="20"/>
                <w:highlight w:val="none"/>
              </w:rPr>
              <w:t>法定代表人（负责人）签字</w:t>
            </w:r>
            <w:r>
              <w:rPr>
                <w:rFonts w:hint="eastAsia" w:ascii="宋体" w:hAnsi="宋体" w:eastAsia="宋体" w:cs="宋体"/>
                <w:b/>
                <w:bCs/>
                <w:color w:val="000000"/>
                <w:sz w:val="22"/>
                <w:szCs w:val="20"/>
                <w:highlight w:val="none"/>
              </w:rPr>
              <w:t>和</w:t>
            </w:r>
            <w:r>
              <w:rPr>
                <w:rFonts w:hint="eastAsia" w:ascii="宋体" w:hAnsi="宋体" w:eastAsia="宋体" w:cs="宋体"/>
                <w:color w:val="000000"/>
                <w:sz w:val="22"/>
                <w:szCs w:val="20"/>
                <w:highlight w:val="none"/>
              </w:rPr>
              <w:t>其委托代理人</w:t>
            </w:r>
            <w:r>
              <w:rPr>
                <w:rFonts w:hint="eastAsia" w:ascii="宋体" w:hAnsi="宋体" w:eastAsia="宋体" w:cs="宋体"/>
                <w:b/>
                <w:bCs/>
                <w:color w:val="000000"/>
                <w:sz w:val="22"/>
                <w:szCs w:val="20"/>
                <w:highlight w:val="none"/>
              </w:rPr>
              <w:t>双方</w:t>
            </w:r>
            <w:r>
              <w:rPr>
                <w:rFonts w:hint="eastAsia" w:ascii="宋体" w:hAnsi="宋体" w:eastAsia="宋体" w:cs="宋体"/>
                <w:bCs/>
                <w:color w:val="000000"/>
                <w:sz w:val="22"/>
                <w:szCs w:val="20"/>
                <w:highlight w:val="none"/>
              </w:rPr>
              <w:t>签字。</w:t>
            </w:r>
          </w:p>
        </w:tc>
      </w:tr>
      <w:tr w14:paraId="4E81F525">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47" w:hRule="atLeast"/>
          <w:jc w:val="center"/>
        </w:trPr>
        <w:tc>
          <w:tcPr>
            <w:tcW w:w="727" w:type="dxa"/>
            <w:vMerge w:val="continue"/>
            <w:noWrap w:val="0"/>
            <w:vAlign w:val="center"/>
          </w:tcPr>
          <w:p w14:paraId="4EA1DDDF">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000000"/>
                <w:kern w:val="0"/>
                <w:szCs w:val="21"/>
                <w:highlight w:val="none"/>
              </w:rPr>
            </w:pPr>
          </w:p>
        </w:tc>
        <w:tc>
          <w:tcPr>
            <w:tcW w:w="1370" w:type="dxa"/>
            <w:vMerge w:val="continue"/>
            <w:noWrap w:val="0"/>
            <w:vAlign w:val="center"/>
          </w:tcPr>
          <w:p w14:paraId="5E7B429F">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000000"/>
                <w:kern w:val="0"/>
                <w:szCs w:val="21"/>
                <w:highlight w:val="none"/>
              </w:rPr>
            </w:pPr>
          </w:p>
        </w:tc>
        <w:tc>
          <w:tcPr>
            <w:tcW w:w="2595" w:type="dxa"/>
            <w:noWrap w:val="0"/>
            <w:vAlign w:val="center"/>
          </w:tcPr>
          <w:p w14:paraId="077017D8">
            <w:pPr>
              <w:keepNext w:val="0"/>
              <w:keepLines w:val="0"/>
              <w:suppressLineNumbers w:val="0"/>
              <w:spacing w:before="24" w:beforeAutospacing="0" w:after="24" w:afterAutospacing="0"/>
              <w:ind w:left="0" w:right="0"/>
              <w:jc w:val="center"/>
              <w:rPr>
                <w:rFonts w:hint="eastAsia" w:ascii="宋体" w:hAnsi="宋体" w:eastAsia="宋体" w:cs="宋体"/>
                <w:color w:val="000000"/>
                <w:kern w:val="0"/>
                <w:szCs w:val="21"/>
                <w:highlight w:val="none"/>
              </w:rPr>
            </w:pPr>
            <w:r>
              <w:rPr>
                <w:rFonts w:hint="eastAsia" w:ascii="宋体" w:hAnsi="宋体" w:eastAsia="宋体" w:cs="宋体"/>
                <w:color w:val="000000"/>
                <w:szCs w:val="21"/>
                <w:highlight w:val="none"/>
              </w:rPr>
              <w:t>投标文件的签字、盖章</w:t>
            </w:r>
          </w:p>
        </w:tc>
        <w:tc>
          <w:tcPr>
            <w:tcW w:w="4973" w:type="dxa"/>
            <w:noWrap w:val="0"/>
            <w:vAlign w:val="center"/>
          </w:tcPr>
          <w:p w14:paraId="01B9BC67">
            <w:pPr>
              <w:pStyle w:val="13"/>
              <w:keepNext w:val="0"/>
              <w:keepLines w:val="0"/>
              <w:suppressLineNumbers w:val="0"/>
              <w:spacing w:before="0" w:beforeAutospacing="0" w:after="0" w:afterAutospacing="0" w:line="240" w:lineRule="auto"/>
              <w:ind w:left="0" w:right="0"/>
              <w:rPr>
                <w:rFonts w:hint="eastAsia" w:ascii="宋体" w:hAnsi="宋体" w:eastAsia="宋体" w:cs="宋体"/>
                <w:szCs w:val="20"/>
                <w:highlight w:val="none"/>
              </w:rPr>
            </w:pPr>
            <w:r>
              <w:rPr>
                <w:rFonts w:hint="eastAsia" w:ascii="宋体" w:hAnsi="宋体" w:eastAsia="宋体" w:cs="宋体"/>
                <w:color w:val="000000"/>
                <w:szCs w:val="21"/>
                <w:highlight w:val="none"/>
              </w:rPr>
              <w:t>（1）</w:t>
            </w:r>
            <w:r>
              <w:rPr>
                <w:rFonts w:hint="eastAsia" w:ascii="宋体" w:hAnsi="宋体" w:eastAsia="宋体" w:cs="宋体"/>
                <w:szCs w:val="20"/>
                <w:highlight w:val="none"/>
              </w:rPr>
              <w:t>投标文件格式中其他有落款的文件，均需加盖公章。</w:t>
            </w:r>
          </w:p>
          <w:p w14:paraId="5AC63401">
            <w:pPr>
              <w:pStyle w:val="13"/>
              <w:keepNext w:val="0"/>
              <w:keepLines w:val="0"/>
              <w:suppressLineNumbers w:val="0"/>
              <w:spacing w:before="0" w:beforeAutospacing="0" w:after="0" w:afterAutospacing="0" w:line="240" w:lineRule="auto"/>
              <w:ind w:left="0" w:right="0"/>
              <w:rPr>
                <w:rFonts w:hint="eastAsia" w:ascii="宋体" w:hAnsi="宋体" w:eastAsia="宋体" w:cs="宋体"/>
                <w:szCs w:val="20"/>
                <w:highlight w:val="none"/>
              </w:rPr>
            </w:pPr>
            <w:r>
              <w:rPr>
                <w:rFonts w:hint="eastAsia" w:ascii="宋体" w:hAnsi="宋体" w:eastAsia="宋体" w:cs="宋体"/>
                <w:szCs w:val="20"/>
                <w:highlight w:val="none"/>
              </w:rPr>
              <w:t>（2）投标文件的所有签字处均指手写签字或签名章</w:t>
            </w:r>
            <w:r>
              <w:rPr>
                <w:rFonts w:hint="eastAsia" w:ascii="宋体" w:hAnsi="宋体" w:eastAsia="宋体" w:cs="宋体"/>
                <w:szCs w:val="20"/>
                <w:highlight w:val="none"/>
                <w:lang w:val="en-US" w:eastAsia="zh-CN"/>
              </w:rPr>
              <w:t>或</w:t>
            </w:r>
            <w:r>
              <w:rPr>
                <w:rFonts w:hint="eastAsia" w:ascii="宋体" w:hAnsi="宋体" w:eastAsia="宋体" w:cs="宋体"/>
                <w:szCs w:val="20"/>
                <w:highlight w:val="none"/>
              </w:rPr>
              <w:t>印章，不得以打印体代替。</w:t>
            </w:r>
          </w:p>
        </w:tc>
      </w:tr>
      <w:tr w14:paraId="1BD92873">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361" w:hRule="atLeast"/>
          <w:jc w:val="center"/>
        </w:trPr>
        <w:tc>
          <w:tcPr>
            <w:tcW w:w="727" w:type="dxa"/>
            <w:vMerge w:val="restart"/>
            <w:noWrap w:val="0"/>
            <w:vAlign w:val="center"/>
          </w:tcPr>
          <w:p w14:paraId="15CEE488">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2</w:t>
            </w:r>
          </w:p>
        </w:tc>
        <w:tc>
          <w:tcPr>
            <w:tcW w:w="1370" w:type="dxa"/>
            <w:vMerge w:val="restart"/>
            <w:noWrap w:val="0"/>
            <w:vAlign w:val="center"/>
          </w:tcPr>
          <w:p w14:paraId="14F10CB1">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资格评审标准</w:t>
            </w:r>
          </w:p>
        </w:tc>
        <w:tc>
          <w:tcPr>
            <w:tcW w:w="2595" w:type="dxa"/>
            <w:noWrap w:val="0"/>
            <w:vAlign w:val="center"/>
          </w:tcPr>
          <w:p w14:paraId="78961CE2">
            <w:pPr>
              <w:keepNext w:val="0"/>
              <w:keepLines w:val="0"/>
              <w:suppressLineNumbers w:val="0"/>
              <w:spacing w:before="24" w:beforeAutospacing="0" w:after="24" w:afterAutospacing="0"/>
              <w:ind w:left="0" w:right="0"/>
              <w:jc w:val="center"/>
              <w:rPr>
                <w:rFonts w:hint="eastAsia" w:ascii="宋体" w:hAnsi="宋体" w:eastAsia="宋体" w:cs="宋体"/>
                <w:color w:val="000000"/>
                <w:kern w:val="0"/>
                <w:szCs w:val="21"/>
                <w:highlight w:val="none"/>
              </w:rPr>
            </w:pPr>
            <w:r>
              <w:rPr>
                <w:rFonts w:hint="eastAsia" w:ascii="宋体" w:hAnsi="宋体" w:eastAsia="宋体" w:cs="宋体"/>
                <w:color w:val="000000"/>
                <w:szCs w:val="21"/>
                <w:highlight w:val="none"/>
              </w:rPr>
              <w:t>营业执照</w:t>
            </w:r>
          </w:p>
        </w:tc>
        <w:tc>
          <w:tcPr>
            <w:tcW w:w="4973" w:type="dxa"/>
            <w:noWrap w:val="0"/>
            <w:vAlign w:val="top"/>
          </w:tcPr>
          <w:p w14:paraId="5C768311">
            <w:pPr>
              <w:keepNext w:val="0"/>
              <w:keepLines w:val="0"/>
              <w:suppressLineNumbers w:val="0"/>
              <w:spacing w:before="24" w:beforeAutospacing="0" w:after="24" w:afterAutospacing="0"/>
              <w:ind w:left="0" w:right="0"/>
              <w:jc w:val="left"/>
              <w:rPr>
                <w:rFonts w:hint="eastAsia" w:ascii="宋体" w:hAnsi="宋体" w:eastAsia="宋体" w:cs="宋体"/>
                <w:color w:val="000000"/>
                <w:szCs w:val="21"/>
                <w:highlight w:val="none"/>
                <w:lang w:eastAsia="zh-CN"/>
              </w:rPr>
            </w:pPr>
            <w:r>
              <w:rPr>
                <w:rFonts w:hint="eastAsia" w:ascii="宋体" w:hAnsi="宋体" w:cs="宋体"/>
                <w:b w:val="0"/>
                <w:bCs w:val="0"/>
                <w:sz w:val="21"/>
                <w:szCs w:val="20"/>
                <w:highlight w:val="none"/>
                <w:lang w:eastAsia="zh-CN"/>
              </w:rPr>
              <w:t>在中华人民共和国境内依法登记的法人或其他组织，具有独立承担民事责任的能力，投标人如为企业法人，须提供企业法人营业执照（复印件）；投标人如为事业单位或其他组织，须提供事业单位法人证书或登记证或组织机构代码证或其他有效证明文件（复印件）。</w:t>
            </w:r>
          </w:p>
        </w:tc>
      </w:tr>
      <w:tr w14:paraId="2A9396FA">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361" w:hRule="atLeast"/>
          <w:jc w:val="center"/>
        </w:trPr>
        <w:tc>
          <w:tcPr>
            <w:tcW w:w="727" w:type="dxa"/>
            <w:vMerge w:val="continue"/>
            <w:noWrap w:val="0"/>
            <w:vAlign w:val="center"/>
          </w:tcPr>
          <w:p w14:paraId="79E941B4">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000000"/>
                <w:kern w:val="0"/>
                <w:szCs w:val="21"/>
                <w:highlight w:val="none"/>
              </w:rPr>
            </w:pPr>
          </w:p>
        </w:tc>
        <w:tc>
          <w:tcPr>
            <w:tcW w:w="1370" w:type="dxa"/>
            <w:vMerge w:val="continue"/>
            <w:noWrap w:val="0"/>
            <w:vAlign w:val="center"/>
          </w:tcPr>
          <w:p w14:paraId="2CE5380A">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000000"/>
                <w:kern w:val="0"/>
                <w:szCs w:val="21"/>
                <w:highlight w:val="none"/>
              </w:rPr>
            </w:pPr>
          </w:p>
        </w:tc>
        <w:tc>
          <w:tcPr>
            <w:tcW w:w="2595" w:type="dxa"/>
            <w:noWrap w:val="0"/>
            <w:vAlign w:val="center"/>
          </w:tcPr>
          <w:p w14:paraId="21FA9F80">
            <w:pPr>
              <w:keepNext w:val="0"/>
              <w:keepLines w:val="0"/>
              <w:suppressLineNumbers w:val="0"/>
              <w:spacing w:before="24" w:beforeAutospacing="0" w:after="24" w:afterAutospacing="0"/>
              <w:ind w:left="0" w:right="0"/>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无违法违规记录</w:t>
            </w:r>
          </w:p>
        </w:tc>
        <w:tc>
          <w:tcPr>
            <w:tcW w:w="4973" w:type="dxa"/>
            <w:noWrap w:val="0"/>
            <w:vAlign w:val="top"/>
          </w:tcPr>
          <w:p w14:paraId="4523A959">
            <w:pPr>
              <w:keepNext w:val="0"/>
              <w:keepLines w:val="0"/>
              <w:suppressLineNumbers w:val="0"/>
              <w:spacing w:before="0" w:beforeAutospacing="0" w:after="0" w:afterAutospacing="0"/>
              <w:ind w:left="0" w:right="0"/>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投标人应经营状况良好，且近三年内（2022年1月1日至投标文件提交截止之日）无违法违规记录。违法违规记录是指被“信用中国”列入失信被执行人、重大税收违法失信主体、政府采购严重违法失信行为记录名单。（投标人需提供自招标公告发布之日至投标文件提交截止之日期间对以上三项内容的查询截图。）</w:t>
            </w:r>
          </w:p>
        </w:tc>
      </w:tr>
      <w:tr w14:paraId="463C1F51">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376" w:hRule="atLeast"/>
          <w:jc w:val="center"/>
        </w:trPr>
        <w:tc>
          <w:tcPr>
            <w:tcW w:w="727" w:type="dxa"/>
            <w:vMerge w:val="continue"/>
            <w:noWrap w:val="0"/>
            <w:vAlign w:val="center"/>
          </w:tcPr>
          <w:p w14:paraId="4FA2DEE0">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000000"/>
                <w:kern w:val="0"/>
                <w:szCs w:val="21"/>
                <w:highlight w:val="none"/>
              </w:rPr>
            </w:pPr>
          </w:p>
        </w:tc>
        <w:tc>
          <w:tcPr>
            <w:tcW w:w="1370" w:type="dxa"/>
            <w:vMerge w:val="continue"/>
            <w:noWrap w:val="0"/>
            <w:vAlign w:val="center"/>
          </w:tcPr>
          <w:p w14:paraId="281AE536">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000000"/>
                <w:kern w:val="0"/>
                <w:szCs w:val="21"/>
                <w:highlight w:val="none"/>
              </w:rPr>
            </w:pPr>
          </w:p>
        </w:tc>
        <w:tc>
          <w:tcPr>
            <w:tcW w:w="2595" w:type="dxa"/>
            <w:noWrap w:val="0"/>
            <w:vAlign w:val="center"/>
          </w:tcPr>
          <w:p w14:paraId="0C089F42">
            <w:pPr>
              <w:keepNext w:val="0"/>
              <w:keepLines w:val="0"/>
              <w:suppressLineNumbers w:val="0"/>
              <w:spacing w:before="24" w:beforeAutospacing="0" w:after="24" w:afterAutospacing="0"/>
              <w:ind w:left="0" w:right="0"/>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未被列入黑名单</w:t>
            </w:r>
          </w:p>
        </w:tc>
        <w:tc>
          <w:tcPr>
            <w:tcW w:w="4973" w:type="dxa"/>
            <w:noWrap w:val="0"/>
            <w:vAlign w:val="center"/>
          </w:tcPr>
          <w:p w14:paraId="2B0C0FB8">
            <w:pPr>
              <w:keepNext w:val="0"/>
              <w:keepLines w:val="0"/>
              <w:suppressLineNumbers w:val="0"/>
              <w:spacing w:before="24" w:beforeAutospacing="0" w:after="24" w:afterAutospacing="0"/>
              <w:ind w:left="0" w:right="0"/>
              <w:jc w:val="left"/>
              <w:rPr>
                <w:rFonts w:hint="eastAsia" w:ascii="宋体" w:hAnsi="宋体" w:eastAsia="宋体" w:cs="宋体"/>
                <w:color w:val="000000"/>
                <w:szCs w:val="21"/>
                <w:highlight w:val="none"/>
                <w:lang w:eastAsia="zh-CN"/>
              </w:rPr>
            </w:pPr>
            <w:r>
              <w:rPr>
                <w:rFonts w:hint="eastAsia" w:ascii="宋体" w:hAnsi="宋体" w:cs="宋体"/>
                <w:b w:val="0"/>
                <w:sz w:val="21"/>
                <w:szCs w:val="20"/>
                <w:highlight w:val="none"/>
                <w:lang w:eastAsia="zh-CN"/>
              </w:rPr>
              <w:t>严禁列入招标人及其所隶属的中国人民保险各级机构的供应商黑名单且在禁入期内的供应商参与采购活动。（</w:t>
            </w:r>
            <w:r>
              <w:rPr>
                <w:rFonts w:hint="eastAsia" w:ascii="宋体" w:hAnsi="宋体" w:cs="宋体"/>
                <w:b w:val="0"/>
                <w:sz w:val="21"/>
                <w:szCs w:val="20"/>
                <w:highlight w:val="none"/>
                <w:lang w:val="en-US" w:eastAsia="zh-CN"/>
              </w:rPr>
              <w:t>提供承诺书</w:t>
            </w:r>
            <w:r>
              <w:rPr>
                <w:rFonts w:hint="eastAsia" w:ascii="宋体" w:hAnsi="宋体" w:cs="宋体"/>
                <w:b w:val="0"/>
                <w:sz w:val="21"/>
                <w:szCs w:val="20"/>
                <w:highlight w:val="none"/>
                <w:lang w:eastAsia="zh-CN"/>
              </w:rPr>
              <w:t>）</w:t>
            </w:r>
          </w:p>
        </w:tc>
      </w:tr>
      <w:tr w14:paraId="7AEEBED7">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376" w:hRule="atLeast"/>
          <w:jc w:val="center"/>
        </w:trPr>
        <w:tc>
          <w:tcPr>
            <w:tcW w:w="727" w:type="dxa"/>
            <w:vMerge w:val="continue"/>
            <w:noWrap w:val="0"/>
            <w:vAlign w:val="center"/>
          </w:tcPr>
          <w:p w14:paraId="12F30A71">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000000"/>
                <w:kern w:val="0"/>
                <w:szCs w:val="21"/>
                <w:highlight w:val="none"/>
              </w:rPr>
            </w:pPr>
          </w:p>
        </w:tc>
        <w:tc>
          <w:tcPr>
            <w:tcW w:w="1370" w:type="dxa"/>
            <w:vMerge w:val="continue"/>
            <w:noWrap w:val="0"/>
            <w:vAlign w:val="center"/>
          </w:tcPr>
          <w:p w14:paraId="368F2C52">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000000"/>
                <w:kern w:val="0"/>
                <w:szCs w:val="21"/>
                <w:highlight w:val="none"/>
              </w:rPr>
            </w:pPr>
          </w:p>
        </w:tc>
        <w:tc>
          <w:tcPr>
            <w:tcW w:w="2595" w:type="dxa"/>
            <w:noWrap w:val="0"/>
            <w:vAlign w:val="center"/>
          </w:tcPr>
          <w:p w14:paraId="7A8D5B9B">
            <w:pPr>
              <w:keepNext w:val="0"/>
              <w:keepLines w:val="0"/>
              <w:suppressLineNumbers w:val="0"/>
              <w:spacing w:before="24" w:beforeAutospacing="0" w:after="24" w:afterAutospacing="0"/>
              <w:ind w:left="0" w:right="0"/>
              <w:jc w:val="center"/>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控股及管理关系</w:t>
            </w:r>
          </w:p>
        </w:tc>
        <w:tc>
          <w:tcPr>
            <w:tcW w:w="4973" w:type="dxa"/>
            <w:noWrap w:val="0"/>
            <w:vAlign w:val="center"/>
          </w:tcPr>
          <w:p w14:paraId="4E7BB521">
            <w:pPr>
              <w:keepNext w:val="0"/>
              <w:keepLines w:val="0"/>
              <w:suppressLineNumbers w:val="0"/>
              <w:spacing w:before="24" w:beforeAutospacing="0" w:after="24" w:afterAutospacing="0"/>
              <w:ind w:left="0" w:right="0"/>
              <w:jc w:val="left"/>
              <w:rPr>
                <w:rFonts w:hint="eastAsia" w:ascii="宋体" w:hAnsi="宋体" w:eastAsia="宋体" w:cs="宋体"/>
                <w:color w:val="000000"/>
                <w:kern w:val="0"/>
                <w:szCs w:val="21"/>
                <w:highlight w:val="none"/>
                <w:lang w:eastAsia="zh-CN"/>
              </w:rPr>
            </w:pPr>
            <w:r>
              <w:rPr>
                <w:rFonts w:hint="eastAsia" w:ascii="宋体" w:hAnsi="宋体" w:eastAsia="宋体" w:cs="宋体"/>
                <w:sz w:val="21"/>
                <w:szCs w:val="20"/>
                <w:highlight w:val="none"/>
              </w:rPr>
              <w:t>单位负责人为同一人或存在控股、管理关系的不同单位，不得参加同一标段/标包投标或未划分标段/标包的同一招标项目投标，需填写《投标人控股及管理关系情况申报表》</w:t>
            </w:r>
            <w:r>
              <w:rPr>
                <w:rFonts w:hint="eastAsia" w:ascii="宋体" w:hAnsi="宋体" w:eastAsia="宋体" w:cs="宋体"/>
                <w:sz w:val="21"/>
                <w:szCs w:val="20"/>
                <w:highlight w:val="none"/>
                <w:lang w:eastAsia="zh-CN"/>
              </w:rPr>
              <w:t>。</w:t>
            </w:r>
          </w:p>
        </w:tc>
      </w:tr>
      <w:tr w14:paraId="1A3C074D">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376" w:hRule="atLeast"/>
          <w:jc w:val="center"/>
        </w:trPr>
        <w:tc>
          <w:tcPr>
            <w:tcW w:w="727" w:type="dxa"/>
            <w:vMerge w:val="continue"/>
            <w:noWrap w:val="0"/>
            <w:vAlign w:val="center"/>
          </w:tcPr>
          <w:p w14:paraId="1E60B928">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000000"/>
                <w:kern w:val="0"/>
                <w:szCs w:val="21"/>
                <w:highlight w:val="none"/>
              </w:rPr>
            </w:pPr>
          </w:p>
        </w:tc>
        <w:tc>
          <w:tcPr>
            <w:tcW w:w="1370" w:type="dxa"/>
            <w:vMerge w:val="continue"/>
            <w:noWrap w:val="0"/>
            <w:vAlign w:val="center"/>
          </w:tcPr>
          <w:p w14:paraId="1A63E18A">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000000"/>
                <w:kern w:val="0"/>
                <w:szCs w:val="21"/>
                <w:highlight w:val="none"/>
              </w:rPr>
            </w:pPr>
          </w:p>
        </w:tc>
        <w:tc>
          <w:tcPr>
            <w:tcW w:w="2595" w:type="dxa"/>
            <w:noWrap w:val="0"/>
            <w:vAlign w:val="center"/>
          </w:tcPr>
          <w:p w14:paraId="7F91B1DD">
            <w:pPr>
              <w:keepNext w:val="0"/>
              <w:keepLines w:val="0"/>
              <w:suppressLineNumbers w:val="0"/>
              <w:spacing w:before="24" w:beforeAutospacing="0" w:after="24" w:afterAutospacing="0"/>
              <w:ind w:left="0" w:leftChars="0" w:right="0" w:rightChars="0"/>
              <w:jc w:val="center"/>
              <w:rPr>
                <w:rFonts w:hint="eastAsia" w:ascii="宋体" w:hAnsi="宋体" w:eastAsia="宋体" w:cs="宋体"/>
                <w:color w:val="000000"/>
                <w:szCs w:val="21"/>
                <w:highlight w:val="none"/>
              </w:rPr>
            </w:pPr>
            <w:r>
              <w:rPr>
                <w:rFonts w:hint="eastAsia" w:ascii="宋体" w:hAnsi="宋体" w:eastAsia="宋体" w:cs="宋体"/>
                <w:szCs w:val="20"/>
                <w:highlight w:val="none"/>
                <w:lang w:val="en-US" w:eastAsia="zh-CN"/>
              </w:rPr>
              <w:t>专业技术能力</w:t>
            </w:r>
          </w:p>
        </w:tc>
        <w:tc>
          <w:tcPr>
            <w:tcW w:w="4973" w:type="dxa"/>
            <w:noWrap w:val="0"/>
            <w:vAlign w:val="top"/>
          </w:tcPr>
          <w:p w14:paraId="605CE24C">
            <w:pPr>
              <w:keepNext w:val="0"/>
              <w:keepLines w:val="0"/>
              <w:suppressLineNumbers w:val="0"/>
              <w:spacing w:before="24" w:beforeAutospacing="0" w:after="24" w:afterAutospacing="0"/>
              <w:ind w:left="0" w:leftChars="0" w:right="0" w:rightChars="0"/>
              <w:jc w:val="left"/>
              <w:rPr>
                <w:rFonts w:hint="eastAsia" w:ascii="宋体" w:hAnsi="宋体" w:eastAsia="宋体" w:cs="宋体"/>
                <w:sz w:val="21"/>
                <w:szCs w:val="20"/>
                <w:highlight w:val="none"/>
                <w:lang w:eastAsia="zh-CN"/>
              </w:rPr>
            </w:pPr>
            <w:r>
              <w:rPr>
                <w:rFonts w:hint="eastAsia" w:ascii="宋体" w:hAnsi="宋体" w:eastAsia="宋体" w:cs="宋体"/>
                <w:b w:val="0"/>
                <w:sz w:val="21"/>
                <w:szCs w:val="20"/>
                <w:highlight w:val="none"/>
              </w:rPr>
              <w:t>投标人应具有履行合同所必需的设备和专业技术能力</w:t>
            </w:r>
            <w:r>
              <w:rPr>
                <w:rFonts w:hint="eastAsia" w:ascii="宋体" w:hAnsi="宋体" w:cs="宋体"/>
                <w:b w:val="0"/>
                <w:sz w:val="21"/>
                <w:szCs w:val="20"/>
                <w:highlight w:val="none"/>
                <w:lang w:eastAsia="zh-CN"/>
              </w:rPr>
              <w:t>。（</w:t>
            </w:r>
            <w:r>
              <w:rPr>
                <w:rFonts w:hint="eastAsia" w:ascii="宋体" w:hAnsi="宋体" w:cs="宋体"/>
                <w:b w:val="0"/>
                <w:sz w:val="21"/>
                <w:szCs w:val="20"/>
                <w:highlight w:val="none"/>
                <w:lang w:val="en-US" w:eastAsia="zh-CN"/>
              </w:rPr>
              <w:t>提供承诺书</w:t>
            </w:r>
            <w:r>
              <w:rPr>
                <w:rFonts w:hint="eastAsia" w:ascii="宋体" w:hAnsi="宋体" w:cs="宋体"/>
                <w:b w:val="0"/>
                <w:sz w:val="21"/>
                <w:szCs w:val="20"/>
                <w:highlight w:val="none"/>
                <w:lang w:eastAsia="zh-CN"/>
              </w:rPr>
              <w:t>）</w:t>
            </w:r>
          </w:p>
        </w:tc>
      </w:tr>
      <w:tr w14:paraId="1E4BE190">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376" w:hRule="atLeast"/>
          <w:jc w:val="center"/>
        </w:trPr>
        <w:tc>
          <w:tcPr>
            <w:tcW w:w="727" w:type="dxa"/>
            <w:vMerge w:val="continue"/>
            <w:noWrap w:val="0"/>
            <w:vAlign w:val="center"/>
          </w:tcPr>
          <w:p w14:paraId="1B0B02C8">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000000"/>
                <w:kern w:val="0"/>
                <w:szCs w:val="21"/>
                <w:highlight w:val="none"/>
              </w:rPr>
            </w:pPr>
          </w:p>
        </w:tc>
        <w:tc>
          <w:tcPr>
            <w:tcW w:w="1370" w:type="dxa"/>
            <w:vMerge w:val="continue"/>
            <w:noWrap w:val="0"/>
            <w:vAlign w:val="center"/>
          </w:tcPr>
          <w:p w14:paraId="6D53A5DF">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000000"/>
                <w:kern w:val="0"/>
                <w:szCs w:val="21"/>
                <w:highlight w:val="none"/>
              </w:rPr>
            </w:pPr>
          </w:p>
        </w:tc>
        <w:tc>
          <w:tcPr>
            <w:tcW w:w="2595" w:type="dxa"/>
            <w:noWrap w:val="0"/>
            <w:vAlign w:val="center"/>
          </w:tcPr>
          <w:p w14:paraId="703E605E">
            <w:pPr>
              <w:keepNext w:val="0"/>
              <w:keepLines w:val="0"/>
              <w:suppressLineNumbers w:val="0"/>
              <w:spacing w:before="24" w:beforeAutospacing="0" w:after="24" w:afterAutospacing="0"/>
              <w:ind w:left="0" w:leftChars="0" w:right="0" w:rightChars="0" w:firstLine="0" w:firstLineChars="0"/>
              <w:jc w:val="center"/>
              <w:rPr>
                <w:rFonts w:hint="eastAsia" w:ascii="宋体" w:hAnsi="宋体" w:eastAsia="宋体" w:cs="宋体"/>
                <w:szCs w:val="20"/>
                <w:highlight w:val="none"/>
                <w:lang w:val="en-US" w:eastAsia="zh-CN"/>
              </w:rPr>
            </w:pPr>
            <w:r>
              <w:rPr>
                <w:rFonts w:hint="eastAsia" w:ascii="宋体" w:hAnsi="宋体" w:eastAsia="宋体" w:cs="宋体"/>
                <w:sz w:val="21"/>
                <w:szCs w:val="20"/>
                <w:highlight w:val="none"/>
              </w:rPr>
              <w:t>联合体投标</w:t>
            </w:r>
          </w:p>
        </w:tc>
        <w:tc>
          <w:tcPr>
            <w:tcW w:w="4973" w:type="dxa"/>
            <w:noWrap w:val="0"/>
            <w:vAlign w:val="center"/>
          </w:tcPr>
          <w:p w14:paraId="2324204D">
            <w:pPr>
              <w:keepNext w:val="0"/>
              <w:keepLines w:val="0"/>
              <w:suppressLineNumbers w:val="0"/>
              <w:spacing w:before="24" w:beforeAutospacing="0" w:after="24" w:afterAutospacing="0"/>
              <w:ind w:left="0" w:right="0"/>
              <w:jc w:val="left"/>
              <w:rPr>
                <w:rFonts w:hint="eastAsia" w:ascii="宋体" w:hAnsi="宋体" w:eastAsia="宋体" w:cs="宋体"/>
                <w:kern w:val="2"/>
                <w:szCs w:val="20"/>
                <w:highlight w:val="none"/>
              </w:rPr>
            </w:pPr>
            <w:r>
              <w:rPr>
                <w:rFonts w:hint="eastAsia" w:ascii="宋体" w:hAnsi="宋体" w:cs="宋体"/>
                <w:sz w:val="21"/>
                <w:szCs w:val="20"/>
                <w:highlight w:val="none"/>
                <w:lang w:eastAsia="zh-CN"/>
              </w:rPr>
              <w:t>本次招标不接受联合体投标。</w:t>
            </w:r>
          </w:p>
        </w:tc>
      </w:tr>
      <w:tr w14:paraId="258D6BCF">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376" w:hRule="atLeast"/>
          <w:jc w:val="center"/>
        </w:trPr>
        <w:tc>
          <w:tcPr>
            <w:tcW w:w="727" w:type="dxa"/>
            <w:vMerge w:val="continue"/>
            <w:noWrap w:val="0"/>
            <w:vAlign w:val="center"/>
          </w:tcPr>
          <w:p w14:paraId="56D85F26">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000000"/>
                <w:kern w:val="0"/>
                <w:szCs w:val="21"/>
                <w:highlight w:val="none"/>
              </w:rPr>
            </w:pPr>
          </w:p>
        </w:tc>
        <w:tc>
          <w:tcPr>
            <w:tcW w:w="1370" w:type="dxa"/>
            <w:vMerge w:val="continue"/>
            <w:noWrap w:val="0"/>
            <w:vAlign w:val="center"/>
          </w:tcPr>
          <w:p w14:paraId="50BFA371">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000000"/>
                <w:kern w:val="0"/>
                <w:szCs w:val="21"/>
                <w:highlight w:val="none"/>
              </w:rPr>
            </w:pPr>
          </w:p>
        </w:tc>
        <w:tc>
          <w:tcPr>
            <w:tcW w:w="2595" w:type="dxa"/>
            <w:noWrap w:val="0"/>
            <w:vAlign w:val="center"/>
          </w:tcPr>
          <w:p w14:paraId="73EFDBAB">
            <w:pPr>
              <w:keepNext w:val="0"/>
              <w:keepLines w:val="0"/>
              <w:suppressLineNumbers w:val="0"/>
              <w:spacing w:before="24" w:beforeAutospacing="0" w:after="24" w:afterAutospacing="0"/>
              <w:ind w:left="0" w:right="0"/>
              <w:jc w:val="center"/>
              <w:rPr>
                <w:rFonts w:hint="eastAsia" w:ascii="宋体" w:hAnsi="宋体" w:eastAsia="宋体" w:cs="宋体"/>
                <w:szCs w:val="20"/>
                <w:highlight w:val="none"/>
                <w:lang w:val="en-US" w:eastAsia="zh-CN"/>
              </w:rPr>
            </w:pPr>
            <w:r>
              <w:rPr>
                <w:rFonts w:hint="eastAsia" w:ascii="宋体" w:hAnsi="宋体" w:eastAsia="宋体" w:cs="宋体"/>
                <w:szCs w:val="20"/>
                <w:highlight w:val="none"/>
                <w:lang w:val="en-US" w:eastAsia="zh-CN"/>
              </w:rPr>
              <w:t>具有良好的商业信誉和健全的财务会计制度</w:t>
            </w:r>
          </w:p>
        </w:tc>
        <w:tc>
          <w:tcPr>
            <w:tcW w:w="4973" w:type="dxa"/>
            <w:noWrap w:val="0"/>
            <w:vAlign w:val="center"/>
          </w:tcPr>
          <w:p w14:paraId="00089B0A">
            <w:pPr>
              <w:keepNext w:val="0"/>
              <w:keepLines w:val="0"/>
              <w:suppressLineNumbers w:val="0"/>
              <w:spacing w:before="24" w:beforeAutospacing="0" w:after="24" w:afterAutospacing="0"/>
              <w:ind w:left="0" w:right="0"/>
              <w:jc w:val="left"/>
              <w:rPr>
                <w:rFonts w:hint="eastAsia" w:ascii="宋体" w:hAnsi="宋体" w:eastAsia="宋体" w:cs="宋体"/>
                <w:szCs w:val="20"/>
                <w:highlight w:val="none"/>
                <w:lang w:eastAsia="zh-CN"/>
              </w:rPr>
            </w:pPr>
            <w:r>
              <w:rPr>
                <w:rFonts w:hint="eastAsia" w:ascii="宋体" w:hAnsi="宋体" w:eastAsia="宋体" w:cs="宋体"/>
                <w:szCs w:val="20"/>
                <w:highlight w:val="none"/>
                <w:lang w:val="en-US" w:eastAsia="zh-CN"/>
              </w:rPr>
              <w:t>提供2024年经会计师事务所或审计机构审计的财务审计报告及财务报表（至少包含会计师事务所或审计机构签章页、资产负债表、现金流量表、损益表/利润表）或投标文件提交截止之日前6个月内开具的银行资信证明。</w:t>
            </w:r>
          </w:p>
        </w:tc>
      </w:tr>
      <w:tr w14:paraId="79BB9099">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376" w:hRule="atLeast"/>
          <w:jc w:val="center"/>
        </w:trPr>
        <w:tc>
          <w:tcPr>
            <w:tcW w:w="727" w:type="dxa"/>
            <w:vMerge w:val="continue"/>
            <w:noWrap w:val="0"/>
            <w:vAlign w:val="center"/>
          </w:tcPr>
          <w:p w14:paraId="15FD176F">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000000"/>
                <w:kern w:val="0"/>
                <w:szCs w:val="21"/>
                <w:highlight w:val="none"/>
              </w:rPr>
            </w:pPr>
          </w:p>
        </w:tc>
        <w:tc>
          <w:tcPr>
            <w:tcW w:w="1370" w:type="dxa"/>
            <w:vMerge w:val="continue"/>
            <w:noWrap w:val="0"/>
            <w:vAlign w:val="center"/>
          </w:tcPr>
          <w:p w14:paraId="63C75DCE">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000000"/>
                <w:kern w:val="0"/>
                <w:szCs w:val="21"/>
                <w:highlight w:val="none"/>
              </w:rPr>
            </w:pPr>
          </w:p>
        </w:tc>
        <w:tc>
          <w:tcPr>
            <w:tcW w:w="2595" w:type="dxa"/>
            <w:noWrap w:val="0"/>
            <w:vAlign w:val="center"/>
          </w:tcPr>
          <w:p w14:paraId="1AF2EF90">
            <w:pPr>
              <w:keepNext w:val="0"/>
              <w:keepLines w:val="0"/>
              <w:suppressLineNumbers w:val="0"/>
              <w:spacing w:before="24" w:beforeAutospacing="0" w:after="24" w:afterAutospacing="0"/>
              <w:ind w:left="0" w:leftChars="0" w:right="0" w:rightChars="0"/>
              <w:jc w:val="center"/>
              <w:rPr>
                <w:rFonts w:hint="eastAsia" w:ascii="宋体" w:hAnsi="宋体" w:eastAsia="宋体" w:cs="宋体"/>
                <w:kern w:val="2"/>
                <w:sz w:val="21"/>
                <w:szCs w:val="20"/>
                <w:highlight w:val="none"/>
                <w:lang w:val="en-US" w:eastAsia="zh-CN" w:bidi="ar-SA"/>
              </w:rPr>
            </w:pPr>
            <w:r>
              <w:rPr>
                <w:rFonts w:hint="eastAsia" w:ascii="宋体" w:hAnsi="宋体" w:eastAsia="宋体" w:cs="宋体"/>
                <w:b w:val="0"/>
                <w:sz w:val="21"/>
                <w:szCs w:val="20"/>
                <w:highlight w:val="none"/>
              </w:rPr>
              <w:t>具有依法缴纳税收和社会保障资金的良好记录</w:t>
            </w:r>
          </w:p>
        </w:tc>
        <w:tc>
          <w:tcPr>
            <w:tcW w:w="4973" w:type="dxa"/>
            <w:noWrap w:val="0"/>
            <w:vAlign w:val="center"/>
          </w:tcPr>
          <w:p w14:paraId="4840E2FE">
            <w:pPr>
              <w:keepNext w:val="0"/>
              <w:keepLines w:val="0"/>
              <w:suppressLineNumbers w:val="0"/>
              <w:spacing w:before="24" w:beforeAutospacing="0" w:after="24" w:afterAutospacing="0"/>
              <w:ind w:left="0" w:leftChars="0" w:right="0" w:rightChars="0"/>
              <w:jc w:val="left"/>
              <w:rPr>
                <w:rFonts w:hint="eastAsia" w:ascii="宋体" w:hAnsi="宋体" w:eastAsia="宋体" w:cs="宋体"/>
                <w:kern w:val="2"/>
                <w:sz w:val="21"/>
                <w:szCs w:val="20"/>
                <w:highlight w:val="none"/>
                <w:lang w:val="en-US" w:eastAsia="zh-CN" w:bidi="ar-SA"/>
              </w:rPr>
            </w:pPr>
            <w:r>
              <w:rPr>
                <w:rFonts w:hint="eastAsia" w:ascii="宋体" w:hAnsi="宋体" w:cs="宋体"/>
                <w:sz w:val="21"/>
                <w:szCs w:val="20"/>
                <w:highlight w:val="none"/>
                <w:lang w:eastAsia="zh-CN"/>
              </w:rPr>
              <w:t>提供2025年1月以来任意</w:t>
            </w:r>
            <w:r>
              <w:rPr>
                <w:rFonts w:hint="eastAsia" w:ascii="宋体" w:hAnsi="宋体" w:cs="宋体"/>
                <w:sz w:val="21"/>
                <w:szCs w:val="20"/>
                <w:highlight w:val="none"/>
                <w:lang w:val="en-US" w:eastAsia="zh-CN"/>
              </w:rPr>
              <w:t>3</w:t>
            </w:r>
            <w:r>
              <w:rPr>
                <w:rFonts w:hint="eastAsia" w:ascii="宋体" w:hAnsi="宋体" w:cs="宋体"/>
                <w:sz w:val="21"/>
                <w:szCs w:val="20"/>
                <w:highlight w:val="none"/>
                <w:lang w:eastAsia="zh-CN"/>
              </w:rPr>
              <w:t>个月的税收凭证和2025年1月以来任意</w:t>
            </w:r>
            <w:r>
              <w:rPr>
                <w:rFonts w:hint="eastAsia" w:ascii="宋体" w:hAnsi="宋体" w:cs="宋体"/>
                <w:sz w:val="21"/>
                <w:szCs w:val="20"/>
                <w:highlight w:val="none"/>
                <w:lang w:val="en-US" w:eastAsia="zh-CN"/>
              </w:rPr>
              <w:t>3</w:t>
            </w:r>
            <w:r>
              <w:rPr>
                <w:rFonts w:hint="eastAsia" w:ascii="宋体" w:hAnsi="宋体" w:cs="宋体"/>
                <w:sz w:val="21"/>
                <w:szCs w:val="20"/>
                <w:highlight w:val="none"/>
                <w:lang w:eastAsia="zh-CN"/>
              </w:rPr>
              <w:t>个月的社会保障资金缴纳凭证</w:t>
            </w:r>
            <w:r>
              <w:rPr>
                <w:rFonts w:hint="eastAsia" w:ascii="宋体" w:hAnsi="宋体" w:eastAsia="宋体" w:cs="宋体"/>
                <w:b w:val="0"/>
                <w:sz w:val="21"/>
                <w:szCs w:val="20"/>
                <w:highlight w:val="none"/>
                <w:lang w:eastAsia="zh-CN"/>
              </w:rPr>
              <w:t>，如依法免税、依法不需要缴纳社会保障资金的，应提供</w:t>
            </w:r>
            <w:r>
              <w:rPr>
                <w:rFonts w:hint="eastAsia" w:ascii="宋体" w:hAnsi="宋体" w:cs="宋体"/>
                <w:b w:val="0"/>
                <w:sz w:val="21"/>
                <w:szCs w:val="20"/>
                <w:highlight w:val="none"/>
                <w:lang w:val="en-US" w:eastAsia="zh-CN"/>
              </w:rPr>
              <w:t>第三方提供的</w:t>
            </w:r>
            <w:r>
              <w:rPr>
                <w:rFonts w:hint="eastAsia" w:ascii="宋体" w:hAnsi="宋体" w:eastAsia="宋体" w:cs="宋体"/>
                <w:b w:val="0"/>
                <w:sz w:val="21"/>
                <w:szCs w:val="20"/>
                <w:highlight w:val="none"/>
                <w:lang w:eastAsia="zh-CN"/>
              </w:rPr>
              <w:t>相应证明文件。</w:t>
            </w:r>
          </w:p>
        </w:tc>
      </w:tr>
      <w:tr w14:paraId="1B284BF1">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376" w:hRule="atLeast"/>
          <w:jc w:val="center"/>
        </w:trPr>
        <w:tc>
          <w:tcPr>
            <w:tcW w:w="727" w:type="dxa"/>
            <w:vMerge w:val="continue"/>
            <w:noWrap w:val="0"/>
            <w:vAlign w:val="center"/>
          </w:tcPr>
          <w:p w14:paraId="425DF6EA">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000000"/>
                <w:kern w:val="0"/>
                <w:szCs w:val="21"/>
                <w:highlight w:val="none"/>
              </w:rPr>
            </w:pPr>
          </w:p>
        </w:tc>
        <w:tc>
          <w:tcPr>
            <w:tcW w:w="1370" w:type="dxa"/>
            <w:vMerge w:val="continue"/>
            <w:noWrap w:val="0"/>
            <w:vAlign w:val="center"/>
          </w:tcPr>
          <w:p w14:paraId="1A0B8B4E">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000000"/>
                <w:kern w:val="0"/>
                <w:szCs w:val="21"/>
                <w:highlight w:val="none"/>
              </w:rPr>
            </w:pPr>
          </w:p>
        </w:tc>
        <w:tc>
          <w:tcPr>
            <w:tcW w:w="2595" w:type="dxa"/>
            <w:noWrap w:val="0"/>
            <w:vAlign w:val="center"/>
          </w:tcPr>
          <w:p w14:paraId="0FA8A51E">
            <w:pPr>
              <w:keepNext w:val="0"/>
              <w:keepLines w:val="0"/>
              <w:suppressLineNumbers w:val="0"/>
              <w:spacing w:before="24" w:beforeAutospacing="0" w:after="24" w:afterAutospacing="0"/>
              <w:ind w:left="0" w:leftChars="0" w:right="0" w:rightChars="0"/>
              <w:jc w:val="center"/>
              <w:rPr>
                <w:rFonts w:hint="default" w:ascii="宋体" w:hAnsi="宋体" w:eastAsia="宋体" w:cs="宋体"/>
                <w:b w:val="0"/>
                <w:sz w:val="21"/>
                <w:szCs w:val="20"/>
                <w:highlight w:val="none"/>
                <w:lang w:val="en-US" w:eastAsia="zh-CN"/>
              </w:rPr>
            </w:pPr>
            <w:r>
              <w:rPr>
                <w:rFonts w:hint="eastAsia" w:ascii="宋体" w:hAnsi="宋体" w:cs="宋体"/>
                <w:b w:val="0"/>
                <w:sz w:val="21"/>
                <w:szCs w:val="20"/>
                <w:highlight w:val="none"/>
                <w:lang w:val="en-US" w:eastAsia="zh-CN"/>
              </w:rPr>
              <w:t>资质要求</w:t>
            </w:r>
          </w:p>
        </w:tc>
        <w:tc>
          <w:tcPr>
            <w:tcW w:w="4973" w:type="dxa"/>
            <w:noWrap w:val="0"/>
            <w:vAlign w:val="center"/>
          </w:tcPr>
          <w:p w14:paraId="4F4D44D6">
            <w:pPr>
              <w:keepNext w:val="0"/>
              <w:keepLines w:val="0"/>
              <w:suppressLineNumbers w:val="0"/>
              <w:spacing w:before="24" w:beforeAutospacing="0" w:after="24" w:afterAutospacing="0"/>
              <w:ind w:left="0" w:leftChars="0" w:right="0" w:rightChars="0"/>
              <w:jc w:val="left"/>
              <w:rPr>
                <w:rFonts w:hint="eastAsia" w:ascii="宋体" w:hAnsi="宋体" w:eastAsia="宋体" w:cs="宋体"/>
                <w:b w:val="0"/>
                <w:sz w:val="21"/>
                <w:szCs w:val="20"/>
                <w:highlight w:val="none"/>
              </w:rPr>
            </w:pPr>
            <w:r>
              <w:rPr>
                <w:rFonts w:hint="eastAsia" w:ascii="宋体" w:hAnsi="宋体" w:cs="宋体"/>
                <w:b w:val="0"/>
                <w:sz w:val="21"/>
                <w:szCs w:val="20"/>
                <w:highlight w:val="none"/>
                <w:lang w:eastAsia="zh-CN"/>
              </w:rPr>
              <w:t>投标人具备建设行政主管部门颁发的建筑装修装饰工程专业承包二级（含）及以上资质证书，并同时具备有效的安全生产许可证。（提供相关有效的证书复印件并加盖投标单位公章）</w:t>
            </w:r>
          </w:p>
        </w:tc>
      </w:tr>
      <w:tr w14:paraId="41B39456">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376" w:hRule="atLeast"/>
          <w:jc w:val="center"/>
        </w:trPr>
        <w:tc>
          <w:tcPr>
            <w:tcW w:w="727" w:type="dxa"/>
            <w:noWrap w:val="0"/>
            <w:vAlign w:val="center"/>
          </w:tcPr>
          <w:p w14:paraId="73DE6EFE">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000000"/>
                <w:kern w:val="0"/>
                <w:szCs w:val="21"/>
                <w:highlight w:val="none"/>
              </w:rPr>
            </w:pPr>
          </w:p>
        </w:tc>
        <w:tc>
          <w:tcPr>
            <w:tcW w:w="1370" w:type="dxa"/>
            <w:vMerge w:val="continue"/>
            <w:noWrap w:val="0"/>
            <w:vAlign w:val="center"/>
          </w:tcPr>
          <w:p w14:paraId="4B0E5372">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000000"/>
                <w:kern w:val="0"/>
                <w:szCs w:val="21"/>
                <w:highlight w:val="none"/>
              </w:rPr>
            </w:pPr>
          </w:p>
        </w:tc>
        <w:tc>
          <w:tcPr>
            <w:tcW w:w="2595" w:type="dxa"/>
            <w:shd w:val="clear" w:color="auto" w:fill="auto"/>
            <w:noWrap w:val="0"/>
            <w:vAlign w:val="center"/>
          </w:tcPr>
          <w:p w14:paraId="4E4D7BBA">
            <w:pPr>
              <w:keepNext w:val="0"/>
              <w:keepLines w:val="0"/>
              <w:suppressLineNumbers w:val="0"/>
              <w:spacing w:before="24" w:beforeAutospacing="0" w:after="24" w:afterAutospacing="0"/>
              <w:ind w:left="0" w:leftChars="0" w:right="0" w:rightChars="0"/>
              <w:jc w:val="center"/>
              <w:rPr>
                <w:rFonts w:hint="eastAsia" w:ascii="宋体" w:hAnsi="宋体" w:eastAsia="宋体" w:cs="宋体"/>
                <w:b w:val="0"/>
                <w:kern w:val="2"/>
                <w:sz w:val="21"/>
                <w:szCs w:val="20"/>
                <w:highlight w:val="none"/>
                <w:lang w:val="en-US" w:eastAsia="zh-CN" w:bidi="ar-SA"/>
              </w:rPr>
            </w:pPr>
            <w:r>
              <w:rPr>
                <w:rFonts w:hint="eastAsia" w:ascii="宋体" w:hAnsi="宋体" w:cs="宋体"/>
                <w:b w:val="0"/>
                <w:sz w:val="21"/>
                <w:szCs w:val="20"/>
                <w:highlight w:val="none"/>
                <w:lang w:val="en-US" w:eastAsia="zh-CN"/>
              </w:rPr>
              <w:t>项目经理要求</w:t>
            </w:r>
          </w:p>
        </w:tc>
        <w:tc>
          <w:tcPr>
            <w:tcW w:w="4973" w:type="dxa"/>
            <w:shd w:val="clear" w:color="auto" w:fill="auto"/>
            <w:noWrap w:val="0"/>
            <w:vAlign w:val="center"/>
          </w:tcPr>
          <w:p w14:paraId="3DC7C063">
            <w:pPr>
              <w:keepNext w:val="0"/>
              <w:keepLines w:val="0"/>
              <w:suppressLineNumbers w:val="0"/>
              <w:spacing w:before="24" w:beforeAutospacing="0" w:after="24" w:afterAutospacing="0"/>
              <w:ind w:left="0" w:leftChars="0" w:right="0" w:rightChars="0"/>
              <w:jc w:val="left"/>
              <w:rPr>
                <w:rFonts w:hint="eastAsia" w:ascii="宋体" w:hAnsi="宋体" w:cs="宋体"/>
                <w:b w:val="0"/>
                <w:sz w:val="21"/>
                <w:szCs w:val="20"/>
                <w:highlight w:val="none"/>
                <w:lang w:val="en-US" w:eastAsia="zh-CN"/>
              </w:rPr>
            </w:pPr>
            <w:r>
              <w:rPr>
                <w:rFonts w:hint="eastAsia" w:ascii="宋体" w:hAnsi="宋体" w:cs="宋体"/>
                <w:b w:val="0"/>
                <w:sz w:val="21"/>
                <w:szCs w:val="20"/>
                <w:highlight w:val="none"/>
                <w:lang w:val="en-US" w:eastAsia="zh-CN"/>
              </w:rPr>
              <w:t>项目经理须同时具有以下条件（需提供有效的证明材料并加盖公章）：</w:t>
            </w:r>
          </w:p>
          <w:p w14:paraId="37DDC3F4">
            <w:pPr>
              <w:keepNext w:val="0"/>
              <w:keepLines w:val="0"/>
              <w:suppressLineNumbers w:val="0"/>
              <w:spacing w:before="24" w:beforeAutospacing="0" w:after="24" w:afterAutospacing="0"/>
              <w:ind w:left="0" w:leftChars="0" w:right="0" w:rightChars="0"/>
              <w:jc w:val="left"/>
              <w:rPr>
                <w:rFonts w:hint="eastAsia" w:ascii="宋体" w:hAnsi="宋体" w:cs="宋体"/>
                <w:b w:val="0"/>
                <w:sz w:val="21"/>
                <w:szCs w:val="20"/>
                <w:highlight w:val="none"/>
                <w:lang w:val="en-US" w:eastAsia="zh-CN"/>
              </w:rPr>
            </w:pPr>
            <w:r>
              <w:rPr>
                <w:rFonts w:hint="eastAsia" w:ascii="宋体" w:hAnsi="宋体" w:cs="宋体"/>
                <w:b w:val="0"/>
                <w:sz w:val="21"/>
                <w:szCs w:val="20"/>
                <w:highlight w:val="none"/>
                <w:lang w:val="en-US" w:eastAsia="zh-CN"/>
              </w:rPr>
              <w:t>（1）具备建筑工程专业二级及以上建造师资格；</w:t>
            </w:r>
          </w:p>
          <w:p w14:paraId="5751A469">
            <w:pPr>
              <w:keepNext w:val="0"/>
              <w:keepLines w:val="0"/>
              <w:suppressLineNumbers w:val="0"/>
              <w:spacing w:before="24" w:beforeAutospacing="0" w:after="24" w:afterAutospacing="0"/>
              <w:ind w:left="0" w:leftChars="0" w:right="0" w:rightChars="0"/>
              <w:jc w:val="left"/>
              <w:rPr>
                <w:rFonts w:hint="eastAsia" w:ascii="宋体" w:hAnsi="宋体" w:cs="宋体"/>
                <w:b w:val="0"/>
                <w:sz w:val="21"/>
                <w:szCs w:val="20"/>
                <w:highlight w:val="none"/>
                <w:lang w:val="en-US" w:eastAsia="zh-CN"/>
              </w:rPr>
            </w:pPr>
            <w:r>
              <w:rPr>
                <w:rFonts w:hint="eastAsia" w:ascii="宋体" w:hAnsi="宋体" w:cs="宋体"/>
                <w:b w:val="0"/>
                <w:sz w:val="21"/>
                <w:szCs w:val="20"/>
                <w:highlight w:val="none"/>
                <w:lang w:val="en-US" w:eastAsia="zh-CN"/>
              </w:rPr>
              <w:t>（2）具备安全生产考核合格证B类；</w:t>
            </w:r>
          </w:p>
          <w:p w14:paraId="6ABADF4E">
            <w:pPr>
              <w:keepNext w:val="0"/>
              <w:keepLines w:val="0"/>
              <w:suppressLineNumbers w:val="0"/>
              <w:spacing w:before="24" w:beforeAutospacing="0" w:after="24" w:afterAutospacing="0"/>
              <w:ind w:left="0" w:leftChars="0" w:right="0" w:rightChars="0"/>
              <w:jc w:val="left"/>
              <w:rPr>
                <w:rFonts w:hint="eastAsia" w:ascii="宋体" w:hAnsi="宋体" w:cs="宋体"/>
                <w:b w:val="0"/>
                <w:sz w:val="21"/>
                <w:szCs w:val="20"/>
                <w:highlight w:val="none"/>
                <w:lang w:val="en-US" w:eastAsia="zh-CN"/>
              </w:rPr>
            </w:pPr>
            <w:r>
              <w:rPr>
                <w:rFonts w:hint="eastAsia" w:ascii="宋体" w:hAnsi="宋体" w:cs="宋体"/>
                <w:b w:val="0"/>
                <w:sz w:val="21"/>
                <w:szCs w:val="20"/>
                <w:highlight w:val="none"/>
                <w:lang w:val="en-US" w:eastAsia="zh-CN"/>
              </w:rPr>
              <w:t>（3）提供投标人为该项目经理自2025年1月1日至今缴纳的任意三个月的社保缴费证明；</w:t>
            </w:r>
          </w:p>
          <w:p w14:paraId="51C0856D">
            <w:pPr>
              <w:keepNext w:val="0"/>
              <w:keepLines w:val="0"/>
              <w:suppressLineNumbers w:val="0"/>
              <w:spacing w:before="24" w:beforeAutospacing="0" w:after="24" w:afterAutospacing="0"/>
              <w:ind w:left="0" w:leftChars="0" w:right="0" w:rightChars="0"/>
              <w:jc w:val="left"/>
              <w:rPr>
                <w:rFonts w:hint="eastAsia" w:ascii="宋体" w:hAnsi="宋体" w:cs="宋体"/>
                <w:b w:val="0"/>
                <w:sz w:val="21"/>
                <w:szCs w:val="20"/>
                <w:highlight w:val="none"/>
                <w:lang w:val="en-US" w:eastAsia="zh-CN"/>
              </w:rPr>
            </w:pPr>
            <w:r>
              <w:rPr>
                <w:rFonts w:hint="eastAsia" w:ascii="宋体" w:hAnsi="宋体" w:cs="宋体"/>
                <w:b w:val="0"/>
                <w:sz w:val="21"/>
                <w:szCs w:val="20"/>
                <w:highlight w:val="none"/>
                <w:lang w:val="en-US" w:eastAsia="zh-CN"/>
              </w:rPr>
              <w:t>（4）未担任其他在施建设工程项目的项目经理或有在建工程但在本项目合同签订之日前可以撤离，并在投标文件中附业主出具的可撤离证明；</w:t>
            </w:r>
          </w:p>
          <w:p w14:paraId="15B254D4">
            <w:pPr>
              <w:keepNext w:val="0"/>
              <w:keepLines w:val="0"/>
              <w:suppressLineNumbers w:val="0"/>
              <w:spacing w:before="24" w:beforeAutospacing="0" w:after="24" w:afterAutospacing="0"/>
              <w:ind w:left="0" w:leftChars="0" w:right="0" w:rightChars="0"/>
              <w:jc w:val="left"/>
              <w:rPr>
                <w:rFonts w:hint="eastAsia" w:ascii="宋体" w:hAnsi="宋体" w:eastAsia="宋体" w:cs="宋体"/>
                <w:b w:val="0"/>
                <w:kern w:val="2"/>
                <w:sz w:val="21"/>
                <w:szCs w:val="20"/>
                <w:highlight w:val="none"/>
                <w:lang w:val="en-US" w:eastAsia="zh-CN" w:bidi="ar-SA"/>
              </w:rPr>
            </w:pPr>
            <w:r>
              <w:rPr>
                <w:rFonts w:hint="eastAsia" w:ascii="宋体" w:hAnsi="宋体" w:cs="宋体"/>
                <w:b w:val="0"/>
                <w:sz w:val="21"/>
                <w:szCs w:val="20"/>
                <w:highlight w:val="none"/>
                <w:lang w:val="en-US" w:eastAsia="zh-CN"/>
              </w:rPr>
              <w:t>（5）投标人须承诺如若中标，在项目实施期间不得更换项目经理，且在本项目竣工之前不得兼任其它项目的项目经理。</w:t>
            </w:r>
          </w:p>
        </w:tc>
      </w:tr>
      <w:tr w14:paraId="2F1D23A9">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376" w:hRule="atLeast"/>
          <w:jc w:val="center"/>
        </w:trPr>
        <w:tc>
          <w:tcPr>
            <w:tcW w:w="727" w:type="dxa"/>
            <w:noWrap w:val="0"/>
            <w:vAlign w:val="center"/>
          </w:tcPr>
          <w:p w14:paraId="552DD54D">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000000"/>
                <w:kern w:val="0"/>
                <w:szCs w:val="21"/>
                <w:highlight w:val="none"/>
              </w:rPr>
            </w:pPr>
          </w:p>
        </w:tc>
        <w:tc>
          <w:tcPr>
            <w:tcW w:w="1370" w:type="dxa"/>
            <w:vMerge w:val="continue"/>
            <w:noWrap w:val="0"/>
            <w:vAlign w:val="center"/>
          </w:tcPr>
          <w:p w14:paraId="01E056CF">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000000"/>
                <w:kern w:val="0"/>
                <w:szCs w:val="21"/>
                <w:highlight w:val="none"/>
              </w:rPr>
            </w:pPr>
          </w:p>
        </w:tc>
        <w:tc>
          <w:tcPr>
            <w:tcW w:w="2595" w:type="dxa"/>
            <w:noWrap w:val="0"/>
            <w:vAlign w:val="center"/>
          </w:tcPr>
          <w:p w14:paraId="549F17A6">
            <w:pPr>
              <w:keepNext w:val="0"/>
              <w:keepLines w:val="0"/>
              <w:suppressLineNumbers w:val="0"/>
              <w:spacing w:before="24" w:beforeAutospacing="0" w:after="24" w:afterAutospacing="0"/>
              <w:ind w:left="0" w:leftChars="0" w:right="0" w:rightChars="0"/>
              <w:jc w:val="center"/>
              <w:rPr>
                <w:rFonts w:hint="default" w:ascii="宋体" w:hAnsi="宋体" w:cs="宋体"/>
                <w:b w:val="0"/>
                <w:sz w:val="21"/>
                <w:szCs w:val="20"/>
                <w:highlight w:val="none"/>
                <w:lang w:val="en-US" w:eastAsia="zh-CN"/>
              </w:rPr>
            </w:pPr>
            <w:r>
              <w:rPr>
                <w:rFonts w:hint="eastAsia" w:ascii="宋体" w:hAnsi="宋体" w:cs="宋体"/>
                <w:b w:val="0"/>
                <w:sz w:val="21"/>
                <w:szCs w:val="20"/>
                <w:highlight w:val="none"/>
                <w:lang w:val="en-US" w:eastAsia="zh-CN"/>
              </w:rPr>
              <w:t>业绩要求</w:t>
            </w:r>
          </w:p>
        </w:tc>
        <w:tc>
          <w:tcPr>
            <w:tcW w:w="4973" w:type="dxa"/>
            <w:noWrap w:val="0"/>
            <w:vAlign w:val="center"/>
          </w:tcPr>
          <w:p w14:paraId="4206729A">
            <w:pPr>
              <w:keepNext w:val="0"/>
              <w:keepLines w:val="0"/>
              <w:suppressLineNumbers w:val="0"/>
              <w:spacing w:before="24" w:beforeAutospacing="0" w:after="24" w:afterAutospacing="0"/>
              <w:ind w:left="0" w:leftChars="0" w:right="0" w:rightChars="0"/>
              <w:jc w:val="left"/>
              <w:rPr>
                <w:rFonts w:hint="eastAsia" w:ascii="宋体" w:hAnsi="宋体" w:cs="宋体"/>
                <w:b w:val="0"/>
                <w:sz w:val="21"/>
                <w:szCs w:val="20"/>
                <w:highlight w:val="none"/>
                <w:lang w:val="en-US" w:eastAsia="zh-CN"/>
              </w:rPr>
            </w:pPr>
            <w:r>
              <w:rPr>
                <w:rFonts w:hint="eastAsia" w:ascii="宋体" w:hAnsi="宋体" w:cs="宋体"/>
                <w:b w:val="0"/>
                <w:sz w:val="21"/>
                <w:szCs w:val="20"/>
                <w:highlight w:val="none"/>
                <w:lang w:val="en-US" w:eastAsia="zh-CN"/>
              </w:rPr>
              <w:t>提供1个自2022年1月1日以来（以合同签订日期为准），投标人承接过类似工程（类似工程业绩指：指装修装饰或零星维修等项目）施工业绩。提供合同关键页（必须包括合同内容、合同签章页等）复印件并加盖公章，原件备查。</w:t>
            </w:r>
          </w:p>
        </w:tc>
      </w:tr>
      <w:tr w14:paraId="1B003DA8">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361" w:hRule="atLeast"/>
          <w:jc w:val="center"/>
        </w:trPr>
        <w:tc>
          <w:tcPr>
            <w:tcW w:w="727" w:type="dxa"/>
            <w:vMerge w:val="restart"/>
            <w:noWrap w:val="0"/>
            <w:vAlign w:val="center"/>
          </w:tcPr>
          <w:p w14:paraId="68846A11">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3</w:t>
            </w:r>
          </w:p>
        </w:tc>
        <w:tc>
          <w:tcPr>
            <w:tcW w:w="1370" w:type="dxa"/>
            <w:vMerge w:val="restart"/>
            <w:noWrap w:val="0"/>
            <w:vAlign w:val="center"/>
          </w:tcPr>
          <w:p w14:paraId="6B96AD5A">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响应性评审标准</w:t>
            </w:r>
          </w:p>
        </w:tc>
        <w:tc>
          <w:tcPr>
            <w:tcW w:w="2595" w:type="dxa"/>
            <w:noWrap w:val="0"/>
            <w:vAlign w:val="center"/>
          </w:tcPr>
          <w:p w14:paraId="0E07F333">
            <w:pPr>
              <w:keepNext w:val="0"/>
              <w:keepLines w:val="0"/>
              <w:suppressLineNumbers w:val="0"/>
              <w:spacing w:before="24" w:beforeAutospacing="0" w:after="24" w:afterAutospacing="0"/>
              <w:ind w:left="0" w:right="0"/>
              <w:jc w:val="center"/>
              <w:rPr>
                <w:rFonts w:hint="eastAsia" w:ascii="宋体" w:hAnsi="宋体" w:eastAsia="宋体" w:cs="宋体"/>
                <w:color w:val="000000"/>
                <w:kern w:val="0"/>
                <w:szCs w:val="21"/>
                <w:highlight w:val="none"/>
                <w:lang w:val="en-US" w:eastAsia="zh-CN"/>
              </w:rPr>
            </w:pPr>
            <w:r>
              <w:rPr>
                <w:rFonts w:hint="eastAsia" w:ascii="宋体" w:hAnsi="宋体" w:eastAsia="宋体" w:cs="宋体"/>
                <w:color w:val="000000"/>
                <w:szCs w:val="21"/>
                <w:highlight w:val="none"/>
              </w:rPr>
              <w:t>投标保证</w:t>
            </w:r>
            <w:r>
              <w:rPr>
                <w:rFonts w:hint="eastAsia" w:ascii="宋体" w:hAnsi="宋体" w:eastAsia="宋体" w:cs="宋体"/>
                <w:color w:val="000000"/>
                <w:szCs w:val="21"/>
                <w:highlight w:val="none"/>
                <w:lang w:val="en-US" w:eastAsia="zh-CN"/>
              </w:rPr>
              <w:t>金</w:t>
            </w:r>
          </w:p>
        </w:tc>
        <w:tc>
          <w:tcPr>
            <w:tcW w:w="4973" w:type="dxa"/>
            <w:noWrap w:val="0"/>
            <w:vAlign w:val="center"/>
          </w:tcPr>
          <w:p w14:paraId="4449343A">
            <w:pPr>
              <w:keepNext w:val="0"/>
              <w:keepLines w:val="0"/>
              <w:suppressLineNumbers w:val="0"/>
              <w:spacing w:before="0" w:beforeAutospacing="0" w:after="0" w:afterAutospacing="0"/>
              <w:ind w:left="0" w:right="0"/>
              <w:rPr>
                <w:rFonts w:hint="eastAsia" w:ascii="宋体" w:hAnsi="宋体" w:eastAsia="宋体" w:cs="宋体"/>
                <w:color w:val="000000"/>
                <w:kern w:val="0"/>
                <w:szCs w:val="21"/>
                <w:highlight w:val="none"/>
              </w:rPr>
            </w:pPr>
            <w:r>
              <w:rPr>
                <w:rFonts w:hint="eastAsia" w:ascii="宋体" w:hAnsi="宋体" w:eastAsia="宋体" w:cs="宋体"/>
                <w:color w:val="000000"/>
                <w:szCs w:val="21"/>
                <w:highlight w:val="none"/>
              </w:rPr>
              <w:t>符合第二章“投标人须知”规定。</w:t>
            </w:r>
          </w:p>
        </w:tc>
      </w:tr>
      <w:tr w14:paraId="5FC4196C">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361" w:hRule="atLeast"/>
          <w:jc w:val="center"/>
        </w:trPr>
        <w:tc>
          <w:tcPr>
            <w:tcW w:w="727" w:type="dxa"/>
            <w:vMerge w:val="continue"/>
            <w:noWrap w:val="0"/>
            <w:vAlign w:val="center"/>
          </w:tcPr>
          <w:p w14:paraId="0DA5B242">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000000"/>
                <w:kern w:val="0"/>
                <w:szCs w:val="21"/>
                <w:highlight w:val="none"/>
              </w:rPr>
            </w:pPr>
          </w:p>
        </w:tc>
        <w:tc>
          <w:tcPr>
            <w:tcW w:w="1370" w:type="dxa"/>
            <w:vMerge w:val="continue"/>
            <w:noWrap w:val="0"/>
            <w:vAlign w:val="center"/>
          </w:tcPr>
          <w:p w14:paraId="03F095AB">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000000"/>
                <w:kern w:val="0"/>
                <w:szCs w:val="21"/>
                <w:highlight w:val="none"/>
              </w:rPr>
            </w:pPr>
          </w:p>
        </w:tc>
        <w:tc>
          <w:tcPr>
            <w:tcW w:w="2595" w:type="dxa"/>
            <w:noWrap w:val="0"/>
            <w:vAlign w:val="center"/>
          </w:tcPr>
          <w:p w14:paraId="20D02303">
            <w:pPr>
              <w:keepNext w:val="0"/>
              <w:keepLines w:val="0"/>
              <w:suppressLineNumbers w:val="0"/>
              <w:spacing w:before="24" w:beforeAutospacing="0" w:after="24" w:afterAutospacing="0"/>
              <w:ind w:left="0" w:right="0"/>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投标函</w:t>
            </w:r>
          </w:p>
        </w:tc>
        <w:tc>
          <w:tcPr>
            <w:tcW w:w="4973" w:type="dxa"/>
            <w:noWrap w:val="0"/>
            <w:vAlign w:val="center"/>
          </w:tcPr>
          <w:p w14:paraId="7456B393">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除填写投标人名称、项目名称外，未修改原文内容。</w:t>
            </w:r>
          </w:p>
        </w:tc>
      </w:tr>
      <w:tr w14:paraId="1D1CD234">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361" w:hRule="atLeast"/>
          <w:jc w:val="center"/>
        </w:trPr>
        <w:tc>
          <w:tcPr>
            <w:tcW w:w="727" w:type="dxa"/>
            <w:vMerge w:val="continue"/>
            <w:noWrap w:val="0"/>
            <w:vAlign w:val="center"/>
          </w:tcPr>
          <w:p w14:paraId="5DBF7B24">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000000"/>
                <w:kern w:val="0"/>
                <w:szCs w:val="21"/>
                <w:highlight w:val="none"/>
              </w:rPr>
            </w:pPr>
          </w:p>
        </w:tc>
        <w:tc>
          <w:tcPr>
            <w:tcW w:w="1370" w:type="dxa"/>
            <w:vMerge w:val="continue"/>
            <w:noWrap w:val="0"/>
            <w:vAlign w:val="center"/>
          </w:tcPr>
          <w:p w14:paraId="14A746B4">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000000"/>
                <w:kern w:val="0"/>
                <w:szCs w:val="21"/>
                <w:highlight w:val="none"/>
              </w:rPr>
            </w:pPr>
          </w:p>
        </w:tc>
        <w:tc>
          <w:tcPr>
            <w:tcW w:w="2595" w:type="dxa"/>
            <w:noWrap w:val="0"/>
            <w:vAlign w:val="center"/>
          </w:tcPr>
          <w:p w14:paraId="7DD9C327">
            <w:pPr>
              <w:keepNext w:val="0"/>
              <w:keepLines w:val="0"/>
              <w:suppressLineNumbers w:val="0"/>
              <w:spacing w:before="24" w:beforeAutospacing="0" w:after="24" w:afterAutospacing="0"/>
              <w:ind w:left="0" w:right="0"/>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供应商行为准则承诺书</w:t>
            </w:r>
          </w:p>
        </w:tc>
        <w:tc>
          <w:tcPr>
            <w:tcW w:w="4973" w:type="dxa"/>
            <w:noWrap w:val="0"/>
            <w:vAlign w:val="center"/>
          </w:tcPr>
          <w:p w14:paraId="4F85FCFD">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除投标人填写内容外，未修改原文内容。</w:t>
            </w:r>
          </w:p>
        </w:tc>
      </w:tr>
      <w:tr w14:paraId="0D4338B0">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361" w:hRule="atLeast"/>
          <w:jc w:val="center"/>
        </w:trPr>
        <w:tc>
          <w:tcPr>
            <w:tcW w:w="727" w:type="dxa"/>
            <w:vMerge w:val="continue"/>
            <w:noWrap w:val="0"/>
            <w:vAlign w:val="center"/>
          </w:tcPr>
          <w:p w14:paraId="50B713B6">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000000"/>
                <w:kern w:val="0"/>
                <w:szCs w:val="21"/>
                <w:highlight w:val="none"/>
              </w:rPr>
            </w:pPr>
          </w:p>
        </w:tc>
        <w:tc>
          <w:tcPr>
            <w:tcW w:w="1370" w:type="dxa"/>
            <w:vMerge w:val="continue"/>
            <w:noWrap w:val="0"/>
            <w:vAlign w:val="center"/>
          </w:tcPr>
          <w:p w14:paraId="131D960F">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000000"/>
                <w:kern w:val="0"/>
                <w:szCs w:val="21"/>
                <w:highlight w:val="none"/>
              </w:rPr>
            </w:pPr>
          </w:p>
        </w:tc>
        <w:tc>
          <w:tcPr>
            <w:tcW w:w="2595" w:type="dxa"/>
            <w:noWrap w:val="0"/>
            <w:vAlign w:val="center"/>
          </w:tcPr>
          <w:p w14:paraId="5BB1EB6F">
            <w:pPr>
              <w:keepNext w:val="0"/>
              <w:keepLines w:val="0"/>
              <w:suppressLineNumbers w:val="0"/>
              <w:spacing w:before="24" w:beforeAutospacing="0" w:after="24" w:afterAutospacing="0"/>
              <w:ind w:left="0" w:right="0"/>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供应商廉洁诚信承诺书</w:t>
            </w:r>
          </w:p>
        </w:tc>
        <w:tc>
          <w:tcPr>
            <w:tcW w:w="4973" w:type="dxa"/>
            <w:noWrap w:val="0"/>
            <w:vAlign w:val="center"/>
          </w:tcPr>
          <w:p w14:paraId="37288CEE">
            <w:pPr>
              <w:keepNext w:val="0"/>
              <w:keepLines w:val="0"/>
              <w:suppressLineNumbers w:val="0"/>
              <w:spacing w:before="0" w:beforeAutospacing="0" w:after="0" w:afterAutospacing="0" w:line="360" w:lineRule="auto"/>
              <w:ind w:left="0" w:right="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除投标人填写内容外，未修改原文内容。</w:t>
            </w:r>
          </w:p>
        </w:tc>
      </w:tr>
      <w:tr w14:paraId="3F96E4C4">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23" w:hRule="atLeast"/>
          <w:jc w:val="center"/>
        </w:trPr>
        <w:tc>
          <w:tcPr>
            <w:tcW w:w="727" w:type="dxa"/>
            <w:vMerge w:val="continue"/>
            <w:noWrap w:val="0"/>
            <w:vAlign w:val="center"/>
          </w:tcPr>
          <w:p w14:paraId="4137EEBD">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000000"/>
                <w:kern w:val="0"/>
                <w:szCs w:val="21"/>
                <w:highlight w:val="none"/>
              </w:rPr>
            </w:pPr>
          </w:p>
        </w:tc>
        <w:tc>
          <w:tcPr>
            <w:tcW w:w="1370" w:type="dxa"/>
            <w:vMerge w:val="continue"/>
            <w:noWrap w:val="0"/>
            <w:vAlign w:val="center"/>
          </w:tcPr>
          <w:p w14:paraId="06AC5691">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000000"/>
                <w:kern w:val="0"/>
                <w:szCs w:val="21"/>
                <w:highlight w:val="none"/>
              </w:rPr>
            </w:pPr>
          </w:p>
        </w:tc>
        <w:tc>
          <w:tcPr>
            <w:tcW w:w="2595" w:type="dxa"/>
            <w:noWrap w:val="0"/>
            <w:vAlign w:val="center"/>
          </w:tcPr>
          <w:p w14:paraId="434906E3">
            <w:pPr>
              <w:keepNext w:val="0"/>
              <w:keepLines w:val="0"/>
              <w:suppressLineNumbers w:val="0"/>
              <w:spacing w:before="24" w:beforeAutospacing="0" w:after="24" w:afterAutospacing="0"/>
              <w:ind w:left="0" w:right="0"/>
              <w:jc w:val="center"/>
              <w:rPr>
                <w:rFonts w:hint="eastAsia" w:ascii="宋体" w:hAnsi="宋体" w:eastAsia="宋体" w:cs="宋体"/>
                <w:color w:val="000000"/>
                <w:kern w:val="0"/>
                <w:szCs w:val="21"/>
                <w:highlight w:val="none"/>
              </w:rPr>
            </w:pPr>
            <w:r>
              <w:rPr>
                <w:rFonts w:hint="eastAsia" w:ascii="宋体" w:hAnsi="宋体" w:eastAsia="宋体" w:cs="宋体"/>
                <w:color w:val="000000"/>
                <w:szCs w:val="21"/>
                <w:highlight w:val="none"/>
              </w:rPr>
              <w:t>投标一览表</w:t>
            </w:r>
          </w:p>
        </w:tc>
        <w:tc>
          <w:tcPr>
            <w:tcW w:w="4973" w:type="dxa"/>
            <w:noWrap w:val="0"/>
            <w:vAlign w:val="center"/>
          </w:tcPr>
          <w:p w14:paraId="32C19CCB">
            <w:pPr>
              <w:keepNext w:val="0"/>
              <w:keepLines w:val="0"/>
              <w:suppressLineNumbers w:val="0"/>
              <w:spacing w:before="0" w:beforeAutospacing="0" w:after="0" w:afterAutospacing="0" w:line="360" w:lineRule="auto"/>
              <w:ind w:left="0" w:right="0"/>
              <w:rPr>
                <w:rFonts w:hint="eastAsia" w:ascii="宋体" w:hAnsi="宋体" w:eastAsia="宋体" w:cs="宋体"/>
                <w:color w:val="000000"/>
                <w:kern w:val="0"/>
                <w:szCs w:val="21"/>
                <w:highlight w:val="none"/>
              </w:rPr>
            </w:pPr>
            <w:r>
              <w:rPr>
                <w:rFonts w:hint="eastAsia" w:ascii="宋体" w:hAnsi="宋体" w:eastAsia="宋体" w:cs="宋体"/>
                <w:color w:val="000000"/>
                <w:szCs w:val="21"/>
                <w:highlight w:val="none"/>
              </w:rPr>
              <w:t>报价项未缺省或回避填写，符合第二章“投标人须知”规定。</w:t>
            </w:r>
          </w:p>
        </w:tc>
      </w:tr>
      <w:tr w14:paraId="22785865">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23" w:hRule="atLeast"/>
          <w:jc w:val="center"/>
        </w:trPr>
        <w:tc>
          <w:tcPr>
            <w:tcW w:w="727" w:type="dxa"/>
            <w:vMerge w:val="continue"/>
            <w:noWrap w:val="0"/>
            <w:vAlign w:val="center"/>
          </w:tcPr>
          <w:p w14:paraId="448745D3">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000000"/>
                <w:kern w:val="0"/>
                <w:szCs w:val="21"/>
                <w:highlight w:val="none"/>
              </w:rPr>
            </w:pPr>
          </w:p>
        </w:tc>
        <w:tc>
          <w:tcPr>
            <w:tcW w:w="1370" w:type="dxa"/>
            <w:vMerge w:val="continue"/>
            <w:noWrap w:val="0"/>
            <w:vAlign w:val="center"/>
          </w:tcPr>
          <w:p w14:paraId="1FBB651B">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000000"/>
                <w:kern w:val="0"/>
                <w:szCs w:val="21"/>
                <w:highlight w:val="none"/>
              </w:rPr>
            </w:pPr>
          </w:p>
        </w:tc>
        <w:tc>
          <w:tcPr>
            <w:tcW w:w="2595" w:type="dxa"/>
            <w:noWrap w:val="0"/>
            <w:vAlign w:val="center"/>
          </w:tcPr>
          <w:p w14:paraId="07C5F5A8">
            <w:pPr>
              <w:keepNext w:val="0"/>
              <w:keepLines w:val="0"/>
              <w:suppressLineNumbers w:val="0"/>
              <w:spacing w:before="24" w:beforeAutospacing="0" w:after="24" w:afterAutospacing="0"/>
              <w:ind w:left="0" w:right="0"/>
              <w:jc w:val="center"/>
              <w:rPr>
                <w:rFonts w:hint="eastAsia" w:ascii="宋体" w:hAnsi="宋体" w:eastAsia="宋体" w:cs="宋体"/>
                <w:color w:val="000000"/>
                <w:kern w:val="0"/>
                <w:szCs w:val="21"/>
                <w:highlight w:val="none"/>
              </w:rPr>
            </w:pPr>
            <w:r>
              <w:rPr>
                <w:rFonts w:hint="eastAsia" w:ascii="宋体" w:hAnsi="宋体" w:eastAsia="宋体" w:cs="宋体"/>
                <w:color w:val="000000"/>
                <w:szCs w:val="21"/>
                <w:highlight w:val="none"/>
              </w:rPr>
              <w:t>偏离表应答</w:t>
            </w:r>
          </w:p>
        </w:tc>
        <w:tc>
          <w:tcPr>
            <w:tcW w:w="4973" w:type="dxa"/>
            <w:noWrap w:val="0"/>
            <w:vAlign w:val="center"/>
          </w:tcPr>
          <w:p w14:paraId="3155B791">
            <w:pPr>
              <w:keepNext w:val="0"/>
              <w:keepLines w:val="0"/>
              <w:suppressLineNumbers w:val="0"/>
              <w:spacing w:before="0" w:beforeAutospacing="0" w:after="0" w:afterAutospacing="0" w:line="360" w:lineRule="auto"/>
              <w:ind w:left="0" w:right="0"/>
              <w:rPr>
                <w:rFonts w:hint="eastAsia" w:ascii="宋体" w:hAnsi="宋体" w:eastAsia="宋体" w:cs="宋体"/>
                <w:color w:val="000000"/>
                <w:kern w:val="0"/>
                <w:szCs w:val="21"/>
                <w:highlight w:val="none"/>
              </w:rPr>
            </w:pPr>
            <w:r>
              <w:rPr>
                <w:rFonts w:hint="eastAsia" w:ascii="宋体" w:hAnsi="宋体" w:eastAsia="宋体" w:cs="宋体"/>
                <w:color w:val="000000"/>
                <w:szCs w:val="21"/>
                <w:highlight w:val="none"/>
              </w:rPr>
              <w:t>《投标人须知应答偏离表》、《合同条款应答偏离表》、《技术需求书应答偏离表》进行了符合投标人须知的应答。</w:t>
            </w:r>
          </w:p>
        </w:tc>
      </w:tr>
      <w:tr w14:paraId="04E00FE6">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416" w:hRule="atLeast"/>
          <w:jc w:val="center"/>
        </w:trPr>
        <w:tc>
          <w:tcPr>
            <w:tcW w:w="727" w:type="dxa"/>
            <w:vMerge w:val="continue"/>
            <w:noWrap w:val="0"/>
            <w:vAlign w:val="center"/>
          </w:tcPr>
          <w:p w14:paraId="1974F2B5">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000000"/>
                <w:kern w:val="0"/>
                <w:szCs w:val="21"/>
                <w:highlight w:val="none"/>
              </w:rPr>
            </w:pPr>
          </w:p>
        </w:tc>
        <w:tc>
          <w:tcPr>
            <w:tcW w:w="1370" w:type="dxa"/>
            <w:vMerge w:val="continue"/>
            <w:noWrap w:val="0"/>
            <w:vAlign w:val="center"/>
          </w:tcPr>
          <w:p w14:paraId="0FD7C866">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000000"/>
                <w:kern w:val="0"/>
                <w:szCs w:val="21"/>
                <w:highlight w:val="none"/>
              </w:rPr>
            </w:pPr>
          </w:p>
        </w:tc>
        <w:tc>
          <w:tcPr>
            <w:tcW w:w="2595" w:type="dxa"/>
            <w:noWrap w:val="0"/>
            <w:vAlign w:val="center"/>
          </w:tcPr>
          <w:p w14:paraId="7546976B">
            <w:pPr>
              <w:keepNext w:val="0"/>
              <w:keepLines w:val="0"/>
              <w:suppressLineNumbers w:val="0"/>
              <w:spacing w:before="24" w:beforeAutospacing="0" w:after="24" w:afterAutospacing="0"/>
              <w:ind w:left="0" w:right="0"/>
              <w:jc w:val="center"/>
              <w:rPr>
                <w:rFonts w:hint="eastAsia" w:ascii="宋体" w:hAnsi="宋体" w:eastAsia="宋体" w:cs="宋体"/>
                <w:color w:val="000000"/>
                <w:kern w:val="0"/>
                <w:szCs w:val="21"/>
                <w:highlight w:val="none"/>
              </w:rPr>
            </w:pPr>
            <w:r>
              <w:rPr>
                <w:rFonts w:hint="eastAsia" w:ascii="宋体" w:hAnsi="宋体" w:eastAsia="宋体" w:cs="宋体"/>
                <w:color w:val="000000"/>
                <w:szCs w:val="21"/>
                <w:highlight w:val="none"/>
              </w:rPr>
              <w:t>其他实质性响应情况</w:t>
            </w:r>
          </w:p>
        </w:tc>
        <w:tc>
          <w:tcPr>
            <w:tcW w:w="4973" w:type="dxa"/>
            <w:noWrap w:val="0"/>
            <w:vAlign w:val="center"/>
          </w:tcPr>
          <w:p w14:paraId="51967891">
            <w:pPr>
              <w:keepNext w:val="0"/>
              <w:keepLines w:val="0"/>
              <w:suppressLineNumbers w:val="0"/>
              <w:spacing w:before="0" w:beforeAutospacing="0" w:after="0" w:afterAutospacing="0"/>
              <w:ind w:left="0" w:right="0"/>
              <w:rPr>
                <w:rFonts w:hint="eastAsia" w:ascii="宋体" w:hAnsi="宋体" w:eastAsia="宋体" w:cs="宋体"/>
                <w:color w:val="000000"/>
                <w:szCs w:val="21"/>
                <w:highlight w:val="none"/>
              </w:rPr>
            </w:pPr>
            <w:r>
              <w:rPr>
                <w:rFonts w:hint="eastAsia" w:ascii="宋体" w:hAnsi="宋体" w:eastAsia="宋体" w:cs="宋体"/>
                <w:color w:val="000000"/>
                <w:szCs w:val="21"/>
                <w:highlight w:val="none"/>
                <w:u w:val="single"/>
              </w:rPr>
              <w:t>招标文件中标识“★”号的条款、注明“投标将被否决”的条款</w:t>
            </w:r>
            <w:r>
              <w:rPr>
                <w:rFonts w:hint="eastAsia" w:ascii="宋体" w:hAnsi="宋体" w:eastAsia="宋体" w:cs="宋体"/>
                <w:color w:val="000000"/>
                <w:szCs w:val="21"/>
                <w:highlight w:val="none"/>
              </w:rPr>
              <w:t>均为实质性条款，</w:t>
            </w:r>
            <w:r>
              <w:rPr>
                <w:rFonts w:hint="eastAsia" w:ascii="宋体" w:hAnsi="宋体" w:eastAsia="宋体" w:cs="宋体"/>
                <w:b/>
                <w:color w:val="000000"/>
                <w:szCs w:val="21"/>
                <w:highlight w:val="none"/>
              </w:rPr>
              <w:t>不满足任意一项实质性条款的投标将被否决</w:t>
            </w:r>
          </w:p>
        </w:tc>
      </w:tr>
    </w:tbl>
    <w:p w14:paraId="3D017489">
      <w:pPr>
        <w:pStyle w:val="4"/>
        <w:ind w:firstLine="0" w:firstLineChars="0"/>
        <w:rPr>
          <w:rFonts w:hint="eastAsia" w:ascii="宋体" w:hAnsi="宋体" w:eastAsia="宋体" w:cs="宋体"/>
          <w:color w:val="000000"/>
          <w:szCs w:val="24"/>
          <w:highlight w:val="none"/>
        </w:rPr>
      </w:pPr>
      <w:bookmarkStart w:id="611" w:name="_Toc109124291"/>
      <w:r>
        <w:rPr>
          <w:rFonts w:hint="eastAsia" w:ascii="宋体" w:hAnsi="宋体" w:eastAsia="宋体" w:cs="宋体"/>
          <w:color w:val="000000"/>
          <w:szCs w:val="24"/>
          <w:highlight w:val="none"/>
        </w:rPr>
        <w:br w:type="page"/>
      </w:r>
      <w:bookmarkStart w:id="612" w:name="_Toc12684"/>
      <w:r>
        <w:rPr>
          <w:rStyle w:val="54"/>
          <w:rFonts w:hint="eastAsia" w:ascii="宋体" w:hAnsi="宋体" w:eastAsia="宋体" w:cs="宋体"/>
          <w:b/>
        </w:rPr>
        <w:t>2、否决投标情形汇总</w:t>
      </w:r>
      <w:bookmarkEnd w:id="611"/>
      <w:bookmarkEnd w:id="612"/>
    </w:p>
    <w:tbl>
      <w:tblPr>
        <w:tblStyle w:val="37"/>
        <w:tblW w:w="4835" w:type="pct"/>
        <w:jc w:val="center"/>
        <w:tblLayout w:type="autofit"/>
        <w:tblCellMar>
          <w:top w:w="0" w:type="dxa"/>
          <w:left w:w="108" w:type="dxa"/>
          <w:bottom w:w="0" w:type="dxa"/>
          <w:right w:w="108" w:type="dxa"/>
        </w:tblCellMar>
      </w:tblPr>
      <w:tblGrid>
        <w:gridCol w:w="1309"/>
        <w:gridCol w:w="1744"/>
        <w:gridCol w:w="6476"/>
      </w:tblGrid>
      <w:tr w14:paraId="0CA6DE0F">
        <w:tblPrEx>
          <w:tblCellMar>
            <w:top w:w="0" w:type="dxa"/>
            <w:left w:w="108" w:type="dxa"/>
            <w:bottom w:w="0" w:type="dxa"/>
            <w:right w:w="108" w:type="dxa"/>
          </w:tblCellMar>
        </w:tblPrEx>
        <w:trPr>
          <w:jc w:val="center"/>
        </w:trPr>
        <w:tc>
          <w:tcPr>
            <w:tcW w:w="687" w:type="pct"/>
            <w:tcBorders>
              <w:top w:val="single" w:color="auto" w:sz="4" w:space="0"/>
              <w:left w:val="single" w:color="auto" w:sz="4" w:space="0"/>
              <w:bottom w:val="single" w:color="auto" w:sz="4" w:space="0"/>
              <w:right w:val="single" w:color="auto" w:sz="4" w:space="0"/>
            </w:tcBorders>
            <w:noWrap w:val="0"/>
            <w:vAlign w:val="center"/>
          </w:tcPr>
          <w:p w14:paraId="16F9A165">
            <w:pPr>
              <w:keepNext w:val="0"/>
              <w:keepLines w:val="0"/>
              <w:suppressLineNumbers w:val="0"/>
              <w:adjustRightInd w:val="0"/>
              <w:spacing w:before="62" w:beforeLines="20" w:beforeAutospacing="0" w:after="62" w:afterLines="20" w:afterAutospacing="0"/>
              <w:ind w:left="0" w:right="0"/>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章节</w:t>
            </w:r>
          </w:p>
        </w:tc>
        <w:tc>
          <w:tcPr>
            <w:tcW w:w="915" w:type="pct"/>
            <w:tcBorders>
              <w:top w:val="single" w:color="auto" w:sz="4" w:space="0"/>
              <w:left w:val="single" w:color="auto" w:sz="4" w:space="0"/>
              <w:bottom w:val="single" w:color="auto" w:sz="4" w:space="0"/>
              <w:right w:val="single" w:color="auto" w:sz="4" w:space="0"/>
            </w:tcBorders>
            <w:noWrap w:val="0"/>
            <w:vAlign w:val="center"/>
          </w:tcPr>
          <w:p w14:paraId="162CE535">
            <w:pPr>
              <w:keepNext w:val="0"/>
              <w:keepLines w:val="0"/>
              <w:suppressLineNumbers w:val="0"/>
              <w:adjustRightInd w:val="0"/>
              <w:spacing w:before="62" w:beforeLines="20" w:beforeAutospacing="0" w:after="62" w:afterLines="20" w:afterAutospacing="0"/>
              <w:ind w:left="0" w:right="0"/>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内容</w:t>
            </w:r>
          </w:p>
        </w:tc>
        <w:tc>
          <w:tcPr>
            <w:tcW w:w="3398" w:type="pct"/>
            <w:tcBorders>
              <w:top w:val="single" w:color="auto" w:sz="4" w:space="0"/>
              <w:left w:val="single" w:color="auto" w:sz="4" w:space="0"/>
              <w:bottom w:val="single" w:color="auto" w:sz="4" w:space="0"/>
              <w:right w:val="single" w:color="auto" w:sz="4" w:space="0"/>
            </w:tcBorders>
            <w:noWrap w:val="0"/>
            <w:vAlign w:val="center"/>
          </w:tcPr>
          <w:p w14:paraId="47F34C69">
            <w:pPr>
              <w:keepNext w:val="0"/>
              <w:keepLines w:val="0"/>
              <w:suppressLineNumbers w:val="0"/>
              <w:autoSpaceDE w:val="0"/>
              <w:autoSpaceDN w:val="0"/>
              <w:spacing w:before="0" w:beforeAutospacing="0" w:after="0" w:afterAutospacing="0"/>
              <w:ind w:left="0" w:right="0"/>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条款</w:t>
            </w:r>
          </w:p>
        </w:tc>
      </w:tr>
      <w:tr w14:paraId="4AA40000">
        <w:tblPrEx>
          <w:tblCellMar>
            <w:top w:w="0" w:type="dxa"/>
            <w:left w:w="108" w:type="dxa"/>
            <w:bottom w:w="0" w:type="dxa"/>
            <w:right w:w="108" w:type="dxa"/>
          </w:tblCellMar>
        </w:tblPrEx>
        <w:trPr>
          <w:jc w:val="center"/>
        </w:trPr>
        <w:tc>
          <w:tcPr>
            <w:tcW w:w="687" w:type="pct"/>
            <w:tcBorders>
              <w:top w:val="single" w:color="auto" w:sz="4" w:space="0"/>
              <w:left w:val="single" w:color="auto" w:sz="4" w:space="0"/>
              <w:bottom w:val="single" w:color="auto" w:sz="4" w:space="0"/>
              <w:right w:val="single" w:color="auto" w:sz="4" w:space="0"/>
            </w:tcBorders>
            <w:noWrap w:val="0"/>
            <w:vAlign w:val="center"/>
          </w:tcPr>
          <w:p w14:paraId="48C90C56">
            <w:pPr>
              <w:keepNext w:val="0"/>
              <w:keepLines w:val="0"/>
              <w:suppressLineNumbers w:val="0"/>
              <w:adjustRightInd w:val="0"/>
              <w:spacing w:before="62" w:beforeLines="20" w:beforeAutospacing="0" w:after="62" w:afterLines="20" w:afterAutospacing="0"/>
              <w:ind w:left="0" w:right="0"/>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第一章</w:t>
            </w:r>
          </w:p>
        </w:tc>
        <w:tc>
          <w:tcPr>
            <w:tcW w:w="915" w:type="pct"/>
            <w:tcBorders>
              <w:top w:val="single" w:color="auto" w:sz="4" w:space="0"/>
              <w:left w:val="single" w:color="auto" w:sz="4" w:space="0"/>
              <w:bottom w:val="single" w:color="auto" w:sz="4" w:space="0"/>
              <w:right w:val="single" w:color="auto" w:sz="4" w:space="0"/>
            </w:tcBorders>
            <w:noWrap w:val="0"/>
            <w:vAlign w:val="center"/>
          </w:tcPr>
          <w:p w14:paraId="62224358">
            <w:pPr>
              <w:keepNext w:val="0"/>
              <w:keepLines w:val="0"/>
              <w:suppressLineNumbers w:val="0"/>
              <w:adjustRightInd w:val="0"/>
              <w:spacing w:before="62" w:beforeLines="20" w:beforeAutospacing="0" w:after="62" w:afterLines="20" w:afterAutospacing="0"/>
              <w:ind w:left="0" w:right="0"/>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招标公告</w:t>
            </w:r>
          </w:p>
        </w:tc>
        <w:tc>
          <w:tcPr>
            <w:tcW w:w="3398" w:type="pct"/>
            <w:tcBorders>
              <w:top w:val="single" w:color="auto" w:sz="4" w:space="0"/>
              <w:left w:val="single" w:color="auto" w:sz="4" w:space="0"/>
              <w:bottom w:val="single" w:color="auto" w:sz="4" w:space="0"/>
              <w:right w:val="single" w:color="auto" w:sz="4" w:space="0"/>
            </w:tcBorders>
            <w:noWrap w:val="0"/>
            <w:vAlign w:val="center"/>
          </w:tcPr>
          <w:p w14:paraId="0EB8F0E3">
            <w:pPr>
              <w:keepNext w:val="0"/>
              <w:keepLines w:val="0"/>
              <w:suppressLineNumbers w:val="0"/>
              <w:autoSpaceDE w:val="0"/>
              <w:autoSpaceDN w:val="0"/>
              <w:spacing w:before="0" w:beforeAutospacing="0" w:after="0" w:afterAutospacing="0"/>
              <w:ind w:left="0" w:right="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不完全符合“三、投标人资格要求”的投标将被否决</w:t>
            </w:r>
          </w:p>
        </w:tc>
      </w:tr>
      <w:tr w14:paraId="09BB68D8">
        <w:tblPrEx>
          <w:tblCellMar>
            <w:top w:w="0" w:type="dxa"/>
            <w:left w:w="108" w:type="dxa"/>
            <w:bottom w:w="0" w:type="dxa"/>
            <w:right w:w="108" w:type="dxa"/>
          </w:tblCellMar>
        </w:tblPrEx>
        <w:trPr>
          <w:jc w:val="center"/>
        </w:trPr>
        <w:tc>
          <w:tcPr>
            <w:tcW w:w="687" w:type="pct"/>
            <w:tcBorders>
              <w:top w:val="single" w:color="auto" w:sz="4" w:space="0"/>
              <w:left w:val="single" w:color="auto" w:sz="4" w:space="0"/>
              <w:bottom w:val="single" w:color="auto" w:sz="4" w:space="0"/>
              <w:right w:val="single" w:color="auto" w:sz="4" w:space="0"/>
            </w:tcBorders>
            <w:noWrap w:val="0"/>
            <w:vAlign w:val="center"/>
          </w:tcPr>
          <w:p w14:paraId="4B5ECB4D">
            <w:pPr>
              <w:keepNext w:val="0"/>
              <w:keepLines w:val="0"/>
              <w:suppressLineNumbers w:val="0"/>
              <w:adjustRightInd w:val="0"/>
              <w:spacing w:before="62" w:beforeLines="20" w:beforeAutospacing="0" w:after="62" w:afterLines="20" w:afterAutospacing="0"/>
              <w:ind w:left="0" w:right="0"/>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第二章</w:t>
            </w:r>
          </w:p>
        </w:tc>
        <w:tc>
          <w:tcPr>
            <w:tcW w:w="915" w:type="pct"/>
            <w:tcBorders>
              <w:top w:val="single" w:color="auto" w:sz="4" w:space="0"/>
              <w:left w:val="single" w:color="auto" w:sz="4" w:space="0"/>
              <w:bottom w:val="single" w:color="auto" w:sz="4" w:space="0"/>
              <w:right w:val="single" w:color="auto" w:sz="4" w:space="0"/>
            </w:tcBorders>
            <w:noWrap w:val="0"/>
            <w:vAlign w:val="center"/>
          </w:tcPr>
          <w:p w14:paraId="6597F364">
            <w:pPr>
              <w:keepNext w:val="0"/>
              <w:keepLines w:val="0"/>
              <w:suppressLineNumbers w:val="0"/>
              <w:adjustRightInd w:val="0"/>
              <w:spacing w:before="62" w:beforeLines="20" w:beforeAutospacing="0" w:after="62" w:afterLines="20" w:afterAutospacing="0"/>
              <w:ind w:left="0" w:right="0"/>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投标人须知</w:t>
            </w:r>
          </w:p>
        </w:tc>
        <w:tc>
          <w:tcPr>
            <w:tcW w:w="3398" w:type="pct"/>
            <w:tcBorders>
              <w:top w:val="single" w:color="auto" w:sz="4" w:space="0"/>
              <w:left w:val="single" w:color="auto" w:sz="4" w:space="0"/>
              <w:bottom w:val="single" w:color="auto" w:sz="4" w:space="0"/>
              <w:right w:val="single" w:color="auto" w:sz="4" w:space="0"/>
            </w:tcBorders>
            <w:noWrap w:val="0"/>
            <w:vAlign w:val="center"/>
          </w:tcPr>
          <w:p w14:paraId="45394E85">
            <w:pPr>
              <w:keepNext w:val="0"/>
              <w:keepLines w:val="0"/>
              <w:suppressLineNumbers w:val="0"/>
              <w:autoSpaceDE w:val="0"/>
              <w:autoSpaceDN w:val="0"/>
              <w:spacing w:before="0" w:beforeAutospacing="0" w:after="0" w:afterAutospacing="0"/>
              <w:ind w:left="0" w:right="0"/>
              <w:rPr>
                <w:rFonts w:hint="default" w:ascii="宋体" w:hAnsi="宋体" w:eastAsia="宋体" w:cs="宋体"/>
                <w:b/>
                <w:color w:val="000000"/>
                <w:szCs w:val="21"/>
                <w:highlight w:val="none"/>
              </w:rPr>
            </w:pPr>
            <w:r>
              <w:rPr>
                <w:rFonts w:hint="eastAsia" w:ascii="宋体" w:hAnsi="宋体" w:eastAsia="宋体" w:cs="宋体"/>
                <w:color w:val="000000"/>
                <w:szCs w:val="21"/>
                <w:highlight w:val="none"/>
              </w:rPr>
              <w:t xml:space="preserve">2.1.3 </w:t>
            </w:r>
            <w:r>
              <w:rPr>
                <w:rFonts w:hint="eastAsia" w:ascii="宋体" w:hAnsi="宋体" w:eastAsia="宋体" w:cs="宋体"/>
                <w:color w:val="000000"/>
                <w:szCs w:val="21"/>
                <w:highlight w:val="none"/>
                <w:u w:val="single"/>
              </w:rPr>
              <w:t>招标文件中标识“★”条款、注明“投标将被否决”的条款</w:t>
            </w:r>
            <w:r>
              <w:rPr>
                <w:rFonts w:hint="eastAsia" w:ascii="宋体" w:hAnsi="宋体" w:eastAsia="宋体" w:cs="宋体"/>
                <w:color w:val="000000"/>
                <w:szCs w:val="21"/>
                <w:highlight w:val="none"/>
              </w:rPr>
              <w:t>，均为实质性条款，</w:t>
            </w:r>
            <w:r>
              <w:rPr>
                <w:rFonts w:hint="eastAsia" w:ascii="宋体" w:hAnsi="宋体" w:eastAsia="宋体" w:cs="宋体"/>
                <w:b/>
                <w:color w:val="000000"/>
                <w:szCs w:val="21"/>
                <w:highlight w:val="none"/>
              </w:rPr>
              <w:t>不满足任意一项实质性条款的投标将被否决。</w:t>
            </w:r>
          </w:p>
          <w:p w14:paraId="7E1BC786">
            <w:pPr>
              <w:keepNext w:val="0"/>
              <w:keepLines w:val="0"/>
              <w:suppressLineNumbers w:val="0"/>
              <w:autoSpaceDE w:val="0"/>
              <w:autoSpaceDN w:val="0"/>
              <w:spacing w:before="0" w:beforeAutospacing="0" w:after="0" w:afterAutospacing="0"/>
              <w:ind w:left="0" w:right="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3.2.2 投标人应认真阅读招标文件中所有的事项、格式、条款和技术规范等。投标人没有按照招标文件要求递交全部资料，或者投标人没有对招标文件在各方面都作出实质性响应是投标人的风险，</w:t>
            </w:r>
            <w:r>
              <w:rPr>
                <w:rFonts w:hint="eastAsia" w:ascii="宋体" w:hAnsi="宋体" w:eastAsia="宋体" w:cs="宋体"/>
                <w:b/>
                <w:color w:val="000000"/>
                <w:szCs w:val="21"/>
                <w:highlight w:val="none"/>
              </w:rPr>
              <w:t>并可能导致其投标被否决</w:t>
            </w:r>
            <w:r>
              <w:rPr>
                <w:rFonts w:hint="eastAsia" w:ascii="宋体" w:hAnsi="宋体" w:eastAsia="宋体" w:cs="宋体"/>
                <w:color w:val="000000"/>
                <w:szCs w:val="21"/>
                <w:highlight w:val="none"/>
              </w:rPr>
              <w:t>。</w:t>
            </w:r>
          </w:p>
          <w:p w14:paraId="3332917B">
            <w:pPr>
              <w:keepNext w:val="0"/>
              <w:keepLines w:val="0"/>
              <w:suppressLineNumbers w:val="0"/>
              <w:autoSpaceDE w:val="0"/>
              <w:autoSpaceDN w:val="0"/>
              <w:spacing w:before="0" w:beforeAutospacing="0" w:after="0" w:afterAutospacing="0"/>
              <w:ind w:left="0" w:right="0"/>
              <w:rPr>
                <w:rFonts w:hint="eastAsia" w:ascii="宋体" w:hAnsi="宋体" w:eastAsia="宋体" w:cs="宋体"/>
                <w:b/>
                <w:color w:val="000000"/>
                <w:szCs w:val="21"/>
                <w:highlight w:val="none"/>
              </w:rPr>
            </w:pPr>
            <w:r>
              <w:rPr>
                <w:rFonts w:hint="eastAsia" w:ascii="宋体" w:hAnsi="宋体" w:eastAsia="宋体" w:cs="宋体"/>
                <w:color w:val="000000"/>
                <w:szCs w:val="21"/>
                <w:highlight w:val="none"/>
              </w:rPr>
              <w:t>3.3.4 招标人设有最高投标限价的，投标人的投标报价不得超过最高投标限价，</w:t>
            </w:r>
            <w:r>
              <w:rPr>
                <w:rFonts w:hint="eastAsia" w:ascii="宋体" w:hAnsi="宋体" w:eastAsia="宋体" w:cs="宋体"/>
                <w:b/>
                <w:color w:val="000000"/>
                <w:szCs w:val="21"/>
                <w:highlight w:val="none"/>
              </w:rPr>
              <w:t>否则其投标将被否决。</w:t>
            </w:r>
          </w:p>
          <w:p w14:paraId="2139B7B1">
            <w:pPr>
              <w:keepNext w:val="0"/>
              <w:keepLines w:val="0"/>
              <w:suppressLineNumbers w:val="0"/>
              <w:autoSpaceDE w:val="0"/>
              <w:autoSpaceDN w:val="0"/>
              <w:spacing w:before="0" w:beforeAutospacing="0" w:after="0" w:afterAutospacing="0"/>
              <w:ind w:left="0" w:right="0"/>
              <w:rPr>
                <w:rFonts w:hint="eastAsia" w:ascii="宋体" w:hAnsi="宋体" w:eastAsia="宋体" w:cs="宋体"/>
                <w:b/>
                <w:color w:val="000000"/>
                <w:szCs w:val="21"/>
                <w:highlight w:val="none"/>
              </w:rPr>
            </w:pPr>
            <w:r>
              <w:rPr>
                <w:rFonts w:hint="eastAsia" w:ascii="宋体" w:hAnsi="宋体" w:eastAsia="宋体" w:cs="宋体"/>
                <w:color w:val="000000"/>
                <w:szCs w:val="21"/>
                <w:highlight w:val="none"/>
              </w:rPr>
              <w:t>3.3.5（2）投标人应根据技术规范书的要求并遵照“第六章 投标文件格式”给出的投标一览表、分项报价表进行报价，不得缺省或回避填写，</w:t>
            </w:r>
            <w:r>
              <w:rPr>
                <w:rFonts w:hint="eastAsia" w:ascii="宋体" w:hAnsi="宋体" w:eastAsia="宋体" w:cs="宋体"/>
                <w:b/>
                <w:color w:val="000000"/>
                <w:szCs w:val="21"/>
                <w:highlight w:val="none"/>
              </w:rPr>
              <w:t>否则视为非实质性响应，投标将被否决。</w:t>
            </w:r>
          </w:p>
          <w:p w14:paraId="1AB53BD9">
            <w:pPr>
              <w:keepNext w:val="0"/>
              <w:keepLines w:val="0"/>
              <w:suppressLineNumbers w:val="0"/>
              <w:autoSpaceDE w:val="0"/>
              <w:autoSpaceDN w:val="0"/>
              <w:spacing w:before="0" w:beforeAutospacing="0" w:after="0" w:afterAutospacing="0"/>
              <w:ind w:left="0" w:right="0"/>
              <w:rPr>
                <w:rFonts w:hint="eastAsia" w:ascii="宋体" w:hAnsi="宋体" w:eastAsia="宋体" w:cs="宋体"/>
                <w:b/>
                <w:color w:val="000000"/>
                <w:szCs w:val="21"/>
                <w:highlight w:val="none"/>
              </w:rPr>
            </w:pPr>
            <w:r>
              <w:rPr>
                <w:rFonts w:hint="eastAsia" w:ascii="宋体" w:hAnsi="宋体" w:eastAsia="宋体" w:cs="宋体"/>
                <w:color w:val="000000"/>
                <w:szCs w:val="21"/>
                <w:highlight w:val="none"/>
              </w:rPr>
              <w:t>3.4.1 投标人承诺的投标有效期必须不短于招标文件规定的投标有效期，</w:t>
            </w:r>
            <w:r>
              <w:rPr>
                <w:rFonts w:hint="eastAsia" w:ascii="宋体" w:hAnsi="宋体" w:eastAsia="宋体" w:cs="宋体"/>
                <w:b/>
                <w:color w:val="000000"/>
                <w:szCs w:val="21"/>
                <w:highlight w:val="none"/>
              </w:rPr>
              <w:t>否则将构成对招标文件的非实质性响应，投标将被否决。</w:t>
            </w:r>
          </w:p>
          <w:p w14:paraId="60A8BA09">
            <w:pPr>
              <w:keepNext w:val="0"/>
              <w:keepLines w:val="0"/>
              <w:suppressLineNumbers w:val="0"/>
              <w:autoSpaceDE w:val="0"/>
              <w:autoSpaceDN w:val="0"/>
              <w:spacing w:before="0" w:beforeAutospacing="0" w:after="0" w:afterAutospacing="0"/>
              <w:ind w:left="0" w:right="0"/>
              <w:rPr>
                <w:rFonts w:hint="eastAsia" w:ascii="宋体" w:hAnsi="宋体" w:eastAsia="宋体" w:cs="宋体"/>
                <w:szCs w:val="20"/>
                <w:highlight w:val="none"/>
              </w:rPr>
            </w:pPr>
            <w:r>
              <w:rPr>
                <w:rFonts w:hint="eastAsia" w:ascii="宋体" w:hAnsi="宋体" w:eastAsia="宋体" w:cs="宋体"/>
                <w:color w:val="000000"/>
                <w:szCs w:val="21"/>
                <w:highlight w:val="none"/>
              </w:rPr>
              <w:t>3.5.2（3）未在投标文件递交截止时间前提交投标保证</w:t>
            </w:r>
            <w:r>
              <w:rPr>
                <w:rFonts w:hint="eastAsia" w:ascii="宋体" w:hAnsi="宋体" w:eastAsia="宋体" w:cs="宋体"/>
                <w:color w:val="000000"/>
                <w:szCs w:val="21"/>
                <w:highlight w:val="none"/>
                <w:lang w:val="en-US" w:eastAsia="zh-CN"/>
              </w:rPr>
              <w:t>金</w:t>
            </w:r>
            <w:r>
              <w:rPr>
                <w:rFonts w:hint="eastAsia" w:ascii="宋体" w:hAnsi="宋体" w:eastAsia="宋体" w:cs="宋体"/>
                <w:color w:val="000000"/>
                <w:szCs w:val="21"/>
                <w:highlight w:val="none"/>
              </w:rPr>
              <w:t>的或者提交的投标保证</w:t>
            </w:r>
            <w:r>
              <w:rPr>
                <w:rFonts w:hint="eastAsia" w:ascii="宋体" w:hAnsi="宋体" w:eastAsia="宋体" w:cs="宋体"/>
                <w:color w:val="000000"/>
                <w:szCs w:val="21"/>
                <w:highlight w:val="none"/>
                <w:lang w:val="en-US" w:eastAsia="zh-CN"/>
              </w:rPr>
              <w:t>金</w:t>
            </w:r>
            <w:r>
              <w:rPr>
                <w:rFonts w:hint="eastAsia" w:ascii="宋体" w:hAnsi="宋体" w:eastAsia="宋体" w:cs="宋体"/>
                <w:color w:val="000000"/>
                <w:szCs w:val="21"/>
                <w:highlight w:val="none"/>
              </w:rPr>
              <w:t>有瑕疵的，</w:t>
            </w:r>
            <w:r>
              <w:rPr>
                <w:rFonts w:hint="eastAsia" w:ascii="宋体" w:hAnsi="宋体" w:eastAsia="宋体" w:cs="宋体"/>
                <w:b/>
                <w:color w:val="000000"/>
                <w:szCs w:val="21"/>
                <w:highlight w:val="none"/>
              </w:rPr>
              <w:t>投标将被否决</w:t>
            </w:r>
            <w:r>
              <w:rPr>
                <w:rFonts w:hint="eastAsia" w:ascii="宋体" w:hAnsi="宋体" w:eastAsia="宋体" w:cs="宋体"/>
                <w:color w:val="000000"/>
                <w:szCs w:val="21"/>
                <w:highlight w:val="none"/>
              </w:rPr>
              <w:t>。</w:t>
            </w:r>
          </w:p>
        </w:tc>
      </w:tr>
      <w:tr w14:paraId="367CCD58">
        <w:tblPrEx>
          <w:tblCellMar>
            <w:top w:w="0" w:type="dxa"/>
            <w:left w:w="108" w:type="dxa"/>
            <w:bottom w:w="0" w:type="dxa"/>
            <w:right w:w="108" w:type="dxa"/>
          </w:tblCellMar>
        </w:tblPrEx>
        <w:trPr>
          <w:jc w:val="center"/>
        </w:trPr>
        <w:tc>
          <w:tcPr>
            <w:tcW w:w="687" w:type="pct"/>
            <w:tcBorders>
              <w:top w:val="single" w:color="auto" w:sz="4" w:space="0"/>
              <w:left w:val="single" w:color="auto" w:sz="4" w:space="0"/>
              <w:bottom w:val="single" w:color="auto" w:sz="4" w:space="0"/>
              <w:right w:val="single" w:color="auto" w:sz="4" w:space="0"/>
            </w:tcBorders>
            <w:noWrap w:val="0"/>
            <w:vAlign w:val="center"/>
          </w:tcPr>
          <w:p w14:paraId="655766D3">
            <w:pPr>
              <w:keepNext w:val="0"/>
              <w:keepLines w:val="0"/>
              <w:suppressLineNumbers w:val="0"/>
              <w:adjustRightInd w:val="0"/>
              <w:spacing w:before="62" w:beforeLines="20" w:beforeAutospacing="0" w:after="62" w:afterLines="20" w:afterAutospacing="0"/>
              <w:ind w:left="0" w:right="0"/>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第三章</w:t>
            </w:r>
          </w:p>
        </w:tc>
        <w:tc>
          <w:tcPr>
            <w:tcW w:w="915" w:type="pct"/>
            <w:tcBorders>
              <w:top w:val="single" w:color="auto" w:sz="4" w:space="0"/>
              <w:left w:val="single" w:color="auto" w:sz="4" w:space="0"/>
              <w:bottom w:val="single" w:color="auto" w:sz="4" w:space="0"/>
              <w:right w:val="single" w:color="auto" w:sz="4" w:space="0"/>
            </w:tcBorders>
            <w:noWrap w:val="0"/>
            <w:vAlign w:val="center"/>
          </w:tcPr>
          <w:p w14:paraId="1065C47C">
            <w:pPr>
              <w:keepNext w:val="0"/>
              <w:keepLines w:val="0"/>
              <w:suppressLineNumbers w:val="0"/>
              <w:adjustRightInd w:val="0"/>
              <w:spacing w:before="62" w:beforeLines="20" w:beforeAutospacing="0" w:after="62" w:afterLines="20" w:afterAutospacing="0"/>
              <w:ind w:left="0" w:right="0"/>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评标办法</w:t>
            </w:r>
          </w:p>
        </w:tc>
        <w:tc>
          <w:tcPr>
            <w:tcW w:w="3398" w:type="pct"/>
            <w:tcBorders>
              <w:top w:val="single" w:color="auto" w:sz="4" w:space="0"/>
              <w:left w:val="single" w:color="auto" w:sz="4" w:space="0"/>
              <w:bottom w:val="single" w:color="auto" w:sz="4" w:space="0"/>
              <w:right w:val="single" w:color="auto" w:sz="4" w:space="0"/>
            </w:tcBorders>
            <w:noWrap w:val="0"/>
            <w:vAlign w:val="center"/>
          </w:tcPr>
          <w:p w14:paraId="604CA8E9">
            <w:pPr>
              <w:keepNext w:val="0"/>
              <w:keepLines w:val="0"/>
              <w:suppressLineNumbers w:val="0"/>
              <w:autoSpaceDE w:val="0"/>
              <w:autoSpaceDN w:val="0"/>
              <w:spacing w:before="0" w:beforeAutospacing="0" w:after="0" w:afterAutospacing="0"/>
              <w:ind w:left="0" w:right="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3.1.1有一项不符合初步评审标准的，评标委员会</w:t>
            </w:r>
            <w:r>
              <w:rPr>
                <w:rFonts w:hint="eastAsia" w:ascii="宋体" w:hAnsi="宋体" w:eastAsia="宋体" w:cs="宋体"/>
                <w:b/>
                <w:bCs/>
                <w:color w:val="000000"/>
                <w:szCs w:val="21"/>
                <w:highlight w:val="none"/>
              </w:rPr>
              <w:t>应当否决其投标</w:t>
            </w:r>
            <w:r>
              <w:rPr>
                <w:rFonts w:hint="eastAsia" w:ascii="宋体" w:hAnsi="宋体" w:eastAsia="宋体" w:cs="宋体"/>
                <w:color w:val="000000"/>
                <w:szCs w:val="21"/>
                <w:highlight w:val="none"/>
              </w:rPr>
              <w:t>。</w:t>
            </w:r>
          </w:p>
          <w:p w14:paraId="1608112C">
            <w:pPr>
              <w:keepNext w:val="0"/>
              <w:keepLines w:val="0"/>
              <w:suppressLineNumbers w:val="0"/>
              <w:autoSpaceDE w:val="0"/>
              <w:autoSpaceDN w:val="0"/>
              <w:spacing w:before="0" w:beforeAutospacing="0" w:after="0" w:afterAutospacing="0"/>
              <w:ind w:left="0" w:right="0"/>
              <w:rPr>
                <w:rFonts w:hint="eastAsia" w:ascii="宋体" w:hAnsi="宋体" w:eastAsia="宋体" w:cs="宋体"/>
                <w:color w:val="000000"/>
                <w:szCs w:val="21"/>
                <w:highlight w:val="none"/>
              </w:rPr>
            </w:pPr>
            <w:bookmarkStart w:id="613" w:name="_Toc71192015"/>
            <w:bookmarkStart w:id="614" w:name="_Toc109124292"/>
            <w:r>
              <w:rPr>
                <w:rFonts w:hint="eastAsia" w:ascii="宋体" w:hAnsi="宋体" w:eastAsia="宋体" w:cs="宋体"/>
                <w:color w:val="000000"/>
                <w:szCs w:val="21"/>
                <w:highlight w:val="none"/>
              </w:rPr>
              <w:t>3.1.2投标人有以下情形之一的，评标委员会</w:t>
            </w:r>
            <w:r>
              <w:rPr>
                <w:rFonts w:hint="eastAsia" w:ascii="宋体" w:hAnsi="宋体" w:eastAsia="宋体" w:cs="宋体"/>
                <w:b/>
                <w:bCs/>
                <w:color w:val="000000"/>
                <w:szCs w:val="21"/>
                <w:highlight w:val="none"/>
              </w:rPr>
              <w:t>应当否决其投标</w:t>
            </w:r>
            <w:r>
              <w:rPr>
                <w:rFonts w:hint="eastAsia" w:ascii="宋体" w:hAnsi="宋体" w:eastAsia="宋体" w:cs="宋体"/>
                <w:color w:val="000000"/>
                <w:szCs w:val="21"/>
                <w:highlight w:val="none"/>
              </w:rPr>
              <w:t>：</w:t>
            </w:r>
            <w:bookmarkEnd w:id="613"/>
            <w:bookmarkEnd w:id="614"/>
          </w:p>
          <w:p w14:paraId="63EA2034">
            <w:pPr>
              <w:keepNext w:val="0"/>
              <w:keepLines w:val="0"/>
              <w:suppressLineNumbers w:val="0"/>
              <w:autoSpaceDE w:val="0"/>
              <w:autoSpaceDN w:val="0"/>
              <w:spacing w:before="0" w:beforeAutospacing="0" w:after="0" w:afterAutospacing="0"/>
              <w:ind w:left="0" w:right="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w:t>
            </w:r>
            <w:r>
              <w:rPr>
                <w:rFonts w:hint="eastAsia" w:ascii="宋体" w:hAnsi="宋体" w:eastAsia="宋体" w:cs="宋体"/>
                <w:color w:val="000000"/>
                <w:szCs w:val="21"/>
                <w:highlight w:val="none"/>
                <w:lang w:val="en-US" w:eastAsia="zh-CN"/>
              </w:rPr>
              <w:t>1</w:t>
            </w:r>
            <w:r>
              <w:rPr>
                <w:rFonts w:hint="eastAsia" w:ascii="宋体" w:hAnsi="宋体" w:eastAsia="宋体" w:cs="宋体"/>
                <w:color w:val="000000"/>
                <w:szCs w:val="21"/>
                <w:highlight w:val="none"/>
              </w:rPr>
              <w:t>）投标文件未经投标单位盖章或单位负责人签字；</w:t>
            </w:r>
          </w:p>
          <w:p w14:paraId="2E80B918">
            <w:pPr>
              <w:keepNext w:val="0"/>
              <w:keepLines w:val="0"/>
              <w:suppressLineNumbers w:val="0"/>
              <w:autoSpaceDE w:val="0"/>
              <w:autoSpaceDN w:val="0"/>
              <w:spacing w:before="0" w:beforeAutospacing="0" w:after="0" w:afterAutospacing="0"/>
              <w:ind w:left="0" w:right="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w:t>
            </w:r>
            <w:r>
              <w:rPr>
                <w:rFonts w:hint="eastAsia" w:ascii="宋体" w:hAnsi="宋体" w:eastAsia="宋体" w:cs="宋体"/>
                <w:color w:val="000000"/>
                <w:szCs w:val="21"/>
                <w:highlight w:val="none"/>
                <w:lang w:val="en-US" w:eastAsia="zh-CN"/>
              </w:rPr>
              <w:t>2</w:t>
            </w:r>
            <w:r>
              <w:rPr>
                <w:rFonts w:hint="eastAsia" w:ascii="宋体" w:hAnsi="宋体" w:eastAsia="宋体" w:cs="宋体"/>
                <w:color w:val="000000"/>
                <w:szCs w:val="21"/>
                <w:highlight w:val="none"/>
              </w:rPr>
              <w:t>）允许联合体投标的，投标联合体没有递交共同投标协议；</w:t>
            </w:r>
          </w:p>
          <w:p w14:paraId="059E9A8F">
            <w:pPr>
              <w:keepNext w:val="0"/>
              <w:keepLines w:val="0"/>
              <w:suppressLineNumbers w:val="0"/>
              <w:autoSpaceDE w:val="0"/>
              <w:autoSpaceDN w:val="0"/>
              <w:spacing w:before="0" w:beforeAutospacing="0" w:after="0" w:afterAutospacing="0"/>
              <w:ind w:left="0" w:right="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w:t>
            </w:r>
            <w:r>
              <w:rPr>
                <w:rFonts w:hint="eastAsia" w:ascii="宋体" w:hAnsi="宋体" w:eastAsia="宋体" w:cs="宋体"/>
                <w:color w:val="000000"/>
                <w:szCs w:val="21"/>
                <w:highlight w:val="none"/>
                <w:lang w:val="en-US" w:eastAsia="zh-CN"/>
              </w:rPr>
              <w:t>3</w:t>
            </w:r>
            <w:r>
              <w:rPr>
                <w:rFonts w:hint="eastAsia" w:ascii="宋体" w:hAnsi="宋体" w:eastAsia="宋体" w:cs="宋体"/>
                <w:color w:val="000000"/>
                <w:szCs w:val="21"/>
                <w:highlight w:val="none"/>
              </w:rPr>
              <w:t>）投标人不符合国家或者招标文件规定的资格条件；</w:t>
            </w:r>
          </w:p>
          <w:p w14:paraId="05A712DA">
            <w:pPr>
              <w:keepNext w:val="0"/>
              <w:keepLines w:val="0"/>
              <w:suppressLineNumbers w:val="0"/>
              <w:autoSpaceDE w:val="0"/>
              <w:autoSpaceDN w:val="0"/>
              <w:spacing w:before="0" w:beforeAutospacing="0" w:after="0" w:afterAutospacing="0"/>
              <w:ind w:left="0" w:right="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w:t>
            </w:r>
            <w:r>
              <w:rPr>
                <w:rFonts w:hint="eastAsia" w:ascii="宋体" w:hAnsi="宋体" w:eastAsia="宋体" w:cs="宋体"/>
                <w:color w:val="000000"/>
                <w:szCs w:val="21"/>
                <w:highlight w:val="none"/>
                <w:lang w:val="en-US" w:eastAsia="zh-CN"/>
              </w:rPr>
              <w:t>4</w:t>
            </w:r>
            <w:r>
              <w:rPr>
                <w:rFonts w:hint="eastAsia" w:ascii="宋体" w:hAnsi="宋体" w:eastAsia="宋体" w:cs="宋体"/>
                <w:color w:val="000000"/>
                <w:szCs w:val="21"/>
                <w:highlight w:val="none"/>
              </w:rPr>
              <w:t>）同一投标人提交两个以上不同的投标文件或者投标报价，但招标文件要求提交备选投标的除外；</w:t>
            </w:r>
          </w:p>
          <w:p w14:paraId="7B49EFFD">
            <w:pPr>
              <w:keepNext w:val="0"/>
              <w:keepLines w:val="0"/>
              <w:suppressLineNumbers w:val="0"/>
              <w:autoSpaceDE w:val="0"/>
              <w:autoSpaceDN w:val="0"/>
              <w:spacing w:before="0" w:beforeAutospacing="0" w:after="0" w:afterAutospacing="0"/>
              <w:ind w:left="0" w:right="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w:t>
            </w:r>
            <w:r>
              <w:rPr>
                <w:rFonts w:hint="eastAsia" w:ascii="宋体" w:hAnsi="宋体" w:eastAsia="宋体" w:cs="宋体"/>
                <w:color w:val="000000"/>
                <w:szCs w:val="21"/>
                <w:highlight w:val="none"/>
                <w:lang w:val="en-US" w:eastAsia="zh-CN"/>
              </w:rPr>
              <w:t>5</w:t>
            </w:r>
            <w:r>
              <w:rPr>
                <w:rFonts w:hint="eastAsia" w:ascii="宋体" w:hAnsi="宋体" w:eastAsia="宋体" w:cs="宋体"/>
                <w:color w:val="000000"/>
                <w:szCs w:val="21"/>
                <w:highlight w:val="none"/>
              </w:rPr>
              <w:t>）投标报价低于成本或者高于招标文件设定的最高投标限价；</w:t>
            </w:r>
          </w:p>
          <w:p w14:paraId="6985A0E5">
            <w:pPr>
              <w:keepNext w:val="0"/>
              <w:keepLines w:val="0"/>
              <w:suppressLineNumbers w:val="0"/>
              <w:autoSpaceDE w:val="0"/>
              <w:autoSpaceDN w:val="0"/>
              <w:spacing w:before="0" w:beforeAutospacing="0" w:after="0" w:afterAutospacing="0"/>
              <w:ind w:left="0" w:right="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w:t>
            </w:r>
            <w:r>
              <w:rPr>
                <w:rFonts w:hint="eastAsia" w:ascii="宋体" w:hAnsi="宋体" w:eastAsia="宋体" w:cs="宋体"/>
                <w:color w:val="000000"/>
                <w:szCs w:val="21"/>
                <w:highlight w:val="none"/>
                <w:lang w:val="en-US" w:eastAsia="zh-CN"/>
              </w:rPr>
              <w:t>6</w:t>
            </w:r>
            <w:r>
              <w:rPr>
                <w:rFonts w:hint="eastAsia" w:ascii="宋体" w:hAnsi="宋体" w:eastAsia="宋体" w:cs="宋体"/>
                <w:color w:val="000000"/>
                <w:szCs w:val="21"/>
                <w:highlight w:val="none"/>
              </w:rPr>
              <w:t xml:space="preserve">）投标文件未对招标文件的实质性要求和条件作出响应； </w:t>
            </w:r>
          </w:p>
          <w:p w14:paraId="0A808B77">
            <w:pPr>
              <w:keepNext w:val="0"/>
              <w:keepLines w:val="0"/>
              <w:suppressLineNumbers w:val="0"/>
              <w:autoSpaceDE w:val="0"/>
              <w:autoSpaceDN w:val="0"/>
              <w:spacing w:before="0" w:beforeAutospacing="0" w:after="0" w:afterAutospacing="0"/>
              <w:ind w:left="0" w:right="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w:t>
            </w:r>
            <w:r>
              <w:rPr>
                <w:rFonts w:hint="eastAsia" w:ascii="宋体" w:hAnsi="宋体" w:eastAsia="宋体" w:cs="宋体"/>
                <w:color w:val="000000"/>
                <w:szCs w:val="21"/>
                <w:highlight w:val="none"/>
                <w:lang w:val="en-US" w:eastAsia="zh-CN"/>
              </w:rPr>
              <w:t>7</w:t>
            </w:r>
            <w:r>
              <w:rPr>
                <w:rFonts w:hint="eastAsia" w:ascii="宋体" w:hAnsi="宋体" w:eastAsia="宋体" w:cs="宋体"/>
                <w:color w:val="000000"/>
                <w:szCs w:val="21"/>
                <w:highlight w:val="none"/>
              </w:rPr>
              <w:t>）投标人有串通投标、弄虚作假、行贿等违法行为；</w:t>
            </w:r>
          </w:p>
          <w:p w14:paraId="4D506D78">
            <w:pPr>
              <w:keepNext w:val="0"/>
              <w:keepLines w:val="0"/>
              <w:suppressLineNumbers w:val="0"/>
              <w:autoSpaceDE w:val="0"/>
              <w:autoSpaceDN w:val="0"/>
              <w:spacing w:before="0" w:beforeAutospacing="0" w:after="0" w:afterAutospacing="0"/>
              <w:ind w:left="0" w:right="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w:t>
            </w:r>
            <w:r>
              <w:rPr>
                <w:rFonts w:hint="eastAsia" w:ascii="宋体" w:hAnsi="宋体" w:eastAsia="宋体" w:cs="宋体"/>
                <w:color w:val="000000"/>
                <w:szCs w:val="21"/>
                <w:highlight w:val="none"/>
                <w:lang w:val="en-US" w:eastAsia="zh-CN"/>
              </w:rPr>
              <w:t>8</w:t>
            </w:r>
            <w:r>
              <w:rPr>
                <w:rFonts w:hint="eastAsia" w:ascii="宋体" w:hAnsi="宋体" w:eastAsia="宋体" w:cs="宋体"/>
                <w:color w:val="000000"/>
                <w:szCs w:val="21"/>
                <w:highlight w:val="none"/>
              </w:rPr>
              <w:t>）不接受或不确认因算术性错误进行的价格修正；</w:t>
            </w:r>
          </w:p>
          <w:p w14:paraId="58188A00">
            <w:pPr>
              <w:keepNext w:val="0"/>
              <w:keepLines w:val="0"/>
              <w:suppressLineNumbers w:val="0"/>
              <w:autoSpaceDE w:val="0"/>
              <w:autoSpaceDN w:val="0"/>
              <w:spacing w:before="0" w:beforeAutospacing="0" w:after="0" w:afterAutospacing="0"/>
              <w:ind w:left="0" w:right="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w:t>
            </w:r>
            <w:r>
              <w:rPr>
                <w:rFonts w:hint="eastAsia" w:ascii="宋体" w:hAnsi="宋体" w:eastAsia="宋体" w:cs="宋体"/>
                <w:color w:val="000000"/>
                <w:szCs w:val="21"/>
                <w:highlight w:val="none"/>
                <w:lang w:val="en-US" w:eastAsia="zh-CN"/>
              </w:rPr>
              <w:t>9</w:t>
            </w:r>
            <w:r>
              <w:rPr>
                <w:rFonts w:hint="eastAsia" w:ascii="宋体" w:hAnsi="宋体" w:eastAsia="宋体" w:cs="宋体"/>
                <w:color w:val="000000"/>
                <w:szCs w:val="21"/>
                <w:highlight w:val="none"/>
              </w:rPr>
              <w:t>）投标文件附有招标人不能接受的条件；</w:t>
            </w:r>
          </w:p>
          <w:p w14:paraId="676BAFB2">
            <w:pPr>
              <w:keepNext w:val="0"/>
              <w:keepLines w:val="0"/>
              <w:suppressLineNumbers w:val="0"/>
              <w:autoSpaceDE w:val="0"/>
              <w:autoSpaceDN w:val="0"/>
              <w:spacing w:before="0" w:beforeAutospacing="0" w:after="0" w:afterAutospacing="0"/>
              <w:ind w:left="0" w:right="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w:t>
            </w:r>
            <w:r>
              <w:rPr>
                <w:rFonts w:hint="eastAsia" w:ascii="宋体" w:hAnsi="宋体" w:eastAsia="宋体" w:cs="宋体"/>
                <w:color w:val="000000"/>
                <w:szCs w:val="21"/>
                <w:highlight w:val="none"/>
                <w:lang w:val="en-US" w:eastAsia="zh-CN"/>
              </w:rPr>
              <w:t>10</w:t>
            </w:r>
            <w:r>
              <w:rPr>
                <w:rFonts w:hint="eastAsia" w:ascii="宋体" w:hAnsi="宋体" w:eastAsia="宋体" w:cs="宋体"/>
                <w:color w:val="000000"/>
                <w:szCs w:val="21"/>
                <w:highlight w:val="none"/>
              </w:rPr>
              <w:t>）不符合招标文件中规定的其他实质性要求。</w:t>
            </w:r>
          </w:p>
          <w:p w14:paraId="4AAEE044">
            <w:pPr>
              <w:keepNext w:val="0"/>
              <w:keepLines w:val="0"/>
              <w:suppressLineNumbers w:val="0"/>
              <w:autoSpaceDE w:val="0"/>
              <w:autoSpaceDN w:val="0"/>
              <w:spacing w:before="0" w:beforeAutospacing="0" w:after="0" w:afterAutospacing="0"/>
              <w:ind w:left="0" w:right="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3.1.3投标报价有算术错误的，评标委员会按照以下原则对投标报价进行修正，修正的价格经投标人书面确认后具有约束力。投标人不接受或不确认修正后价格的，</w:t>
            </w:r>
            <w:r>
              <w:rPr>
                <w:rFonts w:hint="eastAsia" w:ascii="宋体" w:hAnsi="宋体" w:eastAsia="宋体" w:cs="宋体"/>
                <w:b/>
                <w:bCs/>
                <w:color w:val="000000"/>
                <w:szCs w:val="21"/>
                <w:highlight w:val="none"/>
              </w:rPr>
              <w:t>评标委员会应当否决其投标。</w:t>
            </w:r>
          </w:p>
          <w:p w14:paraId="0A50594D">
            <w:pPr>
              <w:keepNext w:val="0"/>
              <w:keepLines w:val="0"/>
              <w:suppressLineNumbers w:val="0"/>
              <w:autoSpaceDE w:val="0"/>
              <w:autoSpaceDN w:val="0"/>
              <w:spacing w:before="0" w:beforeAutospacing="0" w:after="0" w:afterAutospacing="0"/>
              <w:ind w:left="0" w:right="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（1） 投标文件中的大写金额与小写金额不一致的，以大写金额为准；</w:t>
            </w:r>
          </w:p>
          <w:p w14:paraId="16A1708B">
            <w:pPr>
              <w:keepNext w:val="0"/>
              <w:keepLines w:val="0"/>
              <w:suppressLineNumbers w:val="0"/>
              <w:autoSpaceDE w:val="0"/>
              <w:autoSpaceDN w:val="0"/>
              <w:spacing w:before="0" w:beforeAutospacing="0" w:after="0" w:afterAutospacing="0"/>
              <w:ind w:left="0" w:right="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（2） 总价金额与根据单价计算出的结果不一致的，以单价金额为准修正总价，但单价金额小数点有明显错误的除外。</w:t>
            </w:r>
          </w:p>
          <w:p w14:paraId="2CFD6DDF">
            <w:pPr>
              <w:pStyle w:val="13"/>
              <w:keepNext w:val="0"/>
              <w:keepLines w:val="0"/>
              <w:suppressLineNumbers w:val="0"/>
              <w:spacing w:before="0" w:beforeAutospacing="0" w:afterAutospacing="0"/>
              <w:ind w:left="0" w:right="0"/>
              <w:rPr>
                <w:rFonts w:hint="eastAsia" w:ascii="宋体" w:hAnsi="宋体" w:eastAsia="宋体" w:cs="宋体"/>
                <w:szCs w:val="21"/>
                <w:highlight w:val="none"/>
              </w:rPr>
            </w:pPr>
            <w:r>
              <w:rPr>
                <w:rFonts w:hint="eastAsia" w:ascii="宋体" w:hAnsi="宋体" w:eastAsia="宋体" w:cs="宋体"/>
                <w:color w:val="000000"/>
                <w:szCs w:val="21"/>
                <w:highlight w:val="none"/>
              </w:rPr>
              <w:t>3.1.4在评标过程中，评标委员会发现投标人的报价明显低于其他投标报价或者在设有标底时明显低于标底，使得其投标报价可能低于其个别成本的，应当要求该投标人作出书面说明并提供相关证明材料。投标人不能合理说明或者不能提供相关证明材料的，由评标委员会认定该投标人以低于成本报价竞标，</w:t>
            </w:r>
            <w:r>
              <w:rPr>
                <w:rFonts w:hint="eastAsia" w:ascii="宋体" w:hAnsi="宋体" w:eastAsia="宋体" w:cs="宋体"/>
                <w:b/>
                <w:bCs/>
                <w:color w:val="000000"/>
                <w:szCs w:val="21"/>
                <w:highlight w:val="none"/>
              </w:rPr>
              <w:t>应当否决其投标。</w:t>
            </w:r>
          </w:p>
          <w:p w14:paraId="5FDCE18D">
            <w:pPr>
              <w:pStyle w:val="13"/>
              <w:keepNext w:val="0"/>
              <w:keepLines w:val="0"/>
              <w:suppressLineNumbers w:val="0"/>
              <w:spacing w:before="0" w:beforeAutospacing="0" w:afterAutospacing="0"/>
              <w:ind w:left="0" w:right="0"/>
              <w:rPr>
                <w:rFonts w:hint="eastAsia" w:ascii="宋体" w:hAnsi="宋体" w:eastAsia="宋体" w:cs="宋体"/>
                <w:szCs w:val="21"/>
                <w:highlight w:val="none"/>
              </w:rPr>
            </w:pPr>
            <w:r>
              <w:rPr>
                <w:rFonts w:hint="eastAsia" w:ascii="宋体" w:hAnsi="宋体" w:eastAsia="宋体" w:cs="宋体"/>
                <w:szCs w:val="21"/>
                <w:highlight w:val="none"/>
              </w:rPr>
              <w:t>3.1.5 中标人为1家的项目，如果有效投标人少于3家（不含本数），评标委员会</w:t>
            </w:r>
            <w:r>
              <w:rPr>
                <w:rFonts w:hint="eastAsia" w:ascii="宋体" w:hAnsi="宋体" w:eastAsia="宋体" w:cs="宋体"/>
                <w:b/>
                <w:bCs/>
                <w:szCs w:val="21"/>
                <w:highlight w:val="none"/>
              </w:rPr>
              <w:t>将否决全部投标</w:t>
            </w:r>
            <w:r>
              <w:rPr>
                <w:rFonts w:hint="eastAsia" w:ascii="宋体" w:hAnsi="宋体" w:eastAsia="宋体" w:cs="宋体"/>
                <w:szCs w:val="21"/>
                <w:highlight w:val="none"/>
              </w:rPr>
              <w:t>。中标人为N家（1＜N≤3）的项目，如果有效投标人少于2N家（不含本数），评标委员会</w:t>
            </w:r>
            <w:r>
              <w:rPr>
                <w:rFonts w:hint="eastAsia" w:ascii="宋体" w:hAnsi="宋体" w:eastAsia="宋体" w:cs="宋体"/>
                <w:b/>
                <w:bCs/>
                <w:szCs w:val="21"/>
                <w:highlight w:val="none"/>
              </w:rPr>
              <w:t>将否决全部投标</w:t>
            </w:r>
            <w:r>
              <w:rPr>
                <w:rFonts w:hint="eastAsia" w:ascii="宋体" w:hAnsi="宋体" w:eastAsia="宋体" w:cs="宋体"/>
                <w:szCs w:val="21"/>
                <w:highlight w:val="none"/>
              </w:rPr>
              <w:t>。中标人为N家（N＞3）的项目，如果有效投标人少于1.5N家（不含本数），评标委员会</w:t>
            </w:r>
            <w:r>
              <w:rPr>
                <w:rFonts w:hint="eastAsia" w:ascii="宋体" w:hAnsi="宋体" w:eastAsia="宋体" w:cs="宋体"/>
                <w:b/>
                <w:bCs/>
                <w:szCs w:val="21"/>
                <w:highlight w:val="none"/>
              </w:rPr>
              <w:t>将否决全部投标</w:t>
            </w:r>
            <w:r>
              <w:rPr>
                <w:rFonts w:hint="eastAsia" w:ascii="宋体" w:hAnsi="宋体" w:eastAsia="宋体" w:cs="宋体"/>
                <w:szCs w:val="21"/>
                <w:highlight w:val="none"/>
              </w:rPr>
              <w:t>。</w:t>
            </w:r>
          </w:p>
          <w:p w14:paraId="551CA908">
            <w:pPr>
              <w:pStyle w:val="13"/>
              <w:keepNext w:val="0"/>
              <w:keepLines w:val="0"/>
              <w:suppressLineNumbers w:val="0"/>
              <w:spacing w:before="0" w:beforeAutospacing="0" w:afterAutospacing="0"/>
              <w:ind w:left="0" w:right="0"/>
              <w:rPr>
                <w:rFonts w:hint="eastAsia" w:ascii="宋体" w:hAnsi="宋体" w:eastAsia="宋体" w:cs="宋体"/>
                <w:b/>
                <w:bCs/>
                <w:szCs w:val="21"/>
                <w:highlight w:val="none"/>
              </w:rPr>
            </w:pPr>
            <w:r>
              <w:rPr>
                <w:rFonts w:hint="eastAsia" w:ascii="宋体" w:hAnsi="宋体" w:eastAsia="宋体" w:cs="宋体"/>
                <w:szCs w:val="21"/>
                <w:highlight w:val="none"/>
              </w:rPr>
              <w:t>3.3.3 投标人的澄清、说明和补正应当采用书面形式,并不得超出投标文件的范围或者改变投标文件的实质性内容（算术性错误修正的除外），投标人的书面澄清、说明和补正属于投标文件的组成部分。拒不按照要求对投标文件进行澄清、说明或补正的，</w:t>
            </w:r>
            <w:r>
              <w:rPr>
                <w:rFonts w:hint="eastAsia" w:ascii="宋体" w:hAnsi="宋体" w:eastAsia="宋体" w:cs="宋体"/>
                <w:b/>
                <w:bCs/>
                <w:szCs w:val="21"/>
                <w:highlight w:val="none"/>
              </w:rPr>
              <w:t>评标委员会可以否决其投标。</w:t>
            </w:r>
          </w:p>
          <w:p w14:paraId="551A0379">
            <w:pPr>
              <w:keepNext w:val="0"/>
              <w:keepLines w:val="0"/>
              <w:suppressLineNumbers w:val="0"/>
              <w:autoSpaceDE w:val="0"/>
              <w:autoSpaceDN w:val="0"/>
              <w:spacing w:before="0" w:beforeAutospacing="0" w:after="0" w:afterAutospacing="0"/>
              <w:ind w:left="0" w:right="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3.3.5 评标委员会必要时可以要求投标人提交有关证明和证件的原件，以便核验。拒不按照要求提供原件的，</w:t>
            </w:r>
            <w:r>
              <w:rPr>
                <w:rFonts w:hint="eastAsia" w:ascii="宋体" w:hAnsi="宋体" w:eastAsia="宋体" w:cs="宋体"/>
                <w:b/>
                <w:bCs/>
                <w:color w:val="000000"/>
                <w:szCs w:val="21"/>
                <w:highlight w:val="none"/>
              </w:rPr>
              <w:t>评标委员会可以否决其投标。</w:t>
            </w:r>
          </w:p>
        </w:tc>
      </w:tr>
      <w:tr w14:paraId="3CD6F59C">
        <w:tblPrEx>
          <w:tblCellMar>
            <w:top w:w="0" w:type="dxa"/>
            <w:left w:w="108" w:type="dxa"/>
            <w:bottom w:w="0" w:type="dxa"/>
            <w:right w:w="108" w:type="dxa"/>
          </w:tblCellMar>
        </w:tblPrEx>
        <w:trPr>
          <w:jc w:val="center"/>
        </w:trPr>
        <w:tc>
          <w:tcPr>
            <w:tcW w:w="687" w:type="pct"/>
            <w:tcBorders>
              <w:top w:val="single" w:color="auto" w:sz="4" w:space="0"/>
              <w:left w:val="single" w:color="auto" w:sz="4" w:space="0"/>
              <w:bottom w:val="single" w:color="auto" w:sz="4" w:space="0"/>
              <w:right w:val="single" w:color="auto" w:sz="4" w:space="0"/>
            </w:tcBorders>
            <w:noWrap w:val="0"/>
            <w:vAlign w:val="center"/>
          </w:tcPr>
          <w:p w14:paraId="315DB340">
            <w:pPr>
              <w:keepNext w:val="0"/>
              <w:keepLines w:val="0"/>
              <w:suppressLineNumbers w:val="0"/>
              <w:adjustRightInd w:val="0"/>
              <w:spacing w:before="62" w:beforeLines="20" w:beforeAutospacing="0" w:after="62" w:afterLines="20" w:afterAutospacing="0"/>
              <w:ind w:left="0" w:right="0"/>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第五章</w:t>
            </w:r>
          </w:p>
        </w:tc>
        <w:tc>
          <w:tcPr>
            <w:tcW w:w="915" w:type="pct"/>
            <w:tcBorders>
              <w:top w:val="single" w:color="auto" w:sz="4" w:space="0"/>
              <w:left w:val="single" w:color="auto" w:sz="4" w:space="0"/>
              <w:bottom w:val="single" w:color="auto" w:sz="4" w:space="0"/>
              <w:right w:val="single" w:color="auto" w:sz="4" w:space="0"/>
            </w:tcBorders>
            <w:noWrap w:val="0"/>
            <w:vAlign w:val="center"/>
          </w:tcPr>
          <w:p w14:paraId="4D4C1140">
            <w:pPr>
              <w:keepNext w:val="0"/>
              <w:keepLines w:val="0"/>
              <w:suppressLineNumbers w:val="0"/>
              <w:adjustRightInd w:val="0"/>
              <w:spacing w:before="62" w:beforeLines="20" w:beforeAutospacing="0" w:after="62" w:afterLines="20" w:afterAutospacing="0"/>
              <w:ind w:left="0" w:right="0"/>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技术规范书</w:t>
            </w:r>
          </w:p>
        </w:tc>
        <w:tc>
          <w:tcPr>
            <w:tcW w:w="3398" w:type="pct"/>
            <w:tcBorders>
              <w:top w:val="single" w:color="auto" w:sz="4" w:space="0"/>
              <w:left w:val="single" w:color="auto" w:sz="4" w:space="0"/>
              <w:bottom w:val="single" w:color="auto" w:sz="4" w:space="0"/>
              <w:right w:val="single" w:color="auto" w:sz="4" w:space="0"/>
            </w:tcBorders>
            <w:noWrap w:val="0"/>
            <w:vAlign w:val="center"/>
          </w:tcPr>
          <w:p w14:paraId="03921707">
            <w:pPr>
              <w:keepNext w:val="0"/>
              <w:keepLines w:val="0"/>
              <w:suppressLineNumbers w:val="0"/>
              <w:autoSpaceDE w:val="0"/>
              <w:autoSpaceDN w:val="0"/>
              <w:spacing w:before="0" w:beforeAutospacing="0" w:after="0" w:afterAutospacing="0"/>
              <w:ind w:left="0" w:right="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未能完全响应任意一项★号条款的投标将被否决。</w:t>
            </w:r>
          </w:p>
        </w:tc>
      </w:tr>
    </w:tbl>
    <w:p w14:paraId="793B16C3">
      <w:pPr>
        <w:pStyle w:val="10"/>
        <w:rPr>
          <w:rFonts w:hint="eastAsia" w:ascii="宋体" w:hAnsi="宋体" w:eastAsia="宋体" w:cs="宋体"/>
          <w:b/>
          <w:color w:val="000000"/>
          <w:highlight w:val="none"/>
        </w:rPr>
        <w:sectPr>
          <w:headerReference r:id="rId8" w:type="first"/>
          <w:footerReference r:id="rId10" w:type="first"/>
          <w:footerReference r:id="rId9" w:type="default"/>
          <w:pgSz w:w="11906" w:h="16838"/>
          <w:pgMar w:top="1417" w:right="1134" w:bottom="1134" w:left="1134" w:header="851" w:footer="992" w:gutter="0"/>
          <w:pgNumType w:start="1"/>
          <w:cols w:space="720" w:num="1"/>
          <w:titlePg/>
          <w:docGrid w:type="lines" w:linePitch="312" w:charSpace="0"/>
        </w:sectPr>
      </w:pPr>
    </w:p>
    <w:p w14:paraId="360B4D1A">
      <w:pPr>
        <w:pStyle w:val="4"/>
        <w:numPr>
          <w:ilvl w:val="0"/>
          <w:numId w:val="5"/>
        </w:numPr>
        <w:rPr>
          <w:rFonts w:hint="eastAsia"/>
        </w:rPr>
      </w:pPr>
      <w:bookmarkStart w:id="615" w:name="_Toc9784"/>
      <w:bookmarkStart w:id="616" w:name="_Toc109124308"/>
      <w:bookmarkStart w:id="617" w:name="_Toc18549"/>
      <w:bookmarkStart w:id="618" w:name="_Toc65682983"/>
      <w:r>
        <w:rPr>
          <w:rFonts w:hint="eastAsia" w:ascii="宋体" w:hAnsi="宋体" w:eastAsia="宋体" w:cs="宋体"/>
          <w:highlight w:val="none"/>
        </w:rPr>
        <w:t>详细评审标准</w:t>
      </w:r>
      <w:bookmarkEnd w:id="615"/>
      <w:bookmarkEnd w:id="616"/>
      <w:bookmarkEnd w:id="617"/>
      <w:bookmarkEnd w:id="618"/>
    </w:p>
    <w:tbl>
      <w:tblPr>
        <w:tblStyle w:val="37"/>
        <w:tblpPr w:leftFromText="180" w:rightFromText="180" w:vertAnchor="text" w:horzAnchor="page" w:tblpX="703" w:tblpY="192"/>
        <w:tblOverlap w:val="never"/>
        <w:tblW w:w="5263" w:type="pct"/>
        <w:tblInd w:w="0" w:type="dxa"/>
        <w:tblLayout w:type="autofit"/>
        <w:tblCellMar>
          <w:top w:w="15" w:type="dxa"/>
          <w:left w:w="15" w:type="dxa"/>
          <w:bottom w:w="15" w:type="dxa"/>
          <w:right w:w="15" w:type="dxa"/>
        </w:tblCellMar>
      </w:tblPr>
      <w:tblGrid>
        <w:gridCol w:w="1189"/>
        <w:gridCol w:w="1138"/>
        <w:gridCol w:w="6608"/>
        <w:gridCol w:w="1242"/>
      </w:tblGrid>
      <w:tr w14:paraId="06791D59">
        <w:tblPrEx>
          <w:tblCellMar>
            <w:top w:w="15" w:type="dxa"/>
            <w:left w:w="15" w:type="dxa"/>
            <w:bottom w:w="15" w:type="dxa"/>
            <w:right w:w="15" w:type="dxa"/>
          </w:tblCellMar>
        </w:tblPrEx>
        <w:trPr>
          <w:trHeight w:val="369" w:hRule="atLeast"/>
        </w:trPr>
        <w:tc>
          <w:tcPr>
            <w:tcW w:w="584" w:type="pct"/>
            <w:tcBorders>
              <w:top w:val="single" w:color="000000" w:sz="4" w:space="0"/>
              <w:left w:val="single" w:color="000000" w:sz="4" w:space="0"/>
              <w:bottom w:val="single" w:color="auto" w:sz="4" w:space="0"/>
              <w:right w:val="single" w:color="000000" w:sz="4" w:space="0"/>
            </w:tcBorders>
            <w:shd w:val="clear" w:color="auto" w:fill="FFFFFF"/>
            <w:noWrap w:val="0"/>
            <w:vAlign w:val="center"/>
          </w:tcPr>
          <w:p w14:paraId="2CDACDB1">
            <w:pPr>
              <w:keepNext w:val="0"/>
              <w:keepLines w:val="0"/>
              <w:widowControl/>
              <w:suppressLineNumbers w:val="0"/>
              <w:adjustRightInd w:val="0"/>
              <w:spacing w:before="0" w:beforeAutospacing="0" w:after="0" w:afterAutospacing="0" w:line="240" w:lineRule="auto"/>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bidi="ar"/>
              </w:rPr>
              <w:t>评分项目</w:t>
            </w:r>
          </w:p>
        </w:tc>
        <w:tc>
          <w:tcPr>
            <w:tcW w:w="5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0FD136B">
            <w:pPr>
              <w:keepNext w:val="0"/>
              <w:keepLines w:val="0"/>
              <w:widowControl/>
              <w:suppressLineNumbers w:val="0"/>
              <w:adjustRightInd w:val="0"/>
              <w:spacing w:before="0" w:beforeAutospacing="0" w:after="0" w:afterAutospacing="0" w:line="240" w:lineRule="auto"/>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bidi="ar"/>
              </w:rPr>
              <w:t>评分指标</w:t>
            </w:r>
          </w:p>
        </w:tc>
        <w:tc>
          <w:tcPr>
            <w:tcW w:w="324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3BC8E1A">
            <w:pPr>
              <w:keepNext w:val="0"/>
              <w:keepLines w:val="0"/>
              <w:widowControl/>
              <w:suppressLineNumbers w:val="0"/>
              <w:adjustRightInd w:val="0"/>
              <w:spacing w:before="0" w:beforeAutospacing="0" w:after="0" w:afterAutospacing="0" w:line="240" w:lineRule="auto"/>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bidi="ar"/>
              </w:rPr>
              <w:t>评分标准</w:t>
            </w:r>
          </w:p>
        </w:tc>
        <w:tc>
          <w:tcPr>
            <w:tcW w:w="61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4A7A1B7">
            <w:pPr>
              <w:keepNext w:val="0"/>
              <w:keepLines w:val="0"/>
              <w:widowControl/>
              <w:suppressLineNumbers w:val="0"/>
              <w:adjustRightInd w:val="0"/>
              <w:spacing w:before="0" w:beforeAutospacing="0" w:after="0" w:afterAutospacing="0" w:line="240" w:lineRule="auto"/>
              <w:ind w:left="0" w:right="0"/>
              <w:jc w:val="center"/>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分值</w:t>
            </w:r>
          </w:p>
        </w:tc>
      </w:tr>
      <w:tr w14:paraId="1510D75F">
        <w:tblPrEx>
          <w:tblCellMar>
            <w:top w:w="15" w:type="dxa"/>
            <w:left w:w="15" w:type="dxa"/>
            <w:bottom w:w="15" w:type="dxa"/>
            <w:right w:w="15" w:type="dxa"/>
          </w:tblCellMar>
        </w:tblPrEx>
        <w:trPr>
          <w:trHeight w:val="1356" w:hRule="atLeast"/>
        </w:trPr>
        <w:tc>
          <w:tcPr>
            <w:tcW w:w="584" w:type="pct"/>
            <w:tcBorders>
              <w:top w:val="single" w:color="auto" w:sz="4" w:space="0"/>
              <w:left w:val="single" w:color="auto" w:sz="4" w:space="0"/>
              <w:bottom w:val="single" w:color="auto" w:sz="4" w:space="0"/>
              <w:right w:val="single" w:color="auto" w:sz="4" w:space="0"/>
            </w:tcBorders>
            <w:noWrap w:val="0"/>
            <w:vAlign w:val="center"/>
          </w:tcPr>
          <w:p w14:paraId="2AFD2C3F">
            <w:pPr>
              <w:keepNext w:val="0"/>
              <w:keepLines w:val="0"/>
              <w:widowControl/>
              <w:suppressLineNumbers w:val="0"/>
              <w:adjustRightInd w:val="0"/>
              <w:spacing w:before="0" w:beforeAutospacing="0" w:after="0" w:afterAutospacing="0" w:line="240" w:lineRule="auto"/>
              <w:ind w:left="0" w:right="0"/>
              <w:jc w:val="center"/>
              <w:textAlignment w:val="center"/>
              <w:rPr>
                <w:rFonts w:hint="eastAsia" w:ascii="宋体" w:hAnsi="宋体" w:eastAsia="宋体" w:cs="宋体"/>
                <w:color w:val="auto"/>
                <w:kern w:val="0"/>
                <w:sz w:val="21"/>
                <w:szCs w:val="21"/>
                <w:highlight w:val="none"/>
                <w:lang w:bidi="ar"/>
              </w:rPr>
            </w:pPr>
            <w:r>
              <w:rPr>
                <w:rFonts w:hint="eastAsia" w:ascii="宋体" w:hAnsi="宋体" w:cs="宋体"/>
                <w:color w:val="auto"/>
                <w:kern w:val="0"/>
                <w:sz w:val="21"/>
                <w:szCs w:val="21"/>
                <w:highlight w:val="none"/>
                <w:lang w:val="en-US" w:eastAsia="zh-CN" w:bidi="ar"/>
              </w:rPr>
              <w:t>价格</w:t>
            </w:r>
            <w:r>
              <w:rPr>
                <w:rFonts w:hint="eastAsia" w:ascii="宋体" w:hAnsi="宋体" w:eastAsia="宋体" w:cs="宋体"/>
                <w:color w:val="auto"/>
                <w:kern w:val="0"/>
                <w:sz w:val="21"/>
                <w:szCs w:val="21"/>
                <w:highlight w:val="none"/>
                <w:lang w:bidi="ar"/>
              </w:rPr>
              <w:t>部分</w:t>
            </w:r>
          </w:p>
          <w:p w14:paraId="67C26904">
            <w:pPr>
              <w:keepNext w:val="0"/>
              <w:keepLines w:val="0"/>
              <w:widowControl/>
              <w:suppressLineNumbers w:val="0"/>
              <w:adjustRightInd w:val="0"/>
              <w:spacing w:before="0" w:beforeAutospacing="0" w:after="0" w:afterAutospacing="0" w:line="240" w:lineRule="auto"/>
              <w:ind w:left="0" w:right="0"/>
              <w:jc w:val="center"/>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w:t>
            </w:r>
            <w:r>
              <w:rPr>
                <w:rFonts w:hint="eastAsia" w:ascii="宋体" w:hAnsi="宋体" w:cs="宋体"/>
                <w:color w:val="auto"/>
                <w:kern w:val="0"/>
                <w:sz w:val="21"/>
                <w:szCs w:val="21"/>
                <w:highlight w:val="none"/>
                <w:lang w:val="en-US" w:eastAsia="zh-CN" w:bidi="ar"/>
              </w:rPr>
              <w:t>40</w:t>
            </w:r>
            <w:r>
              <w:rPr>
                <w:rFonts w:hint="eastAsia" w:ascii="宋体" w:hAnsi="宋体" w:eastAsia="宋体" w:cs="宋体"/>
                <w:color w:val="auto"/>
                <w:kern w:val="0"/>
                <w:sz w:val="21"/>
                <w:szCs w:val="21"/>
                <w:highlight w:val="none"/>
                <w:lang w:bidi="ar"/>
              </w:rPr>
              <w:t>分</w:t>
            </w:r>
            <w:r>
              <w:rPr>
                <w:rFonts w:hint="default" w:ascii="宋体" w:hAnsi="宋体" w:eastAsia="宋体" w:cs="宋体"/>
                <w:color w:val="auto"/>
                <w:kern w:val="0"/>
                <w:sz w:val="21"/>
                <w:szCs w:val="21"/>
                <w:highlight w:val="none"/>
                <w:lang w:bidi="ar"/>
              </w:rPr>
              <w:t>）</w:t>
            </w:r>
          </w:p>
        </w:tc>
        <w:tc>
          <w:tcPr>
            <w:tcW w:w="559" w:type="pct"/>
            <w:tcBorders>
              <w:top w:val="single" w:color="auto" w:sz="4" w:space="0"/>
              <w:left w:val="single" w:color="auto" w:sz="4" w:space="0"/>
              <w:bottom w:val="single" w:color="auto" w:sz="4" w:space="0"/>
              <w:right w:val="single" w:color="auto" w:sz="4" w:space="0"/>
            </w:tcBorders>
            <w:noWrap w:val="0"/>
            <w:vAlign w:val="center"/>
          </w:tcPr>
          <w:p w14:paraId="69070A8F">
            <w:pPr>
              <w:keepNext w:val="0"/>
              <w:keepLines w:val="0"/>
              <w:widowControl/>
              <w:suppressLineNumbers w:val="0"/>
              <w:adjustRightInd w:val="0"/>
              <w:spacing w:before="0" w:beforeAutospacing="0" w:after="0" w:afterAutospacing="0" w:line="240" w:lineRule="auto"/>
              <w:ind w:left="0" w:right="0"/>
              <w:jc w:val="center"/>
              <w:textAlignment w:val="center"/>
              <w:rPr>
                <w:rFonts w:hint="default" w:ascii="宋体" w:hAnsi="宋体" w:eastAsia="宋体" w:cs="宋体"/>
                <w:color w:val="auto"/>
                <w:kern w:val="0"/>
                <w:sz w:val="21"/>
                <w:szCs w:val="21"/>
                <w:highlight w:val="none"/>
                <w:lang w:val="en-US" w:eastAsia="zh-CN" w:bidi="ar"/>
              </w:rPr>
            </w:pPr>
            <w:r>
              <w:rPr>
                <w:rFonts w:hint="eastAsia" w:ascii="宋体" w:hAnsi="宋体" w:cs="宋体"/>
                <w:color w:val="auto"/>
                <w:kern w:val="0"/>
                <w:sz w:val="21"/>
                <w:szCs w:val="21"/>
                <w:highlight w:val="none"/>
                <w:lang w:val="en-US" w:eastAsia="zh-CN" w:bidi="ar"/>
              </w:rPr>
              <w:t>价格得分</w:t>
            </w:r>
          </w:p>
        </w:tc>
        <w:tc>
          <w:tcPr>
            <w:tcW w:w="3246" w:type="pct"/>
            <w:tcBorders>
              <w:top w:val="single" w:color="auto" w:sz="4" w:space="0"/>
              <w:left w:val="single" w:color="auto" w:sz="4" w:space="0"/>
              <w:bottom w:val="single" w:color="auto" w:sz="4" w:space="0"/>
              <w:right w:val="single" w:color="auto" w:sz="4" w:space="0"/>
            </w:tcBorders>
            <w:noWrap w:val="0"/>
            <w:vAlign w:val="center"/>
          </w:tcPr>
          <w:p w14:paraId="595A17CA">
            <w:pPr>
              <w:pStyle w:val="92"/>
              <w:keepNext w:val="0"/>
              <w:keepLines w:val="0"/>
              <w:suppressLineNumbers w:val="0"/>
              <w:spacing w:before="0" w:beforeAutospacing="0" w:after="0" w:afterAutospacing="0" w:line="240" w:lineRule="auto"/>
              <w:ind w:left="0" w:right="0" w:firstLine="0" w:firstLineChars="0"/>
              <w:rPr>
                <w:rFonts w:hint="eastAsia" w:ascii="宋体" w:hAnsi="宋体" w:cs="Arial"/>
                <w:szCs w:val="21"/>
              </w:rPr>
            </w:pPr>
            <w:r>
              <w:rPr>
                <w:rFonts w:hint="eastAsia" w:ascii="宋体" w:hAnsi="宋体" w:cs="Arial"/>
                <w:szCs w:val="21"/>
              </w:rPr>
              <w:t>1.低价优先法</w:t>
            </w:r>
          </w:p>
          <w:p w14:paraId="6C63E1DB">
            <w:pPr>
              <w:pStyle w:val="92"/>
              <w:keepNext w:val="0"/>
              <w:keepLines w:val="0"/>
              <w:suppressLineNumbers w:val="0"/>
              <w:spacing w:before="0" w:beforeAutospacing="0" w:after="0" w:afterAutospacing="0" w:line="240" w:lineRule="auto"/>
              <w:ind w:left="0" w:right="0" w:firstLine="0" w:firstLineChars="0"/>
              <w:rPr>
                <w:rFonts w:hint="eastAsia" w:ascii="宋体" w:hAnsi="宋体" w:cs="Arial"/>
                <w:szCs w:val="21"/>
              </w:rPr>
            </w:pPr>
            <w:r>
              <w:rPr>
                <w:rFonts w:hint="eastAsia" w:ascii="宋体" w:hAnsi="宋体" w:cs="Arial"/>
                <w:szCs w:val="21"/>
              </w:rPr>
              <w:t>1）适用情形：有效投标人少于5家</w:t>
            </w:r>
          </w:p>
          <w:p w14:paraId="702FBD51">
            <w:pPr>
              <w:pStyle w:val="92"/>
              <w:keepNext w:val="0"/>
              <w:keepLines w:val="0"/>
              <w:suppressLineNumbers w:val="0"/>
              <w:spacing w:before="0" w:beforeAutospacing="0" w:after="0" w:afterAutospacing="0" w:line="240" w:lineRule="auto"/>
              <w:ind w:left="0" w:right="0" w:firstLine="0" w:firstLineChars="0"/>
              <w:rPr>
                <w:rFonts w:hint="eastAsia" w:ascii="宋体" w:hAnsi="宋体" w:cs="Arial"/>
                <w:szCs w:val="21"/>
              </w:rPr>
            </w:pPr>
            <w:r>
              <w:rPr>
                <w:rFonts w:hint="eastAsia" w:ascii="宋体" w:hAnsi="宋体" w:cs="Arial"/>
                <w:szCs w:val="21"/>
              </w:rPr>
              <w:t>2）评标价：各有效投标人的报价。</w:t>
            </w:r>
          </w:p>
          <w:p w14:paraId="36DBE9C2">
            <w:pPr>
              <w:pStyle w:val="92"/>
              <w:keepNext w:val="0"/>
              <w:keepLines w:val="0"/>
              <w:suppressLineNumbers w:val="0"/>
              <w:spacing w:before="0" w:beforeAutospacing="0" w:after="0" w:afterAutospacing="0" w:line="240" w:lineRule="auto"/>
              <w:ind w:left="0" w:right="0" w:firstLine="0" w:firstLineChars="0"/>
              <w:rPr>
                <w:rFonts w:hint="eastAsia" w:ascii="宋体" w:hAnsi="宋体" w:cs="Arial"/>
                <w:szCs w:val="21"/>
              </w:rPr>
            </w:pPr>
            <w:r>
              <w:rPr>
                <w:rFonts w:hint="eastAsia" w:ascii="宋体" w:hAnsi="宋体" w:cs="Arial"/>
                <w:szCs w:val="21"/>
              </w:rPr>
              <w:t>3）评标基准价：评标价中最低的作为评标基准价</w:t>
            </w:r>
          </w:p>
          <w:p w14:paraId="2B813BD3">
            <w:pPr>
              <w:pStyle w:val="92"/>
              <w:keepNext w:val="0"/>
              <w:keepLines w:val="0"/>
              <w:suppressLineNumbers w:val="0"/>
              <w:spacing w:before="0" w:beforeAutospacing="0" w:after="0" w:afterAutospacing="0" w:line="240" w:lineRule="auto"/>
              <w:ind w:left="0" w:right="0" w:firstLine="0" w:firstLineChars="0"/>
              <w:rPr>
                <w:rFonts w:hint="eastAsia" w:ascii="宋体" w:hAnsi="宋体" w:cs="Arial"/>
                <w:szCs w:val="21"/>
              </w:rPr>
            </w:pPr>
            <w:r>
              <w:rPr>
                <w:rFonts w:hint="eastAsia" w:ascii="宋体" w:hAnsi="宋体" w:cs="Arial"/>
                <w:szCs w:val="21"/>
              </w:rPr>
              <w:t>4）价格分计算：评标价=满分基准价的投标人，得满分；其他投标人的价格分按照以下公式计算，并精确到小数点后两位：</w:t>
            </w:r>
          </w:p>
          <w:p w14:paraId="30431E42">
            <w:pPr>
              <w:pStyle w:val="92"/>
              <w:keepNext w:val="0"/>
              <w:keepLines w:val="0"/>
              <w:suppressLineNumbers w:val="0"/>
              <w:spacing w:before="0" w:beforeAutospacing="0" w:after="0" w:afterAutospacing="0" w:line="240" w:lineRule="auto"/>
              <w:ind w:left="0" w:right="0" w:firstLine="0" w:firstLineChars="0"/>
              <w:rPr>
                <w:rFonts w:hint="eastAsia" w:ascii="宋体" w:hAnsi="宋体" w:cs="Arial"/>
                <w:szCs w:val="21"/>
              </w:rPr>
            </w:pPr>
            <w:r>
              <w:rPr>
                <w:rFonts w:hint="eastAsia" w:ascii="宋体" w:hAnsi="宋体" w:cs="Arial"/>
                <w:szCs w:val="21"/>
              </w:rPr>
              <w:t>价格得分＝（满分基准价/该投标人的评审价）*</w:t>
            </w:r>
            <w:r>
              <w:rPr>
                <w:rFonts w:hint="eastAsia" w:ascii="宋体" w:hAnsi="宋体" w:cs="Arial"/>
                <w:szCs w:val="21"/>
                <w:lang w:val="en-US" w:eastAsia="zh-CN"/>
              </w:rPr>
              <w:t>4</w:t>
            </w:r>
            <w:r>
              <w:rPr>
                <w:rFonts w:hint="eastAsia" w:ascii="宋体" w:hAnsi="宋体" w:cs="Arial"/>
                <w:szCs w:val="21"/>
              </w:rPr>
              <w:t>0；</w:t>
            </w:r>
          </w:p>
          <w:p w14:paraId="72804D31">
            <w:pPr>
              <w:pStyle w:val="92"/>
              <w:keepNext w:val="0"/>
              <w:keepLines w:val="0"/>
              <w:suppressLineNumbers w:val="0"/>
              <w:spacing w:before="0" w:beforeAutospacing="0" w:after="0" w:afterAutospacing="0" w:line="240" w:lineRule="auto"/>
              <w:ind w:left="0" w:right="0" w:firstLine="0" w:firstLineChars="0"/>
              <w:rPr>
                <w:rFonts w:hint="eastAsia" w:ascii="宋体" w:hAnsi="宋体" w:cs="Arial"/>
                <w:szCs w:val="21"/>
              </w:rPr>
            </w:pPr>
            <w:r>
              <w:rPr>
                <w:rFonts w:hint="eastAsia" w:ascii="宋体" w:hAnsi="宋体" w:cs="Arial"/>
                <w:szCs w:val="21"/>
              </w:rPr>
              <w:t>2.偏离度计算法</w:t>
            </w:r>
          </w:p>
          <w:p w14:paraId="0A8F0F73">
            <w:pPr>
              <w:pStyle w:val="92"/>
              <w:keepNext w:val="0"/>
              <w:keepLines w:val="0"/>
              <w:suppressLineNumbers w:val="0"/>
              <w:spacing w:before="0" w:beforeAutospacing="0" w:after="0" w:afterAutospacing="0" w:line="240" w:lineRule="auto"/>
              <w:ind w:left="0" w:right="0" w:firstLine="0" w:firstLineChars="0"/>
              <w:rPr>
                <w:rFonts w:hint="eastAsia" w:ascii="宋体" w:hAnsi="宋体" w:cs="Arial"/>
                <w:szCs w:val="21"/>
              </w:rPr>
            </w:pPr>
            <w:r>
              <w:rPr>
                <w:rFonts w:hint="eastAsia" w:ascii="宋体" w:hAnsi="宋体" w:cs="Arial"/>
                <w:szCs w:val="21"/>
              </w:rPr>
              <w:t>1）适用情形：有效投标人大于等于5家</w:t>
            </w:r>
          </w:p>
          <w:p w14:paraId="68D66BA5">
            <w:pPr>
              <w:pStyle w:val="92"/>
              <w:keepNext w:val="0"/>
              <w:keepLines w:val="0"/>
              <w:suppressLineNumbers w:val="0"/>
              <w:spacing w:before="0" w:beforeAutospacing="0" w:after="0" w:afterAutospacing="0" w:line="240" w:lineRule="auto"/>
              <w:ind w:left="0" w:right="0" w:firstLine="0" w:firstLineChars="0"/>
              <w:rPr>
                <w:rFonts w:hint="eastAsia" w:ascii="宋体" w:hAnsi="宋体" w:cs="Arial"/>
                <w:szCs w:val="21"/>
              </w:rPr>
            </w:pPr>
            <w:r>
              <w:rPr>
                <w:rFonts w:hint="eastAsia" w:ascii="宋体" w:hAnsi="宋体" w:cs="Arial"/>
                <w:szCs w:val="21"/>
              </w:rPr>
              <w:t>2）评标价：各有效投标人的报价。</w:t>
            </w:r>
          </w:p>
          <w:p w14:paraId="7505112D">
            <w:pPr>
              <w:pStyle w:val="92"/>
              <w:keepNext w:val="0"/>
              <w:keepLines w:val="0"/>
              <w:suppressLineNumbers w:val="0"/>
              <w:spacing w:before="0" w:beforeAutospacing="0" w:after="0" w:afterAutospacing="0" w:line="240" w:lineRule="auto"/>
              <w:ind w:left="0" w:right="0" w:firstLine="0" w:firstLineChars="0"/>
              <w:rPr>
                <w:rFonts w:hint="eastAsia" w:ascii="宋体" w:hAnsi="宋体" w:cs="Arial"/>
                <w:szCs w:val="21"/>
              </w:rPr>
            </w:pPr>
            <w:r>
              <w:rPr>
                <w:rFonts w:hint="eastAsia" w:ascii="宋体" w:hAnsi="宋体" w:cs="Arial"/>
                <w:szCs w:val="21"/>
              </w:rPr>
              <w:t>3）评标基准价：取所有有效评标价的算术平均值。</w:t>
            </w:r>
          </w:p>
          <w:p w14:paraId="79545A73">
            <w:pPr>
              <w:pStyle w:val="92"/>
              <w:keepNext w:val="0"/>
              <w:keepLines w:val="0"/>
              <w:suppressLineNumbers w:val="0"/>
              <w:spacing w:before="0" w:beforeAutospacing="0" w:after="0" w:afterAutospacing="0" w:line="240" w:lineRule="auto"/>
              <w:ind w:left="0" w:right="0" w:firstLine="0" w:firstLineChars="0"/>
              <w:rPr>
                <w:rFonts w:hint="eastAsia" w:ascii="宋体" w:hAnsi="宋体" w:cs="Arial"/>
                <w:szCs w:val="21"/>
              </w:rPr>
            </w:pPr>
            <w:r>
              <w:rPr>
                <w:rFonts w:hint="eastAsia" w:ascii="宋体" w:hAnsi="宋体" w:cs="Arial"/>
                <w:szCs w:val="21"/>
              </w:rPr>
              <w:t>4）价格分计算：按照以下公式计算，并精确到小数点后两位：</w:t>
            </w:r>
          </w:p>
          <w:p w14:paraId="363391C9">
            <w:pPr>
              <w:pStyle w:val="92"/>
              <w:keepNext w:val="0"/>
              <w:keepLines w:val="0"/>
              <w:suppressLineNumbers w:val="0"/>
              <w:spacing w:before="0" w:beforeAutospacing="0" w:after="0" w:afterAutospacing="0" w:line="240" w:lineRule="auto"/>
              <w:ind w:left="0" w:right="0" w:firstLine="0" w:firstLineChars="0"/>
              <w:rPr>
                <w:rFonts w:hint="eastAsia" w:ascii="宋体" w:hAnsi="宋体" w:cs="Arial"/>
                <w:szCs w:val="21"/>
              </w:rPr>
            </w:pPr>
            <w:r>
              <w:rPr>
                <w:rFonts w:hint="eastAsia" w:ascii="宋体" w:hAnsi="宋体" w:cs="Arial"/>
                <w:szCs w:val="21"/>
              </w:rPr>
              <w:t>价格得分=(1-A*│1－该投标人的评标价／评标基准价│)*</w:t>
            </w:r>
            <w:r>
              <w:rPr>
                <w:rFonts w:hint="eastAsia" w:ascii="宋体" w:hAnsi="宋体" w:cs="Arial"/>
                <w:szCs w:val="21"/>
                <w:lang w:val="en-US" w:eastAsia="zh-CN"/>
              </w:rPr>
              <w:t>4</w:t>
            </w:r>
            <w:r>
              <w:rPr>
                <w:rFonts w:hint="eastAsia" w:ascii="宋体" w:hAnsi="宋体" w:cs="Arial"/>
                <w:szCs w:val="21"/>
              </w:rPr>
              <w:t>0</w:t>
            </w:r>
          </w:p>
          <w:p w14:paraId="1373C659">
            <w:pPr>
              <w:pStyle w:val="92"/>
              <w:keepNext w:val="0"/>
              <w:keepLines w:val="0"/>
              <w:suppressLineNumbers w:val="0"/>
              <w:spacing w:before="0" w:beforeAutospacing="0" w:after="0" w:afterAutospacing="0" w:line="240" w:lineRule="auto"/>
              <w:ind w:left="0" w:right="0" w:firstLine="0" w:firstLineChars="0"/>
              <w:rPr>
                <w:rFonts w:hint="eastAsia" w:ascii="宋体" w:hAnsi="宋体" w:cs="Arial"/>
                <w:szCs w:val="21"/>
              </w:rPr>
            </w:pPr>
            <w:r>
              <w:rPr>
                <w:rFonts w:hint="eastAsia" w:ascii="宋体" w:hAnsi="宋体" w:cs="Arial"/>
                <w:szCs w:val="21"/>
              </w:rPr>
              <w:t>A：价格调整系数，当该投标人的评标价低于评标基准价时，A=0.5；当该投标人的评标价高于评标基准价时，A=1；当价格得分&lt;0时，取0。</w:t>
            </w:r>
          </w:p>
          <w:p w14:paraId="7B952559">
            <w:pPr>
              <w:pStyle w:val="92"/>
              <w:keepNext w:val="0"/>
              <w:keepLines w:val="0"/>
              <w:suppressLineNumbers w:val="0"/>
              <w:spacing w:before="0" w:beforeAutospacing="0" w:after="0" w:afterAutospacing="0" w:line="240" w:lineRule="auto"/>
              <w:ind w:left="0" w:right="0" w:firstLine="0" w:firstLineChars="0"/>
              <w:rPr>
                <w:rFonts w:hint="eastAsia" w:ascii="宋体" w:hAnsi="宋体" w:eastAsia="宋体" w:cs="宋体"/>
                <w:color w:val="auto"/>
                <w:kern w:val="2"/>
                <w:sz w:val="21"/>
                <w:szCs w:val="21"/>
                <w:highlight w:val="none"/>
              </w:rPr>
            </w:pPr>
            <w:r>
              <w:rPr>
                <w:rFonts w:hint="eastAsia" w:ascii="宋体" w:hAnsi="宋体" w:cs="Arial"/>
                <w:szCs w:val="21"/>
              </w:rPr>
              <w:t>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视为无效投标处理。</w:t>
            </w:r>
          </w:p>
        </w:tc>
        <w:tc>
          <w:tcPr>
            <w:tcW w:w="610" w:type="pct"/>
            <w:tcBorders>
              <w:top w:val="single" w:color="auto" w:sz="4" w:space="0"/>
              <w:left w:val="single" w:color="auto" w:sz="4" w:space="0"/>
              <w:bottom w:val="single" w:color="auto" w:sz="4" w:space="0"/>
              <w:right w:val="single" w:color="auto" w:sz="4" w:space="0"/>
            </w:tcBorders>
            <w:noWrap w:val="0"/>
            <w:vAlign w:val="center"/>
          </w:tcPr>
          <w:p w14:paraId="458575A4">
            <w:pPr>
              <w:keepNext w:val="0"/>
              <w:keepLines w:val="0"/>
              <w:widowControl/>
              <w:suppressLineNumbers w:val="0"/>
              <w:adjustRightInd w:val="0"/>
              <w:spacing w:before="0" w:beforeAutospacing="0" w:after="0" w:afterAutospacing="0" w:line="240" w:lineRule="auto"/>
              <w:ind w:left="0" w:right="0"/>
              <w:jc w:val="center"/>
              <w:textAlignment w:val="center"/>
              <w:rPr>
                <w:rFonts w:hint="default" w:ascii="宋体" w:hAnsi="宋体" w:eastAsia="宋体" w:cs="宋体"/>
                <w:color w:val="auto"/>
                <w:kern w:val="0"/>
                <w:sz w:val="21"/>
                <w:szCs w:val="21"/>
                <w:highlight w:val="none"/>
                <w:lang w:val="en-US" w:eastAsia="zh-CN" w:bidi="ar"/>
              </w:rPr>
            </w:pPr>
            <w:r>
              <w:rPr>
                <w:rFonts w:hint="eastAsia" w:ascii="宋体" w:hAnsi="宋体" w:cs="宋体"/>
                <w:color w:val="auto"/>
                <w:kern w:val="0"/>
                <w:sz w:val="21"/>
                <w:szCs w:val="21"/>
                <w:highlight w:val="none"/>
                <w:lang w:val="en-US" w:eastAsia="zh-CN" w:bidi="ar"/>
              </w:rPr>
              <w:t>40</w:t>
            </w:r>
          </w:p>
        </w:tc>
      </w:tr>
      <w:tr w14:paraId="0376F4BC">
        <w:tblPrEx>
          <w:tblCellMar>
            <w:top w:w="15" w:type="dxa"/>
            <w:left w:w="15" w:type="dxa"/>
            <w:bottom w:w="15" w:type="dxa"/>
            <w:right w:w="15" w:type="dxa"/>
          </w:tblCellMar>
        </w:tblPrEx>
        <w:trPr>
          <w:trHeight w:val="90" w:hRule="atLeast"/>
        </w:trPr>
        <w:tc>
          <w:tcPr>
            <w:tcW w:w="584" w:type="pct"/>
            <w:vMerge w:val="restart"/>
            <w:tcBorders>
              <w:top w:val="single" w:color="auto" w:sz="4" w:space="0"/>
              <w:left w:val="single" w:color="auto" w:sz="4" w:space="0"/>
              <w:right w:val="single" w:color="auto" w:sz="4" w:space="0"/>
            </w:tcBorders>
            <w:noWrap w:val="0"/>
            <w:vAlign w:val="center"/>
          </w:tcPr>
          <w:p w14:paraId="06DDD07F">
            <w:pPr>
              <w:keepNext w:val="0"/>
              <w:keepLines w:val="0"/>
              <w:widowControl/>
              <w:suppressLineNumbers w:val="0"/>
              <w:adjustRightInd w:val="0"/>
              <w:spacing w:before="0" w:beforeAutospacing="0" w:after="0" w:afterAutospacing="0" w:line="240" w:lineRule="auto"/>
              <w:ind w:left="0" w:right="0"/>
              <w:jc w:val="center"/>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商务部分</w:t>
            </w:r>
          </w:p>
          <w:p w14:paraId="716A23E1">
            <w:pPr>
              <w:keepNext w:val="0"/>
              <w:keepLines w:val="0"/>
              <w:widowControl/>
              <w:suppressLineNumbers w:val="0"/>
              <w:adjustRightInd w:val="0"/>
              <w:spacing w:before="0" w:beforeAutospacing="0" w:after="0" w:afterAutospacing="0" w:line="240" w:lineRule="auto"/>
              <w:ind w:left="0" w:right="0"/>
              <w:jc w:val="center"/>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w:t>
            </w:r>
            <w:r>
              <w:rPr>
                <w:rFonts w:hint="eastAsia" w:ascii="宋体" w:hAnsi="宋体" w:cs="宋体"/>
                <w:color w:val="auto"/>
                <w:kern w:val="0"/>
                <w:sz w:val="21"/>
                <w:szCs w:val="21"/>
                <w:highlight w:val="none"/>
                <w:lang w:val="en-US" w:eastAsia="zh-CN" w:bidi="ar"/>
              </w:rPr>
              <w:t>19</w:t>
            </w:r>
            <w:r>
              <w:rPr>
                <w:rFonts w:hint="eastAsia" w:ascii="宋体" w:hAnsi="宋体" w:eastAsia="宋体" w:cs="宋体"/>
                <w:color w:val="auto"/>
                <w:kern w:val="0"/>
                <w:sz w:val="21"/>
                <w:szCs w:val="21"/>
                <w:highlight w:val="none"/>
                <w:lang w:bidi="ar"/>
              </w:rPr>
              <w:t>分</w:t>
            </w:r>
            <w:r>
              <w:rPr>
                <w:rFonts w:hint="default" w:ascii="宋体" w:hAnsi="宋体" w:eastAsia="宋体" w:cs="宋体"/>
                <w:color w:val="auto"/>
                <w:kern w:val="0"/>
                <w:sz w:val="21"/>
                <w:szCs w:val="21"/>
                <w:highlight w:val="none"/>
                <w:lang w:bidi="ar"/>
              </w:rPr>
              <w:t>）</w:t>
            </w:r>
          </w:p>
        </w:tc>
        <w:tc>
          <w:tcPr>
            <w:tcW w:w="559"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505CB7D1">
            <w:pPr>
              <w:keepNext w:val="0"/>
              <w:keepLines w:val="0"/>
              <w:widowControl/>
              <w:suppressLineNumbers w:val="0"/>
              <w:adjustRightInd w:val="0"/>
              <w:spacing w:before="0" w:beforeAutospacing="0" w:after="0" w:afterAutospacing="0" w:line="240" w:lineRule="auto"/>
              <w:ind w:left="0" w:leftChars="0" w:right="0" w:rightChars="0"/>
              <w:jc w:val="center"/>
              <w:textAlignment w:val="center"/>
              <w:rPr>
                <w:rFonts w:hint="eastAsia" w:ascii="宋体" w:hAnsi="宋体" w:eastAsia="宋体" w:cs="宋体"/>
                <w:kern w:val="0"/>
                <w:sz w:val="21"/>
                <w:szCs w:val="21"/>
                <w:lang w:val="en-US" w:eastAsia="zh-CN" w:bidi="ar-SA"/>
              </w:rPr>
            </w:pPr>
            <w:r>
              <w:rPr>
                <w:rFonts w:hint="eastAsia" w:ascii="宋体" w:hAnsi="宋体" w:cs="Arial"/>
                <w:szCs w:val="21"/>
                <w:lang w:val="en-US" w:eastAsia="zh-CN"/>
              </w:rPr>
              <w:t>项目</w:t>
            </w:r>
            <w:r>
              <w:rPr>
                <w:rFonts w:hint="eastAsia" w:ascii="宋体" w:hAnsi="宋体" w:cs="Arial"/>
                <w:szCs w:val="21"/>
              </w:rPr>
              <w:t>业绩</w:t>
            </w:r>
          </w:p>
        </w:tc>
        <w:tc>
          <w:tcPr>
            <w:tcW w:w="324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0261C0D3">
            <w:pPr>
              <w:keepNext w:val="0"/>
              <w:keepLines w:val="0"/>
              <w:widowControl/>
              <w:suppressLineNumbers w:val="0"/>
              <w:autoSpaceDE/>
              <w:autoSpaceDN/>
              <w:adjustRightInd w:val="0"/>
              <w:spacing w:before="0" w:beforeAutospacing="0" w:after="0" w:afterAutospacing="0" w:line="240" w:lineRule="auto"/>
              <w:ind w:left="0" w:leftChars="0" w:right="0" w:rightChars="0" w:firstLine="0" w:firstLineChars="0"/>
              <w:jc w:val="left"/>
              <w:textAlignment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根据投标人202</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lang w:val="zh-CN"/>
              </w:rPr>
              <w:t>年1月1日至今承接的与本招标项目类似工程的业绩，每提供1个同类项目业绩得</w:t>
            </w:r>
            <w:r>
              <w:rPr>
                <w:rFonts w:hint="eastAsia" w:ascii="宋体" w:hAnsi="宋体" w:cs="宋体"/>
                <w:color w:val="auto"/>
                <w:szCs w:val="21"/>
                <w:highlight w:val="none"/>
                <w:lang w:val="en-US" w:eastAsia="zh-CN"/>
              </w:rPr>
              <w:t>2</w:t>
            </w:r>
            <w:r>
              <w:rPr>
                <w:rFonts w:hint="eastAsia" w:ascii="宋体" w:hAnsi="宋体" w:eastAsia="宋体" w:cs="宋体"/>
                <w:color w:val="auto"/>
                <w:szCs w:val="21"/>
                <w:highlight w:val="none"/>
                <w:lang w:val="zh-CN"/>
              </w:rPr>
              <w:t>分，满分</w:t>
            </w:r>
            <w:r>
              <w:rPr>
                <w:rFonts w:hint="eastAsia" w:ascii="宋体" w:hAnsi="宋体" w:cs="宋体"/>
                <w:color w:val="auto"/>
                <w:szCs w:val="21"/>
                <w:highlight w:val="none"/>
                <w:lang w:val="en-US" w:eastAsia="zh-CN"/>
              </w:rPr>
              <w:t>12</w:t>
            </w:r>
            <w:r>
              <w:rPr>
                <w:rFonts w:hint="eastAsia" w:ascii="宋体" w:hAnsi="宋体" w:eastAsia="宋体" w:cs="宋体"/>
                <w:color w:val="auto"/>
                <w:szCs w:val="21"/>
                <w:highlight w:val="none"/>
                <w:lang w:val="zh-CN"/>
              </w:rPr>
              <w:t>分，未提供不得分。</w:t>
            </w:r>
          </w:p>
          <w:p w14:paraId="1C1F52DB">
            <w:pPr>
              <w:keepNext w:val="0"/>
              <w:keepLines w:val="0"/>
              <w:widowControl/>
              <w:suppressLineNumbers w:val="0"/>
              <w:adjustRightInd w:val="0"/>
              <w:spacing w:before="0" w:beforeAutospacing="0" w:after="0" w:afterAutospacing="0" w:line="240" w:lineRule="auto"/>
              <w:ind w:left="0" w:leftChars="0" w:right="0" w:rightChars="0"/>
              <w:jc w:val="left"/>
              <w:textAlignment w:val="center"/>
              <w:rPr>
                <w:rFonts w:hint="eastAsia" w:ascii="宋体" w:hAnsi="宋体" w:cs="宋体"/>
                <w:b/>
                <w:bCs/>
                <w:color w:val="000000"/>
                <w:kern w:val="0"/>
                <w:sz w:val="21"/>
                <w:szCs w:val="21"/>
                <w:lang w:val="en-US" w:eastAsia="zh-CN" w:bidi="ar-SA"/>
              </w:rPr>
            </w:pPr>
            <w:r>
              <w:rPr>
                <w:rFonts w:hint="eastAsia" w:ascii="宋体" w:hAnsi="宋体" w:eastAsia="宋体" w:cs="宋体"/>
                <w:b/>
                <w:bCs/>
                <w:color w:val="000000"/>
                <w:kern w:val="0"/>
                <w:sz w:val="21"/>
                <w:szCs w:val="21"/>
                <w:lang w:val="en-US" w:eastAsia="zh-CN" w:bidi="ar-SA"/>
              </w:rPr>
              <w:t>评审依据：以合同签订日期为准，合同复印件必须至少包含清晰的双方印章、合同主要内容、时间等合同信息，缺少任何一项视同合同无效。</w:t>
            </w:r>
            <w:r>
              <w:rPr>
                <w:rFonts w:hint="eastAsia" w:ascii="宋体" w:hAnsi="宋体" w:cs="宋体"/>
                <w:b/>
                <w:bCs/>
                <w:color w:val="000000"/>
                <w:kern w:val="0"/>
                <w:sz w:val="21"/>
                <w:szCs w:val="21"/>
                <w:lang w:val="en-US" w:eastAsia="zh-CN" w:bidi="ar-SA"/>
              </w:rPr>
              <w:t>（原件备查）</w:t>
            </w:r>
          </w:p>
          <w:p w14:paraId="153C8C93">
            <w:pPr>
              <w:pStyle w:val="16"/>
              <w:keepNext w:val="0"/>
              <w:keepLines w:val="0"/>
              <w:suppressLineNumbers w:val="0"/>
              <w:spacing w:before="0" w:beforeAutospacing="0" w:after="0" w:afterAutospacing="0"/>
              <w:ind w:left="0" w:leftChars="0" w:right="0"/>
              <w:rPr>
                <w:rFonts w:hint="default"/>
                <w:lang w:val="en-US" w:eastAsia="zh-CN"/>
              </w:rPr>
            </w:pPr>
            <w:r>
              <w:rPr>
                <w:rFonts w:hint="eastAsia" w:ascii="宋体" w:hAnsi="宋体" w:cs="宋体"/>
                <w:b/>
                <w:bCs/>
                <w:color w:val="000000"/>
                <w:kern w:val="0"/>
                <w:sz w:val="21"/>
                <w:szCs w:val="21"/>
                <w:lang w:val="en-US" w:eastAsia="zh-CN" w:bidi="ar-SA"/>
              </w:rPr>
              <w:t>注：资格条件已提供的业绩不计入打分。</w:t>
            </w:r>
          </w:p>
        </w:tc>
        <w:tc>
          <w:tcPr>
            <w:tcW w:w="610"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69B26B2E">
            <w:pPr>
              <w:keepNext w:val="0"/>
              <w:keepLines w:val="0"/>
              <w:widowControl/>
              <w:suppressLineNumbers w:val="0"/>
              <w:adjustRightInd w:val="0"/>
              <w:spacing w:before="0" w:beforeAutospacing="0" w:after="0" w:afterAutospacing="0" w:line="240" w:lineRule="auto"/>
              <w:ind w:left="0" w:leftChars="0" w:right="0" w:rightChars="0"/>
              <w:jc w:val="center"/>
              <w:textAlignment w:val="center"/>
              <w:rPr>
                <w:rFonts w:hint="default" w:ascii="宋体" w:hAnsi="宋体" w:eastAsia="宋体" w:cs="宋体"/>
                <w:color w:val="auto"/>
                <w:kern w:val="0"/>
                <w:sz w:val="21"/>
                <w:szCs w:val="21"/>
                <w:highlight w:val="none"/>
                <w:lang w:val="en-US" w:eastAsia="zh-CN" w:bidi="en-US"/>
              </w:rPr>
            </w:pPr>
            <w:r>
              <w:rPr>
                <w:rFonts w:hint="eastAsia" w:ascii="宋体" w:hAnsi="宋体" w:eastAsia="宋体" w:cs="宋体"/>
                <w:color w:val="auto"/>
                <w:kern w:val="0"/>
                <w:sz w:val="21"/>
                <w:szCs w:val="21"/>
                <w:highlight w:val="none"/>
                <w:lang w:val="en-US" w:eastAsia="zh-CN" w:bidi="ar"/>
              </w:rPr>
              <w:t>1</w:t>
            </w:r>
            <w:r>
              <w:rPr>
                <w:rFonts w:hint="eastAsia" w:ascii="宋体" w:hAnsi="宋体" w:cs="宋体"/>
                <w:color w:val="auto"/>
                <w:kern w:val="0"/>
                <w:sz w:val="21"/>
                <w:szCs w:val="21"/>
                <w:highlight w:val="none"/>
                <w:lang w:val="en-US" w:eastAsia="zh-CN" w:bidi="ar"/>
              </w:rPr>
              <w:t>2</w:t>
            </w:r>
          </w:p>
        </w:tc>
      </w:tr>
      <w:tr w14:paraId="2B0DBB02">
        <w:tblPrEx>
          <w:tblCellMar>
            <w:top w:w="15" w:type="dxa"/>
            <w:left w:w="15" w:type="dxa"/>
            <w:bottom w:w="15" w:type="dxa"/>
            <w:right w:w="15" w:type="dxa"/>
          </w:tblCellMar>
        </w:tblPrEx>
        <w:trPr>
          <w:trHeight w:val="1455" w:hRule="atLeast"/>
        </w:trPr>
        <w:tc>
          <w:tcPr>
            <w:tcW w:w="584" w:type="pct"/>
            <w:vMerge w:val="continue"/>
            <w:tcBorders>
              <w:left w:val="single" w:color="auto" w:sz="4" w:space="0"/>
              <w:right w:val="single" w:color="auto" w:sz="4" w:space="0"/>
            </w:tcBorders>
            <w:noWrap w:val="0"/>
            <w:vAlign w:val="center"/>
          </w:tcPr>
          <w:p w14:paraId="23D76E7C">
            <w:pPr>
              <w:keepNext w:val="0"/>
              <w:keepLines w:val="0"/>
              <w:widowControl/>
              <w:suppressLineNumbers w:val="0"/>
              <w:adjustRightInd w:val="0"/>
              <w:spacing w:before="0" w:beforeAutospacing="0" w:after="0" w:afterAutospacing="0" w:line="240" w:lineRule="auto"/>
              <w:ind w:left="0" w:right="0"/>
              <w:jc w:val="center"/>
              <w:textAlignment w:val="center"/>
              <w:rPr>
                <w:rFonts w:hint="eastAsia" w:ascii="宋体" w:hAnsi="宋体" w:eastAsia="宋体" w:cs="宋体"/>
                <w:color w:val="auto"/>
                <w:kern w:val="0"/>
                <w:sz w:val="21"/>
                <w:szCs w:val="21"/>
                <w:highlight w:val="none"/>
                <w:lang w:bidi="ar"/>
              </w:rPr>
            </w:pPr>
          </w:p>
        </w:tc>
        <w:tc>
          <w:tcPr>
            <w:tcW w:w="559" w:type="pct"/>
            <w:tcBorders>
              <w:top w:val="single" w:color="auto" w:sz="4" w:space="0"/>
              <w:left w:val="single" w:color="auto" w:sz="4" w:space="0"/>
              <w:bottom w:val="single" w:color="auto" w:sz="4" w:space="0"/>
              <w:right w:val="single" w:color="auto" w:sz="4" w:space="0"/>
            </w:tcBorders>
            <w:noWrap w:val="0"/>
            <w:vAlign w:val="center"/>
          </w:tcPr>
          <w:p w14:paraId="5BF01340">
            <w:pPr>
              <w:keepNext w:val="0"/>
              <w:keepLines w:val="0"/>
              <w:widowControl/>
              <w:suppressLineNumbers w:val="0"/>
              <w:adjustRightInd w:val="0"/>
              <w:spacing w:before="0" w:beforeAutospacing="0" w:after="0" w:afterAutospacing="0" w:line="240" w:lineRule="auto"/>
              <w:ind w:left="0" w:right="0"/>
              <w:jc w:val="center"/>
              <w:textAlignment w:val="center"/>
              <w:rPr>
                <w:rFonts w:hint="eastAsia" w:ascii="宋体" w:hAnsi="宋体" w:cs="Arial"/>
                <w:szCs w:val="21"/>
                <w:lang w:val="en-US" w:eastAsia="zh-CN"/>
              </w:rPr>
            </w:pPr>
            <w:r>
              <w:rPr>
                <w:rFonts w:hint="eastAsia" w:ascii="宋体" w:hAnsi="宋体" w:cs="Arial"/>
                <w:szCs w:val="21"/>
                <w:lang w:val="en-US" w:eastAsia="zh-CN"/>
              </w:rPr>
              <w:t>体系认</w:t>
            </w:r>
          </w:p>
          <w:p w14:paraId="141ACD8B">
            <w:pPr>
              <w:keepNext w:val="0"/>
              <w:keepLines w:val="0"/>
              <w:widowControl/>
              <w:suppressLineNumbers w:val="0"/>
              <w:adjustRightInd w:val="0"/>
              <w:spacing w:before="0" w:beforeAutospacing="0" w:after="0" w:afterAutospacing="0" w:line="240" w:lineRule="auto"/>
              <w:ind w:left="0" w:right="0"/>
              <w:jc w:val="center"/>
              <w:textAlignment w:val="center"/>
              <w:rPr>
                <w:rFonts w:hint="default" w:ascii="宋体" w:hAnsi="宋体" w:eastAsia="宋体" w:cs="宋体"/>
                <w:color w:val="auto"/>
                <w:kern w:val="2"/>
                <w:sz w:val="21"/>
                <w:szCs w:val="21"/>
                <w:highlight w:val="none"/>
                <w:lang w:val="en-US" w:eastAsia="zh-CN" w:bidi="ar"/>
              </w:rPr>
            </w:pPr>
            <w:r>
              <w:rPr>
                <w:rFonts w:hint="eastAsia" w:ascii="宋体" w:hAnsi="宋体" w:cs="Arial"/>
                <w:szCs w:val="21"/>
                <w:lang w:val="en-US" w:eastAsia="zh-CN"/>
              </w:rPr>
              <w:t>证情况</w:t>
            </w:r>
          </w:p>
        </w:tc>
        <w:tc>
          <w:tcPr>
            <w:tcW w:w="3246" w:type="pct"/>
            <w:tcBorders>
              <w:top w:val="single" w:color="auto" w:sz="4" w:space="0"/>
              <w:left w:val="single" w:color="auto" w:sz="4" w:space="0"/>
              <w:bottom w:val="single" w:color="auto" w:sz="4" w:space="0"/>
              <w:right w:val="single" w:color="auto" w:sz="4" w:space="0"/>
            </w:tcBorders>
            <w:noWrap w:val="0"/>
            <w:vAlign w:val="center"/>
          </w:tcPr>
          <w:p w14:paraId="0C3A81A0">
            <w:pPr>
              <w:pStyle w:val="19"/>
              <w:keepNext w:val="0"/>
              <w:keepLines w:val="0"/>
              <w:suppressLineNumbers w:val="0"/>
              <w:spacing w:before="0" w:beforeAutospacing="0" w:after="0" w:afterAutospacing="0" w:line="240" w:lineRule="auto"/>
              <w:ind w:left="0" w:right="0"/>
              <w:contextualSpacing/>
              <w:rPr>
                <w:rFonts w:hint="eastAsia" w:hAnsi="宋体"/>
                <w:szCs w:val="21"/>
                <w:highlight w:val="none"/>
              </w:rPr>
            </w:pPr>
            <w:r>
              <w:rPr>
                <w:rFonts w:hint="eastAsia" w:hAnsi="宋体"/>
                <w:szCs w:val="21"/>
                <w:highlight w:val="none"/>
              </w:rPr>
              <w:t>投标人具有以下有效期内的证书，每提供一个得</w:t>
            </w:r>
            <w:r>
              <w:rPr>
                <w:rFonts w:hint="eastAsia" w:hAnsi="宋体"/>
                <w:szCs w:val="21"/>
                <w:highlight w:val="none"/>
                <w:lang w:val="en-US" w:eastAsia="zh-CN"/>
              </w:rPr>
              <w:t>1</w:t>
            </w:r>
            <w:r>
              <w:rPr>
                <w:rFonts w:hint="eastAsia" w:hAnsi="宋体"/>
                <w:szCs w:val="21"/>
                <w:highlight w:val="none"/>
              </w:rPr>
              <w:t>分，最高得</w:t>
            </w:r>
            <w:r>
              <w:rPr>
                <w:rFonts w:hint="eastAsia" w:hAnsi="宋体"/>
                <w:szCs w:val="21"/>
                <w:highlight w:val="none"/>
                <w:lang w:val="en-US" w:eastAsia="zh-CN"/>
              </w:rPr>
              <w:t>3</w:t>
            </w:r>
            <w:r>
              <w:rPr>
                <w:rFonts w:hint="eastAsia" w:hAnsi="宋体"/>
                <w:szCs w:val="21"/>
                <w:highlight w:val="none"/>
              </w:rPr>
              <w:t>分：</w:t>
            </w:r>
          </w:p>
          <w:p w14:paraId="65236AF2">
            <w:pPr>
              <w:pStyle w:val="19"/>
              <w:keepNext w:val="0"/>
              <w:keepLines w:val="0"/>
              <w:suppressLineNumbers w:val="0"/>
              <w:spacing w:before="0" w:beforeAutospacing="0" w:after="0" w:afterAutospacing="0" w:line="240" w:lineRule="auto"/>
              <w:ind w:left="0" w:right="0"/>
              <w:contextualSpacing/>
              <w:rPr>
                <w:rFonts w:hint="eastAsia" w:hAnsi="宋体"/>
                <w:szCs w:val="21"/>
                <w:highlight w:val="none"/>
              </w:rPr>
            </w:pPr>
            <w:r>
              <w:rPr>
                <w:rFonts w:hint="eastAsia" w:hAnsi="宋体"/>
                <w:szCs w:val="21"/>
                <w:highlight w:val="none"/>
              </w:rPr>
              <w:t>1.具有质量管理体系认证证书；</w:t>
            </w:r>
          </w:p>
          <w:p w14:paraId="5E2D1654">
            <w:pPr>
              <w:pStyle w:val="19"/>
              <w:keepNext w:val="0"/>
              <w:keepLines w:val="0"/>
              <w:suppressLineNumbers w:val="0"/>
              <w:spacing w:before="0" w:beforeAutospacing="0" w:after="0" w:afterAutospacing="0" w:line="240" w:lineRule="auto"/>
              <w:ind w:left="0" w:right="0"/>
              <w:contextualSpacing/>
              <w:rPr>
                <w:rFonts w:hint="eastAsia" w:hAnsi="宋体"/>
                <w:szCs w:val="21"/>
                <w:highlight w:val="none"/>
              </w:rPr>
            </w:pPr>
            <w:r>
              <w:rPr>
                <w:rFonts w:hint="eastAsia" w:hAnsi="宋体"/>
                <w:szCs w:val="21"/>
                <w:highlight w:val="none"/>
              </w:rPr>
              <w:t>2.具有环境管理体系认证证书；</w:t>
            </w:r>
          </w:p>
          <w:p w14:paraId="7BB2297B">
            <w:pPr>
              <w:keepNext w:val="0"/>
              <w:keepLines w:val="0"/>
              <w:suppressLineNumbers w:val="0"/>
              <w:spacing w:before="0" w:beforeAutospacing="0" w:after="0" w:afterAutospacing="0" w:line="240" w:lineRule="auto"/>
              <w:ind w:left="0" w:right="0"/>
              <w:rPr>
                <w:rFonts w:hint="eastAsia" w:ascii="宋体" w:hAnsi="宋体"/>
                <w:szCs w:val="21"/>
                <w:highlight w:val="none"/>
              </w:rPr>
            </w:pPr>
            <w:r>
              <w:rPr>
                <w:rFonts w:hint="eastAsia" w:ascii="宋体" w:hAnsi="宋体"/>
                <w:szCs w:val="21"/>
                <w:highlight w:val="none"/>
              </w:rPr>
              <w:t>3.具有职业健康安全管理体系认证。</w:t>
            </w:r>
          </w:p>
          <w:p w14:paraId="3D979A0F">
            <w:pPr>
              <w:keepNext w:val="0"/>
              <w:keepLines w:val="0"/>
              <w:widowControl/>
              <w:suppressLineNumbers w:val="0"/>
              <w:adjustRightInd w:val="0"/>
              <w:spacing w:before="0" w:beforeAutospacing="0" w:after="0" w:afterAutospacing="0" w:line="240" w:lineRule="auto"/>
              <w:ind w:left="0" w:right="0"/>
              <w:jc w:val="left"/>
              <w:textAlignment w:val="center"/>
              <w:rPr>
                <w:rFonts w:hint="default" w:ascii="宋体" w:hAnsi="宋体" w:eastAsia="宋体" w:cs="宋体"/>
                <w:b/>
                <w:bCs/>
                <w:color w:val="000000"/>
                <w:kern w:val="0"/>
                <w:sz w:val="21"/>
                <w:szCs w:val="21"/>
                <w:lang w:val="en-US" w:eastAsia="zh-CN"/>
              </w:rPr>
            </w:pPr>
            <w:r>
              <w:rPr>
                <w:rFonts w:hint="eastAsia" w:ascii="宋体" w:hAnsi="宋体"/>
                <w:szCs w:val="21"/>
                <w:highlight w:val="none"/>
              </w:rPr>
              <w:t>注：需提供证书复印件，同时提供“全国认证认可信息公共服务平台官网”（查询网址http://cx.cnca.cn/CertECloud/index/index/page?currentPosition=）最新的认证信息查询截图，且该截图显示的证书状态必须为“有效”。评审当天由招标代理公司现场查询，如与投标人所递交的投标文件中的内容不一致，以现场查询结果为准。未提供或不符合要求的，不得分。</w:t>
            </w:r>
          </w:p>
        </w:tc>
        <w:tc>
          <w:tcPr>
            <w:tcW w:w="610" w:type="pct"/>
            <w:tcBorders>
              <w:top w:val="single" w:color="auto" w:sz="4" w:space="0"/>
              <w:left w:val="single" w:color="auto" w:sz="4" w:space="0"/>
              <w:bottom w:val="single" w:color="auto" w:sz="4" w:space="0"/>
              <w:right w:val="single" w:color="auto" w:sz="4" w:space="0"/>
            </w:tcBorders>
            <w:noWrap w:val="0"/>
            <w:vAlign w:val="center"/>
          </w:tcPr>
          <w:p w14:paraId="2169D977">
            <w:pPr>
              <w:keepNext w:val="0"/>
              <w:keepLines w:val="0"/>
              <w:widowControl/>
              <w:suppressLineNumbers w:val="0"/>
              <w:adjustRightInd w:val="0"/>
              <w:spacing w:before="0" w:beforeAutospacing="0" w:after="0" w:afterAutospacing="0" w:line="240" w:lineRule="auto"/>
              <w:ind w:left="0" w:right="0"/>
              <w:jc w:val="center"/>
              <w:textAlignment w:val="baseline"/>
              <w:rPr>
                <w:rFonts w:hint="default" w:ascii="宋体" w:hAnsi="宋体" w:eastAsia="宋体" w:cs="宋体"/>
                <w:color w:val="auto"/>
                <w:kern w:val="0"/>
                <w:sz w:val="21"/>
                <w:szCs w:val="21"/>
                <w:highlight w:val="none"/>
                <w:lang w:val="en-US" w:eastAsia="zh-CN" w:bidi="en-US"/>
              </w:rPr>
            </w:pPr>
            <w:r>
              <w:rPr>
                <w:rFonts w:hint="default" w:ascii="宋体" w:hAnsi="宋体" w:cs="宋体"/>
                <w:color w:val="auto"/>
                <w:kern w:val="0"/>
                <w:sz w:val="21"/>
                <w:szCs w:val="21"/>
                <w:highlight w:val="none"/>
                <w:lang w:val="en-US" w:eastAsia="zh-CN" w:bidi="en-US"/>
              </w:rPr>
              <w:t>3</w:t>
            </w:r>
          </w:p>
        </w:tc>
      </w:tr>
      <w:tr w14:paraId="0CCACC55">
        <w:tblPrEx>
          <w:tblCellMar>
            <w:top w:w="15" w:type="dxa"/>
            <w:left w:w="15" w:type="dxa"/>
            <w:bottom w:w="15" w:type="dxa"/>
            <w:right w:w="15" w:type="dxa"/>
          </w:tblCellMar>
        </w:tblPrEx>
        <w:trPr>
          <w:trHeight w:val="1206" w:hRule="atLeast"/>
        </w:trPr>
        <w:tc>
          <w:tcPr>
            <w:tcW w:w="584" w:type="pct"/>
            <w:vMerge w:val="continue"/>
            <w:tcBorders>
              <w:left w:val="single" w:color="auto" w:sz="4" w:space="0"/>
              <w:bottom w:val="single" w:color="auto" w:sz="4" w:space="0"/>
              <w:right w:val="single" w:color="auto" w:sz="4" w:space="0"/>
            </w:tcBorders>
            <w:noWrap w:val="0"/>
            <w:vAlign w:val="center"/>
          </w:tcPr>
          <w:p w14:paraId="262AB118">
            <w:pPr>
              <w:keepNext w:val="0"/>
              <w:keepLines w:val="0"/>
              <w:widowControl/>
              <w:suppressLineNumbers w:val="0"/>
              <w:adjustRightInd w:val="0"/>
              <w:spacing w:before="0" w:beforeAutospacing="0" w:after="0" w:afterAutospacing="0" w:line="240" w:lineRule="auto"/>
              <w:ind w:left="0" w:right="0"/>
              <w:jc w:val="center"/>
              <w:textAlignment w:val="center"/>
              <w:rPr>
                <w:rFonts w:hint="eastAsia" w:ascii="宋体" w:hAnsi="宋体" w:eastAsia="宋体" w:cs="宋体"/>
                <w:color w:val="auto"/>
                <w:kern w:val="0"/>
                <w:sz w:val="21"/>
                <w:szCs w:val="21"/>
                <w:highlight w:val="none"/>
                <w:lang w:bidi="ar"/>
              </w:rPr>
            </w:pPr>
          </w:p>
        </w:tc>
        <w:tc>
          <w:tcPr>
            <w:tcW w:w="559" w:type="pct"/>
            <w:tcBorders>
              <w:top w:val="single" w:color="auto" w:sz="4" w:space="0"/>
              <w:left w:val="single" w:color="auto" w:sz="4" w:space="0"/>
              <w:bottom w:val="single" w:color="auto" w:sz="4" w:space="0"/>
              <w:right w:val="single" w:color="auto" w:sz="4" w:space="0"/>
            </w:tcBorders>
            <w:noWrap w:val="0"/>
            <w:vAlign w:val="center"/>
          </w:tcPr>
          <w:p w14:paraId="4EB4F238">
            <w:pPr>
              <w:keepNext w:val="0"/>
              <w:keepLines w:val="0"/>
              <w:widowControl/>
              <w:suppressLineNumbers w:val="0"/>
              <w:adjustRightInd w:val="0"/>
              <w:spacing w:before="0" w:beforeAutospacing="0" w:after="0" w:afterAutospacing="0" w:line="240" w:lineRule="auto"/>
              <w:ind w:left="0" w:right="0"/>
              <w:jc w:val="center"/>
              <w:textAlignment w:val="center"/>
              <w:rPr>
                <w:rFonts w:hint="eastAsia" w:ascii="宋体" w:hAnsi="宋体" w:cs="Arial"/>
                <w:szCs w:val="21"/>
              </w:rPr>
            </w:pPr>
            <w:r>
              <w:rPr>
                <w:rFonts w:hint="eastAsia" w:ascii="宋体" w:hAnsi="宋体" w:cs="Arial"/>
                <w:szCs w:val="21"/>
              </w:rPr>
              <w:t>项目管理机构组成</w:t>
            </w:r>
          </w:p>
        </w:tc>
        <w:tc>
          <w:tcPr>
            <w:tcW w:w="3246" w:type="pct"/>
            <w:tcBorders>
              <w:top w:val="single" w:color="auto" w:sz="4" w:space="0"/>
              <w:left w:val="single" w:color="auto" w:sz="4" w:space="0"/>
              <w:bottom w:val="single" w:color="auto" w:sz="4" w:space="0"/>
              <w:right w:val="single" w:color="auto" w:sz="4" w:space="0"/>
            </w:tcBorders>
            <w:noWrap w:val="0"/>
            <w:vAlign w:val="center"/>
          </w:tcPr>
          <w:p w14:paraId="731ADBAC">
            <w:pPr>
              <w:keepNext w:val="0"/>
              <w:keepLines w:val="0"/>
              <w:widowControl/>
              <w:suppressLineNumbers w:val="0"/>
              <w:adjustRightInd w:val="0"/>
              <w:spacing w:before="0" w:beforeAutospacing="0" w:after="0" w:afterAutospacing="0" w:line="240" w:lineRule="auto"/>
              <w:ind w:left="0" w:right="0"/>
              <w:jc w:val="left"/>
              <w:textAlignment w:val="center"/>
              <w:rPr>
                <w:rFonts w:hint="default" w:ascii="宋体" w:hAnsi="宋体" w:eastAsia="宋体" w:cs="Times New Roman"/>
                <w:szCs w:val="20"/>
                <w:lang w:val="en-US" w:eastAsia="zh-CN"/>
              </w:rPr>
            </w:pPr>
            <w:r>
              <w:rPr>
                <w:rFonts w:hint="eastAsia" w:ascii="宋体" w:hAnsi="宋体"/>
                <w:szCs w:val="20"/>
                <w:highlight w:val="yellow"/>
              </w:rPr>
              <w:t>本项目管理机构除项目经理以外，</w:t>
            </w:r>
            <w:r>
              <w:rPr>
                <w:rFonts w:hint="eastAsia" w:ascii="宋体" w:hAnsi="宋体"/>
                <w:szCs w:val="20"/>
                <w:highlight w:val="yellow"/>
                <w:lang w:val="en-US" w:eastAsia="zh-CN"/>
              </w:rPr>
              <w:t>提供</w:t>
            </w:r>
            <w:r>
              <w:rPr>
                <w:rFonts w:hint="eastAsia" w:ascii="宋体" w:hAnsi="宋体"/>
                <w:szCs w:val="20"/>
                <w:highlight w:val="yellow"/>
              </w:rPr>
              <w:t>安全员、施工员、</w:t>
            </w:r>
            <w:r>
              <w:rPr>
                <w:rFonts w:hint="eastAsia" w:ascii="宋体" w:hAnsi="宋体"/>
                <w:szCs w:val="20"/>
                <w:highlight w:val="yellow"/>
                <w:lang w:val="en-US" w:eastAsia="zh-CN"/>
              </w:rPr>
              <w:t>造价人</w:t>
            </w:r>
            <w:r>
              <w:rPr>
                <w:rFonts w:hint="eastAsia" w:ascii="宋体" w:hAnsi="宋体"/>
                <w:szCs w:val="20"/>
                <w:highlight w:val="yellow"/>
              </w:rPr>
              <w:t>员</w:t>
            </w:r>
            <w:r>
              <w:rPr>
                <w:rFonts w:hint="eastAsia" w:ascii="宋体" w:hAnsi="宋体"/>
                <w:szCs w:val="20"/>
                <w:highlight w:val="yellow"/>
                <w:lang w:eastAsia="zh-CN"/>
              </w:rPr>
              <w:t>、</w:t>
            </w:r>
            <w:r>
              <w:rPr>
                <w:rFonts w:hint="eastAsia" w:ascii="宋体" w:hAnsi="宋体"/>
                <w:szCs w:val="20"/>
                <w:highlight w:val="yellow"/>
                <w:lang w:val="en-US" w:eastAsia="zh-CN"/>
              </w:rPr>
              <w:t>质量员</w:t>
            </w:r>
            <w:r>
              <w:rPr>
                <w:rFonts w:hint="eastAsia" w:ascii="宋体" w:hAnsi="宋体"/>
                <w:szCs w:val="20"/>
                <w:highlight w:val="yellow"/>
              </w:rPr>
              <w:t>等岗位</w:t>
            </w:r>
            <w:r>
              <w:rPr>
                <w:rFonts w:hint="eastAsia" w:ascii="宋体" w:hAnsi="宋体"/>
                <w:szCs w:val="20"/>
                <w:highlight w:val="yellow"/>
                <w:lang w:val="en-US" w:eastAsia="zh-CN"/>
              </w:rPr>
              <w:t>人员的</w:t>
            </w:r>
            <w:r>
              <w:rPr>
                <w:rFonts w:hint="eastAsia" w:ascii="宋体" w:hAnsi="宋体"/>
                <w:szCs w:val="20"/>
                <w:highlight w:val="yellow"/>
              </w:rPr>
              <w:t>。</w:t>
            </w:r>
            <w:r>
              <w:rPr>
                <w:rFonts w:hint="eastAsia" w:ascii="宋体" w:hAnsi="宋体"/>
                <w:szCs w:val="20"/>
                <w:highlight w:val="yellow"/>
                <w:lang w:val="en-US" w:eastAsia="zh-CN"/>
              </w:rPr>
              <w:t>每提供一个</w:t>
            </w:r>
            <w:r>
              <w:rPr>
                <w:rFonts w:hint="eastAsia" w:ascii="宋体" w:hAnsi="宋体"/>
                <w:szCs w:val="20"/>
                <w:highlight w:val="yellow"/>
              </w:rPr>
              <w:t>相应岗位证书的得</w:t>
            </w:r>
            <w:r>
              <w:rPr>
                <w:rFonts w:hint="eastAsia" w:ascii="宋体" w:hAnsi="宋体"/>
                <w:szCs w:val="20"/>
                <w:highlight w:val="yellow"/>
                <w:lang w:val="en-US" w:eastAsia="zh-CN"/>
              </w:rPr>
              <w:t>1</w:t>
            </w:r>
            <w:r>
              <w:rPr>
                <w:rFonts w:hint="eastAsia" w:ascii="宋体" w:hAnsi="宋体"/>
                <w:szCs w:val="20"/>
                <w:highlight w:val="yellow"/>
              </w:rPr>
              <w:t>分</w:t>
            </w:r>
            <w:r>
              <w:rPr>
                <w:rFonts w:hint="eastAsia" w:ascii="宋体" w:hAnsi="宋体"/>
                <w:szCs w:val="20"/>
                <w:highlight w:val="yellow"/>
                <w:lang w:eastAsia="zh-CN"/>
              </w:rPr>
              <w:t>，</w:t>
            </w:r>
            <w:r>
              <w:rPr>
                <w:rFonts w:hint="eastAsia" w:ascii="宋体" w:hAnsi="宋体"/>
                <w:szCs w:val="20"/>
                <w:highlight w:val="yellow"/>
                <w:lang w:val="en-US" w:eastAsia="zh-CN"/>
              </w:rPr>
              <w:t>最高4分</w:t>
            </w:r>
            <w:r>
              <w:rPr>
                <w:rFonts w:hint="eastAsia" w:ascii="宋体" w:hAnsi="宋体"/>
                <w:szCs w:val="20"/>
                <w:highlight w:val="yellow"/>
              </w:rPr>
              <w:t>。</w:t>
            </w:r>
            <w:r>
              <w:rPr>
                <w:rFonts w:hint="eastAsia" w:ascii="宋体" w:hAnsi="宋体"/>
                <w:szCs w:val="20"/>
                <w:highlight w:val="yellow"/>
                <w:lang w:val="en-US" w:eastAsia="zh-CN"/>
              </w:rPr>
              <w:t>提供证书复印件及自2025年1月至今任意3个月的人员社保证明材料。提供多个同类证书的或同一人员有多个证书的，不重复计分。</w:t>
            </w:r>
          </w:p>
        </w:tc>
        <w:tc>
          <w:tcPr>
            <w:tcW w:w="610" w:type="pct"/>
            <w:tcBorders>
              <w:top w:val="single" w:color="auto" w:sz="4" w:space="0"/>
              <w:left w:val="single" w:color="auto" w:sz="4" w:space="0"/>
              <w:bottom w:val="single" w:color="auto" w:sz="4" w:space="0"/>
              <w:right w:val="single" w:color="auto" w:sz="4" w:space="0"/>
            </w:tcBorders>
            <w:noWrap w:val="0"/>
            <w:vAlign w:val="center"/>
          </w:tcPr>
          <w:p w14:paraId="2F2401D0">
            <w:pPr>
              <w:keepNext w:val="0"/>
              <w:keepLines w:val="0"/>
              <w:widowControl/>
              <w:suppressLineNumbers w:val="0"/>
              <w:adjustRightInd w:val="0"/>
              <w:spacing w:before="0" w:beforeAutospacing="0" w:after="0" w:afterAutospacing="0" w:line="240" w:lineRule="auto"/>
              <w:ind w:left="0" w:right="0"/>
              <w:jc w:val="center"/>
              <w:textAlignment w:val="baseline"/>
              <w:rPr>
                <w:rFonts w:hint="default" w:ascii="宋体" w:hAnsi="宋体" w:cs="宋体"/>
                <w:color w:val="auto"/>
                <w:kern w:val="0"/>
                <w:sz w:val="21"/>
                <w:szCs w:val="21"/>
                <w:highlight w:val="none"/>
                <w:lang w:val="en-US" w:eastAsia="zh-CN" w:bidi="en-US"/>
              </w:rPr>
            </w:pPr>
            <w:r>
              <w:rPr>
                <w:rFonts w:hint="eastAsia" w:ascii="宋体" w:hAnsi="宋体" w:cs="宋体"/>
                <w:color w:val="auto"/>
                <w:kern w:val="0"/>
                <w:sz w:val="21"/>
                <w:szCs w:val="21"/>
                <w:highlight w:val="yellow"/>
                <w:lang w:val="en-US" w:eastAsia="zh-CN" w:bidi="en-US"/>
              </w:rPr>
              <w:t>4</w:t>
            </w:r>
          </w:p>
        </w:tc>
      </w:tr>
      <w:tr w14:paraId="48D79F86">
        <w:tblPrEx>
          <w:tblCellMar>
            <w:top w:w="15" w:type="dxa"/>
            <w:left w:w="15" w:type="dxa"/>
            <w:bottom w:w="15" w:type="dxa"/>
            <w:right w:w="15" w:type="dxa"/>
          </w:tblCellMar>
        </w:tblPrEx>
        <w:trPr>
          <w:trHeight w:val="429" w:hRule="atLeast"/>
        </w:trPr>
        <w:tc>
          <w:tcPr>
            <w:tcW w:w="584" w:type="pct"/>
            <w:vMerge w:val="restart"/>
            <w:tcBorders>
              <w:top w:val="single" w:color="auto" w:sz="4" w:space="0"/>
              <w:left w:val="single" w:color="auto" w:sz="4" w:space="0"/>
              <w:bottom w:val="single" w:color="auto" w:sz="4" w:space="0"/>
              <w:right w:val="single" w:color="auto" w:sz="4" w:space="0"/>
            </w:tcBorders>
            <w:noWrap w:val="0"/>
            <w:vAlign w:val="center"/>
          </w:tcPr>
          <w:p w14:paraId="0D2D1F38">
            <w:pPr>
              <w:keepNext w:val="0"/>
              <w:keepLines w:val="0"/>
              <w:widowControl/>
              <w:suppressLineNumbers w:val="0"/>
              <w:adjustRightInd w:val="0"/>
              <w:spacing w:before="0" w:beforeAutospacing="0" w:after="0" w:afterAutospacing="0" w:line="240" w:lineRule="auto"/>
              <w:ind w:left="0" w:right="0"/>
              <w:jc w:val="center"/>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技术部分</w:t>
            </w:r>
          </w:p>
          <w:p w14:paraId="3CBC556B">
            <w:pPr>
              <w:keepNext w:val="0"/>
              <w:keepLines w:val="0"/>
              <w:widowControl/>
              <w:suppressLineNumbers w:val="0"/>
              <w:adjustRightInd w:val="0"/>
              <w:spacing w:before="0" w:beforeAutospacing="0" w:after="0" w:afterAutospacing="0" w:line="240" w:lineRule="auto"/>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bidi="ar"/>
              </w:rPr>
              <w:t>（</w:t>
            </w:r>
            <w:r>
              <w:rPr>
                <w:rFonts w:hint="eastAsia" w:ascii="宋体" w:hAnsi="宋体" w:cs="宋体"/>
                <w:color w:val="auto"/>
                <w:kern w:val="0"/>
                <w:sz w:val="21"/>
                <w:szCs w:val="21"/>
                <w:highlight w:val="none"/>
                <w:lang w:val="en-US" w:eastAsia="zh-CN" w:bidi="ar"/>
              </w:rPr>
              <w:t>41</w:t>
            </w:r>
            <w:r>
              <w:rPr>
                <w:rFonts w:hint="default" w:ascii="宋体" w:hAnsi="宋体" w:eastAsia="宋体" w:cs="宋体"/>
                <w:color w:val="auto"/>
                <w:kern w:val="0"/>
                <w:sz w:val="21"/>
                <w:szCs w:val="21"/>
                <w:highlight w:val="none"/>
                <w:lang w:bidi="ar"/>
              </w:rPr>
              <w:t>分</w:t>
            </w:r>
            <w:r>
              <w:rPr>
                <w:rFonts w:hint="eastAsia" w:ascii="宋体" w:hAnsi="宋体" w:eastAsia="宋体" w:cs="宋体"/>
                <w:color w:val="auto"/>
                <w:kern w:val="0"/>
                <w:sz w:val="21"/>
                <w:szCs w:val="21"/>
                <w:highlight w:val="none"/>
                <w:lang w:bidi="ar"/>
              </w:rPr>
              <w:t>）</w:t>
            </w:r>
          </w:p>
        </w:tc>
        <w:tc>
          <w:tcPr>
            <w:tcW w:w="559"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4E57B4C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宋体" w:hAnsi="宋体" w:eastAsia="宋体" w:cs="仿宋"/>
                <w:kern w:val="2"/>
                <w:sz w:val="21"/>
                <w:szCs w:val="21"/>
                <w:lang w:val="en-US" w:eastAsia="zh-CN" w:bidi="ar-SA"/>
              </w:rPr>
            </w:pPr>
            <w:r>
              <w:rPr>
                <w:rFonts w:hint="eastAsia" w:ascii="宋体" w:hAnsi="宋体" w:eastAsia="宋体" w:cs="宋体"/>
                <w:color w:val="000000"/>
                <w:kern w:val="0"/>
                <w:sz w:val="21"/>
                <w:szCs w:val="21"/>
                <w:lang w:val="en-US" w:eastAsia="zh-CN"/>
              </w:rPr>
              <w:t>施工方案与技术措施（8分）</w:t>
            </w:r>
          </w:p>
        </w:tc>
        <w:tc>
          <w:tcPr>
            <w:tcW w:w="324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575925C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根据投标人制定的施工方案和技术措施进行打分，内容须包含包括施工程序和施工顺序，施工起点流向，主要工程的施工方案进行评分：</w:t>
            </w:r>
          </w:p>
          <w:p w14:paraId="4350642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优（施工方案和技术措施优异）：</w:t>
            </w:r>
            <w:r>
              <w:rPr>
                <w:rFonts w:hint="eastAsia" w:ascii="宋体" w:hAnsi="宋体" w:cs="宋体"/>
                <w:color w:val="000000"/>
                <w:kern w:val="0"/>
                <w:sz w:val="21"/>
                <w:szCs w:val="21"/>
                <w:highlight w:val="yellow"/>
                <w:lang w:val="en-US" w:eastAsia="zh-CN"/>
              </w:rPr>
              <w:t>5（含）</w:t>
            </w:r>
            <w:r>
              <w:rPr>
                <w:rFonts w:hint="eastAsia" w:ascii="宋体" w:hAnsi="宋体" w:eastAsia="宋体" w:cs="宋体"/>
                <w:color w:val="000000"/>
                <w:kern w:val="0"/>
                <w:sz w:val="21"/>
                <w:szCs w:val="21"/>
                <w:highlight w:val="yellow"/>
                <w:lang w:val="en-US" w:eastAsia="zh-CN"/>
              </w:rPr>
              <w:t>-</w:t>
            </w:r>
            <w:r>
              <w:rPr>
                <w:rFonts w:hint="eastAsia" w:ascii="宋体" w:hAnsi="宋体" w:cs="宋体"/>
                <w:color w:val="000000"/>
                <w:kern w:val="0"/>
                <w:sz w:val="21"/>
                <w:szCs w:val="21"/>
                <w:highlight w:val="yellow"/>
                <w:lang w:val="en-US" w:eastAsia="zh-CN"/>
              </w:rPr>
              <w:t>9</w:t>
            </w:r>
            <w:r>
              <w:rPr>
                <w:rFonts w:hint="eastAsia" w:ascii="宋体" w:hAnsi="宋体" w:eastAsia="宋体" w:cs="宋体"/>
                <w:color w:val="000000"/>
                <w:kern w:val="0"/>
                <w:sz w:val="21"/>
                <w:szCs w:val="21"/>
                <w:highlight w:val="yellow"/>
                <w:lang w:val="en-US" w:eastAsia="zh-CN"/>
              </w:rPr>
              <w:t>分；</w:t>
            </w:r>
          </w:p>
          <w:p w14:paraId="21184AD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良（施工方案和技术措施完善的）：3</w:t>
            </w:r>
            <w:r>
              <w:rPr>
                <w:rFonts w:hint="eastAsia" w:ascii="宋体" w:hAnsi="宋体" w:cs="宋体"/>
                <w:color w:val="000000"/>
                <w:kern w:val="0"/>
                <w:sz w:val="21"/>
                <w:szCs w:val="21"/>
                <w:lang w:val="en-US" w:eastAsia="zh-CN"/>
              </w:rPr>
              <w:t>（含）</w:t>
            </w:r>
            <w:r>
              <w:rPr>
                <w:rFonts w:hint="eastAsia" w:ascii="宋体" w:hAnsi="宋体" w:eastAsia="宋体" w:cs="宋体"/>
                <w:color w:val="000000"/>
                <w:kern w:val="0"/>
                <w:sz w:val="21"/>
                <w:szCs w:val="21"/>
                <w:lang w:val="en-US" w:eastAsia="zh-CN"/>
              </w:rPr>
              <w:t>-5</w:t>
            </w:r>
            <w:r>
              <w:rPr>
                <w:rFonts w:hint="eastAsia" w:ascii="宋体" w:hAnsi="宋体" w:cs="宋体"/>
                <w:color w:val="000000"/>
                <w:kern w:val="0"/>
                <w:sz w:val="21"/>
                <w:szCs w:val="21"/>
                <w:lang w:val="en-US" w:eastAsia="zh-CN"/>
              </w:rPr>
              <w:t>（不含）</w:t>
            </w:r>
            <w:r>
              <w:rPr>
                <w:rFonts w:hint="eastAsia" w:ascii="宋体" w:hAnsi="宋体" w:eastAsia="宋体" w:cs="宋体"/>
                <w:color w:val="000000"/>
                <w:kern w:val="0"/>
                <w:sz w:val="21"/>
                <w:szCs w:val="21"/>
                <w:lang w:val="en-US" w:eastAsia="zh-CN"/>
              </w:rPr>
              <w:t>分；</w:t>
            </w:r>
          </w:p>
          <w:p w14:paraId="47F2516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差（施工方案和技术措施较完善或不完善）：</w:t>
            </w:r>
            <w:r>
              <w:rPr>
                <w:rFonts w:hint="eastAsia" w:ascii="宋体" w:hAnsi="宋体" w:cs="宋体"/>
                <w:color w:val="000000"/>
                <w:kern w:val="0"/>
                <w:sz w:val="21"/>
                <w:szCs w:val="21"/>
                <w:lang w:val="en-US" w:eastAsia="zh-CN"/>
              </w:rPr>
              <w:t>0</w:t>
            </w:r>
            <w:r>
              <w:rPr>
                <w:rFonts w:hint="eastAsia" w:ascii="宋体" w:hAnsi="宋体" w:eastAsia="宋体" w:cs="宋体"/>
                <w:color w:val="000000"/>
                <w:kern w:val="0"/>
                <w:sz w:val="21"/>
                <w:szCs w:val="21"/>
                <w:lang w:val="en-US" w:eastAsia="zh-CN"/>
              </w:rPr>
              <w:t>-</w:t>
            </w:r>
            <w:r>
              <w:rPr>
                <w:rFonts w:hint="eastAsia" w:ascii="宋体" w:hAnsi="宋体" w:cs="宋体"/>
                <w:color w:val="000000"/>
                <w:kern w:val="0"/>
                <w:sz w:val="21"/>
                <w:szCs w:val="21"/>
                <w:lang w:val="en-US" w:eastAsia="zh-CN"/>
              </w:rPr>
              <w:t>3（不含）</w:t>
            </w:r>
            <w:r>
              <w:rPr>
                <w:rFonts w:hint="eastAsia" w:ascii="宋体" w:hAnsi="宋体" w:eastAsia="宋体" w:cs="宋体"/>
                <w:color w:val="000000"/>
                <w:kern w:val="0"/>
                <w:sz w:val="21"/>
                <w:szCs w:val="21"/>
                <w:lang w:val="en-US" w:eastAsia="zh-CN"/>
              </w:rPr>
              <w:t>分。</w:t>
            </w:r>
          </w:p>
          <w:p w14:paraId="5802994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left"/>
              <w:textAlignment w:val="auto"/>
              <w:rPr>
                <w:rFonts w:hint="eastAsia" w:ascii="宋体" w:hAnsi="宋体" w:eastAsia="宋体" w:cs="Calibri"/>
                <w:kern w:val="2"/>
                <w:sz w:val="21"/>
                <w:szCs w:val="20"/>
                <w:lang w:val="en-US" w:eastAsia="zh-CN" w:bidi="ar-SA"/>
              </w:rPr>
            </w:pPr>
            <w:r>
              <w:rPr>
                <w:rFonts w:hint="eastAsia" w:ascii="宋体" w:hAnsi="宋体" w:eastAsia="宋体" w:cs="宋体"/>
                <w:color w:val="000000"/>
                <w:kern w:val="0"/>
                <w:sz w:val="21"/>
                <w:szCs w:val="21"/>
                <w:lang w:val="en-US" w:eastAsia="zh-CN"/>
              </w:rPr>
              <w:t>注：未提供不得分。</w:t>
            </w:r>
          </w:p>
        </w:tc>
        <w:tc>
          <w:tcPr>
            <w:tcW w:w="610" w:type="pct"/>
            <w:tcBorders>
              <w:top w:val="single" w:color="auto" w:sz="4" w:space="0"/>
              <w:left w:val="single" w:color="auto" w:sz="4" w:space="0"/>
              <w:bottom w:val="single" w:color="auto" w:sz="4" w:space="0"/>
              <w:right w:val="single" w:color="auto" w:sz="4" w:space="0"/>
            </w:tcBorders>
            <w:noWrap w:val="0"/>
            <w:vAlign w:val="center"/>
          </w:tcPr>
          <w:p w14:paraId="3E52ECC0">
            <w:pPr>
              <w:keepNext w:val="0"/>
              <w:keepLines w:val="0"/>
              <w:widowControl/>
              <w:suppressLineNumbers w:val="0"/>
              <w:adjustRightInd w:val="0"/>
              <w:spacing w:before="0" w:beforeAutospacing="0" w:after="0" w:afterAutospacing="0" w:line="240" w:lineRule="auto"/>
              <w:ind w:left="0" w:leftChars="0" w:right="0" w:rightChars="0"/>
              <w:jc w:val="center"/>
              <w:textAlignment w:val="baseline"/>
              <w:rPr>
                <w:rFonts w:hint="eastAsia" w:ascii="宋体" w:hAnsi="宋体" w:eastAsia="宋体" w:cs="宋体"/>
                <w:color w:val="auto"/>
                <w:kern w:val="0"/>
                <w:sz w:val="21"/>
                <w:szCs w:val="21"/>
                <w:highlight w:val="none"/>
                <w:lang w:val="en-US" w:eastAsia="zh-CN"/>
              </w:rPr>
            </w:pPr>
            <w:r>
              <w:rPr>
                <w:rFonts w:hint="eastAsia" w:ascii="宋体" w:hAnsi="宋体" w:cs="宋体"/>
                <w:color w:val="auto"/>
                <w:kern w:val="0"/>
                <w:sz w:val="21"/>
                <w:szCs w:val="21"/>
                <w:highlight w:val="none"/>
                <w:lang w:val="en-US" w:eastAsia="zh-CN"/>
              </w:rPr>
              <w:t>9</w:t>
            </w:r>
          </w:p>
        </w:tc>
      </w:tr>
      <w:tr w14:paraId="0E63DD05">
        <w:tblPrEx>
          <w:tblCellMar>
            <w:top w:w="15" w:type="dxa"/>
            <w:left w:w="15" w:type="dxa"/>
            <w:bottom w:w="15" w:type="dxa"/>
            <w:right w:w="15" w:type="dxa"/>
          </w:tblCellMar>
        </w:tblPrEx>
        <w:trPr>
          <w:trHeight w:val="894" w:hRule="atLeast"/>
        </w:trPr>
        <w:tc>
          <w:tcPr>
            <w:tcW w:w="584" w:type="pct"/>
            <w:vMerge w:val="continue"/>
            <w:tcBorders>
              <w:top w:val="single" w:color="auto" w:sz="4" w:space="0"/>
              <w:left w:val="single" w:color="auto" w:sz="4" w:space="0"/>
              <w:bottom w:val="single" w:color="auto" w:sz="4" w:space="0"/>
              <w:right w:val="single" w:color="auto" w:sz="4" w:space="0"/>
            </w:tcBorders>
            <w:noWrap w:val="0"/>
            <w:vAlign w:val="center"/>
          </w:tcPr>
          <w:p w14:paraId="152F067B">
            <w:pPr>
              <w:keepNext w:val="0"/>
              <w:keepLines w:val="0"/>
              <w:widowControl/>
              <w:suppressLineNumbers w:val="0"/>
              <w:adjustRightInd w:val="0"/>
              <w:spacing w:before="0" w:beforeAutospacing="0" w:after="0" w:afterAutospacing="0" w:line="240" w:lineRule="auto"/>
              <w:ind w:left="0" w:right="0"/>
              <w:jc w:val="center"/>
              <w:textAlignment w:val="center"/>
              <w:rPr>
                <w:rFonts w:hint="eastAsia" w:ascii="宋体" w:hAnsi="宋体" w:eastAsia="宋体" w:cs="宋体"/>
                <w:color w:val="auto"/>
                <w:kern w:val="0"/>
                <w:sz w:val="21"/>
                <w:szCs w:val="21"/>
                <w:highlight w:val="none"/>
                <w:lang w:bidi="ar"/>
              </w:rPr>
            </w:pPr>
          </w:p>
        </w:tc>
        <w:tc>
          <w:tcPr>
            <w:tcW w:w="559"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1BA5F99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宋体" w:hAnsi="宋体" w:eastAsia="宋体" w:cs="仿宋"/>
                <w:kern w:val="2"/>
                <w:sz w:val="21"/>
                <w:szCs w:val="21"/>
                <w:lang w:val="en-US" w:eastAsia="zh-CN" w:bidi="ar-SA"/>
              </w:rPr>
            </w:pPr>
            <w:r>
              <w:rPr>
                <w:rFonts w:hint="eastAsia" w:ascii="宋体" w:hAnsi="宋体" w:eastAsia="宋体" w:cs="宋体"/>
                <w:color w:val="000000"/>
                <w:kern w:val="0"/>
                <w:sz w:val="21"/>
                <w:szCs w:val="21"/>
                <w:lang w:val="en-US" w:eastAsia="zh-CN"/>
              </w:rPr>
              <w:t>质量管理体系与措施（8分）</w:t>
            </w:r>
          </w:p>
        </w:tc>
        <w:tc>
          <w:tcPr>
            <w:tcW w:w="324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28561BA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根据投标人制定的质量管理体系与措施进行打分，要求对工程有针对性且适应工程的具体需要；对其提出的质量管理体系与措施进行评价：</w:t>
            </w:r>
          </w:p>
          <w:p w14:paraId="67CCAFD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优（质量管理体系与措施优异）：6</w:t>
            </w:r>
            <w:r>
              <w:rPr>
                <w:rFonts w:hint="eastAsia" w:ascii="宋体" w:hAnsi="宋体" w:cs="宋体"/>
                <w:color w:val="000000"/>
                <w:kern w:val="0"/>
                <w:sz w:val="21"/>
                <w:szCs w:val="21"/>
                <w:lang w:val="en-US" w:eastAsia="zh-CN"/>
              </w:rPr>
              <w:t>（含）</w:t>
            </w:r>
            <w:r>
              <w:rPr>
                <w:rFonts w:hint="eastAsia" w:ascii="宋体" w:hAnsi="宋体" w:eastAsia="宋体" w:cs="宋体"/>
                <w:color w:val="000000"/>
                <w:kern w:val="0"/>
                <w:sz w:val="21"/>
                <w:szCs w:val="21"/>
                <w:lang w:val="en-US" w:eastAsia="zh-CN"/>
              </w:rPr>
              <w:t>-8分；</w:t>
            </w:r>
          </w:p>
          <w:p w14:paraId="5565274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良（质量管理体系与措施完善）：3</w:t>
            </w:r>
            <w:r>
              <w:rPr>
                <w:rFonts w:hint="eastAsia" w:ascii="宋体" w:hAnsi="宋体" w:cs="宋体"/>
                <w:color w:val="000000"/>
                <w:kern w:val="0"/>
                <w:sz w:val="21"/>
                <w:szCs w:val="21"/>
                <w:lang w:val="en-US" w:eastAsia="zh-CN"/>
              </w:rPr>
              <w:t>（含）</w:t>
            </w:r>
            <w:r>
              <w:rPr>
                <w:rFonts w:hint="eastAsia" w:ascii="宋体" w:hAnsi="宋体" w:eastAsia="宋体" w:cs="宋体"/>
                <w:color w:val="000000"/>
                <w:kern w:val="0"/>
                <w:sz w:val="21"/>
                <w:szCs w:val="21"/>
                <w:lang w:val="en-US" w:eastAsia="zh-CN"/>
              </w:rPr>
              <w:t>-</w:t>
            </w:r>
            <w:r>
              <w:rPr>
                <w:rFonts w:hint="eastAsia" w:ascii="宋体" w:hAnsi="宋体" w:cs="宋体"/>
                <w:color w:val="000000"/>
                <w:kern w:val="0"/>
                <w:sz w:val="21"/>
                <w:szCs w:val="21"/>
                <w:lang w:val="en-US" w:eastAsia="zh-CN"/>
              </w:rPr>
              <w:t>6（不含）</w:t>
            </w:r>
            <w:r>
              <w:rPr>
                <w:rFonts w:hint="eastAsia" w:ascii="宋体" w:hAnsi="宋体" w:eastAsia="宋体" w:cs="宋体"/>
                <w:color w:val="000000"/>
                <w:kern w:val="0"/>
                <w:sz w:val="21"/>
                <w:szCs w:val="21"/>
                <w:lang w:val="en-US" w:eastAsia="zh-CN"/>
              </w:rPr>
              <w:t>分；</w:t>
            </w:r>
          </w:p>
          <w:p w14:paraId="70BEDFF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差（质量管理体系与措施较完善或不完善）：</w:t>
            </w:r>
            <w:r>
              <w:rPr>
                <w:rFonts w:hint="eastAsia" w:ascii="宋体" w:hAnsi="宋体" w:cs="宋体"/>
                <w:color w:val="000000"/>
                <w:kern w:val="0"/>
                <w:sz w:val="21"/>
                <w:szCs w:val="21"/>
                <w:lang w:val="en-US" w:eastAsia="zh-CN"/>
              </w:rPr>
              <w:t>0</w:t>
            </w:r>
            <w:r>
              <w:rPr>
                <w:rFonts w:hint="eastAsia" w:ascii="宋体" w:hAnsi="宋体" w:eastAsia="宋体" w:cs="宋体"/>
                <w:color w:val="000000"/>
                <w:kern w:val="0"/>
                <w:sz w:val="21"/>
                <w:szCs w:val="21"/>
                <w:lang w:val="en-US" w:eastAsia="zh-CN"/>
              </w:rPr>
              <w:t>-</w:t>
            </w:r>
            <w:r>
              <w:rPr>
                <w:rFonts w:hint="eastAsia" w:ascii="宋体" w:hAnsi="宋体" w:cs="宋体"/>
                <w:color w:val="000000"/>
                <w:kern w:val="0"/>
                <w:sz w:val="21"/>
                <w:szCs w:val="21"/>
                <w:lang w:val="en-US" w:eastAsia="zh-CN"/>
              </w:rPr>
              <w:t>3（不含）</w:t>
            </w:r>
            <w:r>
              <w:rPr>
                <w:rFonts w:hint="eastAsia" w:ascii="宋体" w:hAnsi="宋体" w:eastAsia="宋体" w:cs="宋体"/>
                <w:color w:val="000000"/>
                <w:kern w:val="0"/>
                <w:sz w:val="21"/>
                <w:szCs w:val="21"/>
                <w:lang w:val="en-US" w:eastAsia="zh-CN"/>
              </w:rPr>
              <w:t>分。</w:t>
            </w:r>
          </w:p>
          <w:p w14:paraId="2F2270E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left"/>
              <w:textAlignment w:val="auto"/>
              <w:rPr>
                <w:rFonts w:hint="eastAsia" w:ascii="宋体" w:hAnsi="宋体" w:eastAsia="宋体" w:cs="Calibri"/>
                <w:kern w:val="2"/>
                <w:sz w:val="21"/>
                <w:szCs w:val="20"/>
                <w:lang w:val="en-US" w:eastAsia="zh-CN" w:bidi="ar-SA"/>
              </w:rPr>
            </w:pPr>
            <w:r>
              <w:rPr>
                <w:rFonts w:hint="eastAsia" w:ascii="宋体" w:hAnsi="宋体" w:eastAsia="宋体" w:cs="宋体"/>
                <w:color w:val="000000"/>
                <w:kern w:val="0"/>
                <w:sz w:val="21"/>
                <w:szCs w:val="21"/>
                <w:lang w:val="en-US" w:eastAsia="zh-CN"/>
              </w:rPr>
              <w:t>注：未提供不得分。</w:t>
            </w:r>
          </w:p>
        </w:tc>
        <w:tc>
          <w:tcPr>
            <w:tcW w:w="610" w:type="pct"/>
            <w:tcBorders>
              <w:top w:val="single" w:color="auto" w:sz="4" w:space="0"/>
              <w:left w:val="single" w:color="auto" w:sz="4" w:space="0"/>
              <w:bottom w:val="single" w:color="auto" w:sz="4" w:space="0"/>
              <w:right w:val="single" w:color="auto" w:sz="4" w:space="0"/>
            </w:tcBorders>
            <w:noWrap w:val="0"/>
            <w:vAlign w:val="center"/>
          </w:tcPr>
          <w:p w14:paraId="2819AAF4">
            <w:pPr>
              <w:keepNext w:val="0"/>
              <w:keepLines w:val="0"/>
              <w:widowControl/>
              <w:suppressLineNumbers w:val="0"/>
              <w:adjustRightInd w:val="0"/>
              <w:spacing w:before="0" w:beforeAutospacing="0" w:after="0" w:afterAutospacing="0" w:line="240" w:lineRule="auto"/>
              <w:ind w:left="0" w:leftChars="0" w:right="0" w:rightChars="0"/>
              <w:jc w:val="center"/>
              <w:textAlignment w:val="baseline"/>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0"/>
                <w:sz w:val="21"/>
                <w:szCs w:val="21"/>
                <w:highlight w:val="none"/>
                <w:lang w:val="en-US" w:eastAsia="zh-CN"/>
              </w:rPr>
              <w:t>8</w:t>
            </w:r>
          </w:p>
        </w:tc>
      </w:tr>
      <w:tr w14:paraId="4EE27DFE">
        <w:tblPrEx>
          <w:tblCellMar>
            <w:top w:w="15" w:type="dxa"/>
            <w:left w:w="15" w:type="dxa"/>
            <w:bottom w:w="15" w:type="dxa"/>
            <w:right w:w="15" w:type="dxa"/>
          </w:tblCellMar>
        </w:tblPrEx>
        <w:trPr>
          <w:trHeight w:val="869" w:hRule="atLeast"/>
        </w:trPr>
        <w:tc>
          <w:tcPr>
            <w:tcW w:w="584" w:type="pct"/>
            <w:vMerge w:val="continue"/>
            <w:tcBorders>
              <w:top w:val="single" w:color="auto" w:sz="4" w:space="0"/>
              <w:left w:val="single" w:color="auto" w:sz="4" w:space="0"/>
              <w:bottom w:val="single" w:color="auto" w:sz="4" w:space="0"/>
              <w:right w:val="single" w:color="auto" w:sz="4" w:space="0"/>
            </w:tcBorders>
            <w:noWrap w:val="0"/>
            <w:vAlign w:val="center"/>
          </w:tcPr>
          <w:p w14:paraId="315BBC1F">
            <w:pPr>
              <w:keepNext w:val="0"/>
              <w:keepLines w:val="0"/>
              <w:widowControl/>
              <w:suppressLineNumbers w:val="0"/>
              <w:adjustRightInd w:val="0"/>
              <w:spacing w:before="0" w:beforeAutospacing="0" w:after="0" w:afterAutospacing="0" w:line="240" w:lineRule="auto"/>
              <w:ind w:left="0" w:right="0"/>
              <w:jc w:val="center"/>
              <w:textAlignment w:val="center"/>
              <w:rPr>
                <w:rFonts w:hint="eastAsia" w:ascii="宋体" w:hAnsi="宋体" w:eastAsia="宋体" w:cs="宋体"/>
                <w:color w:val="auto"/>
                <w:kern w:val="0"/>
                <w:sz w:val="21"/>
                <w:szCs w:val="21"/>
                <w:highlight w:val="none"/>
                <w:lang w:bidi="ar"/>
              </w:rPr>
            </w:pPr>
          </w:p>
        </w:tc>
        <w:tc>
          <w:tcPr>
            <w:tcW w:w="559"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7635FD2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宋体" w:hAnsi="宋体" w:eastAsia="宋体" w:cs="仿宋"/>
                <w:kern w:val="2"/>
                <w:sz w:val="21"/>
                <w:szCs w:val="21"/>
                <w:lang w:val="zh-CN" w:eastAsia="zh-CN" w:bidi="ar-SA"/>
              </w:rPr>
            </w:pPr>
            <w:r>
              <w:rPr>
                <w:rFonts w:hint="eastAsia" w:ascii="宋体" w:hAnsi="宋体" w:eastAsia="宋体" w:cs="宋体"/>
                <w:color w:val="000000"/>
                <w:kern w:val="0"/>
                <w:sz w:val="21"/>
                <w:szCs w:val="21"/>
                <w:lang w:val="en-US" w:eastAsia="zh-CN"/>
              </w:rPr>
              <w:t>工程进度计划与措施（7分）</w:t>
            </w:r>
          </w:p>
        </w:tc>
        <w:tc>
          <w:tcPr>
            <w:tcW w:w="324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49856B3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根据投标人制定的工程进度计划与措施进行打分，要求对工程有针对性且适应工程的具体需要：</w:t>
            </w:r>
          </w:p>
          <w:p w14:paraId="44796AC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优（方案内容齐全、合理，可实施性强）：6</w:t>
            </w:r>
            <w:r>
              <w:rPr>
                <w:rFonts w:hint="eastAsia" w:ascii="宋体" w:hAnsi="宋体" w:cs="宋体"/>
                <w:color w:val="000000"/>
                <w:kern w:val="0"/>
                <w:sz w:val="21"/>
                <w:szCs w:val="21"/>
                <w:lang w:val="en-US" w:eastAsia="zh-CN"/>
              </w:rPr>
              <w:t>（含）</w:t>
            </w:r>
            <w:r>
              <w:rPr>
                <w:rFonts w:hint="eastAsia" w:ascii="宋体" w:hAnsi="宋体" w:eastAsia="宋体" w:cs="宋体"/>
                <w:color w:val="000000"/>
                <w:kern w:val="0"/>
                <w:sz w:val="21"/>
                <w:szCs w:val="21"/>
                <w:lang w:val="en-US" w:eastAsia="zh-CN"/>
              </w:rPr>
              <w:t>-7分；</w:t>
            </w:r>
          </w:p>
          <w:p w14:paraId="602787B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良（方案内容齐全、合理，可实施性强良好）：3</w:t>
            </w:r>
            <w:r>
              <w:rPr>
                <w:rFonts w:hint="eastAsia" w:ascii="宋体" w:hAnsi="宋体" w:cs="宋体"/>
                <w:color w:val="000000"/>
                <w:kern w:val="0"/>
                <w:sz w:val="21"/>
                <w:szCs w:val="21"/>
                <w:lang w:val="en-US" w:eastAsia="zh-CN"/>
              </w:rPr>
              <w:t>（含）</w:t>
            </w:r>
            <w:r>
              <w:rPr>
                <w:rFonts w:hint="eastAsia" w:ascii="宋体" w:hAnsi="宋体" w:eastAsia="宋体" w:cs="宋体"/>
                <w:color w:val="000000"/>
                <w:kern w:val="0"/>
                <w:sz w:val="21"/>
                <w:szCs w:val="21"/>
                <w:lang w:val="en-US" w:eastAsia="zh-CN"/>
              </w:rPr>
              <w:t>-</w:t>
            </w:r>
            <w:r>
              <w:rPr>
                <w:rFonts w:hint="eastAsia" w:ascii="宋体" w:hAnsi="宋体" w:cs="宋体"/>
                <w:color w:val="000000"/>
                <w:kern w:val="0"/>
                <w:sz w:val="21"/>
                <w:szCs w:val="21"/>
                <w:lang w:val="en-US" w:eastAsia="zh-CN"/>
              </w:rPr>
              <w:t>6（不含）</w:t>
            </w:r>
            <w:r>
              <w:rPr>
                <w:rFonts w:hint="eastAsia" w:ascii="宋体" w:hAnsi="宋体" w:eastAsia="宋体" w:cs="宋体"/>
                <w:color w:val="000000"/>
                <w:kern w:val="0"/>
                <w:sz w:val="21"/>
                <w:szCs w:val="21"/>
                <w:lang w:val="en-US" w:eastAsia="zh-CN"/>
              </w:rPr>
              <w:t>分；</w:t>
            </w:r>
          </w:p>
          <w:p w14:paraId="0B2C2F3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差（方案内容齐全、合理，可实施性强差）：</w:t>
            </w:r>
            <w:r>
              <w:rPr>
                <w:rFonts w:hint="eastAsia" w:ascii="宋体" w:hAnsi="宋体" w:cs="宋体"/>
                <w:color w:val="000000"/>
                <w:kern w:val="0"/>
                <w:sz w:val="21"/>
                <w:szCs w:val="21"/>
                <w:lang w:val="en-US" w:eastAsia="zh-CN"/>
              </w:rPr>
              <w:t>0</w:t>
            </w:r>
            <w:r>
              <w:rPr>
                <w:rFonts w:hint="eastAsia" w:ascii="宋体" w:hAnsi="宋体" w:eastAsia="宋体" w:cs="宋体"/>
                <w:color w:val="000000"/>
                <w:kern w:val="0"/>
                <w:sz w:val="21"/>
                <w:szCs w:val="21"/>
                <w:lang w:val="en-US" w:eastAsia="zh-CN"/>
              </w:rPr>
              <w:t>-</w:t>
            </w:r>
            <w:r>
              <w:rPr>
                <w:rFonts w:hint="eastAsia" w:ascii="宋体" w:hAnsi="宋体" w:cs="宋体"/>
                <w:color w:val="000000"/>
                <w:kern w:val="0"/>
                <w:sz w:val="21"/>
                <w:szCs w:val="21"/>
                <w:lang w:val="en-US" w:eastAsia="zh-CN"/>
              </w:rPr>
              <w:t>3（不含）</w:t>
            </w:r>
            <w:r>
              <w:rPr>
                <w:rFonts w:hint="eastAsia" w:ascii="宋体" w:hAnsi="宋体" w:eastAsia="宋体" w:cs="宋体"/>
                <w:color w:val="000000"/>
                <w:kern w:val="0"/>
                <w:sz w:val="21"/>
                <w:szCs w:val="21"/>
                <w:lang w:val="en-US" w:eastAsia="zh-CN"/>
              </w:rPr>
              <w:t>分。</w:t>
            </w:r>
          </w:p>
          <w:p w14:paraId="07EB335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left"/>
              <w:textAlignment w:val="auto"/>
              <w:rPr>
                <w:rFonts w:hint="eastAsia" w:ascii="宋体" w:hAnsi="宋体" w:eastAsia="宋体" w:cs="Calibri"/>
                <w:kern w:val="2"/>
                <w:sz w:val="21"/>
                <w:szCs w:val="20"/>
                <w:lang w:val="zh-CN" w:eastAsia="zh-CN" w:bidi="ar-SA"/>
              </w:rPr>
            </w:pPr>
            <w:r>
              <w:rPr>
                <w:rFonts w:hint="eastAsia" w:ascii="宋体" w:hAnsi="宋体" w:eastAsia="宋体" w:cs="宋体"/>
                <w:color w:val="000000"/>
                <w:kern w:val="0"/>
                <w:sz w:val="21"/>
                <w:szCs w:val="21"/>
                <w:lang w:val="en-US" w:eastAsia="zh-CN"/>
              </w:rPr>
              <w:t>注：未提供不得分。</w:t>
            </w:r>
          </w:p>
        </w:tc>
        <w:tc>
          <w:tcPr>
            <w:tcW w:w="610" w:type="pct"/>
            <w:tcBorders>
              <w:top w:val="single" w:color="auto" w:sz="4" w:space="0"/>
              <w:left w:val="single" w:color="auto" w:sz="4" w:space="0"/>
              <w:bottom w:val="single" w:color="auto" w:sz="4" w:space="0"/>
              <w:right w:val="single" w:color="auto" w:sz="4" w:space="0"/>
            </w:tcBorders>
            <w:noWrap w:val="0"/>
            <w:vAlign w:val="center"/>
          </w:tcPr>
          <w:p w14:paraId="3BCF9F1B">
            <w:pPr>
              <w:keepNext w:val="0"/>
              <w:keepLines w:val="0"/>
              <w:widowControl/>
              <w:suppressLineNumbers w:val="0"/>
              <w:adjustRightInd w:val="0"/>
              <w:spacing w:before="0" w:beforeAutospacing="0" w:after="0" w:afterAutospacing="0" w:line="240" w:lineRule="auto"/>
              <w:ind w:left="0" w:leftChars="0" w:right="0" w:rightChars="0"/>
              <w:jc w:val="center"/>
              <w:textAlignment w:val="baseline"/>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7</w:t>
            </w:r>
          </w:p>
        </w:tc>
      </w:tr>
      <w:tr w14:paraId="4C92AC62">
        <w:tblPrEx>
          <w:tblCellMar>
            <w:top w:w="15" w:type="dxa"/>
            <w:left w:w="15" w:type="dxa"/>
            <w:bottom w:w="15" w:type="dxa"/>
            <w:right w:w="15" w:type="dxa"/>
          </w:tblCellMar>
        </w:tblPrEx>
        <w:trPr>
          <w:trHeight w:val="875" w:hRule="atLeast"/>
        </w:trPr>
        <w:tc>
          <w:tcPr>
            <w:tcW w:w="584" w:type="pct"/>
            <w:vMerge w:val="continue"/>
            <w:tcBorders>
              <w:top w:val="single" w:color="auto" w:sz="4" w:space="0"/>
              <w:left w:val="single" w:color="auto" w:sz="4" w:space="0"/>
              <w:bottom w:val="single" w:color="auto" w:sz="4" w:space="0"/>
              <w:right w:val="single" w:color="auto" w:sz="4" w:space="0"/>
            </w:tcBorders>
            <w:noWrap w:val="0"/>
            <w:vAlign w:val="center"/>
          </w:tcPr>
          <w:p w14:paraId="0D51F5C2">
            <w:pPr>
              <w:keepNext w:val="0"/>
              <w:keepLines w:val="0"/>
              <w:widowControl/>
              <w:suppressLineNumbers w:val="0"/>
              <w:adjustRightInd w:val="0"/>
              <w:spacing w:before="0" w:beforeAutospacing="0" w:after="0" w:afterAutospacing="0" w:line="240" w:lineRule="auto"/>
              <w:ind w:left="0" w:right="0"/>
              <w:jc w:val="center"/>
              <w:textAlignment w:val="center"/>
              <w:rPr>
                <w:rFonts w:hint="eastAsia" w:ascii="宋体" w:hAnsi="宋体" w:eastAsia="宋体" w:cs="宋体"/>
                <w:color w:val="auto"/>
                <w:kern w:val="0"/>
                <w:sz w:val="21"/>
                <w:szCs w:val="21"/>
                <w:highlight w:val="none"/>
                <w:lang w:bidi="ar"/>
              </w:rPr>
            </w:pPr>
          </w:p>
        </w:tc>
        <w:tc>
          <w:tcPr>
            <w:tcW w:w="559"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57E7BD9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劳动力、施工设备及试验、检验仪器设备配备计划</w:t>
            </w:r>
          </w:p>
          <w:p w14:paraId="17BD4E3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宋体" w:hAnsi="宋体" w:eastAsia="宋体" w:cs="仿宋"/>
                <w:kern w:val="2"/>
                <w:sz w:val="21"/>
                <w:szCs w:val="21"/>
                <w:lang w:val="en-US" w:eastAsia="zh-CN" w:bidi="ar-SA"/>
              </w:rPr>
            </w:pPr>
            <w:r>
              <w:rPr>
                <w:rFonts w:hint="eastAsia" w:ascii="宋体" w:hAnsi="宋体" w:eastAsia="宋体" w:cs="宋体"/>
                <w:color w:val="000000"/>
                <w:kern w:val="0"/>
                <w:sz w:val="21"/>
                <w:szCs w:val="21"/>
                <w:lang w:val="en-US" w:eastAsia="zh-CN"/>
              </w:rPr>
              <w:t>（7分）</w:t>
            </w:r>
          </w:p>
        </w:tc>
        <w:tc>
          <w:tcPr>
            <w:tcW w:w="324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1D72396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根据投标人制定的劳动力、施工设备及试验、检验仪器设备配备计划进行打分，内容包括劳动力、施工设备及试验、检测仪器设备等资源配备计划：</w:t>
            </w:r>
          </w:p>
          <w:p w14:paraId="44EF7D5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优（配备计划优异）：6</w:t>
            </w:r>
            <w:r>
              <w:rPr>
                <w:rFonts w:hint="eastAsia" w:ascii="宋体" w:hAnsi="宋体" w:cs="宋体"/>
                <w:color w:val="000000"/>
                <w:kern w:val="0"/>
                <w:sz w:val="21"/>
                <w:szCs w:val="21"/>
                <w:lang w:val="en-US" w:eastAsia="zh-CN"/>
              </w:rPr>
              <w:t>（含）</w:t>
            </w:r>
            <w:r>
              <w:rPr>
                <w:rFonts w:hint="eastAsia" w:ascii="宋体" w:hAnsi="宋体" w:eastAsia="宋体" w:cs="宋体"/>
                <w:color w:val="000000"/>
                <w:kern w:val="0"/>
                <w:sz w:val="21"/>
                <w:szCs w:val="21"/>
                <w:lang w:val="en-US" w:eastAsia="zh-CN"/>
              </w:rPr>
              <w:t>-7分；</w:t>
            </w:r>
          </w:p>
          <w:p w14:paraId="389EA22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良（配备计划完善的）：3</w:t>
            </w:r>
            <w:r>
              <w:rPr>
                <w:rFonts w:hint="eastAsia" w:ascii="宋体" w:hAnsi="宋体" w:cs="宋体"/>
                <w:color w:val="000000"/>
                <w:kern w:val="0"/>
                <w:sz w:val="21"/>
                <w:szCs w:val="21"/>
                <w:lang w:val="en-US" w:eastAsia="zh-CN"/>
              </w:rPr>
              <w:t>（含）</w:t>
            </w:r>
            <w:r>
              <w:rPr>
                <w:rFonts w:hint="eastAsia" w:ascii="宋体" w:hAnsi="宋体" w:eastAsia="宋体" w:cs="宋体"/>
                <w:color w:val="000000"/>
                <w:kern w:val="0"/>
                <w:sz w:val="21"/>
                <w:szCs w:val="21"/>
                <w:lang w:val="en-US" w:eastAsia="zh-CN"/>
              </w:rPr>
              <w:t>-</w:t>
            </w:r>
            <w:r>
              <w:rPr>
                <w:rFonts w:hint="eastAsia" w:ascii="宋体" w:hAnsi="宋体" w:cs="宋体"/>
                <w:color w:val="000000"/>
                <w:kern w:val="0"/>
                <w:sz w:val="21"/>
                <w:szCs w:val="21"/>
                <w:lang w:val="en-US" w:eastAsia="zh-CN"/>
              </w:rPr>
              <w:t>6（不含）</w:t>
            </w:r>
            <w:r>
              <w:rPr>
                <w:rFonts w:hint="eastAsia" w:ascii="宋体" w:hAnsi="宋体" w:eastAsia="宋体" w:cs="宋体"/>
                <w:color w:val="000000"/>
                <w:kern w:val="0"/>
                <w:sz w:val="21"/>
                <w:szCs w:val="21"/>
                <w:lang w:val="en-US" w:eastAsia="zh-CN"/>
              </w:rPr>
              <w:t>分；</w:t>
            </w:r>
          </w:p>
          <w:p w14:paraId="38A6CAC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差（配备计划较完善或不完善）：</w:t>
            </w:r>
            <w:r>
              <w:rPr>
                <w:rFonts w:hint="eastAsia" w:ascii="宋体" w:hAnsi="宋体" w:cs="宋体"/>
                <w:color w:val="000000"/>
                <w:kern w:val="0"/>
                <w:sz w:val="21"/>
                <w:szCs w:val="21"/>
                <w:lang w:val="en-US" w:eastAsia="zh-CN"/>
              </w:rPr>
              <w:t>0</w:t>
            </w:r>
            <w:r>
              <w:rPr>
                <w:rFonts w:hint="eastAsia" w:ascii="宋体" w:hAnsi="宋体" w:eastAsia="宋体" w:cs="宋体"/>
                <w:color w:val="000000"/>
                <w:kern w:val="0"/>
                <w:sz w:val="21"/>
                <w:szCs w:val="21"/>
                <w:lang w:val="en-US" w:eastAsia="zh-CN"/>
              </w:rPr>
              <w:t>-</w:t>
            </w:r>
            <w:r>
              <w:rPr>
                <w:rFonts w:hint="eastAsia" w:ascii="宋体" w:hAnsi="宋体" w:cs="宋体"/>
                <w:color w:val="000000"/>
                <w:kern w:val="0"/>
                <w:sz w:val="21"/>
                <w:szCs w:val="21"/>
                <w:lang w:val="en-US" w:eastAsia="zh-CN"/>
              </w:rPr>
              <w:t>3（不含）</w:t>
            </w:r>
            <w:r>
              <w:rPr>
                <w:rFonts w:hint="eastAsia" w:ascii="宋体" w:hAnsi="宋体" w:eastAsia="宋体" w:cs="宋体"/>
                <w:color w:val="000000"/>
                <w:kern w:val="0"/>
                <w:sz w:val="21"/>
                <w:szCs w:val="21"/>
                <w:lang w:val="en-US" w:eastAsia="zh-CN"/>
              </w:rPr>
              <w:t>分。</w:t>
            </w:r>
          </w:p>
          <w:p w14:paraId="07FA489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left"/>
              <w:textAlignment w:val="auto"/>
              <w:rPr>
                <w:rFonts w:hint="eastAsia" w:ascii="宋体" w:hAnsi="宋体" w:eastAsia="宋体" w:cs="Calibri"/>
                <w:kern w:val="2"/>
                <w:sz w:val="21"/>
                <w:szCs w:val="20"/>
                <w:lang w:val="zh-CN" w:eastAsia="zh-CN" w:bidi="ar-SA"/>
              </w:rPr>
            </w:pPr>
            <w:r>
              <w:rPr>
                <w:rFonts w:hint="eastAsia" w:ascii="宋体" w:hAnsi="宋体" w:eastAsia="宋体" w:cs="宋体"/>
                <w:color w:val="000000"/>
                <w:kern w:val="0"/>
                <w:sz w:val="21"/>
                <w:szCs w:val="21"/>
                <w:lang w:val="en-US" w:eastAsia="zh-CN"/>
              </w:rPr>
              <w:t>注：未提供不得分。</w:t>
            </w:r>
          </w:p>
        </w:tc>
        <w:tc>
          <w:tcPr>
            <w:tcW w:w="610" w:type="pct"/>
            <w:tcBorders>
              <w:top w:val="single" w:color="auto" w:sz="4" w:space="0"/>
              <w:left w:val="single" w:color="auto" w:sz="4" w:space="0"/>
              <w:bottom w:val="single" w:color="auto" w:sz="4" w:space="0"/>
              <w:right w:val="single" w:color="auto" w:sz="4" w:space="0"/>
            </w:tcBorders>
            <w:noWrap w:val="0"/>
            <w:vAlign w:val="center"/>
          </w:tcPr>
          <w:p w14:paraId="674885C5">
            <w:pPr>
              <w:keepNext w:val="0"/>
              <w:keepLines w:val="0"/>
              <w:widowControl/>
              <w:suppressLineNumbers w:val="0"/>
              <w:adjustRightInd w:val="0"/>
              <w:spacing w:before="0" w:beforeAutospacing="0" w:after="0" w:afterAutospacing="0" w:line="240" w:lineRule="auto"/>
              <w:ind w:left="0" w:leftChars="0" w:right="0" w:rightChars="0"/>
              <w:jc w:val="center"/>
              <w:textAlignment w:val="baseline"/>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7</w:t>
            </w:r>
          </w:p>
        </w:tc>
      </w:tr>
      <w:tr w14:paraId="0876BC9D">
        <w:tblPrEx>
          <w:tblCellMar>
            <w:top w:w="15" w:type="dxa"/>
            <w:left w:w="15" w:type="dxa"/>
            <w:bottom w:w="15" w:type="dxa"/>
            <w:right w:w="15" w:type="dxa"/>
          </w:tblCellMar>
        </w:tblPrEx>
        <w:trPr>
          <w:trHeight w:val="875" w:hRule="atLeast"/>
        </w:trPr>
        <w:tc>
          <w:tcPr>
            <w:tcW w:w="584" w:type="pct"/>
            <w:vMerge w:val="continue"/>
            <w:tcBorders>
              <w:top w:val="single" w:color="auto" w:sz="4" w:space="0"/>
              <w:left w:val="single" w:color="auto" w:sz="4" w:space="0"/>
              <w:bottom w:val="single" w:color="auto" w:sz="4" w:space="0"/>
              <w:right w:val="single" w:color="auto" w:sz="4" w:space="0"/>
            </w:tcBorders>
            <w:noWrap w:val="0"/>
            <w:vAlign w:val="center"/>
          </w:tcPr>
          <w:p w14:paraId="1EEAECD3">
            <w:pPr>
              <w:keepNext w:val="0"/>
              <w:keepLines w:val="0"/>
              <w:widowControl/>
              <w:suppressLineNumbers w:val="0"/>
              <w:adjustRightInd w:val="0"/>
              <w:spacing w:before="0" w:beforeAutospacing="0" w:after="0" w:afterAutospacing="0" w:line="240" w:lineRule="auto"/>
              <w:ind w:left="0" w:right="0"/>
              <w:jc w:val="center"/>
              <w:textAlignment w:val="center"/>
              <w:rPr>
                <w:rFonts w:hint="eastAsia" w:ascii="宋体" w:hAnsi="宋体" w:eastAsia="宋体" w:cs="宋体"/>
                <w:color w:val="auto"/>
                <w:kern w:val="0"/>
                <w:sz w:val="21"/>
                <w:szCs w:val="21"/>
                <w:highlight w:val="none"/>
                <w:lang w:bidi="ar"/>
              </w:rPr>
            </w:pPr>
          </w:p>
        </w:tc>
        <w:tc>
          <w:tcPr>
            <w:tcW w:w="559"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72A35A3E">
            <w:pPr>
              <w:keepNext w:val="0"/>
              <w:keepLines w:val="0"/>
              <w:widowControl/>
              <w:suppressLineNumbers w:val="0"/>
              <w:spacing w:before="0" w:beforeAutospacing="0" w:after="0" w:afterAutospacing="0" w:line="240" w:lineRule="auto"/>
              <w:ind w:left="0" w:leftChars="0" w:right="0" w:rightChars="0"/>
              <w:jc w:val="center"/>
              <w:rPr>
                <w:rFonts w:hint="eastAsia" w:ascii="宋体" w:hAnsi="宋体"/>
                <w:color w:val="auto"/>
                <w:szCs w:val="20"/>
                <w:highlight w:val="none"/>
              </w:rPr>
            </w:pPr>
            <w:r>
              <w:rPr>
                <w:rFonts w:hint="eastAsia" w:ascii="宋体" w:hAnsi="宋体"/>
                <w:color w:val="auto"/>
                <w:szCs w:val="20"/>
                <w:highlight w:val="none"/>
              </w:rPr>
              <w:t>应急预案及紧急情况处理方案</w:t>
            </w:r>
          </w:p>
          <w:p w14:paraId="23C7FEE0">
            <w:pPr>
              <w:keepNext w:val="0"/>
              <w:keepLines w:val="0"/>
              <w:widowControl/>
              <w:suppressLineNumbers w:val="0"/>
              <w:spacing w:before="0" w:beforeAutospacing="0" w:after="0" w:afterAutospacing="0" w:line="240" w:lineRule="auto"/>
              <w:ind w:left="0" w:leftChars="0" w:right="0" w:rightChars="0"/>
              <w:jc w:val="center"/>
              <w:rPr>
                <w:rFonts w:hint="eastAsia" w:ascii="宋体" w:hAnsi="宋体" w:eastAsia="宋体" w:cs="仿宋"/>
                <w:kern w:val="2"/>
                <w:sz w:val="21"/>
                <w:szCs w:val="21"/>
                <w:lang w:val="en-US" w:eastAsia="zh-CN" w:bidi="ar-SA"/>
              </w:rPr>
            </w:pPr>
            <w:r>
              <w:rPr>
                <w:rFonts w:hint="eastAsia" w:ascii="宋体" w:hAnsi="宋体"/>
                <w:color w:val="auto"/>
                <w:szCs w:val="20"/>
                <w:highlight w:val="none"/>
                <w:lang w:eastAsia="zh-CN"/>
              </w:rPr>
              <w:t>（</w:t>
            </w:r>
            <w:r>
              <w:rPr>
                <w:rFonts w:hint="eastAsia" w:ascii="宋体" w:hAnsi="宋体"/>
                <w:color w:val="auto"/>
                <w:szCs w:val="20"/>
                <w:highlight w:val="none"/>
                <w:lang w:val="en-US" w:eastAsia="zh-CN"/>
              </w:rPr>
              <w:t>5分</w:t>
            </w:r>
            <w:r>
              <w:rPr>
                <w:rFonts w:hint="eastAsia" w:ascii="宋体" w:hAnsi="宋体"/>
                <w:color w:val="auto"/>
                <w:szCs w:val="20"/>
                <w:highlight w:val="none"/>
                <w:lang w:eastAsia="zh-CN"/>
              </w:rPr>
              <w:t>）</w:t>
            </w:r>
          </w:p>
        </w:tc>
        <w:tc>
          <w:tcPr>
            <w:tcW w:w="324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4D537402">
            <w:pPr>
              <w:keepNext w:val="0"/>
              <w:keepLines w:val="0"/>
              <w:widowControl/>
              <w:suppressLineNumbers w:val="0"/>
              <w:spacing w:before="0" w:beforeAutospacing="0" w:after="0" w:afterAutospacing="0" w:line="240" w:lineRule="auto"/>
              <w:ind w:left="0" w:right="0"/>
              <w:textAlignment w:val="center"/>
              <w:rPr>
                <w:rFonts w:hint="default" w:ascii="宋体" w:hAnsi="宋体" w:eastAsia="宋体" w:cs="宋体"/>
                <w:kern w:val="2"/>
                <w:sz w:val="21"/>
                <w:szCs w:val="21"/>
                <w:highlight w:val="none"/>
                <w:lang w:val="en-US" w:eastAsia="zh-CN"/>
              </w:rPr>
            </w:pPr>
            <w:r>
              <w:rPr>
                <w:rFonts w:hint="eastAsia" w:ascii="宋体" w:hAnsi="宋体" w:eastAsia="宋体" w:cs="宋体"/>
                <w:color w:val="000000"/>
                <w:kern w:val="0"/>
                <w:sz w:val="21"/>
                <w:szCs w:val="21"/>
                <w:lang w:val="en-US" w:eastAsia="zh-CN"/>
              </w:rPr>
              <w:t>根据投标人制定的应急预案的</w:t>
            </w:r>
            <w:r>
              <w:rPr>
                <w:rFonts w:hint="eastAsia" w:ascii="宋体" w:hAnsi="宋体" w:eastAsia="宋体" w:cs="宋体"/>
                <w:kern w:val="2"/>
                <w:sz w:val="21"/>
                <w:szCs w:val="21"/>
                <w:highlight w:val="none"/>
                <w:lang w:val="en-US" w:eastAsia="zh-CN"/>
              </w:rPr>
              <w:t>规范制度，紧急情况时的处理办法，针对本项目提出切实可行的方案措施。</w:t>
            </w:r>
          </w:p>
          <w:p w14:paraId="6CA24894">
            <w:pPr>
              <w:keepNext w:val="0"/>
              <w:keepLines w:val="0"/>
              <w:widowControl/>
              <w:suppressLineNumbers w:val="0"/>
              <w:spacing w:before="0" w:beforeAutospacing="0" w:after="0" w:afterAutospacing="0" w:line="240" w:lineRule="auto"/>
              <w:ind w:left="0" w:right="0"/>
              <w:textAlignment w:val="center"/>
              <w:rPr>
                <w:rFonts w:hint="eastAsia" w:ascii="宋体" w:hAnsi="宋体" w:eastAsia="宋体" w:cs="宋体"/>
                <w:kern w:val="2"/>
                <w:sz w:val="21"/>
                <w:szCs w:val="21"/>
                <w:highlight w:val="none"/>
                <w:lang w:val="en-US" w:eastAsia="zh-CN"/>
              </w:rPr>
            </w:pPr>
            <w:r>
              <w:rPr>
                <w:rFonts w:hint="eastAsia" w:ascii="宋体" w:hAnsi="宋体" w:eastAsia="宋体" w:cs="宋体"/>
                <w:kern w:val="2"/>
                <w:sz w:val="21"/>
                <w:szCs w:val="21"/>
                <w:highlight w:val="none"/>
                <w:lang w:val="en-US" w:eastAsia="zh-CN"/>
              </w:rPr>
              <w:t>优（内容完整、符合建设要求）：</w:t>
            </w:r>
            <w:r>
              <w:rPr>
                <w:rFonts w:hint="eastAsia" w:ascii="宋体" w:hAnsi="宋体" w:eastAsia="宋体" w:cs="宋体"/>
                <w:color w:val="000000"/>
                <w:kern w:val="0"/>
                <w:sz w:val="21"/>
                <w:szCs w:val="21"/>
                <w:lang w:val="en-US" w:eastAsia="zh-CN"/>
              </w:rPr>
              <w:t>4</w:t>
            </w:r>
            <w:r>
              <w:rPr>
                <w:rFonts w:hint="eastAsia" w:ascii="宋体" w:hAnsi="宋体" w:cs="宋体"/>
                <w:color w:val="000000"/>
                <w:kern w:val="0"/>
                <w:sz w:val="21"/>
                <w:szCs w:val="21"/>
                <w:lang w:val="en-US" w:eastAsia="zh-CN"/>
              </w:rPr>
              <w:t>（含）</w:t>
            </w:r>
            <w:r>
              <w:rPr>
                <w:rFonts w:hint="eastAsia" w:ascii="宋体" w:hAnsi="宋体" w:eastAsia="宋体" w:cs="宋体"/>
                <w:color w:val="000000"/>
                <w:kern w:val="0"/>
                <w:sz w:val="21"/>
                <w:szCs w:val="21"/>
                <w:lang w:val="en-US" w:eastAsia="zh-CN"/>
              </w:rPr>
              <w:t>-5分；</w:t>
            </w:r>
          </w:p>
          <w:p w14:paraId="3E3BA2F9">
            <w:pPr>
              <w:keepNext w:val="0"/>
              <w:keepLines w:val="0"/>
              <w:widowControl/>
              <w:suppressLineNumbers w:val="0"/>
              <w:spacing w:before="0" w:beforeAutospacing="0" w:after="0" w:afterAutospacing="0" w:line="240" w:lineRule="auto"/>
              <w:ind w:left="0" w:right="0"/>
              <w:textAlignment w:val="center"/>
              <w:rPr>
                <w:rFonts w:hint="eastAsia" w:ascii="宋体" w:hAnsi="宋体" w:eastAsia="宋体" w:cs="宋体"/>
                <w:kern w:val="2"/>
                <w:sz w:val="21"/>
                <w:szCs w:val="21"/>
                <w:highlight w:val="none"/>
                <w:lang w:val="en-US" w:eastAsia="zh-CN"/>
              </w:rPr>
            </w:pPr>
            <w:r>
              <w:rPr>
                <w:rFonts w:hint="eastAsia" w:ascii="宋体" w:hAnsi="宋体" w:eastAsia="宋体" w:cs="宋体"/>
                <w:color w:val="000000"/>
                <w:kern w:val="0"/>
                <w:sz w:val="21"/>
                <w:szCs w:val="21"/>
                <w:lang w:val="en-US" w:eastAsia="zh-CN"/>
              </w:rPr>
              <w:t>良（</w:t>
            </w:r>
            <w:r>
              <w:rPr>
                <w:rFonts w:hint="eastAsia" w:ascii="宋体" w:hAnsi="宋体" w:eastAsia="宋体" w:cs="宋体"/>
                <w:kern w:val="2"/>
                <w:sz w:val="21"/>
                <w:szCs w:val="21"/>
                <w:highlight w:val="none"/>
                <w:lang w:val="en-US" w:eastAsia="zh-CN"/>
              </w:rPr>
              <w:t>内容基本完整、基本符合建设要求）：</w:t>
            </w:r>
            <w:r>
              <w:rPr>
                <w:rFonts w:hint="eastAsia" w:ascii="宋体" w:hAnsi="宋体" w:eastAsia="宋体" w:cs="宋体"/>
                <w:color w:val="000000"/>
                <w:kern w:val="0"/>
                <w:sz w:val="21"/>
                <w:szCs w:val="21"/>
                <w:lang w:val="en-US" w:eastAsia="zh-CN"/>
              </w:rPr>
              <w:t>2</w:t>
            </w:r>
            <w:r>
              <w:rPr>
                <w:rFonts w:hint="eastAsia" w:ascii="宋体" w:hAnsi="宋体" w:cs="宋体"/>
                <w:color w:val="000000"/>
                <w:kern w:val="0"/>
                <w:sz w:val="21"/>
                <w:szCs w:val="21"/>
                <w:lang w:val="en-US" w:eastAsia="zh-CN"/>
              </w:rPr>
              <w:t>（含）</w:t>
            </w:r>
            <w:r>
              <w:rPr>
                <w:rFonts w:hint="eastAsia" w:ascii="宋体" w:hAnsi="宋体" w:eastAsia="宋体" w:cs="宋体"/>
                <w:color w:val="000000"/>
                <w:kern w:val="0"/>
                <w:sz w:val="21"/>
                <w:szCs w:val="21"/>
                <w:lang w:val="en-US" w:eastAsia="zh-CN"/>
              </w:rPr>
              <w:t>-</w:t>
            </w:r>
            <w:r>
              <w:rPr>
                <w:rFonts w:hint="eastAsia" w:ascii="宋体" w:hAnsi="宋体" w:cs="宋体"/>
                <w:color w:val="000000"/>
                <w:kern w:val="0"/>
                <w:sz w:val="21"/>
                <w:szCs w:val="21"/>
                <w:lang w:val="en-US" w:eastAsia="zh-CN"/>
              </w:rPr>
              <w:t>4（不含）</w:t>
            </w:r>
            <w:r>
              <w:rPr>
                <w:rFonts w:hint="eastAsia" w:ascii="宋体" w:hAnsi="宋体" w:eastAsia="宋体" w:cs="宋体"/>
                <w:color w:val="000000"/>
                <w:kern w:val="0"/>
                <w:sz w:val="21"/>
                <w:szCs w:val="21"/>
                <w:lang w:val="en-US" w:eastAsia="zh-CN"/>
              </w:rPr>
              <w:t>分；</w:t>
            </w:r>
          </w:p>
          <w:p w14:paraId="0EE21296">
            <w:pPr>
              <w:keepNext w:val="0"/>
              <w:keepLines w:val="0"/>
              <w:widowControl/>
              <w:suppressLineNumbers w:val="0"/>
              <w:spacing w:before="0" w:beforeAutospacing="0" w:after="0" w:afterAutospacing="0" w:line="240" w:lineRule="auto"/>
              <w:ind w:left="0" w:leftChars="0" w:right="0" w:rightChars="0"/>
              <w:jc w:val="left"/>
              <w:rPr>
                <w:rFonts w:hint="eastAsia" w:ascii="宋体" w:hAnsi="宋体" w:eastAsia="宋体" w:cs="宋体"/>
                <w:kern w:val="2"/>
                <w:sz w:val="21"/>
                <w:szCs w:val="21"/>
                <w:highlight w:val="none"/>
                <w:lang w:val="en-US" w:eastAsia="zh-CN"/>
              </w:rPr>
            </w:pPr>
            <w:r>
              <w:rPr>
                <w:rFonts w:hint="eastAsia" w:ascii="宋体" w:hAnsi="宋体" w:eastAsia="宋体" w:cs="宋体"/>
                <w:color w:val="000000"/>
                <w:kern w:val="0"/>
                <w:sz w:val="21"/>
                <w:szCs w:val="21"/>
                <w:lang w:val="en-US" w:eastAsia="zh-CN"/>
              </w:rPr>
              <w:t>差（</w:t>
            </w:r>
            <w:r>
              <w:rPr>
                <w:rFonts w:hint="eastAsia" w:ascii="宋体" w:hAnsi="宋体" w:eastAsia="宋体" w:cs="宋体"/>
                <w:kern w:val="2"/>
                <w:sz w:val="21"/>
                <w:szCs w:val="21"/>
                <w:highlight w:val="none"/>
                <w:lang w:val="en-US" w:eastAsia="zh-CN"/>
              </w:rPr>
              <w:t>内容不够完整、欠符合建设要求）：0-</w:t>
            </w:r>
            <w:r>
              <w:rPr>
                <w:rFonts w:hint="eastAsia" w:ascii="宋体" w:hAnsi="宋体" w:cs="宋体"/>
                <w:kern w:val="2"/>
                <w:sz w:val="21"/>
                <w:szCs w:val="21"/>
                <w:highlight w:val="none"/>
                <w:lang w:val="en-US" w:eastAsia="zh-CN"/>
              </w:rPr>
              <w:t>2（不含）</w:t>
            </w:r>
            <w:r>
              <w:rPr>
                <w:rFonts w:hint="eastAsia" w:ascii="宋体" w:hAnsi="宋体" w:eastAsia="宋体" w:cs="宋体"/>
                <w:color w:val="000000"/>
                <w:kern w:val="0"/>
                <w:sz w:val="21"/>
                <w:szCs w:val="21"/>
                <w:lang w:val="en-US" w:eastAsia="zh-CN"/>
              </w:rPr>
              <w:t>分。</w:t>
            </w:r>
          </w:p>
          <w:p w14:paraId="7C3596A8">
            <w:pPr>
              <w:keepNext w:val="0"/>
              <w:keepLines w:val="0"/>
              <w:widowControl/>
              <w:suppressLineNumbers w:val="0"/>
              <w:spacing w:before="0" w:beforeAutospacing="0" w:after="0" w:afterAutospacing="0" w:line="240" w:lineRule="auto"/>
              <w:ind w:left="0" w:leftChars="0" w:right="0" w:rightChars="0"/>
              <w:jc w:val="left"/>
              <w:rPr>
                <w:rFonts w:hint="eastAsia" w:ascii="宋体" w:hAnsi="宋体" w:eastAsia="宋体" w:cs="Calibri"/>
                <w:kern w:val="2"/>
                <w:sz w:val="21"/>
                <w:szCs w:val="20"/>
                <w:lang w:val="en-US" w:eastAsia="zh-CN" w:bidi="ar-SA"/>
              </w:rPr>
            </w:pPr>
            <w:r>
              <w:rPr>
                <w:rFonts w:hint="eastAsia" w:ascii="宋体" w:hAnsi="宋体" w:eastAsia="宋体" w:cs="宋体"/>
                <w:color w:val="000000"/>
                <w:kern w:val="0"/>
                <w:sz w:val="21"/>
                <w:szCs w:val="21"/>
                <w:lang w:val="en-US" w:eastAsia="zh-CN"/>
              </w:rPr>
              <w:t>注：未提供不得分。</w:t>
            </w:r>
          </w:p>
        </w:tc>
        <w:tc>
          <w:tcPr>
            <w:tcW w:w="610" w:type="pct"/>
            <w:tcBorders>
              <w:top w:val="single" w:color="auto" w:sz="4" w:space="0"/>
              <w:left w:val="single" w:color="auto" w:sz="4" w:space="0"/>
              <w:bottom w:val="single" w:color="auto" w:sz="4" w:space="0"/>
              <w:right w:val="single" w:color="auto" w:sz="4" w:space="0"/>
            </w:tcBorders>
            <w:noWrap w:val="0"/>
            <w:vAlign w:val="center"/>
          </w:tcPr>
          <w:p w14:paraId="4878619A">
            <w:pPr>
              <w:keepNext w:val="0"/>
              <w:keepLines w:val="0"/>
              <w:widowControl/>
              <w:suppressLineNumbers w:val="0"/>
              <w:adjustRightInd w:val="0"/>
              <w:spacing w:before="0" w:beforeAutospacing="0" w:after="0" w:afterAutospacing="0" w:line="240" w:lineRule="auto"/>
              <w:ind w:left="0" w:leftChars="0" w:right="0" w:rightChars="0"/>
              <w:jc w:val="center"/>
              <w:textAlignment w:val="baseline"/>
              <w:rPr>
                <w:rFonts w:hint="default" w:ascii="宋体" w:hAnsi="宋体" w:eastAsia="宋体" w:cs="宋体"/>
                <w:color w:val="auto"/>
                <w:kern w:val="0"/>
                <w:sz w:val="21"/>
                <w:szCs w:val="21"/>
                <w:highlight w:val="none"/>
                <w:lang w:val="en-US" w:eastAsia="zh-CN"/>
              </w:rPr>
            </w:pPr>
            <w:r>
              <w:rPr>
                <w:rFonts w:hint="eastAsia" w:ascii="宋体" w:hAnsi="宋体" w:cs="宋体"/>
                <w:color w:val="auto"/>
                <w:kern w:val="0"/>
                <w:sz w:val="21"/>
                <w:szCs w:val="21"/>
                <w:highlight w:val="none"/>
                <w:lang w:val="en-US" w:eastAsia="zh-CN"/>
              </w:rPr>
              <w:t>5</w:t>
            </w:r>
          </w:p>
        </w:tc>
      </w:tr>
      <w:tr w14:paraId="4FCAD0CE">
        <w:tblPrEx>
          <w:tblCellMar>
            <w:top w:w="15" w:type="dxa"/>
            <w:left w:w="15" w:type="dxa"/>
            <w:bottom w:w="15" w:type="dxa"/>
            <w:right w:w="15" w:type="dxa"/>
          </w:tblCellMar>
        </w:tblPrEx>
        <w:trPr>
          <w:trHeight w:val="875" w:hRule="atLeast"/>
        </w:trPr>
        <w:tc>
          <w:tcPr>
            <w:tcW w:w="584" w:type="pct"/>
            <w:vMerge w:val="continue"/>
            <w:tcBorders>
              <w:top w:val="single" w:color="auto" w:sz="4" w:space="0"/>
              <w:left w:val="single" w:color="auto" w:sz="4" w:space="0"/>
              <w:bottom w:val="single" w:color="auto" w:sz="4" w:space="0"/>
              <w:right w:val="single" w:color="auto" w:sz="4" w:space="0"/>
            </w:tcBorders>
            <w:noWrap w:val="0"/>
            <w:vAlign w:val="center"/>
          </w:tcPr>
          <w:p w14:paraId="10EB734F">
            <w:pPr>
              <w:keepNext w:val="0"/>
              <w:keepLines w:val="0"/>
              <w:widowControl/>
              <w:suppressLineNumbers w:val="0"/>
              <w:adjustRightInd w:val="0"/>
              <w:spacing w:before="0" w:beforeAutospacing="0" w:after="0" w:afterAutospacing="0" w:line="240" w:lineRule="auto"/>
              <w:ind w:left="0" w:right="0"/>
              <w:jc w:val="center"/>
              <w:textAlignment w:val="center"/>
              <w:rPr>
                <w:rFonts w:hint="eastAsia" w:ascii="宋体" w:hAnsi="宋体" w:eastAsia="宋体" w:cs="宋体"/>
                <w:color w:val="auto"/>
                <w:kern w:val="0"/>
                <w:sz w:val="21"/>
                <w:szCs w:val="21"/>
                <w:highlight w:val="none"/>
                <w:lang w:bidi="ar"/>
              </w:rPr>
            </w:pPr>
          </w:p>
        </w:tc>
        <w:tc>
          <w:tcPr>
            <w:tcW w:w="559"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7C853105">
            <w:pPr>
              <w:keepNext w:val="0"/>
              <w:keepLines w:val="0"/>
              <w:widowControl/>
              <w:suppressLineNumbers w:val="0"/>
              <w:spacing w:before="0" w:beforeAutospacing="0" w:after="0" w:afterAutospacing="0" w:line="240" w:lineRule="auto"/>
              <w:ind w:left="0" w:leftChars="0" w:right="0" w:rightChars="0"/>
              <w:jc w:val="center"/>
              <w:rPr>
                <w:rFonts w:hint="eastAsia" w:ascii="宋体" w:hAnsi="宋体" w:eastAsia="宋体" w:cs="仿宋"/>
                <w:kern w:val="2"/>
                <w:sz w:val="21"/>
                <w:szCs w:val="21"/>
                <w:lang w:val="en-US" w:eastAsia="zh-CN" w:bidi="ar-SA"/>
              </w:rPr>
            </w:pPr>
            <w:r>
              <w:rPr>
                <w:rFonts w:hint="eastAsia" w:ascii="宋体" w:hAnsi="宋体" w:cs="宋体"/>
                <w:szCs w:val="20"/>
              </w:rPr>
              <w:t>成品保护及现场管理措施</w:t>
            </w:r>
            <w:r>
              <w:rPr>
                <w:rFonts w:hint="eastAsia" w:ascii="宋体" w:hAnsi="宋体"/>
                <w:color w:val="auto"/>
                <w:szCs w:val="20"/>
                <w:highlight w:val="none"/>
                <w:lang w:eastAsia="zh-CN"/>
              </w:rPr>
              <w:t>（</w:t>
            </w:r>
            <w:r>
              <w:rPr>
                <w:rFonts w:hint="eastAsia" w:ascii="宋体" w:hAnsi="宋体"/>
                <w:color w:val="auto"/>
                <w:szCs w:val="20"/>
                <w:highlight w:val="none"/>
                <w:lang w:val="en-US" w:eastAsia="zh-CN"/>
              </w:rPr>
              <w:t>5分</w:t>
            </w:r>
            <w:r>
              <w:rPr>
                <w:rFonts w:hint="eastAsia" w:ascii="宋体" w:hAnsi="宋体"/>
                <w:color w:val="auto"/>
                <w:szCs w:val="20"/>
                <w:highlight w:val="none"/>
                <w:lang w:eastAsia="zh-CN"/>
              </w:rPr>
              <w:t>）</w:t>
            </w:r>
          </w:p>
        </w:tc>
        <w:tc>
          <w:tcPr>
            <w:tcW w:w="324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200E264E">
            <w:pPr>
              <w:keepNext w:val="0"/>
              <w:keepLines w:val="0"/>
              <w:widowControl/>
              <w:suppressLineNumbers w:val="0"/>
              <w:spacing w:before="0" w:beforeAutospacing="0" w:after="0" w:afterAutospacing="0" w:line="240" w:lineRule="auto"/>
              <w:ind w:left="0" w:leftChars="0" w:right="0" w:rightChars="0"/>
              <w:jc w:val="left"/>
              <w:rPr>
                <w:rFonts w:hint="eastAsia" w:ascii="宋体" w:hAnsi="宋体" w:eastAsia="宋体" w:cs="Calibri"/>
                <w:kern w:val="2"/>
                <w:sz w:val="21"/>
                <w:szCs w:val="20"/>
                <w:lang w:val="en-US" w:eastAsia="zh-CN" w:bidi="ar-SA"/>
              </w:rPr>
            </w:pPr>
            <w:r>
              <w:rPr>
                <w:rFonts w:hint="eastAsia" w:ascii="宋体" w:hAnsi="宋体" w:cs="宋体"/>
                <w:szCs w:val="20"/>
              </w:rPr>
              <w:t>成品保护及现场管理措施制度健全、措施完善得</w:t>
            </w:r>
            <w:r>
              <w:rPr>
                <w:rFonts w:hint="eastAsia" w:ascii="宋体" w:hAnsi="宋体" w:eastAsia="宋体" w:cs="宋体"/>
                <w:color w:val="000000"/>
                <w:kern w:val="0"/>
                <w:sz w:val="21"/>
                <w:szCs w:val="21"/>
                <w:lang w:val="en-US" w:eastAsia="zh-CN"/>
              </w:rPr>
              <w:t>4</w:t>
            </w:r>
            <w:r>
              <w:rPr>
                <w:rFonts w:hint="eastAsia" w:ascii="宋体" w:hAnsi="宋体" w:cs="宋体"/>
                <w:color w:val="000000"/>
                <w:kern w:val="0"/>
                <w:sz w:val="21"/>
                <w:szCs w:val="21"/>
                <w:lang w:val="en-US" w:eastAsia="zh-CN"/>
              </w:rPr>
              <w:t>（含）</w:t>
            </w:r>
            <w:r>
              <w:rPr>
                <w:rFonts w:hint="eastAsia" w:ascii="宋体" w:hAnsi="宋体" w:eastAsia="宋体" w:cs="宋体"/>
                <w:color w:val="000000"/>
                <w:kern w:val="0"/>
                <w:sz w:val="21"/>
                <w:szCs w:val="21"/>
                <w:lang w:val="en-US" w:eastAsia="zh-CN"/>
              </w:rPr>
              <w:t>-5</w:t>
            </w:r>
            <w:r>
              <w:rPr>
                <w:rFonts w:hint="eastAsia" w:ascii="宋体" w:hAnsi="宋体" w:cs="宋体"/>
                <w:szCs w:val="20"/>
              </w:rPr>
              <w:t>分，基本健全得</w:t>
            </w:r>
            <w:r>
              <w:rPr>
                <w:rFonts w:hint="eastAsia" w:ascii="宋体" w:hAnsi="宋体" w:cs="宋体"/>
                <w:szCs w:val="20"/>
                <w:lang w:val="en-US" w:eastAsia="zh-CN"/>
              </w:rPr>
              <w:t>2（含）-4</w:t>
            </w:r>
            <w:r>
              <w:rPr>
                <w:rFonts w:hint="eastAsia" w:ascii="宋体" w:hAnsi="宋体" w:cs="宋体"/>
                <w:szCs w:val="20"/>
              </w:rPr>
              <w:t>分</w:t>
            </w:r>
            <w:r>
              <w:rPr>
                <w:rFonts w:hint="eastAsia" w:ascii="宋体" w:hAnsi="宋体" w:cs="宋体"/>
                <w:szCs w:val="20"/>
                <w:lang w:eastAsia="zh-CN"/>
              </w:rPr>
              <w:t>（</w:t>
            </w:r>
            <w:r>
              <w:rPr>
                <w:rFonts w:hint="eastAsia" w:ascii="宋体" w:hAnsi="宋体" w:cs="宋体"/>
                <w:szCs w:val="20"/>
                <w:lang w:val="en-US" w:eastAsia="zh-CN"/>
              </w:rPr>
              <w:t>不含</w:t>
            </w:r>
            <w:r>
              <w:rPr>
                <w:rFonts w:hint="eastAsia" w:ascii="宋体" w:hAnsi="宋体" w:cs="宋体"/>
                <w:szCs w:val="20"/>
                <w:lang w:eastAsia="zh-CN"/>
              </w:rPr>
              <w:t>）</w:t>
            </w:r>
            <w:r>
              <w:rPr>
                <w:rFonts w:hint="eastAsia" w:ascii="宋体" w:hAnsi="宋体" w:cs="宋体"/>
                <w:szCs w:val="20"/>
              </w:rPr>
              <w:t>，不够完善得</w:t>
            </w:r>
            <w:r>
              <w:rPr>
                <w:rFonts w:hint="eastAsia" w:ascii="宋体" w:hAnsi="宋体" w:cs="宋体"/>
                <w:szCs w:val="20"/>
                <w:lang w:val="en-US" w:eastAsia="zh-CN"/>
              </w:rPr>
              <w:t>0-2（不含）</w:t>
            </w:r>
            <w:r>
              <w:rPr>
                <w:rFonts w:hint="eastAsia" w:ascii="宋体" w:hAnsi="宋体" w:cs="宋体"/>
                <w:szCs w:val="20"/>
              </w:rPr>
              <w:t>分。</w:t>
            </w:r>
          </w:p>
        </w:tc>
        <w:tc>
          <w:tcPr>
            <w:tcW w:w="610" w:type="pct"/>
            <w:tcBorders>
              <w:top w:val="single" w:color="auto" w:sz="4" w:space="0"/>
              <w:left w:val="single" w:color="auto" w:sz="4" w:space="0"/>
              <w:bottom w:val="single" w:color="auto" w:sz="4" w:space="0"/>
              <w:right w:val="single" w:color="auto" w:sz="4" w:space="0"/>
            </w:tcBorders>
            <w:noWrap w:val="0"/>
            <w:vAlign w:val="center"/>
          </w:tcPr>
          <w:p w14:paraId="48D8672C">
            <w:pPr>
              <w:keepNext w:val="0"/>
              <w:keepLines w:val="0"/>
              <w:widowControl/>
              <w:suppressLineNumbers w:val="0"/>
              <w:adjustRightInd w:val="0"/>
              <w:spacing w:before="0" w:beforeAutospacing="0" w:after="0" w:afterAutospacing="0" w:line="240" w:lineRule="auto"/>
              <w:ind w:left="0" w:leftChars="0" w:right="0" w:rightChars="0"/>
              <w:jc w:val="center"/>
              <w:textAlignment w:val="baseline"/>
              <w:rPr>
                <w:rFonts w:hint="default" w:ascii="宋体" w:hAnsi="宋体" w:cs="宋体"/>
                <w:color w:val="auto"/>
                <w:kern w:val="0"/>
                <w:sz w:val="21"/>
                <w:szCs w:val="21"/>
                <w:highlight w:val="none"/>
                <w:lang w:val="en-US" w:eastAsia="zh-CN"/>
              </w:rPr>
            </w:pPr>
            <w:r>
              <w:rPr>
                <w:rFonts w:hint="eastAsia" w:ascii="宋体" w:hAnsi="宋体" w:cs="宋体"/>
                <w:color w:val="auto"/>
                <w:kern w:val="0"/>
                <w:sz w:val="21"/>
                <w:szCs w:val="21"/>
                <w:highlight w:val="none"/>
                <w:lang w:val="en-US" w:eastAsia="zh-CN"/>
              </w:rPr>
              <w:t>5</w:t>
            </w:r>
          </w:p>
        </w:tc>
      </w:tr>
      <w:tr w14:paraId="744C4112">
        <w:tblPrEx>
          <w:tblCellMar>
            <w:top w:w="15" w:type="dxa"/>
            <w:left w:w="15" w:type="dxa"/>
            <w:bottom w:w="15" w:type="dxa"/>
            <w:right w:w="15" w:type="dxa"/>
          </w:tblCellMar>
        </w:tblPrEx>
        <w:trPr>
          <w:trHeight w:val="238" w:hRule="atLeast"/>
        </w:trPr>
        <w:tc>
          <w:tcPr>
            <w:tcW w:w="4389" w:type="pct"/>
            <w:gridSpan w:val="3"/>
            <w:tcBorders>
              <w:top w:val="single" w:color="auto" w:sz="4" w:space="0"/>
              <w:left w:val="single" w:color="auto" w:sz="4" w:space="0"/>
              <w:bottom w:val="single" w:color="auto" w:sz="4" w:space="0"/>
              <w:right w:val="single" w:color="auto" w:sz="4" w:space="0"/>
            </w:tcBorders>
            <w:noWrap w:val="0"/>
            <w:vAlign w:val="center"/>
          </w:tcPr>
          <w:p w14:paraId="3A1650EE">
            <w:pPr>
              <w:keepNext w:val="0"/>
              <w:keepLines w:val="0"/>
              <w:widowControl/>
              <w:suppressLineNumbers w:val="0"/>
              <w:adjustRightInd w:val="0"/>
              <w:snapToGrid w:val="0"/>
              <w:spacing w:before="0" w:beforeAutospacing="0" w:after="0" w:afterAutospacing="0" w:line="240" w:lineRule="auto"/>
              <w:ind w:left="0" w:right="0"/>
              <w:jc w:val="center"/>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总分合计</w:t>
            </w:r>
          </w:p>
        </w:tc>
        <w:tc>
          <w:tcPr>
            <w:tcW w:w="610" w:type="pct"/>
            <w:tcBorders>
              <w:top w:val="single" w:color="auto" w:sz="4" w:space="0"/>
              <w:left w:val="single" w:color="auto" w:sz="4" w:space="0"/>
              <w:bottom w:val="single" w:color="auto" w:sz="4" w:space="0"/>
              <w:right w:val="single" w:color="auto" w:sz="4" w:space="0"/>
            </w:tcBorders>
            <w:noWrap w:val="0"/>
            <w:vAlign w:val="center"/>
          </w:tcPr>
          <w:p w14:paraId="11173DBD">
            <w:pPr>
              <w:keepNext w:val="0"/>
              <w:keepLines w:val="0"/>
              <w:widowControl/>
              <w:suppressLineNumbers w:val="0"/>
              <w:adjustRightInd w:val="0"/>
              <w:snapToGrid w:val="0"/>
              <w:spacing w:before="0" w:beforeAutospacing="0" w:after="0" w:afterAutospacing="0" w:line="240" w:lineRule="auto"/>
              <w:ind w:left="0" w:right="0"/>
              <w:jc w:val="center"/>
              <w:textAlignment w:val="baseline"/>
              <w:rPr>
                <w:rFonts w:hint="default"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100</w:t>
            </w:r>
          </w:p>
        </w:tc>
      </w:tr>
    </w:tbl>
    <w:p w14:paraId="5ACA4B45">
      <w:pPr>
        <w:pStyle w:val="10"/>
        <w:ind w:firstLine="0"/>
        <w:rPr>
          <w:rFonts w:hint="eastAsia" w:ascii="宋体" w:hAnsi="宋体" w:eastAsia="宋体" w:cs="宋体"/>
          <w:b/>
          <w:color w:val="000000"/>
          <w:highlight w:val="none"/>
        </w:rPr>
        <w:sectPr>
          <w:pgSz w:w="11906" w:h="16838"/>
          <w:pgMar w:top="1417" w:right="1134" w:bottom="1134" w:left="1134" w:header="851" w:footer="992" w:gutter="0"/>
          <w:cols w:space="720" w:num="1"/>
          <w:titlePg/>
          <w:docGrid w:type="lines" w:linePitch="312" w:charSpace="0"/>
        </w:sectPr>
      </w:pPr>
    </w:p>
    <w:p w14:paraId="2491933A">
      <w:pPr>
        <w:pStyle w:val="3"/>
        <w:rPr>
          <w:rFonts w:hint="eastAsia" w:ascii="宋体" w:hAnsi="宋体" w:eastAsia="宋体" w:cs="宋体"/>
          <w:color w:val="000000"/>
          <w:szCs w:val="24"/>
          <w:highlight w:val="none"/>
        </w:rPr>
      </w:pPr>
      <w:bookmarkStart w:id="619" w:name="_Toc65682984"/>
      <w:bookmarkStart w:id="620" w:name="_Toc18545"/>
      <w:bookmarkStart w:id="621" w:name="_Toc109124309"/>
      <w:bookmarkStart w:id="622" w:name="_Toc10094"/>
      <w:r>
        <w:rPr>
          <w:rFonts w:hint="eastAsia" w:ascii="宋体" w:hAnsi="宋体" w:eastAsia="宋体" w:cs="宋体"/>
          <w:color w:val="000000"/>
          <w:szCs w:val="24"/>
          <w:highlight w:val="none"/>
        </w:rPr>
        <w:t>一、评标方法</w:t>
      </w:r>
      <w:bookmarkEnd w:id="619"/>
      <w:bookmarkEnd w:id="620"/>
      <w:bookmarkEnd w:id="621"/>
      <w:bookmarkEnd w:id="622"/>
    </w:p>
    <w:p w14:paraId="4BEBA677">
      <w:pPr>
        <w:spacing w:line="360" w:lineRule="auto"/>
        <w:ind w:firstLine="480" w:firstLineChars="200"/>
        <w:textAlignment w:val="baseline"/>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本招标项目评标采用综合评分法。评标委员会对满足招标文件实质性要求的投标文件，按照本章第2.2款规定的评审因素和评审标准进行评分，并按照综合得分由高到低的顺序推荐中标候选人，或者根据招标人授权直接确定中标人，但投标报价低于成本的除外。</w:t>
      </w:r>
    </w:p>
    <w:p w14:paraId="46B3960B">
      <w:pPr>
        <w:pStyle w:val="3"/>
        <w:rPr>
          <w:rFonts w:hint="eastAsia" w:ascii="宋体" w:hAnsi="宋体" w:eastAsia="宋体" w:cs="宋体"/>
          <w:color w:val="000000"/>
          <w:szCs w:val="24"/>
          <w:highlight w:val="none"/>
        </w:rPr>
      </w:pPr>
      <w:bookmarkStart w:id="623" w:name="_Toc11746"/>
      <w:bookmarkStart w:id="624" w:name="_Toc65682985"/>
      <w:bookmarkStart w:id="625" w:name="_Toc16842"/>
      <w:bookmarkStart w:id="626" w:name="_Toc109124310"/>
      <w:r>
        <w:rPr>
          <w:rFonts w:hint="eastAsia" w:ascii="宋体" w:hAnsi="宋体" w:eastAsia="宋体" w:cs="宋体"/>
          <w:color w:val="000000"/>
          <w:szCs w:val="24"/>
          <w:highlight w:val="none"/>
        </w:rPr>
        <w:t>二、评审标准</w:t>
      </w:r>
      <w:bookmarkEnd w:id="623"/>
      <w:bookmarkEnd w:id="624"/>
      <w:bookmarkEnd w:id="625"/>
      <w:bookmarkEnd w:id="626"/>
    </w:p>
    <w:p w14:paraId="12AA4C26">
      <w:pPr>
        <w:spacing w:line="360" w:lineRule="auto"/>
        <w:ind w:firstLine="480" w:firstLineChars="200"/>
        <w:rPr>
          <w:rFonts w:hint="eastAsia" w:ascii="宋体" w:hAnsi="宋体" w:eastAsia="宋体" w:cs="宋体"/>
          <w:color w:val="000000"/>
          <w:sz w:val="24"/>
          <w:szCs w:val="24"/>
          <w:highlight w:val="none"/>
        </w:rPr>
      </w:pPr>
      <w:bookmarkStart w:id="627" w:name="_Toc65682986"/>
      <w:bookmarkStart w:id="628" w:name="_Toc11677"/>
      <w:r>
        <w:rPr>
          <w:rFonts w:hint="eastAsia" w:ascii="宋体" w:hAnsi="宋体" w:eastAsia="宋体" w:cs="宋体"/>
          <w:color w:val="000000"/>
          <w:sz w:val="24"/>
          <w:szCs w:val="24"/>
          <w:highlight w:val="none"/>
        </w:rPr>
        <w:t>2.1 初步评审标准：见评标办法前附表。</w:t>
      </w:r>
    </w:p>
    <w:p w14:paraId="22C57419">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2.2 详细评审标准：见评标办法前附表。</w:t>
      </w:r>
    </w:p>
    <w:p w14:paraId="0095EE73">
      <w:pPr>
        <w:pStyle w:val="3"/>
        <w:rPr>
          <w:rFonts w:hint="eastAsia" w:ascii="宋体" w:hAnsi="宋体" w:eastAsia="宋体" w:cs="宋体"/>
          <w:color w:val="000000"/>
          <w:szCs w:val="24"/>
          <w:highlight w:val="none"/>
        </w:rPr>
      </w:pPr>
      <w:bookmarkStart w:id="629" w:name="_Toc9642"/>
      <w:bookmarkStart w:id="630" w:name="_Toc109124311"/>
      <w:r>
        <w:rPr>
          <w:rFonts w:hint="eastAsia" w:ascii="宋体" w:hAnsi="宋体" w:eastAsia="宋体" w:cs="宋体"/>
          <w:color w:val="000000"/>
          <w:szCs w:val="24"/>
          <w:highlight w:val="none"/>
        </w:rPr>
        <w:t>三、评标程序</w:t>
      </w:r>
      <w:bookmarkEnd w:id="627"/>
      <w:bookmarkEnd w:id="628"/>
      <w:bookmarkEnd w:id="629"/>
      <w:bookmarkEnd w:id="630"/>
    </w:p>
    <w:p w14:paraId="59DD62E2">
      <w:pPr>
        <w:pStyle w:val="4"/>
        <w:bidi w:val="0"/>
        <w:rPr>
          <w:rFonts w:hint="eastAsia" w:ascii="宋体" w:hAnsi="宋体" w:eastAsia="宋体" w:cs="宋体"/>
        </w:rPr>
      </w:pPr>
      <w:bookmarkStart w:id="631" w:name="_Toc31325"/>
      <w:r>
        <w:rPr>
          <w:rFonts w:hint="eastAsia" w:ascii="宋体" w:hAnsi="宋体" w:eastAsia="宋体" w:cs="宋体"/>
        </w:rPr>
        <w:t>3.1初步评审</w:t>
      </w:r>
      <w:bookmarkEnd w:id="631"/>
    </w:p>
    <w:p w14:paraId="5CC6AE3E">
      <w:pPr>
        <w:widowControl/>
        <w:topLinePunct/>
        <w:spacing w:line="360" w:lineRule="auto"/>
        <w:ind w:firstLine="480" w:firstLineChars="200"/>
        <w:rPr>
          <w:rFonts w:hint="eastAsia" w:ascii="宋体" w:hAnsi="宋体" w:eastAsia="宋体" w:cs="宋体"/>
          <w:b/>
          <w:bCs/>
          <w:color w:val="000000"/>
          <w:kern w:val="0"/>
          <w:sz w:val="24"/>
          <w:szCs w:val="24"/>
          <w:highlight w:val="none"/>
        </w:rPr>
      </w:pPr>
      <w:r>
        <w:rPr>
          <w:rFonts w:hint="eastAsia" w:ascii="宋体" w:hAnsi="宋体" w:eastAsia="宋体" w:cs="宋体"/>
          <w:color w:val="000000"/>
          <w:kern w:val="0"/>
          <w:sz w:val="24"/>
          <w:szCs w:val="24"/>
          <w:highlight w:val="none"/>
        </w:rPr>
        <w:t>3.1.1评标委员会根据本章第2.1条规定的标准对投标文件进行初步评审。有一项不符合初步评审标准的，</w:t>
      </w:r>
      <w:r>
        <w:rPr>
          <w:rFonts w:hint="eastAsia" w:ascii="宋体" w:hAnsi="宋体" w:eastAsia="宋体" w:cs="宋体"/>
          <w:b/>
          <w:bCs/>
          <w:color w:val="000000"/>
          <w:kern w:val="0"/>
          <w:sz w:val="24"/>
          <w:szCs w:val="24"/>
          <w:highlight w:val="none"/>
        </w:rPr>
        <w:t xml:space="preserve">评标委员会应当否决其投标。 </w:t>
      </w:r>
    </w:p>
    <w:p w14:paraId="08B4B850">
      <w:pPr>
        <w:widowControl/>
        <w:topLinePunct/>
        <w:spacing w:line="360" w:lineRule="auto"/>
        <w:ind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3.1.2投标人有以下情形之一的，</w:t>
      </w:r>
      <w:r>
        <w:rPr>
          <w:rFonts w:hint="eastAsia" w:ascii="宋体" w:hAnsi="宋体" w:eastAsia="宋体" w:cs="宋体"/>
          <w:b/>
          <w:bCs/>
          <w:color w:val="000000"/>
          <w:kern w:val="0"/>
          <w:sz w:val="24"/>
          <w:szCs w:val="24"/>
          <w:highlight w:val="none"/>
        </w:rPr>
        <w:t>评标委员会应当否决其投标</w:t>
      </w:r>
      <w:r>
        <w:rPr>
          <w:rFonts w:hint="eastAsia" w:ascii="宋体" w:hAnsi="宋体" w:eastAsia="宋体" w:cs="宋体"/>
          <w:color w:val="000000"/>
          <w:kern w:val="0"/>
          <w:sz w:val="24"/>
          <w:szCs w:val="24"/>
          <w:highlight w:val="none"/>
        </w:rPr>
        <w:t>：</w:t>
      </w:r>
    </w:p>
    <w:p w14:paraId="60C657BB">
      <w:pPr>
        <w:widowControl/>
        <w:topLinePunct/>
        <w:spacing w:line="360" w:lineRule="auto"/>
        <w:ind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w:t>
      </w:r>
      <w:r>
        <w:rPr>
          <w:rFonts w:hint="eastAsia" w:ascii="宋体" w:hAnsi="宋体" w:eastAsia="宋体" w:cs="宋体"/>
          <w:color w:val="000000"/>
          <w:kern w:val="0"/>
          <w:sz w:val="24"/>
          <w:szCs w:val="24"/>
          <w:highlight w:val="none"/>
          <w:lang w:val="en-US" w:eastAsia="zh-CN"/>
        </w:rPr>
        <w:t>1</w:t>
      </w:r>
      <w:r>
        <w:rPr>
          <w:rFonts w:hint="eastAsia" w:ascii="宋体" w:hAnsi="宋体" w:eastAsia="宋体" w:cs="宋体"/>
          <w:color w:val="000000"/>
          <w:kern w:val="0"/>
          <w:sz w:val="24"/>
          <w:szCs w:val="24"/>
          <w:highlight w:val="none"/>
        </w:rPr>
        <w:t>）投标文件未经投标单位盖章或单位负责人签字；</w:t>
      </w:r>
    </w:p>
    <w:p w14:paraId="014A3D44">
      <w:pPr>
        <w:widowControl/>
        <w:topLinePunct/>
        <w:spacing w:line="360" w:lineRule="auto"/>
        <w:ind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w:t>
      </w:r>
      <w:r>
        <w:rPr>
          <w:rFonts w:hint="eastAsia" w:ascii="宋体" w:hAnsi="宋体" w:eastAsia="宋体" w:cs="宋体"/>
          <w:color w:val="000000"/>
          <w:kern w:val="0"/>
          <w:sz w:val="24"/>
          <w:szCs w:val="24"/>
          <w:highlight w:val="none"/>
          <w:lang w:val="en-US" w:eastAsia="zh-CN"/>
        </w:rPr>
        <w:t>2</w:t>
      </w:r>
      <w:r>
        <w:rPr>
          <w:rFonts w:hint="eastAsia" w:ascii="宋体" w:hAnsi="宋体" w:eastAsia="宋体" w:cs="宋体"/>
          <w:color w:val="000000"/>
          <w:kern w:val="0"/>
          <w:sz w:val="24"/>
          <w:szCs w:val="24"/>
          <w:highlight w:val="none"/>
        </w:rPr>
        <w:t>）允许联合体投标的，投标联合体没有递交共同投标协议；</w:t>
      </w:r>
    </w:p>
    <w:p w14:paraId="5048E027">
      <w:pPr>
        <w:widowControl/>
        <w:topLinePunct/>
        <w:spacing w:line="360" w:lineRule="auto"/>
        <w:ind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w:t>
      </w:r>
      <w:r>
        <w:rPr>
          <w:rFonts w:hint="eastAsia" w:ascii="宋体" w:hAnsi="宋体" w:eastAsia="宋体" w:cs="宋体"/>
          <w:color w:val="000000"/>
          <w:kern w:val="0"/>
          <w:sz w:val="24"/>
          <w:szCs w:val="24"/>
          <w:highlight w:val="none"/>
          <w:lang w:val="en-US" w:eastAsia="zh-CN"/>
        </w:rPr>
        <w:t>3</w:t>
      </w:r>
      <w:r>
        <w:rPr>
          <w:rFonts w:hint="eastAsia" w:ascii="宋体" w:hAnsi="宋体" w:eastAsia="宋体" w:cs="宋体"/>
          <w:color w:val="000000"/>
          <w:kern w:val="0"/>
          <w:sz w:val="24"/>
          <w:szCs w:val="24"/>
          <w:highlight w:val="none"/>
        </w:rPr>
        <w:t>）投标人不符合国家或者招标文件规定的资格条件；</w:t>
      </w:r>
    </w:p>
    <w:p w14:paraId="01C67CC6">
      <w:pPr>
        <w:widowControl/>
        <w:topLinePunct/>
        <w:spacing w:line="360" w:lineRule="auto"/>
        <w:ind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w:t>
      </w:r>
      <w:r>
        <w:rPr>
          <w:rFonts w:hint="eastAsia" w:ascii="宋体" w:hAnsi="宋体" w:eastAsia="宋体" w:cs="宋体"/>
          <w:color w:val="000000"/>
          <w:kern w:val="0"/>
          <w:sz w:val="24"/>
          <w:szCs w:val="24"/>
          <w:highlight w:val="none"/>
          <w:lang w:val="en-US" w:eastAsia="zh-CN"/>
        </w:rPr>
        <w:t>4</w:t>
      </w:r>
      <w:r>
        <w:rPr>
          <w:rFonts w:hint="eastAsia" w:ascii="宋体" w:hAnsi="宋体" w:eastAsia="宋体" w:cs="宋体"/>
          <w:color w:val="000000"/>
          <w:kern w:val="0"/>
          <w:sz w:val="24"/>
          <w:szCs w:val="24"/>
          <w:highlight w:val="none"/>
        </w:rPr>
        <w:t>）同一投标人提交两个以上不同的投标文件或者投标报价，但招标文件要求提交备选投标的除外；</w:t>
      </w:r>
    </w:p>
    <w:p w14:paraId="5A5B6374">
      <w:pPr>
        <w:widowControl/>
        <w:topLinePunct/>
        <w:spacing w:line="360" w:lineRule="auto"/>
        <w:ind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w:t>
      </w:r>
      <w:r>
        <w:rPr>
          <w:rFonts w:hint="eastAsia" w:ascii="宋体" w:hAnsi="宋体" w:eastAsia="宋体" w:cs="宋体"/>
          <w:color w:val="000000"/>
          <w:kern w:val="0"/>
          <w:sz w:val="24"/>
          <w:szCs w:val="24"/>
          <w:highlight w:val="none"/>
          <w:lang w:val="en-US" w:eastAsia="zh-CN"/>
        </w:rPr>
        <w:t>5</w:t>
      </w:r>
      <w:r>
        <w:rPr>
          <w:rFonts w:hint="eastAsia" w:ascii="宋体" w:hAnsi="宋体" w:eastAsia="宋体" w:cs="宋体"/>
          <w:color w:val="000000"/>
          <w:kern w:val="0"/>
          <w:sz w:val="24"/>
          <w:szCs w:val="24"/>
          <w:highlight w:val="none"/>
        </w:rPr>
        <w:t>）投标报价低于成本或者高于招标文件设定的最高投标限价；</w:t>
      </w:r>
    </w:p>
    <w:p w14:paraId="66C77DA5">
      <w:pPr>
        <w:widowControl/>
        <w:topLinePunct/>
        <w:spacing w:line="360" w:lineRule="auto"/>
        <w:ind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w:t>
      </w:r>
      <w:r>
        <w:rPr>
          <w:rFonts w:hint="eastAsia" w:ascii="宋体" w:hAnsi="宋体" w:eastAsia="宋体" w:cs="宋体"/>
          <w:color w:val="000000"/>
          <w:kern w:val="0"/>
          <w:sz w:val="24"/>
          <w:szCs w:val="24"/>
          <w:highlight w:val="none"/>
          <w:lang w:val="en-US" w:eastAsia="zh-CN"/>
        </w:rPr>
        <w:t>6</w:t>
      </w:r>
      <w:r>
        <w:rPr>
          <w:rFonts w:hint="eastAsia" w:ascii="宋体" w:hAnsi="宋体" w:eastAsia="宋体" w:cs="宋体"/>
          <w:color w:val="000000"/>
          <w:kern w:val="0"/>
          <w:sz w:val="24"/>
          <w:szCs w:val="24"/>
          <w:highlight w:val="none"/>
        </w:rPr>
        <w:t xml:space="preserve">）投标文件未对招标文件的实质性要求和条件作出响应； </w:t>
      </w:r>
    </w:p>
    <w:p w14:paraId="63AEE57E">
      <w:pPr>
        <w:widowControl/>
        <w:topLinePunct/>
        <w:spacing w:line="360" w:lineRule="auto"/>
        <w:ind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w:t>
      </w:r>
      <w:r>
        <w:rPr>
          <w:rFonts w:hint="eastAsia" w:ascii="宋体" w:hAnsi="宋体" w:eastAsia="宋体" w:cs="宋体"/>
          <w:color w:val="000000"/>
          <w:kern w:val="0"/>
          <w:sz w:val="24"/>
          <w:szCs w:val="24"/>
          <w:highlight w:val="none"/>
          <w:lang w:val="en-US" w:eastAsia="zh-CN"/>
        </w:rPr>
        <w:t>7</w:t>
      </w:r>
      <w:r>
        <w:rPr>
          <w:rFonts w:hint="eastAsia" w:ascii="宋体" w:hAnsi="宋体" w:eastAsia="宋体" w:cs="宋体"/>
          <w:color w:val="000000"/>
          <w:kern w:val="0"/>
          <w:sz w:val="24"/>
          <w:szCs w:val="24"/>
          <w:highlight w:val="none"/>
        </w:rPr>
        <w:t>）投标人有串通投标、弄虚作假、行贿等违法行为；</w:t>
      </w:r>
    </w:p>
    <w:p w14:paraId="72A06915">
      <w:pPr>
        <w:widowControl/>
        <w:topLinePunct/>
        <w:spacing w:line="360" w:lineRule="auto"/>
        <w:ind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w:t>
      </w:r>
      <w:r>
        <w:rPr>
          <w:rFonts w:hint="eastAsia" w:ascii="宋体" w:hAnsi="宋体" w:eastAsia="宋体" w:cs="宋体"/>
          <w:color w:val="000000"/>
          <w:kern w:val="0"/>
          <w:sz w:val="24"/>
          <w:szCs w:val="24"/>
          <w:highlight w:val="none"/>
          <w:lang w:val="en-US" w:eastAsia="zh-CN"/>
        </w:rPr>
        <w:t>8</w:t>
      </w:r>
      <w:r>
        <w:rPr>
          <w:rFonts w:hint="eastAsia" w:ascii="宋体" w:hAnsi="宋体" w:eastAsia="宋体" w:cs="宋体"/>
          <w:color w:val="000000"/>
          <w:kern w:val="0"/>
          <w:sz w:val="24"/>
          <w:szCs w:val="24"/>
          <w:highlight w:val="none"/>
        </w:rPr>
        <w:t>）不接受或不确认因算术性错误进行的价格修正；</w:t>
      </w:r>
    </w:p>
    <w:p w14:paraId="33B1896C">
      <w:pPr>
        <w:widowControl/>
        <w:topLinePunct/>
        <w:spacing w:line="360" w:lineRule="auto"/>
        <w:ind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w:t>
      </w:r>
      <w:r>
        <w:rPr>
          <w:rFonts w:hint="eastAsia" w:ascii="宋体" w:hAnsi="宋体" w:eastAsia="宋体" w:cs="宋体"/>
          <w:color w:val="000000"/>
          <w:kern w:val="0"/>
          <w:sz w:val="24"/>
          <w:szCs w:val="24"/>
          <w:highlight w:val="none"/>
          <w:lang w:val="en-US" w:eastAsia="zh-CN"/>
        </w:rPr>
        <w:t>9</w:t>
      </w:r>
      <w:r>
        <w:rPr>
          <w:rFonts w:hint="eastAsia" w:ascii="宋体" w:hAnsi="宋体" w:eastAsia="宋体" w:cs="宋体"/>
          <w:color w:val="000000"/>
          <w:kern w:val="0"/>
          <w:sz w:val="24"/>
          <w:szCs w:val="24"/>
          <w:highlight w:val="none"/>
        </w:rPr>
        <w:t>）投标文件附有招标人不能接受的条件；</w:t>
      </w:r>
    </w:p>
    <w:p w14:paraId="3A712C72">
      <w:pPr>
        <w:widowControl/>
        <w:topLinePunct/>
        <w:spacing w:line="360" w:lineRule="auto"/>
        <w:ind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w:t>
      </w:r>
      <w:r>
        <w:rPr>
          <w:rFonts w:hint="eastAsia" w:ascii="宋体" w:hAnsi="宋体" w:eastAsia="宋体" w:cs="宋体"/>
          <w:color w:val="000000"/>
          <w:kern w:val="0"/>
          <w:sz w:val="24"/>
          <w:szCs w:val="24"/>
          <w:highlight w:val="none"/>
          <w:lang w:val="en-US" w:eastAsia="zh-CN"/>
        </w:rPr>
        <w:t>10</w:t>
      </w:r>
      <w:r>
        <w:rPr>
          <w:rFonts w:hint="eastAsia" w:ascii="宋体" w:hAnsi="宋体" w:eastAsia="宋体" w:cs="宋体"/>
          <w:color w:val="000000"/>
          <w:kern w:val="0"/>
          <w:sz w:val="24"/>
          <w:szCs w:val="24"/>
          <w:highlight w:val="none"/>
        </w:rPr>
        <w:t>）不符合招标文件中规定的其他实质性要求。</w:t>
      </w:r>
    </w:p>
    <w:p w14:paraId="061EA494">
      <w:pPr>
        <w:widowControl/>
        <w:topLinePunct/>
        <w:spacing w:line="360" w:lineRule="auto"/>
        <w:ind w:firstLine="480" w:firstLineChars="200"/>
        <w:rPr>
          <w:rFonts w:hint="eastAsia" w:ascii="宋体" w:hAnsi="宋体" w:eastAsia="宋体" w:cs="宋体"/>
          <w:b/>
          <w:bCs/>
          <w:color w:val="000000"/>
          <w:kern w:val="0"/>
          <w:sz w:val="24"/>
          <w:szCs w:val="24"/>
          <w:highlight w:val="none"/>
        </w:rPr>
      </w:pPr>
      <w:r>
        <w:rPr>
          <w:rFonts w:hint="eastAsia" w:ascii="宋体" w:hAnsi="宋体" w:eastAsia="宋体" w:cs="宋体"/>
          <w:color w:val="000000"/>
          <w:kern w:val="0"/>
          <w:sz w:val="24"/>
          <w:szCs w:val="24"/>
          <w:highlight w:val="none"/>
        </w:rPr>
        <w:t>3.1.3投标报价有算术错误的，评标委员会按照以下原则对投标报价进行修正，修正的价格经投标人书面确认后具有约束力。投标人不接受或不确认修正后价格的，</w:t>
      </w:r>
      <w:r>
        <w:rPr>
          <w:rFonts w:hint="eastAsia" w:ascii="宋体" w:hAnsi="宋体" w:eastAsia="宋体" w:cs="宋体"/>
          <w:b/>
          <w:bCs/>
          <w:color w:val="000000"/>
          <w:kern w:val="0"/>
          <w:sz w:val="24"/>
          <w:szCs w:val="24"/>
          <w:highlight w:val="none"/>
        </w:rPr>
        <w:t>评标委员会应当否决其投标。</w:t>
      </w:r>
    </w:p>
    <w:p w14:paraId="3C115E08">
      <w:pPr>
        <w:widowControl/>
        <w:topLinePunct/>
        <w:spacing w:line="360" w:lineRule="auto"/>
        <w:ind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（1） 投标文件中的大写金额与小写金额不一致的，以大写金额为准；</w:t>
      </w:r>
    </w:p>
    <w:p w14:paraId="7A0F8977">
      <w:pPr>
        <w:widowControl/>
        <w:topLinePunct/>
        <w:spacing w:line="360" w:lineRule="auto"/>
        <w:ind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（2） 总价金额与根据单价计算出的结果不一致的，以单价金额为准修正总价，但单价金额小数点有明显错误的除外。</w:t>
      </w:r>
    </w:p>
    <w:p w14:paraId="24775161">
      <w:pPr>
        <w:widowControl/>
        <w:topLinePunct/>
        <w:spacing w:line="360" w:lineRule="auto"/>
        <w:ind w:firstLine="480" w:firstLineChars="200"/>
        <w:rPr>
          <w:rFonts w:hint="eastAsia" w:ascii="宋体" w:hAnsi="宋体" w:eastAsia="宋体" w:cs="宋体"/>
          <w:b/>
          <w:bCs/>
          <w:color w:val="000000"/>
          <w:kern w:val="0"/>
          <w:sz w:val="24"/>
          <w:szCs w:val="24"/>
          <w:highlight w:val="none"/>
        </w:rPr>
      </w:pPr>
      <w:r>
        <w:rPr>
          <w:rFonts w:hint="eastAsia" w:ascii="宋体" w:hAnsi="宋体" w:eastAsia="宋体" w:cs="宋体"/>
          <w:color w:val="000000"/>
          <w:kern w:val="0"/>
          <w:sz w:val="24"/>
          <w:szCs w:val="24"/>
          <w:highlight w:val="none"/>
        </w:rPr>
        <w:t>3.1.4在评标过程中，评标委员会发现投标人的报价明显低于其他投标报价或者在设有标底时明显低于标底，使得其投标报价可能低于其个别成本的，应当要求该投标人作出书面说明并提供相关证明材料。投标人不能合理说明或者不能提供相关证明材料的，由评标委员会认定该投标人以低于成本报价竞标，</w:t>
      </w:r>
      <w:r>
        <w:rPr>
          <w:rFonts w:hint="eastAsia" w:ascii="宋体" w:hAnsi="宋体" w:eastAsia="宋体" w:cs="宋体"/>
          <w:b/>
          <w:bCs/>
          <w:color w:val="000000"/>
          <w:kern w:val="0"/>
          <w:sz w:val="24"/>
          <w:szCs w:val="24"/>
          <w:highlight w:val="none"/>
        </w:rPr>
        <w:t>应当否决其投标。</w:t>
      </w:r>
    </w:p>
    <w:p w14:paraId="0F67F5E9">
      <w:pPr>
        <w:widowControl/>
        <w:topLinePunct/>
        <w:spacing w:line="360" w:lineRule="auto"/>
        <w:ind w:firstLine="480" w:firstLineChars="200"/>
        <w:rPr>
          <w:rFonts w:hint="eastAsia" w:ascii="宋体" w:hAnsi="宋体" w:eastAsia="宋体" w:cs="宋体"/>
          <w:b/>
          <w:bCs/>
          <w:color w:val="000000"/>
          <w:kern w:val="0"/>
          <w:sz w:val="24"/>
          <w:szCs w:val="24"/>
          <w:highlight w:val="none"/>
        </w:rPr>
      </w:pPr>
      <w:r>
        <w:rPr>
          <w:rFonts w:hint="eastAsia" w:ascii="宋体" w:hAnsi="宋体" w:eastAsia="宋体" w:cs="宋体"/>
          <w:color w:val="000000"/>
          <w:kern w:val="0"/>
          <w:sz w:val="24"/>
          <w:szCs w:val="24"/>
          <w:highlight w:val="none"/>
        </w:rPr>
        <w:t>3.1.5 中标人为1家的项目，如果有效投标人少于3家（不含本数），</w:t>
      </w:r>
      <w:r>
        <w:rPr>
          <w:rFonts w:hint="eastAsia" w:ascii="宋体" w:hAnsi="宋体" w:eastAsia="宋体" w:cs="宋体"/>
          <w:b/>
          <w:bCs/>
          <w:color w:val="000000"/>
          <w:kern w:val="0"/>
          <w:sz w:val="24"/>
          <w:szCs w:val="24"/>
          <w:highlight w:val="none"/>
        </w:rPr>
        <w:t>评标委员会将否决全部投标。</w:t>
      </w:r>
      <w:r>
        <w:rPr>
          <w:rFonts w:hint="eastAsia" w:ascii="宋体" w:hAnsi="宋体" w:eastAsia="宋体" w:cs="宋体"/>
          <w:color w:val="000000"/>
          <w:kern w:val="0"/>
          <w:sz w:val="24"/>
          <w:szCs w:val="24"/>
          <w:highlight w:val="none"/>
        </w:rPr>
        <w:t>中标人为N家（1&lt;N≤3）的项目，如果有效投标人少于2N家（不含本数），评标委员会</w:t>
      </w:r>
      <w:r>
        <w:rPr>
          <w:rFonts w:hint="eastAsia" w:ascii="宋体" w:hAnsi="宋体" w:eastAsia="宋体" w:cs="宋体"/>
          <w:b/>
          <w:bCs/>
          <w:color w:val="000000"/>
          <w:kern w:val="0"/>
          <w:sz w:val="24"/>
          <w:szCs w:val="24"/>
          <w:highlight w:val="none"/>
        </w:rPr>
        <w:t>将否决全部投标</w:t>
      </w:r>
      <w:r>
        <w:rPr>
          <w:rFonts w:hint="eastAsia" w:ascii="宋体" w:hAnsi="宋体" w:eastAsia="宋体" w:cs="宋体"/>
          <w:color w:val="000000"/>
          <w:kern w:val="0"/>
          <w:sz w:val="24"/>
          <w:szCs w:val="24"/>
          <w:highlight w:val="none"/>
        </w:rPr>
        <w:t>。中标人为N家（N＞3）的项目，如果有效投标人少于1.5N家（不含本数），评标委员会</w:t>
      </w:r>
      <w:r>
        <w:rPr>
          <w:rFonts w:hint="eastAsia" w:ascii="宋体" w:hAnsi="宋体" w:eastAsia="宋体" w:cs="宋体"/>
          <w:b/>
          <w:bCs/>
          <w:color w:val="000000"/>
          <w:kern w:val="0"/>
          <w:sz w:val="24"/>
          <w:szCs w:val="24"/>
          <w:highlight w:val="none"/>
        </w:rPr>
        <w:t>将否决全部投标。</w:t>
      </w:r>
    </w:p>
    <w:p w14:paraId="1E8E69C2">
      <w:pPr>
        <w:widowControl/>
        <w:topLinePunct/>
        <w:spacing w:line="360" w:lineRule="auto"/>
        <w:ind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3.1.6 对不同文字文本投标文件的解释发生异议的，以中文文本为准。</w:t>
      </w:r>
    </w:p>
    <w:p w14:paraId="28A33F79">
      <w:pPr>
        <w:pStyle w:val="4"/>
        <w:bidi w:val="0"/>
        <w:rPr>
          <w:rFonts w:hint="eastAsia" w:ascii="宋体" w:hAnsi="宋体" w:eastAsia="宋体" w:cs="宋体"/>
        </w:rPr>
      </w:pPr>
      <w:bookmarkStart w:id="632" w:name="_Toc28605"/>
      <w:r>
        <w:rPr>
          <w:rFonts w:hint="eastAsia" w:ascii="宋体" w:hAnsi="宋体" w:eastAsia="宋体" w:cs="宋体"/>
        </w:rPr>
        <w:t>3.2 详细评审</w:t>
      </w:r>
      <w:bookmarkEnd w:id="632"/>
    </w:p>
    <w:p w14:paraId="1B704A50">
      <w:pPr>
        <w:widowControl/>
        <w:topLinePunct/>
        <w:spacing w:line="360" w:lineRule="auto"/>
        <w:ind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3.2.1 评标委员会按照本章第2.2款规定的评审因素和量化标准进行评分，并计算出综合评估得分。</w:t>
      </w:r>
    </w:p>
    <w:p w14:paraId="09C4E890">
      <w:pPr>
        <w:widowControl/>
        <w:topLinePunct/>
        <w:spacing w:line="360" w:lineRule="auto"/>
        <w:ind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3.2.2 评分分值计算原则上保留小数点后两位，小数点后第三位“四舍五入”。</w:t>
      </w:r>
    </w:p>
    <w:p w14:paraId="72C3001F">
      <w:pPr>
        <w:pStyle w:val="4"/>
        <w:bidi w:val="0"/>
        <w:rPr>
          <w:rFonts w:hint="eastAsia" w:ascii="宋体" w:hAnsi="宋体" w:eastAsia="宋体" w:cs="宋体"/>
        </w:rPr>
      </w:pPr>
      <w:bookmarkStart w:id="633" w:name="_Toc6113"/>
      <w:r>
        <w:rPr>
          <w:rFonts w:hint="eastAsia" w:ascii="宋体" w:hAnsi="宋体" w:eastAsia="宋体" w:cs="宋体"/>
        </w:rPr>
        <w:t>3.3 投标文件的澄清、说明</w:t>
      </w:r>
      <w:bookmarkEnd w:id="633"/>
    </w:p>
    <w:p w14:paraId="5158F1ED">
      <w:pPr>
        <w:widowControl/>
        <w:topLinePunct/>
        <w:spacing w:line="360" w:lineRule="auto"/>
        <w:ind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3.3.1 投标文件中有含义不明确的内容、明显文字或者计算错误、对同类问题表述不一致的，评标委员会认为需要投标人作出必要澄清、说明或者补正的，应当以书面形式通知该投标人。</w:t>
      </w:r>
      <w:bookmarkStart w:id="634" w:name="_Hlk142926906"/>
      <w:r>
        <w:rPr>
          <w:rFonts w:hint="eastAsia" w:ascii="宋体" w:hAnsi="宋体" w:eastAsia="宋体" w:cs="宋体"/>
          <w:color w:val="000000"/>
          <w:kern w:val="0"/>
          <w:sz w:val="24"/>
          <w:szCs w:val="24"/>
          <w:highlight w:val="none"/>
        </w:rPr>
        <w:t>评标委员会不得暗示或者诱导投标人作出澄清、说明或补正，不得接受投标人主动提出的澄清、说明或补正。</w:t>
      </w:r>
    </w:p>
    <w:bookmarkEnd w:id="634"/>
    <w:p w14:paraId="27714DF1">
      <w:pPr>
        <w:widowControl/>
        <w:topLinePunct/>
        <w:spacing w:line="360" w:lineRule="auto"/>
        <w:ind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3.3.2 细微偏差是指投标文件在实质上响应招标文件要求，但在个别地方存在漏项或者提供了不完整的技术信息和数据等情况，并且补正这些遗漏或者不完整不会对其他投标人造成不公平的结果。细微偏差不影响投标文件的有效性。</w:t>
      </w:r>
    </w:p>
    <w:p w14:paraId="4D92B3ED">
      <w:pPr>
        <w:widowControl/>
        <w:topLinePunct/>
        <w:spacing w:line="360" w:lineRule="auto"/>
        <w:ind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3.3.3 投标人的澄清、说明和补正应当采用书面形式,并不得超出投标文件的范围或者改变投标文件的实质性内容（算术性错误修正的除外），投标人的书面澄清、说明和补正属于投标文件的组成部分。</w:t>
      </w:r>
      <w:bookmarkStart w:id="635" w:name="_Hlk142926929"/>
      <w:r>
        <w:rPr>
          <w:rFonts w:hint="eastAsia" w:ascii="宋体" w:hAnsi="宋体" w:eastAsia="宋体" w:cs="宋体"/>
          <w:color w:val="000000"/>
          <w:kern w:val="0"/>
          <w:sz w:val="24"/>
          <w:szCs w:val="24"/>
          <w:highlight w:val="none"/>
        </w:rPr>
        <w:t>拒不按照要求对投标文件进行澄清、说明或补正的，评标委员会</w:t>
      </w:r>
      <w:r>
        <w:rPr>
          <w:rFonts w:hint="eastAsia" w:ascii="宋体" w:hAnsi="宋体" w:eastAsia="宋体" w:cs="宋体"/>
          <w:b/>
          <w:bCs/>
          <w:color w:val="000000"/>
          <w:kern w:val="0"/>
          <w:sz w:val="24"/>
          <w:szCs w:val="24"/>
          <w:highlight w:val="none"/>
        </w:rPr>
        <w:t>可以否决其投标</w:t>
      </w:r>
      <w:r>
        <w:rPr>
          <w:rFonts w:hint="eastAsia" w:ascii="宋体" w:hAnsi="宋体" w:eastAsia="宋体" w:cs="宋体"/>
          <w:color w:val="000000"/>
          <w:kern w:val="0"/>
          <w:sz w:val="24"/>
          <w:szCs w:val="24"/>
          <w:highlight w:val="none"/>
        </w:rPr>
        <w:t>。</w:t>
      </w:r>
    </w:p>
    <w:bookmarkEnd w:id="635"/>
    <w:p w14:paraId="460D5ADA">
      <w:pPr>
        <w:widowControl/>
        <w:topLinePunct/>
        <w:spacing w:line="360" w:lineRule="auto"/>
        <w:ind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3.3.4 评标委员会对投标人递交的澄清、说明或补正有疑问的，可以要求投标人进一步澄清、说明或者补正，直至满足评标委员会的要求。</w:t>
      </w:r>
    </w:p>
    <w:p w14:paraId="2B736C31">
      <w:pPr>
        <w:widowControl/>
        <w:topLinePunct/>
        <w:spacing w:line="360" w:lineRule="auto"/>
        <w:ind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3.3.5 评标委员会必要时可以要求投标人提交有关证明和证件的原件，以便核验。</w:t>
      </w:r>
      <w:bookmarkStart w:id="636" w:name="_Hlk142926937"/>
      <w:r>
        <w:rPr>
          <w:rFonts w:hint="eastAsia" w:ascii="宋体" w:hAnsi="宋体" w:eastAsia="宋体" w:cs="宋体"/>
          <w:color w:val="000000"/>
          <w:kern w:val="0"/>
          <w:sz w:val="24"/>
          <w:szCs w:val="24"/>
          <w:highlight w:val="none"/>
        </w:rPr>
        <w:t>拒不按照要求提供原件的，评标委员会</w:t>
      </w:r>
      <w:r>
        <w:rPr>
          <w:rFonts w:hint="eastAsia" w:ascii="宋体" w:hAnsi="宋体" w:eastAsia="宋体" w:cs="宋体"/>
          <w:b/>
          <w:bCs/>
          <w:color w:val="000000"/>
          <w:kern w:val="0"/>
          <w:sz w:val="24"/>
          <w:szCs w:val="24"/>
          <w:highlight w:val="none"/>
        </w:rPr>
        <w:t>可以否决其投标。</w:t>
      </w:r>
    </w:p>
    <w:bookmarkEnd w:id="636"/>
    <w:p w14:paraId="3B7519CD">
      <w:pPr>
        <w:pStyle w:val="4"/>
        <w:bidi w:val="0"/>
        <w:rPr>
          <w:rFonts w:hint="eastAsia" w:ascii="宋体" w:hAnsi="宋体" w:eastAsia="宋体" w:cs="宋体"/>
        </w:rPr>
      </w:pPr>
      <w:bookmarkStart w:id="637" w:name="_Toc7830"/>
      <w:r>
        <w:rPr>
          <w:rFonts w:hint="eastAsia" w:ascii="宋体" w:hAnsi="宋体" w:eastAsia="宋体" w:cs="宋体"/>
        </w:rPr>
        <w:t>3.4 中标候选人推荐原则</w:t>
      </w:r>
      <w:bookmarkEnd w:id="637"/>
    </w:p>
    <w:p w14:paraId="372A3BEC">
      <w:pPr>
        <w:widowControl/>
        <w:topLinePunct/>
        <w:spacing w:line="360" w:lineRule="auto"/>
        <w:ind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3.4.1 除第二章“投标人须知前附表”第7.2.1条授权评标委员会直接确定中标人外，评标委员会应按照投标人综合得分由高到低的顺序推荐中标候选人。综合得分相同时的处理情形见</w:t>
      </w:r>
      <w:r>
        <w:rPr>
          <w:rFonts w:hint="eastAsia" w:ascii="宋体" w:hAnsi="宋体" w:eastAsia="宋体" w:cs="宋体"/>
          <w:color w:val="000000"/>
          <w:spacing w:val="4"/>
          <w:kern w:val="0"/>
          <w:sz w:val="24"/>
          <w:szCs w:val="24"/>
          <w:highlight w:val="none"/>
        </w:rPr>
        <w:t>第二章“投标人须知前附表”第6.4条</w:t>
      </w:r>
      <w:r>
        <w:rPr>
          <w:rFonts w:hint="eastAsia" w:ascii="宋体" w:hAnsi="宋体" w:eastAsia="宋体" w:cs="宋体"/>
          <w:color w:val="000000"/>
          <w:kern w:val="0"/>
          <w:sz w:val="24"/>
          <w:szCs w:val="24"/>
          <w:highlight w:val="none"/>
        </w:rPr>
        <w:t>。</w:t>
      </w:r>
    </w:p>
    <w:p w14:paraId="52963408">
      <w:pPr>
        <w:widowControl/>
        <w:topLinePunct/>
        <w:spacing w:line="360" w:lineRule="auto"/>
        <w:ind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3.4.2 中标候选人推荐原则</w:t>
      </w:r>
      <w:r>
        <w:rPr>
          <w:rFonts w:hint="eastAsia" w:ascii="宋体" w:hAnsi="宋体" w:eastAsia="宋体" w:cs="宋体"/>
          <w:color w:val="000000"/>
          <w:spacing w:val="4"/>
          <w:kern w:val="0"/>
          <w:sz w:val="24"/>
          <w:szCs w:val="24"/>
          <w:highlight w:val="none"/>
        </w:rPr>
        <w:t>与第二章“投标人须知前附表”第6.4条一致</w:t>
      </w:r>
      <w:r>
        <w:rPr>
          <w:rFonts w:hint="eastAsia" w:ascii="宋体" w:hAnsi="宋体" w:eastAsia="宋体" w:cs="宋体"/>
          <w:color w:val="000000"/>
          <w:kern w:val="0"/>
          <w:sz w:val="24"/>
          <w:szCs w:val="24"/>
          <w:highlight w:val="none"/>
        </w:rPr>
        <w:t>。</w:t>
      </w:r>
    </w:p>
    <w:p w14:paraId="42134E19">
      <w:pPr>
        <w:pStyle w:val="4"/>
        <w:bidi w:val="0"/>
        <w:rPr>
          <w:rFonts w:hint="eastAsia" w:ascii="宋体" w:hAnsi="宋体" w:eastAsia="宋体" w:cs="宋体"/>
        </w:rPr>
      </w:pPr>
      <w:bookmarkStart w:id="638" w:name="_Toc1351"/>
      <w:r>
        <w:rPr>
          <w:rFonts w:hint="eastAsia" w:ascii="宋体" w:hAnsi="宋体" w:eastAsia="宋体" w:cs="宋体"/>
        </w:rPr>
        <w:t>3.5 评标结果</w:t>
      </w:r>
      <w:bookmarkEnd w:id="638"/>
    </w:p>
    <w:p w14:paraId="29D6C62D">
      <w:pPr>
        <w:widowControl/>
        <w:topLinePunct/>
        <w:spacing w:line="360" w:lineRule="auto"/>
        <w:ind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3.5.1 评标委员会完成评标后，应当向招标人递交书面评标报告。评标委员会分组评审的，应当形成统一、完整的评标报告。</w:t>
      </w:r>
    </w:p>
    <w:p w14:paraId="00ECB66B">
      <w:pPr>
        <w:widowControl/>
        <w:topLinePunct/>
        <w:spacing w:line="360" w:lineRule="auto"/>
        <w:ind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3.5.2 评标报告应当包括下列内容：</w:t>
      </w:r>
    </w:p>
    <w:p w14:paraId="5958AB01">
      <w:pPr>
        <w:widowControl/>
        <w:topLinePunct/>
        <w:spacing w:line="360" w:lineRule="auto"/>
        <w:ind w:left="283" w:leftChars="135"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（1）项目简况；</w:t>
      </w:r>
    </w:p>
    <w:p w14:paraId="63EF5426">
      <w:pPr>
        <w:widowControl/>
        <w:topLinePunct/>
        <w:spacing w:line="360" w:lineRule="auto"/>
        <w:ind w:left="283" w:leftChars="135"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（2）开标情况；</w:t>
      </w:r>
    </w:p>
    <w:p w14:paraId="5A19ADEA">
      <w:pPr>
        <w:widowControl/>
        <w:topLinePunct/>
        <w:spacing w:line="360" w:lineRule="auto"/>
        <w:ind w:left="283" w:leftChars="135"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（3）评标方法、评分标准；</w:t>
      </w:r>
    </w:p>
    <w:p w14:paraId="17E637FA">
      <w:pPr>
        <w:widowControl/>
        <w:topLinePunct/>
        <w:spacing w:line="360" w:lineRule="auto"/>
        <w:ind w:left="283" w:leftChars="135"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（4）初步评审情况；</w:t>
      </w:r>
    </w:p>
    <w:p w14:paraId="05396B7E">
      <w:pPr>
        <w:widowControl/>
        <w:topLinePunct/>
        <w:spacing w:line="360" w:lineRule="auto"/>
        <w:ind w:left="283" w:leftChars="135"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（5）否决投标的情况说明；</w:t>
      </w:r>
    </w:p>
    <w:p w14:paraId="69990437">
      <w:pPr>
        <w:widowControl/>
        <w:topLinePunct/>
        <w:spacing w:line="360" w:lineRule="auto"/>
        <w:ind w:left="283" w:leftChars="135"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（6）详细评审情况；</w:t>
      </w:r>
    </w:p>
    <w:p w14:paraId="7D2C47D4">
      <w:pPr>
        <w:widowControl/>
        <w:topLinePunct/>
        <w:spacing w:line="360" w:lineRule="auto"/>
        <w:ind w:left="283" w:leftChars="135"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（7）评标委员会意见；</w:t>
      </w:r>
    </w:p>
    <w:p w14:paraId="0843B703">
      <w:pPr>
        <w:widowControl/>
        <w:topLinePunct/>
        <w:spacing w:line="360" w:lineRule="auto"/>
        <w:ind w:left="283" w:leftChars="135"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（8）合同签订注意事项；</w:t>
      </w:r>
    </w:p>
    <w:p w14:paraId="3E3A828B">
      <w:pPr>
        <w:widowControl/>
        <w:topLinePunct/>
        <w:spacing w:line="360" w:lineRule="auto"/>
        <w:ind w:left="283" w:leftChars="135"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（9）澄清、说明及补正事项；</w:t>
      </w:r>
    </w:p>
    <w:p w14:paraId="20592C54">
      <w:pPr>
        <w:widowControl/>
        <w:topLinePunct/>
        <w:spacing w:line="360" w:lineRule="auto"/>
        <w:ind w:left="283" w:leftChars="135"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（10）附件（《开标记录表》《评审专家签到表》《初步审查表》《评标专家个人评分表》《价格评分汇总表》《综合得分汇总表》）；</w:t>
      </w:r>
    </w:p>
    <w:p w14:paraId="4F120FE3">
      <w:pPr>
        <w:widowControl/>
        <w:topLinePunct/>
        <w:spacing w:line="360" w:lineRule="auto"/>
        <w:ind w:left="283" w:leftChars="135"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（11）拒绝在评标报告上签字的评标委员会成员名单及其陈述的不同意见和理由；</w:t>
      </w:r>
    </w:p>
    <w:p w14:paraId="07C4A100">
      <w:pPr>
        <w:widowControl/>
        <w:topLinePunct/>
        <w:spacing w:line="360" w:lineRule="auto"/>
        <w:ind w:left="283" w:leftChars="135"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（12）其他。</w:t>
      </w:r>
    </w:p>
    <w:p w14:paraId="7E464F36">
      <w:pPr>
        <w:rPr>
          <w:rFonts w:hint="eastAsia" w:ascii="宋体" w:hAnsi="宋体" w:eastAsia="宋体" w:cs="宋体"/>
          <w:color w:val="000000"/>
          <w:highlight w:val="none"/>
        </w:rPr>
      </w:pPr>
    </w:p>
    <w:p w14:paraId="08A697D9">
      <w:pPr>
        <w:rPr>
          <w:rFonts w:hint="eastAsia" w:ascii="宋体" w:hAnsi="宋体" w:eastAsia="宋体" w:cs="宋体"/>
          <w:color w:val="000000"/>
          <w:highlight w:val="none"/>
        </w:rPr>
      </w:pPr>
    </w:p>
    <w:p w14:paraId="6C85D321">
      <w:pPr>
        <w:rPr>
          <w:rFonts w:hint="eastAsia" w:ascii="宋体" w:hAnsi="宋体" w:eastAsia="宋体" w:cs="宋体"/>
          <w:color w:val="000000"/>
          <w:highlight w:val="none"/>
        </w:rPr>
      </w:pPr>
    </w:p>
    <w:p w14:paraId="034CD42B">
      <w:pPr>
        <w:pStyle w:val="2"/>
        <w:numPr>
          <w:ilvl w:val="0"/>
          <w:numId w:val="0"/>
        </w:numPr>
        <w:ind w:left="0" w:leftChars="0" w:firstLine="0" w:firstLineChars="0"/>
        <w:jc w:val="center"/>
        <w:rPr>
          <w:rFonts w:hint="eastAsia" w:ascii="宋体" w:hAnsi="宋体" w:eastAsia="宋体" w:cs="宋体"/>
          <w:color w:val="000000"/>
          <w:highlight w:val="none"/>
        </w:rPr>
      </w:pPr>
      <w:r>
        <w:rPr>
          <w:rFonts w:hint="eastAsia" w:ascii="宋体" w:hAnsi="宋体" w:eastAsia="宋体" w:cs="宋体"/>
          <w:color w:val="000000"/>
          <w:highlight w:val="none"/>
        </w:rPr>
        <w:br w:type="page"/>
      </w:r>
      <w:bookmarkStart w:id="639" w:name="_Toc20727"/>
      <w:bookmarkStart w:id="640" w:name="_Toc14391"/>
      <w:bookmarkStart w:id="641" w:name="_Toc65682987"/>
      <w:bookmarkStart w:id="642" w:name="_Toc109124312"/>
      <w:r>
        <w:rPr>
          <w:rFonts w:hint="eastAsia" w:ascii="宋体" w:hAnsi="宋体" w:eastAsia="宋体" w:cs="宋体"/>
          <w:color w:val="000000"/>
          <w:highlight w:val="none"/>
        </w:rPr>
        <w:t>第四章 合同条款</w:t>
      </w:r>
      <w:bookmarkEnd w:id="639"/>
      <w:bookmarkEnd w:id="640"/>
      <w:bookmarkEnd w:id="641"/>
      <w:bookmarkEnd w:id="642"/>
    </w:p>
    <w:p w14:paraId="6F57BFAD">
      <w:pPr>
        <w:spacing w:line="360" w:lineRule="auto"/>
        <w:jc w:val="center"/>
        <w:rPr>
          <w:rFonts w:ascii="黑体" w:hAnsi="黑体" w:eastAsia="黑体" w:cs="仿宋"/>
          <w:sz w:val="52"/>
          <w:szCs w:val="52"/>
        </w:rPr>
      </w:pPr>
      <w:bookmarkStart w:id="643" w:name="_Toc10044"/>
      <w:bookmarkStart w:id="644" w:name="_Toc65682988"/>
      <w:bookmarkStart w:id="645" w:name="_Toc109124313"/>
      <w:bookmarkStart w:id="646" w:name="_Toc58177604"/>
      <w:bookmarkStart w:id="647" w:name="_Toc25837"/>
      <w:bookmarkStart w:id="648" w:name="_Toc58177607"/>
      <w:r>
        <w:rPr>
          <w:rFonts w:ascii="黑体" w:hAnsi="黑体" w:eastAsia="黑体" w:cs="仿宋"/>
          <w:sz w:val="52"/>
          <w:szCs w:val="52"/>
        </w:rPr>
        <w:t>建筑装饰工程施工合同</w:t>
      </w:r>
    </w:p>
    <w:p w14:paraId="07E89622">
      <w:pPr>
        <w:spacing w:line="360" w:lineRule="auto"/>
        <w:jc w:val="center"/>
        <w:rPr>
          <w:rFonts w:ascii="黑体" w:hAnsi="黑体" w:eastAsia="黑体" w:cs="仿宋"/>
          <w:sz w:val="52"/>
          <w:szCs w:val="52"/>
        </w:rPr>
      </w:pPr>
    </w:p>
    <w:p w14:paraId="1CE81764">
      <w:pPr>
        <w:spacing w:line="360" w:lineRule="auto"/>
        <w:rPr>
          <w:rFonts w:ascii="仿宋" w:hAnsi="仿宋" w:eastAsia="仿宋" w:cs="仿宋"/>
          <w:sz w:val="28"/>
          <w:szCs w:val="28"/>
        </w:rPr>
      </w:pPr>
    </w:p>
    <w:p w14:paraId="65AFE21F">
      <w:pPr>
        <w:spacing w:line="360" w:lineRule="auto"/>
        <w:rPr>
          <w:rFonts w:ascii="仿宋" w:hAnsi="仿宋" w:eastAsia="仿宋" w:cs="仿宋"/>
          <w:sz w:val="28"/>
          <w:szCs w:val="28"/>
        </w:rPr>
      </w:pPr>
    </w:p>
    <w:p w14:paraId="17C4C4B6">
      <w:pPr>
        <w:spacing w:line="360" w:lineRule="auto"/>
        <w:rPr>
          <w:rFonts w:ascii="仿宋" w:hAnsi="仿宋" w:eastAsia="仿宋" w:cs="仿宋"/>
          <w:sz w:val="28"/>
          <w:szCs w:val="28"/>
        </w:rPr>
      </w:pPr>
    </w:p>
    <w:p w14:paraId="3B3052C7">
      <w:pPr>
        <w:spacing w:line="360" w:lineRule="auto"/>
        <w:rPr>
          <w:rFonts w:ascii="仿宋" w:hAnsi="仿宋" w:eastAsia="仿宋" w:cs="仿宋"/>
          <w:sz w:val="28"/>
          <w:szCs w:val="28"/>
        </w:rPr>
      </w:pPr>
    </w:p>
    <w:p w14:paraId="515B274C">
      <w:pPr>
        <w:spacing w:line="360" w:lineRule="auto"/>
        <w:rPr>
          <w:rFonts w:ascii="仿宋" w:hAnsi="仿宋" w:eastAsia="仿宋" w:cs="仿宋"/>
          <w:sz w:val="28"/>
          <w:szCs w:val="28"/>
        </w:rPr>
      </w:pPr>
    </w:p>
    <w:p w14:paraId="36E20A97">
      <w:pPr>
        <w:spacing w:line="360" w:lineRule="auto"/>
        <w:rPr>
          <w:rFonts w:ascii="仿宋" w:hAnsi="仿宋" w:eastAsia="仿宋" w:cs="仿宋"/>
          <w:sz w:val="28"/>
          <w:szCs w:val="28"/>
        </w:rPr>
      </w:pPr>
    </w:p>
    <w:p w14:paraId="34C06C20">
      <w:pPr>
        <w:spacing w:line="360" w:lineRule="auto"/>
        <w:rPr>
          <w:rFonts w:ascii="仿宋" w:hAnsi="仿宋" w:eastAsia="仿宋" w:cs="仿宋"/>
          <w:sz w:val="28"/>
          <w:szCs w:val="28"/>
        </w:rPr>
      </w:pPr>
    </w:p>
    <w:p w14:paraId="366CCDD8">
      <w:pPr>
        <w:spacing w:line="360" w:lineRule="auto"/>
        <w:rPr>
          <w:rFonts w:ascii="仿宋" w:hAnsi="仿宋" w:eastAsia="仿宋" w:cs="仿宋"/>
          <w:sz w:val="28"/>
          <w:szCs w:val="28"/>
        </w:rPr>
      </w:pPr>
    </w:p>
    <w:p w14:paraId="5F8865B0">
      <w:pPr>
        <w:spacing w:line="360" w:lineRule="auto"/>
        <w:rPr>
          <w:rFonts w:ascii="仿宋" w:hAnsi="仿宋" w:eastAsia="仿宋" w:cs="仿宋"/>
          <w:sz w:val="28"/>
          <w:szCs w:val="28"/>
        </w:rPr>
      </w:pPr>
    </w:p>
    <w:p w14:paraId="3B9BD558">
      <w:pPr>
        <w:spacing w:line="360" w:lineRule="auto"/>
        <w:ind w:right="-340" w:rightChars="-162"/>
        <w:rPr>
          <w:rFonts w:ascii="仿宋" w:hAnsi="仿宋" w:eastAsia="仿宋" w:cs="仿宋"/>
          <w:sz w:val="28"/>
          <w:szCs w:val="28"/>
        </w:rPr>
      </w:pPr>
      <w:r>
        <w:rPr>
          <w:rFonts w:ascii="仿宋" w:hAnsi="仿宋" w:eastAsia="仿宋" w:cs="仿宋"/>
          <w:sz w:val="28"/>
          <w:szCs w:val="28"/>
        </w:rPr>
        <w:t>工程名称：</w:t>
      </w:r>
      <w:r>
        <w:rPr>
          <w:rFonts w:hint="eastAsia" w:ascii="仿宋" w:hAnsi="仿宋" w:eastAsia="仿宋" w:cs="仿宋"/>
          <w:sz w:val="28"/>
          <w:szCs w:val="28"/>
        </w:rPr>
        <w:t>人保财险南京市分公司营业用房零星装修改造框架协议项目</w:t>
      </w:r>
    </w:p>
    <w:p w14:paraId="00946447">
      <w:pPr>
        <w:spacing w:line="360" w:lineRule="auto"/>
        <w:rPr>
          <w:rFonts w:ascii="仿宋" w:hAnsi="仿宋" w:eastAsia="仿宋" w:cs="仿宋"/>
          <w:sz w:val="28"/>
          <w:szCs w:val="28"/>
        </w:rPr>
      </w:pPr>
      <w:r>
        <w:rPr>
          <w:rFonts w:ascii="仿宋" w:hAnsi="仿宋" w:eastAsia="仿宋" w:cs="仿宋"/>
          <w:sz w:val="28"/>
          <w:szCs w:val="28"/>
        </w:rPr>
        <w:t>建设单位：</w:t>
      </w:r>
      <w:r>
        <w:rPr>
          <w:rFonts w:hint="eastAsia" w:ascii="仿宋" w:hAnsi="仿宋" w:eastAsia="仿宋" w:cs="仿宋"/>
          <w:sz w:val="28"/>
          <w:szCs w:val="28"/>
        </w:rPr>
        <w:t>中国人民财产保险股份有限公司南京市分公司</w:t>
      </w:r>
    </w:p>
    <w:p w14:paraId="3001BB83">
      <w:pPr>
        <w:spacing w:line="360" w:lineRule="auto"/>
        <w:rPr>
          <w:rFonts w:ascii="仿宋" w:hAnsi="仿宋" w:eastAsia="仿宋" w:cs="仿宋"/>
          <w:sz w:val="28"/>
          <w:szCs w:val="28"/>
        </w:rPr>
      </w:pPr>
      <w:r>
        <w:rPr>
          <w:rFonts w:ascii="仿宋" w:hAnsi="仿宋" w:eastAsia="仿宋" w:cs="仿宋"/>
          <w:sz w:val="28"/>
          <w:szCs w:val="28"/>
        </w:rPr>
        <w:t>施工单位：</w:t>
      </w:r>
    </w:p>
    <w:p w14:paraId="58C2E155">
      <w:pPr>
        <w:spacing w:line="360" w:lineRule="auto"/>
        <w:ind w:firstLine="2240" w:firstLineChars="800"/>
        <w:rPr>
          <w:rFonts w:ascii="仿宋" w:hAnsi="仿宋" w:eastAsia="仿宋" w:cs="仿宋"/>
          <w:sz w:val="28"/>
          <w:szCs w:val="28"/>
        </w:rPr>
      </w:pPr>
    </w:p>
    <w:p w14:paraId="117F99FA">
      <w:pPr>
        <w:spacing w:line="360" w:lineRule="auto"/>
        <w:ind w:firstLine="2240" w:firstLineChars="800"/>
        <w:rPr>
          <w:rFonts w:ascii="仿宋" w:hAnsi="仿宋" w:eastAsia="仿宋" w:cs="仿宋"/>
          <w:sz w:val="28"/>
          <w:szCs w:val="28"/>
        </w:rPr>
      </w:pPr>
      <w:r>
        <w:rPr>
          <w:rFonts w:ascii="仿宋" w:hAnsi="仿宋" w:eastAsia="仿宋" w:cs="仿宋"/>
          <w:sz w:val="28"/>
          <w:szCs w:val="28"/>
        </w:rPr>
        <w:t>合同签订日期：</w:t>
      </w:r>
      <w:r>
        <w:rPr>
          <w:rFonts w:hint="eastAsia" w:ascii="仿宋" w:hAnsi="仿宋" w:eastAsia="仿宋" w:cs="仿宋"/>
          <w:sz w:val="28"/>
          <w:szCs w:val="28"/>
        </w:rPr>
        <w:t>202</w:t>
      </w:r>
      <w:r>
        <w:rPr>
          <w:rFonts w:hint="eastAsia" w:ascii="仿宋" w:hAnsi="仿宋" w:eastAsia="仿宋" w:cs="仿宋"/>
          <w:sz w:val="28"/>
          <w:szCs w:val="28"/>
          <w:lang w:val="en-US" w:eastAsia="zh-CN"/>
        </w:rPr>
        <w:t>5</w:t>
      </w:r>
      <w:r>
        <w:rPr>
          <w:rFonts w:hint="eastAsia" w:ascii="仿宋" w:hAnsi="仿宋" w:eastAsia="仿宋" w:cs="仿宋"/>
          <w:sz w:val="28"/>
          <w:szCs w:val="28"/>
        </w:rPr>
        <w:t xml:space="preserve">年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月</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 日</w:t>
      </w:r>
    </w:p>
    <w:p w14:paraId="7F2F433B">
      <w:pPr>
        <w:spacing w:line="360" w:lineRule="auto"/>
        <w:rPr>
          <w:rFonts w:ascii="仿宋" w:hAnsi="仿宋" w:eastAsia="仿宋" w:cs="仿宋"/>
          <w:sz w:val="28"/>
          <w:szCs w:val="28"/>
        </w:rPr>
      </w:pPr>
    </w:p>
    <w:p w14:paraId="740F8ABA">
      <w:pPr>
        <w:spacing w:line="360" w:lineRule="auto"/>
        <w:jc w:val="center"/>
        <w:rPr>
          <w:rFonts w:ascii="仿宋" w:hAnsi="仿宋" w:eastAsia="仿宋" w:cs="仿宋"/>
          <w:sz w:val="28"/>
          <w:szCs w:val="28"/>
        </w:rPr>
      </w:pPr>
    </w:p>
    <w:p w14:paraId="55D9022B">
      <w:pPr>
        <w:spacing w:line="360" w:lineRule="auto"/>
        <w:jc w:val="center"/>
        <w:rPr>
          <w:rFonts w:hint="eastAsia" w:ascii="仿宋" w:hAnsi="仿宋" w:eastAsia="仿宋" w:cs="仿宋"/>
          <w:sz w:val="28"/>
          <w:szCs w:val="28"/>
        </w:rPr>
      </w:pPr>
    </w:p>
    <w:p w14:paraId="39DB2046">
      <w:pPr>
        <w:spacing w:line="360" w:lineRule="auto"/>
        <w:jc w:val="center"/>
        <w:outlineLvl w:val="9"/>
        <w:rPr>
          <w:rFonts w:ascii="仿宋" w:hAnsi="仿宋" w:eastAsia="仿宋" w:cs="仿宋_GB2312"/>
          <w:sz w:val="24"/>
          <w:szCs w:val="24"/>
        </w:rPr>
      </w:pPr>
      <w:r>
        <w:rPr>
          <w:rFonts w:hint="eastAsia" w:ascii="仿宋" w:hAnsi="仿宋" w:eastAsia="仿宋" w:cs="仿宋"/>
          <w:sz w:val="28"/>
          <w:szCs w:val="28"/>
        </w:rPr>
        <w:t>合同条款</w:t>
      </w:r>
    </w:p>
    <w:p w14:paraId="5265F355">
      <w:pPr>
        <w:spacing w:line="360" w:lineRule="auto"/>
        <w:outlineLvl w:val="9"/>
        <w:rPr>
          <w:rFonts w:ascii="仿宋" w:hAnsi="仿宋" w:eastAsia="仿宋" w:cs="仿宋_GB2312"/>
          <w:sz w:val="24"/>
          <w:szCs w:val="24"/>
        </w:rPr>
      </w:pPr>
      <w:r>
        <w:rPr>
          <w:rFonts w:ascii="仿宋" w:hAnsi="仿宋" w:eastAsia="仿宋" w:cs="仿宋_GB2312"/>
          <w:sz w:val="24"/>
          <w:szCs w:val="24"/>
        </w:rPr>
        <w:t>甲方：</w:t>
      </w:r>
      <w:r>
        <w:rPr>
          <w:rFonts w:hint="eastAsia" w:ascii="仿宋" w:hAnsi="仿宋" w:eastAsia="仿宋" w:cs="仿宋_GB2312"/>
          <w:sz w:val="24"/>
          <w:szCs w:val="24"/>
        </w:rPr>
        <w:t>中国人民财产保险股份有限公司南京市分公司</w:t>
      </w:r>
    </w:p>
    <w:p w14:paraId="6DA67814">
      <w:pPr>
        <w:spacing w:line="360" w:lineRule="auto"/>
        <w:outlineLvl w:val="9"/>
        <w:rPr>
          <w:rFonts w:hint="eastAsia" w:ascii="仿宋" w:hAnsi="仿宋" w:eastAsia="仿宋" w:cs="Times New Roman"/>
          <w:sz w:val="24"/>
          <w:szCs w:val="24"/>
          <w:lang w:eastAsia="zh-CN"/>
        </w:rPr>
      </w:pPr>
      <w:r>
        <w:rPr>
          <w:rFonts w:ascii="仿宋" w:hAnsi="仿宋" w:eastAsia="仿宋" w:cs="仿宋_GB2312"/>
          <w:sz w:val="24"/>
          <w:szCs w:val="24"/>
        </w:rPr>
        <w:t>乙方：</w:t>
      </w:r>
      <w:r>
        <w:rPr>
          <w:rFonts w:hint="eastAsia" w:ascii="仿宋" w:hAnsi="仿宋" w:eastAsia="仿宋" w:cs="仿宋_GB2312"/>
          <w:sz w:val="24"/>
          <w:szCs w:val="24"/>
          <w:lang w:eastAsia="zh-CN"/>
        </w:rPr>
        <w:t xml:space="preserve">  </w:t>
      </w:r>
    </w:p>
    <w:p w14:paraId="492EEE08">
      <w:pPr>
        <w:keepNext/>
        <w:keepLines/>
        <w:spacing w:line="360" w:lineRule="auto"/>
        <w:jc w:val="left"/>
        <w:outlineLvl w:val="9"/>
        <w:rPr>
          <w:rFonts w:ascii="仿宋" w:hAnsi="仿宋" w:eastAsia="仿宋" w:cs="仿宋"/>
          <w:b/>
          <w:bCs/>
          <w:sz w:val="24"/>
          <w:szCs w:val="24"/>
        </w:rPr>
      </w:pPr>
      <w:r>
        <w:rPr>
          <w:rFonts w:ascii="仿宋" w:hAnsi="仿宋" w:eastAsia="仿宋" w:cs="仿宋"/>
          <w:b/>
          <w:bCs/>
          <w:sz w:val="24"/>
          <w:szCs w:val="24"/>
        </w:rPr>
        <w:t>第一条 工程概况</w:t>
      </w:r>
    </w:p>
    <w:p w14:paraId="57D7ED8B">
      <w:pPr>
        <w:spacing w:line="360" w:lineRule="auto"/>
        <w:outlineLvl w:val="9"/>
        <w:rPr>
          <w:rFonts w:ascii="仿宋" w:hAnsi="仿宋" w:eastAsia="仿宋" w:cs="Times New Roman"/>
          <w:sz w:val="24"/>
          <w:szCs w:val="24"/>
        </w:rPr>
      </w:pPr>
      <w:r>
        <w:rPr>
          <w:rFonts w:ascii="仿宋" w:hAnsi="仿宋" w:eastAsia="仿宋" w:cs="仿宋_GB2312"/>
          <w:b/>
          <w:bCs/>
          <w:sz w:val="24"/>
          <w:szCs w:val="24"/>
        </w:rPr>
        <w:t>工程概况</w:t>
      </w:r>
      <w:r>
        <w:rPr>
          <w:rFonts w:ascii="仿宋" w:hAnsi="仿宋" w:eastAsia="仿宋" w:cs="仿宋_GB2312"/>
          <w:sz w:val="24"/>
          <w:szCs w:val="24"/>
        </w:rPr>
        <w:br w:type="textWrapping"/>
      </w:r>
      <w:r>
        <w:rPr>
          <w:rFonts w:ascii="仿宋" w:hAnsi="仿宋" w:eastAsia="仿宋" w:cs="仿宋_GB2312"/>
          <w:sz w:val="24"/>
          <w:szCs w:val="24"/>
        </w:rPr>
        <w:t>本合同项下甲乙双方约定的工程项目的概况见本合同【附件</w:t>
      </w:r>
      <w:r>
        <w:rPr>
          <w:rFonts w:hint="eastAsia" w:ascii="仿宋" w:hAnsi="仿宋" w:eastAsia="仿宋" w:cs="仿宋_GB2312"/>
          <w:sz w:val="24"/>
          <w:szCs w:val="24"/>
        </w:rPr>
        <w:t>一</w:t>
      </w:r>
      <w:r>
        <w:rPr>
          <w:rFonts w:ascii="仿宋" w:hAnsi="仿宋" w:eastAsia="仿宋" w:cs="仿宋_GB2312"/>
          <w:sz w:val="24"/>
          <w:szCs w:val="24"/>
        </w:rPr>
        <w:t>】。</w:t>
      </w:r>
    </w:p>
    <w:p w14:paraId="41EAA3DB">
      <w:pPr>
        <w:keepNext/>
        <w:keepLines/>
        <w:spacing w:line="360" w:lineRule="auto"/>
        <w:jc w:val="left"/>
        <w:outlineLvl w:val="9"/>
        <w:rPr>
          <w:rFonts w:ascii="Calibri" w:hAnsi="Calibri" w:eastAsia="仿宋" w:cs="Calibri"/>
          <w:b/>
          <w:bCs/>
          <w:sz w:val="24"/>
          <w:szCs w:val="24"/>
        </w:rPr>
      </w:pPr>
      <w:r>
        <w:rPr>
          <w:rFonts w:ascii="Calibri" w:hAnsi="Calibri" w:eastAsia="仿宋" w:cs="Calibri"/>
          <w:b/>
          <w:bCs/>
          <w:sz w:val="24"/>
          <w:szCs w:val="24"/>
        </w:rPr>
        <w:t>第二条 合同工期及质量标准</w:t>
      </w:r>
    </w:p>
    <w:p w14:paraId="2C1E8E86">
      <w:pPr>
        <w:spacing w:line="360" w:lineRule="auto"/>
        <w:ind w:firstLine="250"/>
        <w:outlineLvl w:val="9"/>
        <w:rPr>
          <w:rFonts w:ascii="仿宋" w:hAnsi="仿宋" w:eastAsia="仿宋" w:cs="Times New Roman"/>
          <w:sz w:val="24"/>
          <w:szCs w:val="24"/>
        </w:rPr>
      </w:pPr>
      <w:r>
        <w:rPr>
          <w:rFonts w:ascii="仿宋" w:hAnsi="仿宋" w:eastAsia="仿宋" w:cs="仿宋_GB2312"/>
          <w:b/>
          <w:bCs/>
          <w:sz w:val="24"/>
          <w:szCs w:val="24"/>
        </w:rPr>
        <w:t>合同工期及质量标准</w:t>
      </w:r>
      <w:r>
        <w:rPr>
          <w:rFonts w:ascii="仿宋" w:hAnsi="仿宋" w:eastAsia="仿宋" w:cs="仿宋_GB2312"/>
          <w:sz w:val="24"/>
          <w:szCs w:val="24"/>
        </w:rPr>
        <w:br w:type="textWrapping"/>
      </w:r>
      <w:r>
        <w:rPr>
          <w:rFonts w:ascii="仿宋" w:hAnsi="仿宋" w:eastAsia="仿宋" w:cs="仿宋_GB2312"/>
          <w:sz w:val="24"/>
          <w:szCs w:val="24"/>
        </w:rPr>
        <w:t>本合同项下甲乙双方约定的工程期限及质量标准见本合同【附件</w:t>
      </w:r>
      <w:r>
        <w:rPr>
          <w:rFonts w:hint="eastAsia" w:ascii="仿宋" w:hAnsi="仿宋" w:eastAsia="仿宋" w:cs="仿宋_GB2312"/>
          <w:sz w:val="24"/>
          <w:szCs w:val="24"/>
        </w:rPr>
        <w:t>二</w:t>
      </w:r>
      <w:r>
        <w:rPr>
          <w:rFonts w:ascii="仿宋" w:hAnsi="仿宋" w:eastAsia="仿宋" w:cs="仿宋_GB2312"/>
          <w:sz w:val="24"/>
          <w:szCs w:val="24"/>
        </w:rPr>
        <w:t>】。</w:t>
      </w:r>
    </w:p>
    <w:p w14:paraId="4C6CE0DC">
      <w:pPr>
        <w:keepNext/>
        <w:keepLines/>
        <w:spacing w:line="360" w:lineRule="auto"/>
        <w:jc w:val="left"/>
        <w:outlineLvl w:val="9"/>
        <w:rPr>
          <w:rFonts w:ascii="Calibri" w:hAnsi="Calibri" w:eastAsia="仿宋" w:cs="Calibri"/>
          <w:b/>
          <w:bCs/>
          <w:sz w:val="24"/>
          <w:szCs w:val="24"/>
        </w:rPr>
      </w:pPr>
      <w:r>
        <w:rPr>
          <w:rFonts w:ascii="Calibri" w:hAnsi="Calibri" w:eastAsia="仿宋" w:cs="Calibri"/>
          <w:b/>
          <w:bCs/>
          <w:sz w:val="24"/>
          <w:szCs w:val="24"/>
        </w:rPr>
        <w:t>第三条 合同价格</w:t>
      </w:r>
    </w:p>
    <w:p w14:paraId="6F803A3E">
      <w:pPr>
        <w:spacing w:line="360" w:lineRule="auto"/>
        <w:outlineLvl w:val="9"/>
        <w:rPr>
          <w:rFonts w:ascii="仿宋" w:hAnsi="仿宋" w:eastAsia="仿宋" w:cs="Times New Roman"/>
          <w:sz w:val="24"/>
          <w:szCs w:val="24"/>
        </w:rPr>
      </w:pPr>
      <w:r>
        <w:rPr>
          <w:rFonts w:ascii="仿宋" w:hAnsi="仿宋" w:eastAsia="仿宋" w:cs="仿宋_GB2312"/>
          <w:sz w:val="24"/>
          <w:szCs w:val="24"/>
        </w:rPr>
        <w:t xml:space="preserve">   （一） 合同价格：暂定总价（含税）为RMB</w:t>
      </w:r>
      <w:r>
        <w:rPr>
          <w:rFonts w:ascii="仿宋" w:hAnsi="仿宋" w:eastAsia="仿宋" w:cs="仿宋_GB2312"/>
          <w:sz w:val="24"/>
          <w:szCs w:val="24"/>
          <w:u w:val="single"/>
        </w:rPr>
        <w:t xml:space="preserve"> </w:t>
      </w:r>
      <w:r>
        <w:rPr>
          <w:rFonts w:hint="eastAsia" w:ascii="仿宋" w:hAnsi="仿宋" w:eastAsia="仿宋" w:cs="仿宋_GB2312"/>
          <w:sz w:val="24"/>
          <w:szCs w:val="24"/>
          <w:u w:val="single"/>
          <w:lang w:val="en-US" w:eastAsia="zh-CN"/>
        </w:rPr>
        <w:t>120</w:t>
      </w:r>
      <w:r>
        <w:rPr>
          <w:rFonts w:ascii="仿宋" w:hAnsi="仿宋" w:eastAsia="仿宋" w:cs="仿宋_GB2312"/>
          <w:sz w:val="24"/>
          <w:szCs w:val="24"/>
        </w:rPr>
        <w:t xml:space="preserve"> 万元（大写：</w:t>
      </w:r>
      <w:r>
        <w:rPr>
          <w:rFonts w:hint="eastAsia" w:ascii="仿宋" w:hAnsi="仿宋" w:eastAsia="仿宋" w:cs="仿宋_GB2312"/>
          <w:sz w:val="24"/>
          <w:szCs w:val="24"/>
          <w:u w:val="single"/>
          <w:lang w:val="en-US" w:eastAsia="zh-CN"/>
        </w:rPr>
        <w:t>壹佰贰拾</w:t>
      </w:r>
      <w:r>
        <w:rPr>
          <w:rFonts w:ascii="仿宋" w:hAnsi="仿宋" w:eastAsia="仿宋" w:cs="仿宋_GB2312"/>
          <w:sz w:val="24"/>
          <w:szCs w:val="24"/>
          <w:u w:val="single"/>
        </w:rPr>
        <w:t>万元整</w:t>
      </w:r>
      <w:r>
        <w:rPr>
          <w:rFonts w:ascii="仿宋" w:hAnsi="仿宋" w:eastAsia="仿宋" w:cs="仿宋_GB2312"/>
          <w:sz w:val="24"/>
          <w:szCs w:val="24"/>
        </w:rPr>
        <w:t>），合同</w:t>
      </w:r>
      <w:r>
        <w:rPr>
          <w:rFonts w:hint="eastAsia" w:ascii="仿宋" w:hAnsi="仿宋" w:eastAsia="仿宋" w:cs="仿宋_GB2312"/>
          <w:sz w:val="24"/>
          <w:szCs w:val="24"/>
        </w:rPr>
        <w:t>单价详见</w:t>
      </w:r>
      <w:r>
        <w:rPr>
          <w:rFonts w:ascii="仿宋" w:hAnsi="仿宋" w:eastAsia="仿宋" w:cs="仿宋_GB2312"/>
          <w:sz w:val="24"/>
          <w:szCs w:val="24"/>
        </w:rPr>
        <w:t>【附件</w:t>
      </w:r>
      <w:r>
        <w:rPr>
          <w:rFonts w:hint="eastAsia" w:ascii="仿宋" w:hAnsi="仿宋" w:eastAsia="仿宋" w:cs="仿宋_GB2312"/>
          <w:sz w:val="24"/>
          <w:szCs w:val="24"/>
        </w:rPr>
        <w:t>三</w:t>
      </w:r>
      <w:r>
        <w:rPr>
          <w:rFonts w:ascii="仿宋" w:hAnsi="仿宋" w:eastAsia="仿宋" w:cs="仿宋_GB2312"/>
          <w:sz w:val="24"/>
          <w:szCs w:val="24"/>
        </w:rPr>
        <w:t>】计价</w:t>
      </w:r>
      <w:r>
        <w:rPr>
          <w:rFonts w:hint="eastAsia" w:ascii="仿宋" w:hAnsi="仿宋" w:eastAsia="仿宋" w:cs="仿宋_GB2312"/>
          <w:sz w:val="24"/>
          <w:szCs w:val="24"/>
        </w:rPr>
        <w:t>清单，增值税税率</w:t>
      </w:r>
      <w:r>
        <w:rPr>
          <w:rFonts w:ascii="仿宋" w:hAnsi="仿宋" w:eastAsia="仿宋" w:cs="仿宋_GB2312"/>
          <w:sz w:val="24"/>
          <w:szCs w:val="24"/>
        </w:rPr>
        <w:t>9%。</w:t>
      </w:r>
    </w:p>
    <w:p w14:paraId="6AA56033">
      <w:pPr>
        <w:spacing w:line="360" w:lineRule="auto"/>
        <w:outlineLvl w:val="9"/>
        <w:rPr>
          <w:rFonts w:ascii="仿宋" w:hAnsi="仿宋" w:eastAsia="仿宋" w:cs="仿宋_GB2312"/>
          <w:sz w:val="24"/>
          <w:szCs w:val="24"/>
        </w:rPr>
      </w:pPr>
      <w:r>
        <w:rPr>
          <w:rFonts w:ascii="仿宋" w:hAnsi="仿宋" w:eastAsia="仿宋" w:cs="仿宋_GB2312"/>
          <w:sz w:val="24"/>
          <w:szCs w:val="24"/>
        </w:rPr>
        <w:t xml:space="preserve">   （二） 上述合同价格中暂定总价为：</w:t>
      </w:r>
      <w:r>
        <w:rPr>
          <w:rFonts w:hint="eastAsia" w:ascii="仿宋" w:hAnsi="仿宋" w:eastAsia="仿宋" w:cs="仿宋_GB2312"/>
          <w:sz w:val="24"/>
          <w:szCs w:val="24"/>
        </w:rPr>
        <w:t>人保财险南京市（除溧水、高淳外）的营业用房零星装修工程，单个工程预算金额不超过5万元，全年总预算约</w:t>
      </w:r>
      <w:r>
        <w:rPr>
          <w:rFonts w:hint="eastAsia" w:ascii="仿宋" w:hAnsi="仿宋" w:eastAsia="仿宋" w:cs="仿宋_GB2312"/>
          <w:sz w:val="24"/>
          <w:szCs w:val="24"/>
          <w:lang w:val="en-US" w:eastAsia="zh-CN"/>
        </w:rPr>
        <w:t>120</w:t>
      </w:r>
      <w:r>
        <w:rPr>
          <w:rFonts w:hint="eastAsia" w:ascii="仿宋" w:hAnsi="仿宋" w:eastAsia="仿宋" w:cs="仿宋_GB2312"/>
          <w:sz w:val="24"/>
          <w:szCs w:val="24"/>
        </w:rPr>
        <w:t>万元；</w:t>
      </w:r>
    </w:p>
    <w:p w14:paraId="16E18851">
      <w:pPr>
        <w:spacing w:line="360" w:lineRule="auto"/>
        <w:outlineLvl w:val="9"/>
        <w:rPr>
          <w:rFonts w:ascii="仿宋" w:hAnsi="仿宋" w:eastAsia="仿宋" w:cs="Times New Roman"/>
          <w:sz w:val="24"/>
          <w:szCs w:val="24"/>
        </w:rPr>
      </w:pPr>
      <w:r>
        <w:rPr>
          <w:rFonts w:ascii="仿宋" w:hAnsi="仿宋" w:eastAsia="仿宋" w:cs="仿宋_GB2312"/>
          <w:sz w:val="24"/>
          <w:szCs w:val="24"/>
        </w:rPr>
        <w:t>合同单价为：固定单价，计价清单单价不做调整，单价内容包括本工程的设计（如有）、供货、施工、安装、竣工验收及保修的所有费用，包括但不限于人工、材料及材料市场差价、机械费、其他直接及间接费用、临时设施费、现场经费、企业管理费、计划利润、税金（营业税、城市建设维护税和教育费附加）、需交纳的总包服务费（如有）、文明施工增加费、风险费、冬雨季施工费、技术措施费、安全措施费、扬尘费、工期奖、保险费、检验试验费、民扰及扰民费，及治安、消防、安全、环保等政府部门因进行本工程规定应由施工单位交纳的所有费用。除双方另有明确约定外，发包人不再向承包人另行支付其它任何费用。</w:t>
      </w:r>
    </w:p>
    <w:p w14:paraId="6CDE38F0">
      <w:pPr>
        <w:spacing w:line="360" w:lineRule="auto"/>
        <w:outlineLvl w:val="9"/>
        <w:rPr>
          <w:rFonts w:ascii="仿宋" w:hAnsi="仿宋" w:eastAsia="仿宋" w:cs="Times New Roman"/>
          <w:sz w:val="24"/>
          <w:szCs w:val="24"/>
        </w:rPr>
      </w:pPr>
      <w:r>
        <w:rPr>
          <w:rFonts w:ascii="仿宋" w:hAnsi="仿宋" w:eastAsia="仿宋" w:cs="仿宋_GB2312"/>
          <w:sz w:val="24"/>
          <w:szCs w:val="24"/>
        </w:rPr>
        <w:t xml:space="preserve">   （三） 本合同付款安排见【附件</w:t>
      </w:r>
      <w:r>
        <w:rPr>
          <w:rFonts w:hint="eastAsia" w:ascii="仿宋" w:hAnsi="仿宋" w:eastAsia="仿宋" w:cs="仿宋_GB2312"/>
          <w:sz w:val="24"/>
          <w:szCs w:val="24"/>
        </w:rPr>
        <w:t>四</w:t>
      </w:r>
      <w:r>
        <w:rPr>
          <w:rFonts w:ascii="仿宋" w:hAnsi="仿宋" w:eastAsia="仿宋" w:cs="仿宋_GB2312"/>
          <w:sz w:val="24"/>
          <w:szCs w:val="24"/>
        </w:rPr>
        <w:t>】。</w:t>
      </w:r>
    </w:p>
    <w:p w14:paraId="1694C37C">
      <w:pPr>
        <w:spacing w:line="360" w:lineRule="auto"/>
        <w:outlineLvl w:val="9"/>
        <w:rPr>
          <w:rFonts w:ascii="仿宋" w:hAnsi="仿宋" w:eastAsia="仿宋" w:cs="Times New Roman"/>
          <w:sz w:val="24"/>
          <w:szCs w:val="24"/>
        </w:rPr>
      </w:pPr>
      <w:r>
        <w:rPr>
          <w:rFonts w:ascii="仿宋" w:hAnsi="仿宋" w:eastAsia="仿宋" w:cs="仿宋_GB2312"/>
          <w:sz w:val="24"/>
          <w:szCs w:val="24"/>
        </w:rPr>
        <w:t xml:space="preserve">   （四）</w:t>
      </w:r>
      <w:r>
        <w:rPr>
          <w:rFonts w:hint="eastAsia" w:ascii="仿宋" w:hAnsi="仿宋" w:eastAsia="仿宋" w:cs="仿宋_GB2312"/>
          <w:sz w:val="24"/>
          <w:szCs w:val="24"/>
        </w:rPr>
        <w:t>若出现计价清单没有单价的项目，项目单价由甲乙双方商协商确定。</w:t>
      </w:r>
    </w:p>
    <w:p w14:paraId="7ADA605E">
      <w:pPr>
        <w:keepNext/>
        <w:keepLines/>
        <w:spacing w:line="360" w:lineRule="auto"/>
        <w:jc w:val="left"/>
        <w:outlineLvl w:val="9"/>
        <w:rPr>
          <w:rFonts w:ascii="Calibri" w:hAnsi="Calibri" w:eastAsia="仿宋" w:cs="Calibri"/>
          <w:b/>
          <w:bCs/>
          <w:sz w:val="24"/>
          <w:szCs w:val="24"/>
        </w:rPr>
      </w:pPr>
      <w:r>
        <w:rPr>
          <w:rFonts w:ascii="Calibri" w:hAnsi="Calibri" w:eastAsia="仿宋" w:cs="Calibri"/>
          <w:b/>
          <w:bCs/>
          <w:sz w:val="24"/>
          <w:szCs w:val="24"/>
        </w:rPr>
        <w:t>第四条 双方的权利和义务</w:t>
      </w:r>
    </w:p>
    <w:p w14:paraId="2B7639B7">
      <w:pPr>
        <w:spacing w:line="360" w:lineRule="auto"/>
        <w:outlineLvl w:val="9"/>
        <w:rPr>
          <w:rFonts w:ascii="仿宋" w:hAnsi="仿宋" w:eastAsia="仿宋" w:cs="Times New Roman"/>
          <w:sz w:val="24"/>
          <w:szCs w:val="24"/>
        </w:rPr>
      </w:pPr>
      <w:r>
        <w:rPr>
          <w:rFonts w:ascii="仿宋" w:hAnsi="仿宋" w:eastAsia="仿宋" w:cs="仿宋_GB2312"/>
          <w:sz w:val="24"/>
          <w:szCs w:val="24"/>
        </w:rPr>
        <w:t xml:space="preserve">   （一） 发包人的权利和义务</w:t>
      </w:r>
      <w:r>
        <w:rPr>
          <w:rFonts w:ascii="仿宋" w:hAnsi="仿宋" w:eastAsia="仿宋" w:cs="仿宋_GB2312"/>
          <w:sz w:val="24"/>
          <w:szCs w:val="24"/>
        </w:rPr>
        <w:br w:type="textWrapping"/>
      </w:r>
      <w:r>
        <w:rPr>
          <w:rFonts w:ascii="仿宋" w:hAnsi="仿宋" w:eastAsia="仿宋" w:cs="仿宋_GB2312"/>
          <w:sz w:val="24"/>
          <w:szCs w:val="24"/>
        </w:rPr>
        <w:t>（1）发包人为承包人的施工提供协助和配合；</w:t>
      </w:r>
      <w:r>
        <w:rPr>
          <w:rFonts w:ascii="仿宋" w:hAnsi="仿宋" w:eastAsia="仿宋" w:cs="仿宋_GB2312"/>
          <w:sz w:val="24"/>
          <w:szCs w:val="24"/>
        </w:rPr>
        <w:br w:type="textWrapping"/>
      </w:r>
      <w:r>
        <w:rPr>
          <w:rFonts w:ascii="仿宋" w:hAnsi="仿宋" w:eastAsia="仿宋" w:cs="仿宋_GB2312"/>
          <w:sz w:val="24"/>
          <w:szCs w:val="24"/>
        </w:rPr>
        <w:t>（2）施工场地具备开工条件后，发包人应按约定及时向承包人交付施工现场；</w:t>
      </w:r>
      <w:r>
        <w:rPr>
          <w:rFonts w:ascii="仿宋" w:hAnsi="仿宋" w:eastAsia="仿宋" w:cs="仿宋_GB2312"/>
          <w:sz w:val="24"/>
          <w:szCs w:val="24"/>
        </w:rPr>
        <w:br w:type="textWrapping"/>
      </w:r>
      <w:r>
        <w:rPr>
          <w:rFonts w:ascii="仿宋" w:hAnsi="仿宋" w:eastAsia="仿宋" w:cs="仿宋_GB2312"/>
          <w:sz w:val="24"/>
          <w:szCs w:val="24"/>
        </w:rPr>
        <w:t>（3）开工前向承包人提供施工图纸；</w:t>
      </w:r>
      <w:r>
        <w:rPr>
          <w:rFonts w:ascii="仿宋" w:hAnsi="仿宋" w:eastAsia="仿宋" w:cs="仿宋_GB2312"/>
          <w:sz w:val="24"/>
          <w:szCs w:val="24"/>
        </w:rPr>
        <w:br w:type="textWrapping"/>
      </w:r>
      <w:r>
        <w:rPr>
          <w:rFonts w:ascii="仿宋" w:hAnsi="仿宋" w:eastAsia="仿宋" w:cs="仿宋_GB2312"/>
          <w:sz w:val="24"/>
          <w:szCs w:val="24"/>
        </w:rPr>
        <w:t>（4）协调物业公司及有关部门做好通道、电梯等设施的使用；</w:t>
      </w:r>
      <w:r>
        <w:rPr>
          <w:rFonts w:ascii="仿宋" w:hAnsi="仿宋" w:eastAsia="仿宋" w:cs="仿宋_GB2312"/>
          <w:sz w:val="24"/>
          <w:szCs w:val="24"/>
        </w:rPr>
        <w:br w:type="textWrapping"/>
      </w:r>
      <w:r>
        <w:rPr>
          <w:rFonts w:ascii="仿宋" w:hAnsi="仿宋" w:eastAsia="仿宋" w:cs="仿宋_GB2312"/>
          <w:sz w:val="24"/>
          <w:szCs w:val="24"/>
        </w:rPr>
        <w:t>（5）指派驻工地代表，负责对工程质量、进度进行监督检查，办理验收、变更洽商手续及其他事宜；</w:t>
      </w:r>
      <w:r>
        <w:rPr>
          <w:rFonts w:ascii="仿宋" w:hAnsi="仿宋" w:eastAsia="仿宋" w:cs="仿宋_GB2312"/>
          <w:sz w:val="24"/>
          <w:szCs w:val="24"/>
        </w:rPr>
        <w:br w:type="textWrapping"/>
      </w:r>
      <w:r>
        <w:rPr>
          <w:rFonts w:ascii="仿宋" w:hAnsi="仿宋" w:eastAsia="仿宋" w:cs="仿宋_GB2312"/>
          <w:sz w:val="24"/>
          <w:szCs w:val="24"/>
        </w:rPr>
        <w:t>（6）开工时向承包人提供原始水、电、燃气、暖气管道等管道线路图纸，如经发包人认可确实需要拆改原建筑物结构或设备管线，由发包人负责协调到有关部门办理相应审批手续；</w:t>
      </w:r>
      <w:r>
        <w:rPr>
          <w:rFonts w:ascii="仿宋" w:hAnsi="仿宋" w:eastAsia="仿宋" w:cs="仿宋_GB2312"/>
          <w:sz w:val="24"/>
          <w:szCs w:val="24"/>
        </w:rPr>
        <w:br w:type="textWrapping"/>
      </w:r>
      <w:r>
        <w:rPr>
          <w:rFonts w:ascii="仿宋" w:hAnsi="仿宋" w:eastAsia="仿宋" w:cs="仿宋_GB2312"/>
          <w:sz w:val="24"/>
          <w:szCs w:val="24"/>
        </w:rPr>
        <w:t>（7）知会邻里在施工期限间产生的灰尘和噪音可能对其生活和工作环境造成的影响，协调邻里关系；</w:t>
      </w:r>
      <w:r>
        <w:rPr>
          <w:rFonts w:ascii="仿宋" w:hAnsi="仿宋" w:eastAsia="仿宋" w:cs="仿宋_GB2312"/>
          <w:sz w:val="24"/>
          <w:szCs w:val="24"/>
        </w:rPr>
        <w:br w:type="textWrapping"/>
      </w:r>
      <w:r>
        <w:rPr>
          <w:rFonts w:ascii="仿宋" w:hAnsi="仿宋" w:eastAsia="仿宋" w:cs="仿宋_GB2312"/>
          <w:sz w:val="24"/>
          <w:szCs w:val="24"/>
        </w:rPr>
        <w:t>（8）发包人享有其他双方约定的权利、承担其他双方约定的义务。</w:t>
      </w:r>
    </w:p>
    <w:p w14:paraId="16C8F560">
      <w:pPr>
        <w:spacing w:line="360" w:lineRule="auto"/>
        <w:outlineLvl w:val="9"/>
        <w:rPr>
          <w:rFonts w:ascii="仿宋" w:hAnsi="仿宋" w:eastAsia="仿宋" w:cs="Times New Roman"/>
          <w:sz w:val="24"/>
          <w:szCs w:val="24"/>
        </w:rPr>
      </w:pPr>
      <w:r>
        <w:rPr>
          <w:rFonts w:ascii="仿宋" w:hAnsi="仿宋" w:eastAsia="仿宋" w:cs="仿宋_GB2312"/>
          <w:sz w:val="24"/>
          <w:szCs w:val="24"/>
        </w:rPr>
        <w:t xml:space="preserve">   （二） 承包人的权利和义务</w:t>
      </w:r>
      <w:r>
        <w:rPr>
          <w:rFonts w:ascii="仿宋" w:hAnsi="仿宋" w:eastAsia="仿宋" w:cs="仿宋_GB2312"/>
          <w:sz w:val="24"/>
          <w:szCs w:val="24"/>
        </w:rPr>
        <w:br w:type="textWrapping"/>
      </w:r>
      <w:r>
        <w:rPr>
          <w:rFonts w:ascii="仿宋" w:hAnsi="仿宋" w:eastAsia="仿宋" w:cs="仿宋_GB2312"/>
          <w:sz w:val="24"/>
          <w:szCs w:val="24"/>
        </w:rPr>
        <w:t>（1）承包人在开工前应按照政府及相关部门、物业公司的要求办理一切施工所需手续，并缴纳有关的费用和装修押金；</w:t>
      </w:r>
      <w:r>
        <w:rPr>
          <w:rFonts w:ascii="仿宋" w:hAnsi="仿宋" w:eastAsia="仿宋" w:cs="仿宋_GB2312"/>
          <w:sz w:val="24"/>
          <w:szCs w:val="24"/>
        </w:rPr>
        <w:br w:type="textWrapping"/>
      </w:r>
      <w:r>
        <w:rPr>
          <w:rFonts w:ascii="仿宋" w:hAnsi="仿宋" w:eastAsia="仿宋" w:cs="仿宋_GB2312"/>
          <w:sz w:val="24"/>
          <w:szCs w:val="24"/>
        </w:rPr>
        <w:t>（2）拟定施工方案和进度计划，开工前交发包人审定后执行；</w:t>
      </w:r>
      <w:r>
        <w:rPr>
          <w:rFonts w:ascii="仿宋" w:hAnsi="仿宋" w:eastAsia="仿宋" w:cs="仿宋_GB2312"/>
          <w:sz w:val="24"/>
          <w:szCs w:val="24"/>
        </w:rPr>
        <w:br w:type="textWrapping"/>
      </w:r>
      <w:r>
        <w:rPr>
          <w:rFonts w:ascii="仿宋" w:hAnsi="仿宋" w:eastAsia="仿宋" w:cs="仿宋_GB2312"/>
          <w:sz w:val="24"/>
          <w:szCs w:val="24"/>
        </w:rPr>
        <w:t>（3）开工前，应将施工主要负责人员名单报发包人确认、备案，如承包人更换施工主要负责人时，必须事先征得发包人书面同意；</w:t>
      </w:r>
      <w:r>
        <w:rPr>
          <w:rFonts w:ascii="仿宋" w:hAnsi="仿宋" w:eastAsia="仿宋" w:cs="仿宋_GB2312"/>
          <w:sz w:val="24"/>
          <w:szCs w:val="24"/>
        </w:rPr>
        <w:br w:type="textWrapping"/>
      </w:r>
      <w:r>
        <w:rPr>
          <w:rFonts w:ascii="仿宋" w:hAnsi="仿宋" w:eastAsia="仿宋" w:cs="仿宋_GB2312"/>
          <w:sz w:val="24"/>
          <w:szCs w:val="24"/>
        </w:rPr>
        <w:t>（4）指派驻工地代表，并将其姓名、简历及联系方式书面告知发包人，负责履行合同，组织施工，按期限保质保量完成施工任务，解决由承包人负责的各项事宜；</w:t>
      </w:r>
      <w:r>
        <w:rPr>
          <w:rFonts w:ascii="仿宋" w:hAnsi="仿宋" w:eastAsia="仿宋" w:cs="仿宋_GB2312"/>
          <w:sz w:val="24"/>
          <w:szCs w:val="24"/>
        </w:rPr>
        <w:br w:type="textWrapping"/>
      </w:r>
      <w:r>
        <w:rPr>
          <w:rFonts w:ascii="仿宋" w:hAnsi="仿宋" w:eastAsia="仿宋" w:cs="仿宋_GB2312"/>
          <w:sz w:val="24"/>
          <w:szCs w:val="24"/>
        </w:rPr>
        <w:t>（5）严格执行施工规范、安全操作规程、防火安全和环境保护规定。严格按照图纸或作法说明进行施工，做好各项事宜；</w:t>
      </w:r>
      <w:r>
        <w:rPr>
          <w:rFonts w:ascii="仿宋" w:hAnsi="仿宋" w:eastAsia="仿宋" w:cs="仿宋_GB2312"/>
          <w:sz w:val="24"/>
          <w:szCs w:val="24"/>
        </w:rPr>
        <w:br w:type="textWrapping"/>
      </w:r>
      <w:r>
        <w:rPr>
          <w:rFonts w:ascii="仿宋" w:hAnsi="仿宋" w:eastAsia="仿宋" w:cs="仿宋_GB2312"/>
          <w:sz w:val="24"/>
          <w:szCs w:val="24"/>
        </w:rPr>
        <w:t>（6）遵守政府有关主管部门及物业公司对施工场地交通及通道、施工噪音以及环境保护、安全生产、施工时间等的管理规定，按规定办理有关手续，并以书面形式通知发包人；</w:t>
      </w:r>
      <w:r>
        <w:rPr>
          <w:rFonts w:ascii="仿宋" w:hAnsi="仿宋" w:eastAsia="仿宋" w:cs="仿宋_GB2312"/>
          <w:sz w:val="24"/>
          <w:szCs w:val="24"/>
        </w:rPr>
        <w:br w:type="textWrapping"/>
      </w:r>
      <w:r>
        <w:rPr>
          <w:rFonts w:ascii="仿宋" w:hAnsi="仿宋" w:eastAsia="仿宋" w:cs="仿宋_GB2312"/>
          <w:sz w:val="24"/>
          <w:szCs w:val="24"/>
        </w:rPr>
        <w:t>（7）已竣工工程未交付发包人之前，承包人负责成品的保护工作，保护期间发生损坏，承包人自费予以修复；</w:t>
      </w:r>
      <w:r>
        <w:rPr>
          <w:rFonts w:ascii="仿宋" w:hAnsi="仿宋" w:eastAsia="仿宋" w:cs="仿宋_GB2312"/>
          <w:sz w:val="24"/>
          <w:szCs w:val="24"/>
        </w:rPr>
        <w:br w:type="textWrapping"/>
      </w:r>
      <w:r>
        <w:rPr>
          <w:rFonts w:ascii="仿宋" w:hAnsi="仿宋" w:eastAsia="仿宋" w:cs="仿宋_GB2312"/>
          <w:sz w:val="24"/>
          <w:szCs w:val="24"/>
        </w:rPr>
        <w:t>（8）妥善保管发包人堆放在现场的财产和物品，做好施工所涉设备设施及管线和邻近建筑物、构筑物的保护工作，并承担相关费用，造成损失的由承包人承担责任；</w:t>
      </w:r>
      <w:r>
        <w:rPr>
          <w:rFonts w:ascii="仿宋" w:hAnsi="仿宋" w:eastAsia="仿宋" w:cs="仿宋_GB2312"/>
          <w:sz w:val="24"/>
          <w:szCs w:val="24"/>
        </w:rPr>
        <w:br w:type="textWrapping"/>
      </w:r>
      <w:r>
        <w:rPr>
          <w:rFonts w:ascii="仿宋" w:hAnsi="仿宋" w:eastAsia="仿宋" w:cs="仿宋_GB2312"/>
          <w:sz w:val="24"/>
          <w:szCs w:val="24"/>
        </w:rPr>
        <w:t>（9）保证施工场地清洁符合环境卫生管理的有关规定，交工前清理现场达到规定要求，承担因自身原因违反有关规定造成的损失和罚款；</w:t>
      </w:r>
      <w:r>
        <w:rPr>
          <w:rFonts w:ascii="仿宋" w:hAnsi="仿宋" w:eastAsia="仿宋" w:cs="仿宋_GB2312"/>
          <w:sz w:val="24"/>
          <w:szCs w:val="24"/>
        </w:rPr>
        <w:br w:type="textWrapping"/>
      </w:r>
      <w:r>
        <w:rPr>
          <w:rFonts w:ascii="仿宋" w:hAnsi="仿宋" w:eastAsia="仿宋" w:cs="仿宋_GB2312"/>
          <w:sz w:val="24"/>
          <w:szCs w:val="24"/>
        </w:rPr>
        <w:t>（10）遵守国家或地方政府及有关部门对施工现场管理的规定，做好施工现场保卫和垃圾清运等工作，处理好由于施工带来的扰民问题及与周围单位的关系；</w:t>
      </w:r>
      <w:r>
        <w:rPr>
          <w:rFonts w:ascii="仿宋" w:hAnsi="仿宋" w:eastAsia="仿宋" w:cs="仿宋_GB2312"/>
          <w:sz w:val="24"/>
          <w:szCs w:val="24"/>
        </w:rPr>
        <w:br w:type="textWrapping"/>
      </w:r>
      <w:r>
        <w:rPr>
          <w:rFonts w:ascii="仿宋" w:hAnsi="仿宋" w:eastAsia="仿宋" w:cs="仿宋_GB2312"/>
          <w:sz w:val="24"/>
          <w:szCs w:val="24"/>
        </w:rPr>
        <w:t>（11）施工中未经发包人同意或有关部门批准，不得随意拆改原建筑物结构及各种设备管线。未经发包人同意，承包人擅自拆改原建筑物结构或设备管线，由此发生的损失或造成的事故（包括罚款），由承包人负责并承担损失；</w:t>
      </w:r>
      <w:r>
        <w:rPr>
          <w:rFonts w:ascii="仿宋" w:hAnsi="仿宋" w:eastAsia="仿宋" w:cs="仿宋_GB2312"/>
          <w:sz w:val="24"/>
          <w:szCs w:val="24"/>
        </w:rPr>
        <w:br w:type="textWrapping"/>
      </w:r>
      <w:r>
        <w:rPr>
          <w:rFonts w:ascii="仿宋" w:hAnsi="仿宋" w:eastAsia="仿宋" w:cs="仿宋_GB2312"/>
          <w:sz w:val="24"/>
          <w:szCs w:val="24"/>
        </w:rPr>
        <w:t>（12）承包人有义务事先告知发包人未知的与本工程质量相关的事项，如承包人知道或根据经验应该知道的有关质量问题而未告知发包人，则造成的损失由承包人承担；</w:t>
      </w:r>
      <w:r>
        <w:rPr>
          <w:rFonts w:ascii="仿宋" w:hAnsi="仿宋" w:eastAsia="仿宋" w:cs="仿宋_GB2312"/>
          <w:sz w:val="24"/>
          <w:szCs w:val="24"/>
        </w:rPr>
        <w:br w:type="textWrapping"/>
      </w:r>
      <w:r>
        <w:rPr>
          <w:rFonts w:ascii="仿宋" w:hAnsi="仿宋" w:eastAsia="仿宋" w:cs="仿宋_GB2312"/>
          <w:sz w:val="24"/>
          <w:szCs w:val="24"/>
        </w:rPr>
        <w:t>（13）承包人负责工程的消防验收通过。验收不通过，承包人承担一切损失和责任。但如在消防验收未通过之前发包人擅自使用而造成的验收不通过，发包人承担相应的损失；</w:t>
      </w:r>
      <w:r>
        <w:rPr>
          <w:rFonts w:ascii="仿宋" w:hAnsi="仿宋" w:eastAsia="仿宋" w:cs="仿宋_GB2312"/>
          <w:sz w:val="24"/>
          <w:szCs w:val="24"/>
        </w:rPr>
        <w:br w:type="textWrapping"/>
      </w:r>
      <w:r>
        <w:rPr>
          <w:rFonts w:ascii="仿宋" w:hAnsi="仿宋" w:eastAsia="仿宋" w:cs="仿宋_GB2312"/>
          <w:sz w:val="24"/>
          <w:szCs w:val="24"/>
        </w:rPr>
        <w:t>（14）负责编制竣工验收报告及工程结算报告，并提交发包人审核；</w:t>
      </w:r>
      <w:r>
        <w:rPr>
          <w:rFonts w:ascii="仿宋" w:hAnsi="仿宋" w:eastAsia="仿宋" w:cs="仿宋_GB2312"/>
          <w:sz w:val="24"/>
          <w:szCs w:val="24"/>
        </w:rPr>
        <w:br w:type="textWrapping"/>
      </w:r>
      <w:r>
        <w:rPr>
          <w:rFonts w:ascii="仿宋" w:hAnsi="仿宋" w:eastAsia="仿宋" w:cs="仿宋_GB2312"/>
          <w:sz w:val="24"/>
          <w:szCs w:val="24"/>
        </w:rPr>
        <w:t>（15）承包人享有其他双方约定的权利、承担其他双方约定的义务。</w:t>
      </w:r>
    </w:p>
    <w:p w14:paraId="4C30F0B6">
      <w:pPr>
        <w:spacing w:line="360" w:lineRule="auto"/>
        <w:outlineLvl w:val="9"/>
        <w:rPr>
          <w:rFonts w:ascii="Calibri" w:hAnsi="Calibri" w:eastAsia="仿宋" w:cs="Calibri"/>
          <w:b/>
          <w:bCs/>
          <w:sz w:val="24"/>
          <w:szCs w:val="24"/>
        </w:rPr>
      </w:pPr>
      <w:r>
        <w:rPr>
          <w:rFonts w:ascii="仿宋" w:hAnsi="仿宋" w:eastAsia="仿宋" w:cs="仿宋_GB2312"/>
          <w:sz w:val="24"/>
          <w:szCs w:val="24"/>
        </w:rPr>
        <w:t xml:space="preserve">   </w:t>
      </w:r>
      <w:r>
        <w:rPr>
          <w:rFonts w:ascii="Calibri" w:hAnsi="Calibri" w:eastAsia="仿宋" w:cs="Calibri"/>
          <w:b/>
          <w:bCs/>
          <w:sz w:val="24"/>
          <w:szCs w:val="24"/>
        </w:rPr>
        <w:t>第五条 材料设备供应</w:t>
      </w:r>
    </w:p>
    <w:p w14:paraId="17EC87FE">
      <w:pPr>
        <w:spacing w:line="360" w:lineRule="auto"/>
        <w:outlineLvl w:val="9"/>
        <w:rPr>
          <w:rFonts w:ascii="仿宋" w:hAnsi="仿宋" w:eastAsia="仿宋" w:cs="Times New Roman"/>
          <w:sz w:val="24"/>
          <w:szCs w:val="24"/>
        </w:rPr>
      </w:pPr>
      <w:r>
        <w:rPr>
          <w:rFonts w:ascii="仿宋" w:hAnsi="仿宋" w:eastAsia="仿宋" w:cs="仿宋_GB2312"/>
          <w:sz w:val="24"/>
          <w:szCs w:val="24"/>
        </w:rPr>
        <w:t xml:space="preserve">   （一） 材料设备供应</w:t>
      </w:r>
      <w:r>
        <w:rPr>
          <w:rFonts w:ascii="仿宋" w:hAnsi="仿宋" w:eastAsia="仿宋" w:cs="仿宋_GB2312"/>
          <w:sz w:val="24"/>
          <w:szCs w:val="24"/>
        </w:rPr>
        <w:br w:type="textWrapping"/>
      </w:r>
      <w:r>
        <w:rPr>
          <w:rFonts w:ascii="仿宋" w:hAnsi="仿宋" w:eastAsia="仿宋" w:cs="仿宋_GB2312"/>
          <w:sz w:val="24"/>
          <w:szCs w:val="24"/>
        </w:rPr>
        <w:t>（1）承包人提供的材料设备清单见本合同【附件</w:t>
      </w:r>
      <w:r>
        <w:rPr>
          <w:rFonts w:hint="eastAsia" w:ascii="仿宋" w:hAnsi="仿宋" w:eastAsia="仿宋" w:cs="仿宋_GB2312"/>
          <w:sz w:val="24"/>
          <w:szCs w:val="24"/>
        </w:rPr>
        <w:t>五</w:t>
      </w:r>
      <w:r>
        <w:rPr>
          <w:rFonts w:ascii="仿宋" w:hAnsi="仿宋" w:eastAsia="仿宋" w:cs="仿宋_GB2312"/>
          <w:sz w:val="24"/>
          <w:szCs w:val="24"/>
        </w:rPr>
        <w:t>】。</w:t>
      </w:r>
      <w:r>
        <w:rPr>
          <w:rFonts w:ascii="仿宋" w:hAnsi="仿宋" w:eastAsia="仿宋" w:cs="仿宋_GB2312"/>
          <w:sz w:val="24"/>
          <w:szCs w:val="24"/>
        </w:rPr>
        <w:br w:type="textWrapping"/>
      </w:r>
      <w:r>
        <w:rPr>
          <w:rFonts w:ascii="仿宋" w:hAnsi="仿宋" w:eastAsia="仿宋" w:cs="仿宋_GB2312"/>
          <w:sz w:val="24"/>
          <w:szCs w:val="24"/>
        </w:rPr>
        <w:t>（2）如有发包人供应材料，承包人有义务事先告知发包人准确的材料用量及符合施工条件的材料，否则造成的损失由承包人承担。若发包人不予采纳而造成工程质量问题及材料的浪费，由发包人负责。</w:t>
      </w:r>
    </w:p>
    <w:p w14:paraId="0338D558">
      <w:pPr>
        <w:spacing w:line="360" w:lineRule="auto"/>
        <w:outlineLvl w:val="9"/>
        <w:rPr>
          <w:rFonts w:ascii="仿宋" w:hAnsi="仿宋" w:eastAsia="仿宋" w:cs="Times New Roman"/>
          <w:sz w:val="24"/>
          <w:szCs w:val="24"/>
        </w:rPr>
      </w:pPr>
      <w:r>
        <w:rPr>
          <w:rFonts w:ascii="仿宋" w:hAnsi="仿宋" w:eastAsia="仿宋" w:cs="仿宋_GB2312"/>
          <w:sz w:val="24"/>
          <w:szCs w:val="24"/>
        </w:rPr>
        <w:t xml:space="preserve">   （二） 设备材料质量要求</w:t>
      </w:r>
      <w:r>
        <w:rPr>
          <w:rFonts w:ascii="仿宋" w:hAnsi="仿宋" w:eastAsia="仿宋" w:cs="仿宋_GB2312"/>
          <w:sz w:val="24"/>
          <w:szCs w:val="24"/>
        </w:rPr>
        <w:br w:type="textWrapping"/>
      </w:r>
      <w:r>
        <w:rPr>
          <w:rFonts w:ascii="仿宋" w:hAnsi="仿宋" w:eastAsia="仿宋" w:cs="仿宋_GB2312"/>
          <w:sz w:val="24"/>
          <w:szCs w:val="24"/>
        </w:rPr>
        <w:t>（1）承包人应就其材料设备向发包人提供产品合格证明、使用说明书等文件；若材料设备不符合质量要求，由承包人承担由此发生的责任和费用。</w:t>
      </w:r>
      <w:r>
        <w:rPr>
          <w:rFonts w:ascii="仿宋" w:hAnsi="仿宋" w:eastAsia="仿宋" w:cs="仿宋_GB2312"/>
          <w:sz w:val="24"/>
          <w:szCs w:val="24"/>
        </w:rPr>
        <w:br w:type="textWrapping"/>
      </w:r>
      <w:r>
        <w:rPr>
          <w:rFonts w:ascii="仿宋" w:hAnsi="仿宋" w:eastAsia="仿宋" w:cs="仿宋_GB2312"/>
          <w:sz w:val="24"/>
          <w:szCs w:val="24"/>
        </w:rPr>
        <w:t>（2）凡由承包人采购的材料、设备，如不符合质量要求或规格有差异，应禁止使用。若已使用，对工程造成质量问题及由此发生的损失由承包人承担。</w:t>
      </w:r>
      <w:r>
        <w:rPr>
          <w:rFonts w:ascii="仿宋" w:hAnsi="仿宋" w:eastAsia="仿宋" w:cs="仿宋_GB2312"/>
          <w:sz w:val="24"/>
          <w:szCs w:val="24"/>
        </w:rPr>
        <w:br w:type="textWrapping"/>
      </w:r>
      <w:r>
        <w:rPr>
          <w:rFonts w:ascii="仿宋" w:hAnsi="仿宋" w:eastAsia="仿宋" w:cs="仿宋_GB2312"/>
          <w:sz w:val="24"/>
          <w:szCs w:val="24"/>
        </w:rPr>
        <w:t>（3）凡由承包人供应的材料致使室内甲醛等有害物质浓度含量超标，造成环境污染的，承包人应承担相应责任并赔偿损失。</w:t>
      </w:r>
    </w:p>
    <w:p w14:paraId="5D593848">
      <w:pPr>
        <w:spacing w:line="360" w:lineRule="auto"/>
        <w:outlineLvl w:val="9"/>
        <w:rPr>
          <w:rFonts w:ascii="仿宋" w:hAnsi="仿宋" w:eastAsia="仿宋" w:cs="Times New Roman"/>
          <w:sz w:val="24"/>
          <w:szCs w:val="24"/>
        </w:rPr>
      </w:pPr>
      <w:r>
        <w:rPr>
          <w:rFonts w:ascii="仿宋" w:hAnsi="仿宋" w:eastAsia="仿宋" w:cs="仿宋_GB2312"/>
          <w:sz w:val="24"/>
          <w:szCs w:val="24"/>
        </w:rPr>
        <w:t xml:space="preserve">   （三） 如有发包人供应的材料交由承包人保管的，承包人应妥善保管，如因保管不当造成损失或丢失，由承包人赔偿。</w:t>
      </w:r>
    </w:p>
    <w:p w14:paraId="682A282C">
      <w:pPr>
        <w:keepNext/>
        <w:keepLines/>
        <w:spacing w:line="360" w:lineRule="auto"/>
        <w:jc w:val="left"/>
        <w:outlineLvl w:val="9"/>
        <w:rPr>
          <w:rFonts w:ascii="Calibri" w:hAnsi="Calibri" w:eastAsia="仿宋" w:cs="Calibri"/>
          <w:b/>
          <w:bCs/>
          <w:sz w:val="24"/>
          <w:szCs w:val="24"/>
        </w:rPr>
      </w:pPr>
      <w:r>
        <w:rPr>
          <w:rFonts w:ascii="Calibri" w:hAnsi="Calibri" w:eastAsia="仿宋" w:cs="Calibri"/>
          <w:b/>
          <w:bCs/>
          <w:sz w:val="24"/>
          <w:szCs w:val="24"/>
        </w:rPr>
        <w:t>第六条 工程变更</w:t>
      </w:r>
    </w:p>
    <w:p w14:paraId="0C432B66">
      <w:pPr>
        <w:spacing w:line="360" w:lineRule="auto"/>
        <w:outlineLvl w:val="9"/>
        <w:rPr>
          <w:rFonts w:ascii="仿宋" w:hAnsi="仿宋" w:eastAsia="仿宋" w:cs="Times New Roman"/>
          <w:sz w:val="24"/>
          <w:szCs w:val="24"/>
        </w:rPr>
      </w:pPr>
      <w:r>
        <w:rPr>
          <w:rFonts w:ascii="仿宋" w:hAnsi="仿宋" w:eastAsia="仿宋" w:cs="仿宋_GB2312"/>
          <w:sz w:val="24"/>
          <w:szCs w:val="24"/>
        </w:rPr>
        <w:t xml:space="preserve">   （一） 施工中如发包人对原设计提出的变更未实质影响工程量的（单项子目在</w:t>
      </w:r>
      <w:r>
        <w:rPr>
          <w:rFonts w:ascii="仿宋" w:hAnsi="仿宋" w:eastAsia="仿宋" w:cs="仿宋_GB2312"/>
          <w:sz w:val="24"/>
          <w:szCs w:val="24"/>
          <w:u w:val="single"/>
        </w:rPr>
        <w:t xml:space="preserve"> 1元</w:t>
      </w:r>
      <w:r>
        <w:rPr>
          <w:rFonts w:hint="eastAsia" w:ascii="仿宋" w:hAnsi="仿宋" w:eastAsia="仿宋" w:cs="仿宋_GB2312"/>
          <w:sz w:val="24"/>
          <w:szCs w:val="24"/>
          <w:u w:val="single"/>
        </w:rPr>
        <w:t xml:space="preserve"> </w:t>
      </w:r>
      <w:r>
        <w:rPr>
          <w:rFonts w:ascii="仿宋" w:hAnsi="仿宋" w:eastAsia="仿宋" w:cs="仿宋_GB2312"/>
          <w:sz w:val="24"/>
          <w:szCs w:val="24"/>
          <w:u w:val="single"/>
        </w:rPr>
        <w:t xml:space="preserve"> </w:t>
      </w:r>
      <w:r>
        <w:rPr>
          <w:rFonts w:ascii="仿宋" w:hAnsi="仿宋" w:eastAsia="仿宋" w:cs="仿宋_GB2312"/>
          <w:sz w:val="24"/>
          <w:szCs w:val="24"/>
        </w:rPr>
        <w:t>以内的变更视为未实质影响工程量），应视为合理变更，承包人应按照发包人的要求进行施工，合同价款不变。如发包人对原设计进行重大变更，应在变更前</w:t>
      </w:r>
      <w:r>
        <w:rPr>
          <w:rFonts w:ascii="仿宋" w:hAnsi="仿宋" w:eastAsia="仿宋" w:cs="仿宋_GB2312"/>
          <w:sz w:val="24"/>
          <w:szCs w:val="24"/>
          <w:u w:val="single"/>
        </w:rPr>
        <w:t xml:space="preserve"> 3  </w:t>
      </w:r>
      <w:r>
        <w:rPr>
          <w:rFonts w:ascii="仿宋" w:hAnsi="仿宋" w:eastAsia="仿宋" w:cs="仿宋_GB2312"/>
          <w:sz w:val="24"/>
          <w:szCs w:val="24"/>
        </w:rPr>
        <w:t>天向承包人发出书面变更通知，承包人按通知进行变更。变更涉及工程量增加的，承包人应于接到变更通知后的30天内提出变更价款报告的完整资料，逾期不报变更签认的视为承包人放弃该变更价款的请求权；变更涉及工程量减少的，经双方审核确认后签署相关变更洽商文件。工程变更在发包人审核确认前，只能作为技术洽商，而不作经济洽商或支付依据；所有变更结算将在工程验收合格后，在工程结算办理时一并办理，因变更所涉及款项将与工程尾款一并支付。承包人不得以存在工程变更或者需要办理变更结算手续为由，拖延交付工程，否则将被视为违反本合同约定而承担约定的逾期违约金。</w:t>
      </w:r>
    </w:p>
    <w:p w14:paraId="47F120E8">
      <w:pPr>
        <w:spacing w:line="360" w:lineRule="auto"/>
        <w:outlineLvl w:val="9"/>
        <w:rPr>
          <w:rFonts w:ascii="仿宋" w:hAnsi="仿宋" w:eastAsia="仿宋" w:cs="Times New Roman"/>
          <w:sz w:val="24"/>
          <w:szCs w:val="24"/>
        </w:rPr>
      </w:pPr>
      <w:r>
        <w:rPr>
          <w:rFonts w:ascii="仿宋" w:hAnsi="仿宋" w:eastAsia="仿宋" w:cs="仿宋_GB2312"/>
          <w:sz w:val="24"/>
          <w:szCs w:val="24"/>
        </w:rPr>
        <w:t xml:space="preserve">   （二） 承包人根据现场实际情况提出合理建议涉及到变更设计和对原定材料的更换，以及增减工程量，必须经发包人或发包人代表批准，并签字确认。未经发包人批准签字，承包人擅自变更设计或对原定材料更换，发包人有权不认可，发生的全部费用由承包人承担，且工期不顺延。</w:t>
      </w:r>
    </w:p>
    <w:p w14:paraId="0118B4DE">
      <w:pPr>
        <w:spacing w:line="360" w:lineRule="auto"/>
        <w:outlineLvl w:val="9"/>
        <w:rPr>
          <w:rFonts w:ascii="仿宋" w:hAnsi="仿宋" w:eastAsia="仿宋" w:cs="Times New Roman"/>
          <w:sz w:val="24"/>
          <w:szCs w:val="24"/>
        </w:rPr>
      </w:pPr>
      <w:r>
        <w:rPr>
          <w:rFonts w:ascii="仿宋" w:hAnsi="仿宋" w:eastAsia="仿宋" w:cs="仿宋_GB2312"/>
          <w:sz w:val="24"/>
          <w:szCs w:val="24"/>
        </w:rPr>
        <w:t xml:space="preserve">   （三） 施工中如发现设计有错误或者不合理的地方，承包人应及时以书面形式通知发包人（最迟不得超过发现之时起12小时），由发包人及时会同设计等单位作出修改意见或变更设计文件，并及时将修改或变更的设计文件送达承包人，承包人应按修改或变更的设计文件进行施工。</w:t>
      </w:r>
    </w:p>
    <w:p w14:paraId="5FF8C1C5">
      <w:pPr>
        <w:spacing w:line="360" w:lineRule="auto"/>
        <w:outlineLvl w:val="9"/>
        <w:rPr>
          <w:rFonts w:ascii="仿宋" w:hAnsi="仿宋" w:eastAsia="仿宋" w:cs="Times New Roman"/>
          <w:sz w:val="24"/>
          <w:szCs w:val="24"/>
        </w:rPr>
      </w:pPr>
      <w:r>
        <w:rPr>
          <w:rFonts w:ascii="仿宋" w:hAnsi="仿宋" w:eastAsia="仿宋" w:cs="仿宋_GB2312"/>
          <w:sz w:val="24"/>
          <w:szCs w:val="24"/>
        </w:rPr>
        <w:t xml:space="preserve">   （四） 承包人报发包人的所有签证均应客观、真实、准确，承包人所报的签认材料有错误或失误的，发包人退回承包人进行修正，承包人故意虚报或瞒报的，发包人有权拒绝签认并不再签认本项签证，其相应损失由承包人自行承担。</w:t>
      </w:r>
    </w:p>
    <w:p w14:paraId="0C83D25B">
      <w:pPr>
        <w:spacing w:line="360" w:lineRule="auto"/>
        <w:outlineLvl w:val="9"/>
        <w:rPr>
          <w:rFonts w:ascii="仿宋" w:hAnsi="仿宋" w:eastAsia="仿宋" w:cs="Times New Roman"/>
          <w:sz w:val="24"/>
          <w:szCs w:val="24"/>
        </w:rPr>
      </w:pPr>
      <w:r>
        <w:rPr>
          <w:rFonts w:ascii="仿宋" w:hAnsi="仿宋" w:eastAsia="仿宋" w:cs="仿宋_GB2312"/>
          <w:sz w:val="24"/>
          <w:szCs w:val="24"/>
        </w:rPr>
        <w:t xml:space="preserve">   （五） 对以下原因造成竣工日期推迟的，经发包人书面确认，工期相应顺延，除此以外的其他原因导致竣工日期延误的，由承包人承担违约责任：</w:t>
      </w:r>
      <w:r>
        <w:rPr>
          <w:rFonts w:ascii="仿宋" w:hAnsi="仿宋" w:eastAsia="仿宋" w:cs="仿宋_GB2312"/>
          <w:sz w:val="24"/>
          <w:szCs w:val="24"/>
        </w:rPr>
        <w:br w:type="textWrapping"/>
      </w:r>
      <w:r>
        <w:rPr>
          <w:rFonts w:ascii="仿宋" w:hAnsi="仿宋" w:eastAsia="仿宋" w:cs="仿宋_GB2312"/>
          <w:sz w:val="24"/>
          <w:szCs w:val="24"/>
        </w:rPr>
        <w:t>（1）政府机关或发包人要求承包人暂停施工的；</w:t>
      </w:r>
      <w:r>
        <w:rPr>
          <w:rFonts w:ascii="仿宋" w:hAnsi="仿宋" w:eastAsia="仿宋" w:cs="仿宋_GB2312"/>
          <w:sz w:val="24"/>
          <w:szCs w:val="24"/>
        </w:rPr>
        <w:br w:type="textWrapping"/>
      </w:r>
      <w:r>
        <w:rPr>
          <w:rFonts w:ascii="仿宋" w:hAnsi="仿宋" w:eastAsia="仿宋" w:cs="仿宋_GB2312"/>
          <w:sz w:val="24"/>
          <w:szCs w:val="24"/>
        </w:rPr>
        <w:t>（2）不可抗力；</w:t>
      </w:r>
      <w:r>
        <w:rPr>
          <w:rFonts w:ascii="仿宋" w:hAnsi="仿宋" w:eastAsia="仿宋" w:cs="仿宋_GB2312"/>
          <w:sz w:val="24"/>
          <w:szCs w:val="24"/>
        </w:rPr>
        <w:br w:type="textWrapping"/>
      </w:r>
      <w:r>
        <w:rPr>
          <w:rFonts w:ascii="仿宋" w:hAnsi="仿宋" w:eastAsia="仿宋" w:cs="仿宋_GB2312"/>
          <w:sz w:val="24"/>
          <w:szCs w:val="24"/>
        </w:rPr>
        <w:t>（3）发包人设计变更导致关键线路上的工作延误的。</w:t>
      </w:r>
    </w:p>
    <w:p w14:paraId="4EBDA727">
      <w:pPr>
        <w:spacing w:line="360" w:lineRule="auto"/>
        <w:outlineLvl w:val="9"/>
        <w:rPr>
          <w:rFonts w:ascii="仿宋" w:hAnsi="仿宋" w:eastAsia="仿宋" w:cs="Times New Roman"/>
          <w:sz w:val="24"/>
          <w:szCs w:val="24"/>
        </w:rPr>
      </w:pPr>
      <w:r>
        <w:rPr>
          <w:rFonts w:ascii="仿宋" w:hAnsi="仿宋" w:eastAsia="仿宋" w:cs="仿宋_GB2312"/>
          <w:sz w:val="24"/>
          <w:szCs w:val="24"/>
        </w:rPr>
        <w:t xml:space="preserve">   （六） 承包人负责设计工作的，因施工图设计错误或缺陷造成的所有损失均由承包人承担。</w:t>
      </w:r>
    </w:p>
    <w:p w14:paraId="448296B6">
      <w:pPr>
        <w:keepNext/>
        <w:keepLines/>
        <w:spacing w:line="360" w:lineRule="auto"/>
        <w:jc w:val="left"/>
        <w:outlineLvl w:val="9"/>
        <w:rPr>
          <w:rFonts w:ascii="Calibri" w:hAnsi="Calibri" w:eastAsia="仿宋" w:cs="Calibri"/>
          <w:b/>
          <w:bCs/>
          <w:sz w:val="24"/>
          <w:szCs w:val="24"/>
        </w:rPr>
      </w:pPr>
      <w:r>
        <w:rPr>
          <w:rFonts w:ascii="Calibri" w:hAnsi="Calibri" w:eastAsia="仿宋" w:cs="Calibri"/>
          <w:b/>
          <w:bCs/>
          <w:sz w:val="24"/>
          <w:szCs w:val="24"/>
        </w:rPr>
        <w:t>第七条 检查与返工</w:t>
      </w:r>
    </w:p>
    <w:p w14:paraId="6D1C93C5">
      <w:pPr>
        <w:spacing w:line="360" w:lineRule="auto"/>
        <w:outlineLvl w:val="9"/>
        <w:rPr>
          <w:rFonts w:ascii="仿宋" w:hAnsi="仿宋" w:eastAsia="仿宋" w:cs="Times New Roman"/>
          <w:sz w:val="24"/>
          <w:szCs w:val="24"/>
        </w:rPr>
      </w:pPr>
      <w:r>
        <w:rPr>
          <w:rFonts w:ascii="仿宋" w:hAnsi="仿宋" w:eastAsia="仿宋" w:cs="仿宋_GB2312"/>
          <w:sz w:val="24"/>
          <w:szCs w:val="24"/>
        </w:rPr>
        <w:t xml:space="preserve">   （一） 承包人应认真按照标准、规范、设计的要求和合同的约定进行施工和自检。</w:t>
      </w:r>
    </w:p>
    <w:p w14:paraId="1A399D6D">
      <w:pPr>
        <w:spacing w:line="360" w:lineRule="auto"/>
        <w:outlineLvl w:val="9"/>
        <w:rPr>
          <w:rFonts w:ascii="仿宋" w:hAnsi="仿宋" w:eastAsia="仿宋" w:cs="Times New Roman"/>
          <w:sz w:val="24"/>
          <w:szCs w:val="24"/>
        </w:rPr>
      </w:pPr>
      <w:r>
        <w:rPr>
          <w:rFonts w:ascii="仿宋" w:hAnsi="仿宋" w:eastAsia="仿宋" w:cs="仿宋_GB2312"/>
          <w:sz w:val="24"/>
          <w:szCs w:val="24"/>
        </w:rPr>
        <w:t xml:space="preserve">   （二） 发包人有权随时对承包人进行施工检查，检查发现质量不合格的，承包人应按发包人要求进行返工或修复处理，直至达到发包人要求。发包人进行破坏性检查后发现质量不合格的，承包人自行负责修复或返工费用；检验合格的，由发包人承担必要的返工或修复成本费用。</w:t>
      </w:r>
    </w:p>
    <w:p w14:paraId="4BD0E3D4">
      <w:pPr>
        <w:keepNext/>
        <w:keepLines/>
        <w:spacing w:line="360" w:lineRule="auto"/>
        <w:jc w:val="left"/>
        <w:outlineLvl w:val="9"/>
        <w:rPr>
          <w:rFonts w:ascii="Calibri" w:hAnsi="Calibri" w:eastAsia="仿宋" w:cs="Calibri"/>
          <w:b/>
          <w:bCs/>
          <w:sz w:val="24"/>
          <w:szCs w:val="24"/>
        </w:rPr>
      </w:pPr>
      <w:r>
        <w:rPr>
          <w:rFonts w:ascii="Calibri" w:hAnsi="Calibri" w:eastAsia="仿宋" w:cs="Calibri"/>
          <w:b/>
          <w:bCs/>
          <w:sz w:val="24"/>
          <w:szCs w:val="24"/>
        </w:rPr>
        <w:t>第八条 安全施工</w:t>
      </w:r>
    </w:p>
    <w:p w14:paraId="6B5BC467">
      <w:pPr>
        <w:spacing w:line="360" w:lineRule="auto"/>
        <w:outlineLvl w:val="9"/>
        <w:rPr>
          <w:rFonts w:ascii="仿宋" w:hAnsi="仿宋" w:eastAsia="仿宋" w:cs="Times New Roman"/>
          <w:sz w:val="24"/>
          <w:szCs w:val="24"/>
        </w:rPr>
      </w:pPr>
      <w:r>
        <w:rPr>
          <w:rFonts w:ascii="仿宋" w:hAnsi="仿宋" w:eastAsia="仿宋" w:cs="仿宋_GB2312"/>
          <w:b/>
          <w:bCs/>
          <w:sz w:val="24"/>
          <w:szCs w:val="24"/>
        </w:rPr>
        <w:t>安全施工</w:t>
      </w:r>
      <w:r>
        <w:rPr>
          <w:rFonts w:ascii="仿宋" w:hAnsi="仿宋" w:eastAsia="仿宋" w:cs="仿宋_GB2312"/>
          <w:sz w:val="24"/>
          <w:szCs w:val="24"/>
        </w:rPr>
        <w:br w:type="textWrapping"/>
      </w:r>
      <w:r>
        <w:rPr>
          <w:rFonts w:ascii="仿宋" w:hAnsi="仿宋" w:eastAsia="仿宋" w:cs="仿宋_GB2312"/>
          <w:sz w:val="24"/>
          <w:szCs w:val="24"/>
        </w:rPr>
        <w:t>（一）承包人应遵守工程建设安全生产有关管理规定，严格按安全标准组织施工，并随时接受行业安全检查人员依法实施的监督检查，采取必要的安全防护措施，消除事故隐患。承包人已充分了解施工现场，并负责自行排除施工现场可能的各类隐患。由于承包人措施不力造成事故的责任和因此发生的费用，由承包人承担。</w:t>
      </w:r>
      <w:r>
        <w:rPr>
          <w:rFonts w:ascii="仿宋" w:hAnsi="仿宋" w:eastAsia="仿宋" w:cs="仿宋_GB2312"/>
          <w:sz w:val="24"/>
          <w:szCs w:val="24"/>
        </w:rPr>
        <w:br w:type="textWrapping"/>
      </w:r>
      <w:r>
        <w:rPr>
          <w:rFonts w:ascii="仿宋" w:hAnsi="仿宋" w:eastAsia="仿宋" w:cs="仿宋_GB2312"/>
          <w:sz w:val="24"/>
          <w:szCs w:val="24"/>
        </w:rPr>
        <w:t>（二）承包人应对其在施工场地的工作人员进行安全教育，并对他们的安全负责。发包人不得要求承包人违反安全管理的规定进行施工。</w:t>
      </w:r>
      <w:r>
        <w:rPr>
          <w:rFonts w:ascii="仿宋" w:hAnsi="仿宋" w:eastAsia="仿宋" w:cs="仿宋_GB2312"/>
          <w:sz w:val="24"/>
          <w:szCs w:val="24"/>
        </w:rPr>
        <w:br w:type="textWrapping"/>
      </w:r>
      <w:r>
        <w:rPr>
          <w:rFonts w:ascii="仿宋" w:hAnsi="仿宋" w:eastAsia="仿宋" w:cs="仿宋_GB2312"/>
          <w:sz w:val="24"/>
          <w:szCs w:val="24"/>
        </w:rPr>
        <w:t>（三）发生重大伤亡事故，承包人应按照有关规定立即上报有关部门并通知发包人，同时按政府有关部门要求处理。发包人为抢救提供必要条件，发生的费用由事故责任方承担。</w:t>
      </w:r>
    </w:p>
    <w:p w14:paraId="7C6D3C30">
      <w:pPr>
        <w:keepNext/>
        <w:keepLines/>
        <w:spacing w:line="360" w:lineRule="auto"/>
        <w:jc w:val="left"/>
        <w:outlineLvl w:val="9"/>
        <w:rPr>
          <w:rFonts w:ascii="Calibri" w:hAnsi="Calibri" w:eastAsia="仿宋" w:cs="Calibri"/>
          <w:b/>
          <w:bCs/>
          <w:sz w:val="24"/>
          <w:szCs w:val="24"/>
        </w:rPr>
      </w:pPr>
      <w:r>
        <w:rPr>
          <w:rFonts w:ascii="Calibri" w:hAnsi="Calibri" w:eastAsia="仿宋" w:cs="Calibri"/>
          <w:b/>
          <w:bCs/>
          <w:sz w:val="24"/>
          <w:szCs w:val="24"/>
        </w:rPr>
        <w:t>第九条 工程验收</w:t>
      </w:r>
    </w:p>
    <w:p w14:paraId="0ADC1B16">
      <w:pPr>
        <w:spacing w:line="360" w:lineRule="auto"/>
        <w:outlineLvl w:val="9"/>
        <w:rPr>
          <w:rFonts w:ascii="仿宋" w:hAnsi="仿宋" w:eastAsia="仿宋" w:cs="Times New Roman"/>
          <w:sz w:val="24"/>
          <w:szCs w:val="24"/>
        </w:rPr>
      </w:pPr>
      <w:r>
        <w:rPr>
          <w:rFonts w:ascii="仿宋" w:hAnsi="仿宋" w:eastAsia="仿宋" w:cs="仿宋_GB2312"/>
          <w:sz w:val="24"/>
          <w:szCs w:val="24"/>
        </w:rPr>
        <w:t xml:space="preserve">   （一） 工程验收</w:t>
      </w:r>
      <w:r>
        <w:rPr>
          <w:rFonts w:ascii="仿宋" w:hAnsi="仿宋" w:eastAsia="仿宋" w:cs="仿宋_GB2312"/>
          <w:sz w:val="24"/>
          <w:szCs w:val="24"/>
        </w:rPr>
        <w:br w:type="textWrapping"/>
      </w:r>
      <w:r>
        <w:rPr>
          <w:rFonts w:ascii="仿宋" w:hAnsi="仿宋" w:eastAsia="仿宋" w:cs="仿宋_GB2312"/>
          <w:sz w:val="24"/>
          <w:szCs w:val="24"/>
        </w:rPr>
        <w:t>（1）工程完工后，承包人应书面通知发包人验收，并向发包人提交竣工验收报告和完整的竣工验收资料，发包人收到竣工资料和竣工验收报告应及时组织验收。验收合格，由发包人书面确认。</w:t>
      </w:r>
      <w:r>
        <w:rPr>
          <w:rFonts w:ascii="仿宋" w:hAnsi="仿宋" w:eastAsia="仿宋" w:cs="仿宋_GB2312"/>
          <w:sz w:val="24"/>
          <w:szCs w:val="24"/>
        </w:rPr>
        <w:br w:type="textWrapping"/>
      </w:r>
      <w:r>
        <w:rPr>
          <w:rFonts w:ascii="仿宋" w:hAnsi="仿宋" w:eastAsia="仿宋" w:cs="仿宋_GB2312"/>
          <w:sz w:val="24"/>
          <w:szCs w:val="24"/>
        </w:rPr>
        <w:t>（2）发包人和承包人双方应及时办理隐蔽工程和中间工程的检查与验收手续。当工程具备覆盖、遮盖条件或达到中间验收标准（如水管及电线管的凿槽暗敷恢复工作），承包人自检，并于八小时前通知发包人参加，验收合格，发包人或发包人代表在验收记录上签字后，方可进行隐蔽工程继续施工。</w:t>
      </w:r>
      <w:r>
        <w:rPr>
          <w:rFonts w:ascii="仿宋" w:hAnsi="仿宋" w:eastAsia="仿宋" w:cs="仿宋_GB2312"/>
          <w:sz w:val="24"/>
          <w:szCs w:val="24"/>
        </w:rPr>
        <w:br w:type="textWrapping"/>
      </w:r>
      <w:r>
        <w:rPr>
          <w:rFonts w:ascii="仿宋" w:hAnsi="仿宋" w:eastAsia="仿宋" w:cs="仿宋_GB2312"/>
          <w:sz w:val="24"/>
          <w:szCs w:val="24"/>
        </w:rPr>
        <w:t>（3）验收不合格的，承包人应在发包人确定的合理期限内完成整改，经整改仍不合格或承包人在发包人确定的合理期限内未完成整改的，发包人可委托第三方进行整改，所需费用由承包人承担，发包人有权直接从承包人工程款中直接扣除该等费用。发包人有其他损失的，承包人还应负责赔偿。</w:t>
      </w:r>
    </w:p>
    <w:p w14:paraId="2A79F5CE">
      <w:pPr>
        <w:spacing w:line="360" w:lineRule="auto"/>
        <w:outlineLvl w:val="9"/>
        <w:rPr>
          <w:rFonts w:ascii="仿宋" w:hAnsi="仿宋" w:eastAsia="仿宋" w:cs="Times New Roman"/>
          <w:sz w:val="24"/>
          <w:szCs w:val="24"/>
        </w:rPr>
      </w:pPr>
      <w:r>
        <w:rPr>
          <w:rFonts w:ascii="仿宋" w:hAnsi="仿宋" w:eastAsia="仿宋" w:cs="仿宋_GB2312"/>
          <w:sz w:val="24"/>
          <w:szCs w:val="24"/>
        </w:rPr>
        <w:t xml:space="preserve">   （二） 验收标准</w:t>
      </w:r>
      <w:r>
        <w:rPr>
          <w:rFonts w:ascii="仿宋" w:hAnsi="仿宋" w:eastAsia="仿宋" w:cs="仿宋_GB2312"/>
          <w:sz w:val="24"/>
          <w:szCs w:val="24"/>
        </w:rPr>
        <w:br w:type="textWrapping"/>
      </w:r>
      <w:r>
        <w:rPr>
          <w:rFonts w:ascii="仿宋" w:hAnsi="仿宋" w:eastAsia="仿宋" w:cs="仿宋_GB2312"/>
          <w:sz w:val="24"/>
          <w:szCs w:val="24"/>
        </w:rPr>
        <w:t>本工程质量评定验收标准的依据：</w:t>
      </w:r>
      <w:r>
        <w:rPr>
          <w:rFonts w:ascii="仿宋" w:hAnsi="仿宋" w:eastAsia="仿宋" w:cs="仿宋_GB2312"/>
          <w:sz w:val="24"/>
          <w:szCs w:val="24"/>
        </w:rPr>
        <w:br w:type="textWrapping"/>
      </w:r>
      <w:r>
        <w:rPr>
          <w:rFonts w:ascii="仿宋" w:hAnsi="仿宋" w:eastAsia="仿宋" w:cs="仿宋_GB2312"/>
          <w:sz w:val="24"/>
          <w:szCs w:val="24"/>
        </w:rPr>
        <w:t>（1）施工图纸、作法说明、设计变更、施工技术文件等；</w:t>
      </w:r>
      <w:r>
        <w:rPr>
          <w:rFonts w:ascii="仿宋" w:hAnsi="仿宋" w:eastAsia="仿宋" w:cs="仿宋_GB2312"/>
          <w:sz w:val="24"/>
          <w:szCs w:val="24"/>
        </w:rPr>
        <w:br w:type="textWrapping"/>
      </w:r>
      <w:r>
        <w:rPr>
          <w:rFonts w:ascii="仿宋" w:hAnsi="仿宋" w:eastAsia="仿宋" w:cs="仿宋_GB2312"/>
          <w:sz w:val="24"/>
          <w:szCs w:val="24"/>
        </w:rPr>
        <w:t>（2）有关工程质量的相关法律法规的规定，以及国家有关施工验收规范、室内环境污染控制规范；</w:t>
      </w:r>
      <w:r>
        <w:rPr>
          <w:rFonts w:ascii="仿宋" w:hAnsi="仿宋" w:eastAsia="仿宋" w:cs="仿宋_GB2312"/>
          <w:sz w:val="24"/>
          <w:szCs w:val="24"/>
        </w:rPr>
        <w:br w:type="textWrapping"/>
      </w:r>
      <w:r>
        <w:rPr>
          <w:rFonts w:ascii="仿宋" w:hAnsi="仿宋" w:eastAsia="仿宋" w:cs="仿宋_GB2312"/>
          <w:sz w:val="24"/>
          <w:szCs w:val="24"/>
        </w:rPr>
        <w:t>（3）招标文件、本合同对工程的具体要求。</w:t>
      </w:r>
    </w:p>
    <w:p w14:paraId="5F5A45CB">
      <w:pPr>
        <w:spacing w:line="360" w:lineRule="auto"/>
        <w:outlineLvl w:val="9"/>
        <w:rPr>
          <w:rFonts w:ascii="仿宋" w:hAnsi="仿宋" w:eastAsia="仿宋" w:cs="Times New Roman"/>
          <w:sz w:val="24"/>
          <w:szCs w:val="24"/>
        </w:rPr>
      </w:pPr>
      <w:r>
        <w:rPr>
          <w:rFonts w:ascii="仿宋" w:hAnsi="仿宋" w:eastAsia="仿宋" w:cs="仿宋_GB2312"/>
          <w:sz w:val="24"/>
          <w:szCs w:val="24"/>
        </w:rPr>
        <w:t xml:space="preserve">   （三） 工程阶段验收项目：_</w:t>
      </w:r>
      <w:r>
        <w:rPr>
          <w:rFonts w:hint="eastAsia" w:ascii="仿宋" w:hAnsi="仿宋" w:eastAsia="仿宋" w:cs="仿宋_GB2312"/>
          <w:sz w:val="24"/>
          <w:szCs w:val="24"/>
          <w:lang w:val="en-US" w:eastAsia="zh-CN"/>
        </w:rPr>
        <w:t>/</w:t>
      </w:r>
      <w:r>
        <w:rPr>
          <w:rFonts w:ascii="仿宋" w:hAnsi="仿宋" w:eastAsia="仿宋" w:cs="仿宋_GB2312"/>
          <w:sz w:val="24"/>
          <w:szCs w:val="24"/>
        </w:rPr>
        <w:t>______</w:t>
      </w:r>
    </w:p>
    <w:p w14:paraId="270E2F05">
      <w:pPr>
        <w:keepNext/>
        <w:keepLines/>
        <w:spacing w:line="360" w:lineRule="auto"/>
        <w:jc w:val="left"/>
        <w:outlineLvl w:val="9"/>
        <w:rPr>
          <w:rFonts w:ascii="Calibri" w:hAnsi="Calibri" w:eastAsia="仿宋" w:cs="Calibri"/>
          <w:b/>
          <w:bCs/>
          <w:sz w:val="24"/>
          <w:szCs w:val="24"/>
        </w:rPr>
      </w:pPr>
      <w:r>
        <w:rPr>
          <w:rFonts w:ascii="Calibri" w:hAnsi="Calibri" w:eastAsia="仿宋" w:cs="Calibri"/>
          <w:b/>
          <w:bCs/>
          <w:sz w:val="24"/>
          <w:szCs w:val="24"/>
        </w:rPr>
        <w:t>第十条 工程结算</w:t>
      </w:r>
    </w:p>
    <w:p w14:paraId="1E2DE83A">
      <w:pPr>
        <w:spacing w:line="360" w:lineRule="auto"/>
        <w:outlineLvl w:val="9"/>
        <w:rPr>
          <w:rFonts w:ascii="仿宋" w:hAnsi="仿宋" w:eastAsia="仿宋" w:cs="Times New Roman"/>
          <w:sz w:val="24"/>
          <w:szCs w:val="24"/>
        </w:rPr>
      </w:pPr>
      <w:r>
        <w:rPr>
          <w:rFonts w:ascii="仿宋" w:hAnsi="仿宋" w:eastAsia="仿宋" w:cs="仿宋_GB2312"/>
          <w:sz w:val="24"/>
          <w:szCs w:val="24"/>
        </w:rPr>
        <w:t xml:space="preserve">   （一） 工程验收合格后，承包人应向发包人提交工程结算报告和完整的结算资料，发包人收到工程结算报告和完整的结算资料后应及时进行结算。结算总价按照</w:t>
      </w:r>
      <w:r>
        <w:rPr>
          <w:rFonts w:hint="eastAsia" w:ascii="仿宋" w:hAnsi="仿宋" w:eastAsia="仿宋" w:cs="仿宋_GB2312"/>
          <w:sz w:val="24"/>
          <w:szCs w:val="24"/>
        </w:rPr>
        <w:t>合同约定的</w:t>
      </w:r>
      <w:r>
        <w:rPr>
          <w:rFonts w:ascii="仿宋" w:hAnsi="仿宋" w:eastAsia="仿宋" w:cs="仿宋_GB2312"/>
          <w:sz w:val="24"/>
          <w:szCs w:val="24"/>
        </w:rPr>
        <w:t>清单</w:t>
      </w:r>
      <w:r>
        <w:rPr>
          <w:rFonts w:hint="eastAsia" w:ascii="仿宋" w:hAnsi="仿宋" w:eastAsia="仿宋" w:cs="仿宋_GB2312"/>
          <w:sz w:val="24"/>
          <w:szCs w:val="24"/>
        </w:rPr>
        <w:t>单价（清单没有的项目按双方商定的价格）、施工图工程量以及计价清单中的计价程序计算。</w:t>
      </w:r>
    </w:p>
    <w:p w14:paraId="01E23F57">
      <w:pPr>
        <w:spacing w:line="360" w:lineRule="auto"/>
        <w:outlineLvl w:val="9"/>
        <w:rPr>
          <w:rFonts w:ascii="仿宋" w:hAnsi="仿宋" w:eastAsia="仿宋" w:cs="Times New Roman"/>
          <w:sz w:val="24"/>
          <w:szCs w:val="24"/>
        </w:rPr>
      </w:pPr>
      <w:r>
        <w:rPr>
          <w:rFonts w:ascii="仿宋" w:hAnsi="仿宋" w:eastAsia="仿宋" w:cs="仿宋_GB2312"/>
          <w:sz w:val="24"/>
          <w:szCs w:val="24"/>
        </w:rPr>
        <w:t xml:space="preserve">   （二） 变更费用按本合同约定的</w:t>
      </w:r>
      <w:r>
        <w:rPr>
          <w:rFonts w:hint="eastAsia" w:ascii="仿宋" w:hAnsi="仿宋" w:eastAsia="仿宋" w:cs="仿宋_GB2312"/>
          <w:sz w:val="24"/>
          <w:szCs w:val="24"/>
        </w:rPr>
        <w:t>单价（清单没有的项目按双方商定的价格）</w:t>
      </w:r>
      <w:r>
        <w:rPr>
          <w:rFonts w:ascii="仿宋" w:hAnsi="仿宋" w:eastAsia="仿宋" w:cs="仿宋_GB2312"/>
          <w:sz w:val="24"/>
          <w:szCs w:val="24"/>
        </w:rPr>
        <w:t>，以及双方书面签署确认的变更价款洽商文件（工程签证单）进行结算。</w:t>
      </w:r>
    </w:p>
    <w:p w14:paraId="362EDEB9">
      <w:pPr>
        <w:keepNext/>
        <w:keepLines/>
        <w:spacing w:line="360" w:lineRule="auto"/>
        <w:jc w:val="left"/>
        <w:outlineLvl w:val="9"/>
        <w:rPr>
          <w:rFonts w:ascii="Calibri" w:hAnsi="Calibri" w:eastAsia="仿宋" w:cs="Calibri"/>
          <w:b/>
          <w:bCs/>
          <w:sz w:val="24"/>
          <w:szCs w:val="24"/>
        </w:rPr>
      </w:pPr>
      <w:r>
        <w:rPr>
          <w:rFonts w:ascii="Calibri" w:hAnsi="Calibri" w:eastAsia="仿宋" w:cs="Calibri"/>
          <w:b/>
          <w:bCs/>
          <w:sz w:val="24"/>
          <w:szCs w:val="24"/>
        </w:rPr>
        <w:t>第十一条 保修(适用于建设工程施工合同)</w:t>
      </w:r>
    </w:p>
    <w:p w14:paraId="72CAB5E8">
      <w:pPr>
        <w:spacing w:line="360" w:lineRule="auto"/>
        <w:outlineLvl w:val="9"/>
        <w:rPr>
          <w:rFonts w:ascii="仿宋" w:hAnsi="仿宋" w:eastAsia="仿宋" w:cs="Times New Roman"/>
          <w:sz w:val="24"/>
          <w:szCs w:val="24"/>
        </w:rPr>
      </w:pPr>
      <w:r>
        <w:rPr>
          <w:rFonts w:ascii="仿宋" w:hAnsi="仿宋" w:eastAsia="仿宋" w:cs="仿宋_GB2312"/>
          <w:b/>
          <w:bCs/>
          <w:sz w:val="24"/>
          <w:szCs w:val="24"/>
        </w:rPr>
        <w:t>保修</w:t>
      </w:r>
      <w:r>
        <w:rPr>
          <w:rFonts w:ascii="仿宋" w:hAnsi="仿宋" w:eastAsia="仿宋" w:cs="仿宋_GB2312"/>
          <w:sz w:val="24"/>
          <w:szCs w:val="24"/>
        </w:rPr>
        <w:br w:type="textWrapping"/>
      </w:r>
      <w:r>
        <w:rPr>
          <w:rFonts w:ascii="仿宋" w:hAnsi="仿宋" w:eastAsia="仿宋" w:cs="仿宋_GB2312"/>
          <w:sz w:val="24"/>
          <w:szCs w:val="24"/>
        </w:rPr>
        <w:t>保修期内乙方对工程项目提供保修维护服务，具体内容及方式见【附件六】，甲方不再就此支付任何费用。</w:t>
      </w:r>
    </w:p>
    <w:p w14:paraId="01D541E9">
      <w:pPr>
        <w:keepNext/>
        <w:keepLines/>
        <w:spacing w:line="360" w:lineRule="auto"/>
        <w:jc w:val="left"/>
        <w:outlineLvl w:val="9"/>
        <w:rPr>
          <w:rFonts w:ascii="Calibri" w:hAnsi="Calibri" w:eastAsia="仿宋" w:cs="Calibri"/>
          <w:b/>
          <w:bCs/>
          <w:sz w:val="24"/>
          <w:szCs w:val="24"/>
        </w:rPr>
      </w:pPr>
      <w:r>
        <w:rPr>
          <w:rFonts w:ascii="Calibri" w:hAnsi="Calibri" w:eastAsia="仿宋" w:cs="Calibri"/>
          <w:b/>
          <w:bCs/>
          <w:sz w:val="24"/>
          <w:szCs w:val="24"/>
        </w:rPr>
        <w:t>第十二条 禁止分包与转让</w:t>
      </w:r>
    </w:p>
    <w:p w14:paraId="6D5E1267">
      <w:pPr>
        <w:spacing w:line="360" w:lineRule="auto"/>
        <w:outlineLvl w:val="9"/>
        <w:rPr>
          <w:rFonts w:ascii="仿宋" w:hAnsi="仿宋" w:eastAsia="仿宋" w:cs="Times New Roman"/>
          <w:sz w:val="24"/>
          <w:szCs w:val="24"/>
        </w:rPr>
      </w:pPr>
      <w:r>
        <w:rPr>
          <w:rFonts w:ascii="仿宋" w:hAnsi="仿宋" w:eastAsia="仿宋" w:cs="仿宋_GB2312"/>
          <w:sz w:val="24"/>
          <w:szCs w:val="24"/>
        </w:rPr>
        <w:t xml:space="preserve">   （一） 非经发包人事先书面同意，承包人不得将承包工程的任何部分分包。</w:t>
      </w:r>
    </w:p>
    <w:p w14:paraId="15ABEE5B">
      <w:pPr>
        <w:spacing w:line="360" w:lineRule="auto"/>
        <w:outlineLvl w:val="9"/>
        <w:rPr>
          <w:rFonts w:ascii="仿宋" w:hAnsi="仿宋" w:eastAsia="仿宋" w:cs="Times New Roman"/>
          <w:sz w:val="24"/>
          <w:szCs w:val="24"/>
        </w:rPr>
      </w:pPr>
      <w:r>
        <w:rPr>
          <w:rFonts w:ascii="仿宋" w:hAnsi="仿宋" w:eastAsia="仿宋" w:cs="仿宋_GB2312"/>
          <w:sz w:val="24"/>
          <w:szCs w:val="24"/>
        </w:rPr>
        <w:t xml:space="preserve">   （二） 承包人不得将其承包的全部工程转包给他人，也不得将其承包的全部工程肢解以后以分包的名义分别转包给他人。</w:t>
      </w:r>
    </w:p>
    <w:p w14:paraId="37945CCE">
      <w:pPr>
        <w:spacing w:line="360" w:lineRule="auto"/>
        <w:outlineLvl w:val="9"/>
        <w:rPr>
          <w:rFonts w:ascii="仿宋" w:hAnsi="仿宋" w:eastAsia="仿宋" w:cs="Times New Roman"/>
          <w:sz w:val="24"/>
          <w:szCs w:val="24"/>
        </w:rPr>
      </w:pPr>
      <w:r>
        <w:rPr>
          <w:rFonts w:ascii="仿宋" w:hAnsi="仿宋" w:eastAsia="仿宋" w:cs="仿宋_GB2312"/>
          <w:sz w:val="24"/>
          <w:szCs w:val="24"/>
        </w:rPr>
        <w:t xml:space="preserve">   （三） 承包人将其承包的全部工程转包给他人或者肢解以后以分包的名义分别转包给他人，发包人有权解除合同，本合同自解除通知送达承包人之日或发包人指定日期届至时解除。</w:t>
      </w:r>
    </w:p>
    <w:p w14:paraId="1663F149">
      <w:pPr>
        <w:spacing w:line="360" w:lineRule="auto"/>
        <w:outlineLvl w:val="9"/>
        <w:rPr>
          <w:rFonts w:ascii="仿宋" w:hAnsi="仿宋" w:eastAsia="仿宋" w:cs="Times New Roman"/>
          <w:sz w:val="24"/>
          <w:szCs w:val="24"/>
        </w:rPr>
      </w:pPr>
      <w:r>
        <w:rPr>
          <w:rFonts w:ascii="仿宋" w:hAnsi="仿宋" w:eastAsia="仿宋" w:cs="仿宋_GB2312"/>
          <w:sz w:val="24"/>
          <w:szCs w:val="24"/>
        </w:rPr>
        <w:t xml:space="preserve">   （四） 未经发包人书面同意，承包人不得将其本合同项下之全部义务或其中一部分义务转让给第三方执行。</w:t>
      </w:r>
    </w:p>
    <w:p w14:paraId="0503E924">
      <w:pPr>
        <w:keepNext/>
        <w:keepLines/>
        <w:spacing w:line="360" w:lineRule="auto"/>
        <w:jc w:val="left"/>
        <w:outlineLvl w:val="9"/>
        <w:rPr>
          <w:rFonts w:ascii="Calibri" w:hAnsi="Calibri" w:eastAsia="仿宋" w:cs="Calibri"/>
          <w:b/>
          <w:bCs/>
          <w:sz w:val="24"/>
          <w:szCs w:val="24"/>
        </w:rPr>
      </w:pPr>
      <w:r>
        <w:rPr>
          <w:rFonts w:ascii="Calibri" w:hAnsi="Calibri" w:eastAsia="仿宋" w:cs="Calibri"/>
          <w:b/>
          <w:bCs/>
          <w:sz w:val="24"/>
          <w:szCs w:val="24"/>
        </w:rPr>
        <w:t>第十三条 权利保证</w:t>
      </w:r>
    </w:p>
    <w:p w14:paraId="2FECC2B9">
      <w:pPr>
        <w:spacing w:line="360" w:lineRule="auto"/>
        <w:outlineLvl w:val="9"/>
        <w:rPr>
          <w:rFonts w:ascii="仿宋" w:hAnsi="仿宋" w:eastAsia="仿宋" w:cs="Times New Roman"/>
          <w:sz w:val="24"/>
          <w:szCs w:val="24"/>
        </w:rPr>
      </w:pPr>
      <w:r>
        <w:rPr>
          <w:rFonts w:ascii="仿宋" w:hAnsi="仿宋" w:eastAsia="仿宋" w:cs="仿宋_GB2312"/>
          <w:b/>
          <w:bCs/>
          <w:sz w:val="24"/>
          <w:szCs w:val="24"/>
        </w:rPr>
        <w:t>权利保证</w:t>
      </w:r>
      <w:r>
        <w:rPr>
          <w:rFonts w:ascii="仿宋" w:hAnsi="仿宋" w:eastAsia="仿宋" w:cs="仿宋_GB2312"/>
          <w:sz w:val="24"/>
          <w:szCs w:val="24"/>
        </w:rPr>
        <w:br w:type="textWrapping"/>
      </w:r>
      <w:r>
        <w:rPr>
          <w:rFonts w:ascii="仿宋" w:hAnsi="仿宋" w:eastAsia="仿宋" w:cs="仿宋_GB2312"/>
          <w:sz w:val="24"/>
          <w:szCs w:val="24"/>
        </w:rPr>
        <w:t>乙方确保因乙方原因，导致第三方主张权利或者甲方遭受索赔，乙方应负责解决并应当赔偿甲方为此而支付的一切费用以及因此而给甲方造成的全部损失（包括但不限于甲方支出的律师费、仲裁费、诉讼费以及向第三方支付的赔偿金）。</w:t>
      </w:r>
    </w:p>
    <w:p w14:paraId="5CB94D83">
      <w:pPr>
        <w:keepNext/>
        <w:keepLines/>
        <w:spacing w:line="360" w:lineRule="auto"/>
        <w:jc w:val="left"/>
        <w:outlineLvl w:val="9"/>
        <w:rPr>
          <w:rFonts w:ascii="Calibri" w:hAnsi="Calibri" w:eastAsia="仿宋" w:cs="Calibri"/>
          <w:b/>
          <w:bCs/>
          <w:sz w:val="24"/>
          <w:szCs w:val="24"/>
        </w:rPr>
      </w:pPr>
      <w:r>
        <w:rPr>
          <w:rFonts w:ascii="Calibri" w:hAnsi="Calibri" w:eastAsia="仿宋" w:cs="Calibri"/>
          <w:b/>
          <w:bCs/>
          <w:sz w:val="24"/>
          <w:szCs w:val="24"/>
        </w:rPr>
        <w:t>第十四条 违约责任</w:t>
      </w:r>
    </w:p>
    <w:p w14:paraId="479A78B5">
      <w:pPr>
        <w:spacing w:line="360" w:lineRule="auto"/>
        <w:outlineLvl w:val="9"/>
        <w:rPr>
          <w:rFonts w:ascii="仿宋" w:hAnsi="仿宋" w:eastAsia="仿宋" w:cs="Times New Roman"/>
          <w:sz w:val="24"/>
          <w:szCs w:val="24"/>
        </w:rPr>
      </w:pPr>
      <w:r>
        <w:rPr>
          <w:rFonts w:ascii="仿宋" w:hAnsi="仿宋" w:eastAsia="仿宋" w:cs="仿宋_GB2312"/>
          <w:sz w:val="24"/>
          <w:szCs w:val="24"/>
        </w:rPr>
        <w:t xml:space="preserve">   （一） 发包人或承包人不能按本合同条款约定内容履行自己的各项义务及发生使合同无法履行的行为，应承担相应的违约责任，包括支付违约金、赔偿因其违约给对方造成的全部经济损失。</w:t>
      </w:r>
    </w:p>
    <w:p w14:paraId="30F23EC6">
      <w:pPr>
        <w:spacing w:line="360" w:lineRule="auto"/>
        <w:outlineLvl w:val="9"/>
        <w:rPr>
          <w:rFonts w:ascii="仿宋" w:hAnsi="仿宋" w:eastAsia="仿宋" w:cs="Times New Roman"/>
          <w:sz w:val="24"/>
          <w:szCs w:val="24"/>
        </w:rPr>
      </w:pPr>
      <w:r>
        <w:rPr>
          <w:rFonts w:ascii="仿宋" w:hAnsi="仿宋" w:eastAsia="仿宋" w:cs="仿宋_GB2312"/>
          <w:sz w:val="24"/>
          <w:szCs w:val="24"/>
        </w:rPr>
        <w:t xml:space="preserve">   （二） 发包人未按本合同的约定支付合同价款，经承包人书面催告后7日内仍未支付的，每逾期一日，按应付款金额</w:t>
      </w:r>
      <w:r>
        <w:rPr>
          <w:rFonts w:ascii="仿宋" w:hAnsi="仿宋" w:eastAsia="仿宋" w:cs="仿宋_GB2312"/>
          <w:sz w:val="24"/>
          <w:szCs w:val="24"/>
          <w:u w:val="single"/>
        </w:rPr>
        <w:t xml:space="preserve"> 0.1 </w:t>
      </w:r>
      <w:r>
        <w:rPr>
          <w:rFonts w:ascii="仿宋" w:hAnsi="仿宋" w:eastAsia="仿宋" w:cs="仿宋_GB2312"/>
          <w:sz w:val="24"/>
          <w:szCs w:val="24"/>
        </w:rPr>
        <w:t xml:space="preserve"> %向承包人支付违约金。</w:t>
      </w:r>
    </w:p>
    <w:p w14:paraId="3C89684F">
      <w:pPr>
        <w:spacing w:line="360" w:lineRule="auto"/>
        <w:outlineLvl w:val="9"/>
        <w:rPr>
          <w:rFonts w:ascii="仿宋" w:hAnsi="仿宋" w:eastAsia="仿宋" w:cs="Times New Roman"/>
          <w:sz w:val="24"/>
          <w:szCs w:val="24"/>
        </w:rPr>
      </w:pPr>
      <w:r>
        <w:rPr>
          <w:rFonts w:ascii="仿宋" w:hAnsi="仿宋" w:eastAsia="仿宋" w:cs="仿宋_GB2312"/>
          <w:sz w:val="24"/>
          <w:szCs w:val="24"/>
        </w:rPr>
        <w:t xml:space="preserve">   （三） 除发包人批准的工期顺延外，因承包人原因不能按本合同约定的工期完成本工程的，每逾期一日，向发包人支付本合同约定的合同总价款</w:t>
      </w:r>
      <w:r>
        <w:rPr>
          <w:rFonts w:ascii="仿宋" w:hAnsi="仿宋" w:eastAsia="仿宋" w:cs="仿宋_GB2312"/>
          <w:sz w:val="24"/>
          <w:szCs w:val="24"/>
          <w:u w:val="single"/>
        </w:rPr>
        <w:t xml:space="preserve"> 0.1 </w:t>
      </w:r>
      <w:r>
        <w:rPr>
          <w:rFonts w:ascii="仿宋" w:hAnsi="仿宋" w:eastAsia="仿宋" w:cs="仿宋_GB2312"/>
          <w:sz w:val="24"/>
          <w:szCs w:val="24"/>
        </w:rPr>
        <w:t>%的逾期违约金。</w:t>
      </w:r>
    </w:p>
    <w:p w14:paraId="7FD184EC">
      <w:pPr>
        <w:spacing w:line="360" w:lineRule="auto"/>
        <w:outlineLvl w:val="9"/>
        <w:rPr>
          <w:rFonts w:ascii="仿宋" w:hAnsi="仿宋" w:eastAsia="仿宋" w:cs="Times New Roman"/>
          <w:sz w:val="24"/>
          <w:szCs w:val="24"/>
        </w:rPr>
      </w:pPr>
      <w:r>
        <w:rPr>
          <w:rFonts w:ascii="仿宋" w:hAnsi="仿宋" w:eastAsia="仿宋" w:cs="仿宋_GB2312"/>
          <w:sz w:val="24"/>
          <w:szCs w:val="24"/>
        </w:rPr>
        <w:t xml:space="preserve">   （四） </w:t>
      </w:r>
      <w:r>
        <w:rPr>
          <w:rFonts w:ascii="仿宋" w:hAnsi="仿宋" w:eastAsia="仿宋" w:cs="仿宋_GB2312"/>
          <w:b/>
          <w:bCs/>
          <w:sz w:val="24"/>
          <w:szCs w:val="24"/>
        </w:rPr>
        <w:t>承包人瑕疵履行的违约责任</w:t>
      </w:r>
      <w:r>
        <w:rPr>
          <w:rFonts w:ascii="仿宋" w:hAnsi="仿宋" w:eastAsia="仿宋" w:cs="仿宋_GB2312"/>
          <w:sz w:val="24"/>
          <w:szCs w:val="24"/>
        </w:rPr>
        <w:br w:type="textWrapping"/>
      </w:r>
      <w:r>
        <w:rPr>
          <w:rFonts w:ascii="仿宋" w:hAnsi="仿宋" w:eastAsia="仿宋" w:cs="仿宋_GB2312"/>
          <w:sz w:val="24"/>
          <w:szCs w:val="24"/>
        </w:rPr>
        <w:t>（1）本合同工程完工后，因工程存在较大质量问题不能通过验收，且经整改后仍无法达到约定质量标准的，发包人有权解除合同，承包人应向发包人支付本合同约定的总价款</w:t>
      </w:r>
      <w:r>
        <w:rPr>
          <w:rFonts w:ascii="仿宋" w:hAnsi="仿宋" w:eastAsia="仿宋" w:cs="仿宋_GB2312"/>
          <w:sz w:val="24"/>
          <w:szCs w:val="24"/>
          <w:u w:val="single"/>
        </w:rPr>
        <w:t xml:space="preserve"> 5 </w:t>
      </w:r>
      <w:r>
        <w:rPr>
          <w:rFonts w:ascii="仿宋" w:hAnsi="仿宋" w:eastAsia="仿宋" w:cs="仿宋_GB2312"/>
          <w:sz w:val="24"/>
          <w:szCs w:val="24"/>
        </w:rPr>
        <w:t>%的质量违约金。</w:t>
      </w:r>
      <w:r>
        <w:rPr>
          <w:rFonts w:ascii="仿宋" w:hAnsi="仿宋" w:eastAsia="仿宋" w:cs="仿宋_GB2312"/>
          <w:sz w:val="24"/>
          <w:szCs w:val="24"/>
        </w:rPr>
        <w:br w:type="textWrapping"/>
      </w:r>
      <w:r>
        <w:rPr>
          <w:rFonts w:ascii="仿宋" w:hAnsi="仿宋" w:eastAsia="仿宋" w:cs="仿宋_GB2312"/>
          <w:sz w:val="24"/>
          <w:szCs w:val="24"/>
        </w:rPr>
        <w:t>（2）因承包人施工质量不合格又拒绝进行修复或返工，或者工期拖延达</w:t>
      </w:r>
      <w:r>
        <w:rPr>
          <w:rFonts w:ascii="仿宋" w:hAnsi="仿宋" w:eastAsia="仿宋" w:cs="仿宋_GB2312"/>
          <w:sz w:val="24"/>
          <w:szCs w:val="24"/>
          <w:u w:val="single"/>
        </w:rPr>
        <w:t xml:space="preserve"> 30 </w:t>
      </w:r>
      <w:r>
        <w:rPr>
          <w:rFonts w:hint="eastAsia" w:ascii="仿宋" w:hAnsi="仿宋" w:eastAsia="仿宋" w:cs="仿宋_GB2312"/>
          <w:sz w:val="24"/>
          <w:szCs w:val="24"/>
        </w:rPr>
        <w:t xml:space="preserve"> </w:t>
      </w:r>
      <w:r>
        <w:rPr>
          <w:rFonts w:ascii="仿宋" w:hAnsi="仿宋" w:eastAsia="仿宋" w:cs="仿宋_GB2312"/>
          <w:sz w:val="24"/>
          <w:szCs w:val="24"/>
        </w:rPr>
        <w:t>日以上的，发包人有权解除合同。合同解除后的</w:t>
      </w:r>
      <w:r>
        <w:rPr>
          <w:rFonts w:ascii="仿宋" w:hAnsi="仿宋" w:eastAsia="仿宋" w:cs="仿宋_GB2312"/>
          <w:sz w:val="24"/>
          <w:szCs w:val="24"/>
          <w:u w:val="single"/>
        </w:rPr>
        <w:t xml:space="preserve"> 10 </w:t>
      </w:r>
      <w:r>
        <w:rPr>
          <w:rFonts w:ascii="仿宋" w:hAnsi="仿宋" w:eastAsia="仿宋" w:cs="仿宋_GB2312"/>
          <w:sz w:val="24"/>
          <w:szCs w:val="24"/>
        </w:rPr>
        <w:t>日内双方就已完工且合格部分办理结算，发包人有权从结算金额中扣除因承包人违约给发包人造成的损失及违约金。承包人应在发包人通知合同解除后</w:t>
      </w:r>
      <w:r>
        <w:rPr>
          <w:rFonts w:ascii="仿宋" w:hAnsi="仿宋" w:eastAsia="仿宋" w:cs="仿宋_GB2312"/>
          <w:sz w:val="24"/>
          <w:szCs w:val="24"/>
          <w:u w:val="single"/>
        </w:rPr>
        <w:t xml:space="preserve"> 7 </w:t>
      </w:r>
      <w:r>
        <w:rPr>
          <w:rFonts w:ascii="仿宋" w:hAnsi="仿宋" w:eastAsia="仿宋" w:cs="仿宋_GB2312"/>
          <w:sz w:val="24"/>
          <w:szCs w:val="24"/>
        </w:rPr>
        <w:t>日内撤离现场，不得以任何理由占住施工现场。承包人迟延撤离现场的，每逾期一日，按照本合同规定的逾期违约金的</w:t>
      </w:r>
      <w:r>
        <w:rPr>
          <w:rFonts w:ascii="仿宋" w:hAnsi="仿宋" w:eastAsia="仿宋" w:cs="仿宋_GB2312"/>
          <w:sz w:val="24"/>
          <w:szCs w:val="24"/>
          <w:u w:val="single"/>
        </w:rPr>
        <w:t xml:space="preserve"> 2 </w:t>
      </w:r>
      <w:r>
        <w:rPr>
          <w:rFonts w:ascii="仿宋" w:hAnsi="仿宋" w:eastAsia="仿宋" w:cs="仿宋_GB2312"/>
          <w:sz w:val="24"/>
          <w:szCs w:val="24"/>
        </w:rPr>
        <w:t>倍计算迟延撤场违约金。</w:t>
      </w:r>
    </w:p>
    <w:p w14:paraId="59FEC7EB">
      <w:pPr>
        <w:spacing w:line="360" w:lineRule="auto"/>
        <w:outlineLvl w:val="9"/>
        <w:rPr>
          <w:rFonts w:ascii="仿宋" w:hAnsi="仿宋" w:eastAsia="仿宋" w:cs="Times New Roman"/>
          <w:sz w:val="24"/>
          <w:szCs w:val="24"/>
        </w:rPr>
      </w:pPr>
      <w:r>
        <w:rPr>
          <w:rFonts w:ascii="仿宋" w:hAnsi="仿宋" w:eastAsia="仿宋" w:cs="仿宋_GB2312"/>
          <w:sz w:val="24"/>
          <w:szCs w:val="24"/>
        </w:rPr>
        <w:t xml:space="preserve">   （五） 工程竣工验收合格并交付发包人使用后，在承包人承诺的合理使用年限内，承包人不履行修理或维护义务给发包人造成经济损失的，承包人承担赔偿责任。</w:t>
      </w:r>
    </w:p>
    <w:p w14:paraId="4936730C">
      <w:pPr>
        <w:spacing w:line="360" w:lineRule="auto"/>
        <w:outlineLvl w:val="9"/>
        <w:rPr>
          <w:rFonts w:ascii="仿宋" w:hAnsi="仿宋" w:eastAsia="仿宋" w:cs="Times New Roman"/>
          <w:sz w:val="24"/>
          <w:szCs w:val="24"/>
        </w:rPr>
      </w:pPr>
      <w:r>
        <w:rPr>
          <w:rFonts w:ascii="仿宋" w:hAnsi="仿宋" w:eastAsia="仿宋" w:cs="仿宋_GB2312"/>
          <w:sz w:val="24"/>
          <w:szCs w:val="24"/>
        </w:rPr>
        <w:t xml:space="preserve">   （六） 如果乙方违反本合同约定的保密义务，乙方应向甲方支付相当于本合同总价款</w:t>
      </w:r>
      <w:r>
        <w:rPr>
          <w:rFonts w:ascii="仿宋" w:hAnsi="仿宋" w:eastAsia="仿宋" w:cs="仿宋_GB2312"/>
          <w:sz w:val="24"/>
          <w:szCs w:val="24"/>
          <w:u w:val="single"/>
        </w:rPr>
        <w:t xml:space="preserve"> 1 </w:t>
      </w:r>
      <w:r>
        <w:rPr>
          <w:rFonts w:ascii="仿宋" w:hAnsi="仿宋" w:eastAsia="仿宋" w:cs="仿宋_GB2312"/>
          <w:sz w:val="24"/>
          <w:szCs w:val="24"/>
        </w:rPr>
        <w:t>%的违约金，甲方受到的损失超出违约金的部分，由乙方继续承担赔偿责任。</w:t>
      </w:r>
    </w:p>
    <w:p w14:paraId="2676D53D">
      <w:pPr>
        <w:spacing w:line="360" w:lineRule="auto"/>
        <w:outlineLvl w:val="9"/>
        <w:rPr>
          <w:rFonts w:ascii="仿宋" w:hAnsi="仿宋" w:eastAsia="仿宋" w:cs="Times New Roman"/>
          <w:sz w:val="24"/>
          <w:szCs w:val="24"/>
        </w:rPr>
      </w:pPr>
      <w:r>
        <w:rPr>
          <w:rFonts w:ascii="仿宋" w:hAnsi="仿宋" w:eastAsia="仿宋" w:cs="仿宋_GB2312"/>
          <w:sz w:val="24"/>
          <w:szCs w:val="24"/>
        </w:rPr>
        <w:t xml:space="preserve">   （七） 除本合同的约定外，因承包人的违约行为给发包人造成损失的，承包人应向发包人支付相当于本合同总价款</w:t>
      </w:r>
      <w:r>
        <w:rPr>
          <w:rFonts w:ascii="仿宋" w:hAnsi="仿宋" w:eastAsia="仿宋" w:cs="仿宋_GB2312"/>
          <w:sz w:val="24"/>
          <w:szCs w:val="24"/>
          <w:u w:val="single"/>
        </w:rPr>
        <w:t xml:space="preserve"> 1 </w:t>
      </w:r>
      <w:r>
        <w:rPr>
          <w:rFonts w:ascii="仿宋" w:hAnsi="仿宋" w:eastAsia="仿宋" w:cs="仿宋_GB2312"/>
          <w:sz w:val="24"/>
          <w:szCs w:val="24"/>
        </w:rPr>
        <w:t>%的违约金。</w:t>
      </w:r>
    </w:p>
    <w:p w14:paraId="3B2DF180">
      <w:pPr>
        <w:keepNext/>
        <w:keepLines/>
        <w:spacing w:line="360" w:lineRule="auto"/>
        <w:jc w:val="left"/>
        <w:outlineLvl w:val="9"/>
        <w:rPr>
          <w:rFonts w:ascii="Calibri" w:hAnsi="Calibri" w:eastAsia="仿宋" w:cs="Calibri"/>
          <w:b/>
          <w:bCs/>
          <w:sz w:val="24"/>
          <w:szCs w:val="24"/>
        </w:rPr>
      </w:pPr>
      <w:r>
        <w:rPr>
          <w:rFonts w:ascii="Calibri" w:hAnsi="Calibri" w:eastAsia="仿宋" w:cs="Calibri"/>
          <w:b/>
          <w:bCs/>
          <w:sz w:val="24"/>
          <w:szCs w:val="24"/>
        </w:rPr>
        <w:t>第十五条 保密义务</w:t>
      </w:r>
    </w:p>
    <w:p w14:paraId="3DC30F33">
      <w:pPr>
        <w:spacing w:line="360" w:lineRule="auto"/>
        <w:outlineLvl w:val="9"/>
        <w:rPr>
          <w:rFonts w:ascii="仿宋" w:hAnsi="仿宋" w:eastAsia="仿宋" w:cs="Times New Roman"/>
          <w:sz w:val="24"/>
          <w:szCs w:val="24"/>
        </w:rPr>
      </w:pPr>
      <w:r>
        <w:rPr>
          <w:rFonts w:ascii="仿宋" w:hAnsi="仿宋" w:eastAsia="仿宋" w:cs="仿宋_GB2312"/>
          <w:sz w:val="24"/>
          <w:szCs w:val="24"/>
        </w:rPr>
        <w:t xml:space="preserve">   （一）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14:paraId="2E02B648">
      <w:pPr>
        <w:spacing w:line="360" w:lineRule="auto"/>
        <w:outlineLvl w:val="9"/>
        <w:rPr>
          <w:rFonts w:ascii="仿宋" w:hAnsi="仿宋" w:eastAsia="仿宋" w:cs="Times New Roman"/>
          <w:sz w:val="24"/>
          <w:szCs w:val="24"/>
        </w:rPr>
      </w:pPr>
      <w:r>
        <w:rPr>
          <w:rFonts w:ascii="仿宋" w:hAnsi="仿宋" w:eastAsia="仿宋" w:cs="仿宋_GB2312"/>
          <w:sz w:val="24"/>
          <w:szCs w:val="24"/>
        </w:rPr>
        <w:t xml:space="preserve">   （二） 乙方在本合同中所受领的保密信息应及时返还甲方或在甲方监督下予以销毁。乙方擅自留存备份信息，视为违反保密约定。</w:t>
      </w:r>
    </w:p>
    <w:p w14:paraId="04CDBD48">
      <w:pPr>
        <w:spacing w:line="360" w:lineRule="auto"/>
        <w:outlineLvl w:val="9"/>
        <w:rPr>
          <w:rFonts w:ascii="仿宋" w:hAnsi="仿宋" w:eastAsia="仿宋" w:cs="Times New Roman"/>
          <w:sz w:val="24"/>
          <w:szCs w:val="24"/>
        </w:rPr>
      </w:pPr>
      <w:r>
        <w:rPr>
          <w:rFonts w:ascii="仿宋" w:hAnsi="仿宋" w:eastAsia="仿宋" w:cs="仿宋_GB2312"/>
          <w:sz w:val="24"/>
          <w:szCs w:val="24"/>
        </w:rPr>
        <w:t xml:space="preserve">   （三） 无论本合同因何种原因终止，本保密条款依然有效。</w:t>
      </w:r>
    </w:p>
    <w:p w14:paraId="1CB9D002">
      <w:pPr>
        <w:keepNext/>
        <w:keepLines/>
        <w:spacing w:line="360" w:lineRule="auto"/>
        <w:jc w:val="left"/>
        <w:outlineLvl w:val="9"/>
        <w:rPr>
          <w:rFonts w:ascii="Calibri" w:hAnsi="Calibri" w:eastAsia="仿宋" w:cs="Calibri"/>
          <w:b/>
          <w:bCs/>
          <w:sz w:val="24"/>
          <w:szCs w:val="24"/>
        </w:rPr>
      </w:pPr>
      <w:r>
        <w:rPr>
          <w:rFonts w:ascii="Calibri" w:hAnsi="Calibri" w:eastAsia="仿宋" w:cs="Calibri"/>
          <w:b/>
          <w:bCs/>
          <w:sz w:val="24"/>
          <w:szCs w:val="24"/>
        </w:rPr>
        <w:t>第十六条 不可抗力</w:t>
      </w:r>
    </w:p>
    <w:p w14:paraId="690FE781">
      <w:pPr>
        <w:spacing w:line="360" w:lineRule="auto"/>
        <w:outlineLvl w:val="9"/>
        <w:rPr>
          <w:rFonts w:ascii="仿宋" w:hAnsi="仿宋" w:eastAsia="仿宋" w:cs="Times New Roman"/>
          <w:sz w:val="24"/>
          <w:szCs w:val="24"/>
        </w:rPr>
      </w:pPr>
      <w:r>
        <w:rPr>
          <w:rFonts w:ascii="仿宋" w:hAnsi="仿宋" w:eastAsia="仿宋" w:cs="仿宋_GB2312"/>
          <w:sz w:val="24"/>
          <w:szCs w:val="24"/>
        </w:rPr>
        <w:t xml:space="preserve">   （一）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14:paraId="7C609FE8">
      <w:pPr>
        <w:spacing w:line="360" w:lineRule="auto"/>
        <w:outlineLvl w:val="9"/>
        <w:rPr>
          <w:rFonts w:ascii="仿宋" w:hAnsi="仿宋" w:eastAsia="仿宋" w:cs="Times New Roman"/>
          <w:sz w:val="24"/>
          <w:szCs w:val="24"/>
        </w:rPr>
      </w:pPr>
      <w:r>
        <w:rPr>
          <w:rFonts w:ascii="仿宋" w:hAnsi="仿宋" w:eastAsia="仿宋" w:cs="仿宋_GB2312"/>
          <w:sz w:val="24"/>
          <w:szCs w:val="24"/>
        </w:rPr>
        <w:t xml:space="preserve">   （二）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14:paraId="6647FA43">
      <w:pPr>
        <w:spacing w:line="360" w:lineRule="auto"/>
        <w:outlineLvl w:val="9"/>
        <w:rPr>
          <w:rFonts w:ascii="仿宋" w:hAnsi="仿宋" w:eastAsia="仿宋" w:cs="Times New Roman"/>
          <w:sz w:val="24"/>
          <w:szCs w:val="24"/>
        </w:rPr>
      </w:pPr>
      <w:r>
        <w:rPr>
          <w:rFonts w:ascii="仿宋" w:hAnsi="仿宋" w:eastAsia="仿宋" w:cs="仿宋_GB2312"/>
          <w:sz w:val="24"/>
          <w:szCs w:val="24"/>
        </w:rPr>
        <w:t xml:space="preserve">   （三） 合同一方迟延履行后发生不可抗力的，不能免除其责任。</w:t>
      </w:r>
    </w:p>
    <w:p w14:paraId="775BAEC6">
      <w:pPr>
        <w:keepNext/>
        <w:keepLines/>
        <w:spacing w:line="360" w:lineRule="auto"/>
        <w:jc w:val="left"/>
        <w:outlineLvl w:val="9"/>
        <w:rPr>
          <w:rFonts w:ascii="Calibri" w:hAnsi="Calibri" w:eastAsia="仿宋" w:cs="Calibri"/>
          <w:b/>
          <w:bCs/>
          <w:sz w:val="24"/>
          <w:szCs w:val="24"/>
        </w:rPr>
      </w:pPr>
      <w:r>
        <w:rPr>
          <w:rFonts w:ascii="Calibri" w:hAnsi="Calibri" w:eastAsia="仿宋" w:cs="Calibri"/>
          <w:b/>
          <w:bCs/>
          <w:sz w:val="24"/>
          <w:szCs w:val="24"/>
        </w:rPr>
        <w:t>第十七条 合同变更</w:t>
      </w:r>
    </w:p>
    <w:p w14:paraId="42918145">
      <w:pPr>
        <w:spacing w:line="360" w:lineRule="auto"/>
        <w:ind w:firstLine="280"/>
        <w:outlineLvl w:val="9"/>
        <w:rPr>
          <w:rFonts w:ascii="仿宋" w:hAnsi="仿宋" w:eastAsia="仿宋" w:cs="Times New Roman"/>
          <w:sz w:val="24"/>
          <w:szCs w:val="24"/>
        </w:rPr>
      </w:pPr>
      <w:r>
        <w:rPr>
          <w:rFonts w:ascii="仿宋" w:hAnsi="仿宋" w:eastAsia="仿宋" w:cs="仿宋_GB2312"/>
          <w:b/>
          <w:bCs/>
          <w:sz w:val="24"/>
          <w:szCs w:val="24"/>
        </w:rPr>
        <w:t>合同变更</w:t>
      </w:r>
      <w:r>
        <w:rPr>
          <w:rFonts w:ascii="仿宋" w:hAnsi="仿宋" w:eastAsia="仿宋" w:cs="仿宋_GB2312"/>
          <w:sz w:val="24"/>
          <w:szCs w:val="24"/>
        </w:rPr>
        <w:br w:type="textWrapping"/>
      </w:r>
      <w:r>
        <w:rPr>
          <w:rFonts w:ascii="仿宋" w:hAnsi="仿宋" w:eastAsia="仿宋" w:cs="仿宋_GB2312"/>
          <w:sz w:val="24"/>
          <w:szCs w:val="24"/>
        </w:rPr>
        <w:t>对本合同的任何变更或补充，须经甲乙双方协商一致，并另行签订书面补充协议。</w:t>
      </w:r>
    </w:p>
    <w:p w14:paraId="2C6AF97D">
      <w:pPr>
        <w:keepNext/>
        <w:keepLines/>
        <w:spacing w:line="360" w:lineRule="auto"/>
        <w:jc w:val="left"/>
        <w:outlineLvl w:val="9"/>
        <w:rPr>
          <w:rFonts w:ascii="Calibri" w:hAnsi="Calibri" w:eastAsia="仿宋" w:cs="Calibri"/>
          <w:b/>
          <w:bCs/>
          <w:sz w:val="24"/>
          <w:szCs w:val="24"/>
        </w:rPr>
      </w:pPr>
      <w:r>
        <w:rPr>
          <w:rFonts w:ascii="Calibri" w:hAnsi="Calibri" w:eastAsia="仿宋" w:cs="Calibri"/>
          <w:b/>
          <w:bCs/>
          <w:sz w:val="24"/>
          <w:szCs w:val="24"/>
        </w:rPr>
        <w:t>第十八条 合同特别终止</w:t>
      </w:r>
    </w:p>
    <w:p w14:paraId="673F8976">
      <w:pPr>
        <w:spacing w:line="360" w:lineRule="auto"/>
        <w:outlineLvl w:val="9"/>
        <w:rPr>
          <w:rFonts w:ascii="仿宋" w:hAnsi="仿宋" w:eastAsia="仿宋" w:cs="Times New Roman"/>
          <w:sz w:val="24"/>
          <w:szCs w:val="24"/>
        </w:rPr>
      </w:pPr>
      <w:r>
        <w:rPr>
          <w:rFonts w:ascii="仿宋" w:hAnsi="仿宋" w:eastAsia="仿宋" w:cs="仿宋_GB2312"/>
          <w:sz w:val="24"/>
          <w:szCs w:val="24"/>
        </w:rPr>
        <w:t xml:space="preserve">   （一） 甲乙双方同意在乙方出现下列情形时，甲方可以书面形式通知乙方（或者乙方的破产清算组或相关管理人）提出终止合同而不向其提供任何补偿：</w:t>
      </w:r>
      <w:r>
        <w:rPr>
          <w:rFonts w:ascii="仿宋" w:hAnsi="仿宋" w:eastAsia="仿宋" w:cs="仿宋_GB2312"/>
          <w:sz w:val="24"/>
          <w:szCs w:val="24"/>
        </w:rPr>
        <w:br w:type="textWrapping"/>
      </w:r>
      <w:r>
        <w:rPr>
          <w:rFonts w:ascii="仿宋" w:hAnsi="仿宋" w:eastAsia="仿宋" w:cs="仿宋_GB2312"/>
          <w:sz w:val="24"/>
          <w:szCs w:val="24"/>
        </w:rPr>
        <w:t>（1）乙方破产、解散（包括但不限于乙方股东会决议解散、乙方被吊销营业执照、被责令关闭、被撤销、被司法机关裁决解散等情形）；</w:t>
      </w:r>
      <w:r>
        <w:rPr>
          <w:rFonts w:ascii="仿宋" w:hAnsi="仿宋" w:eastAsia="仿宋" w:cs="仿宋_GB2312"/>
          <w:sz w:val="24"/>
          <w:szCs w:val="24"/>
        </w:rPr>
        <w:br w:type="textWrapping"/>
      </w:r>
      <w:r>
        <w:rPr>
          <w:rFonts w:ascii="仿宋" w:hAnsi="仿宋" w:eastAsia="仿宋" w:cs="仿宋_GB2312"/>
          <w:sz w:val="24"/>
          <w:szCs w:val="24"/>
        </w:rPr>
        <w:t>（2）乙方发生未经甲方书面同意的重大产权变更（包括但不限于合并、分立、注销等情形)；（如系上市公司）被勒令停止上市；以及任何原因背负重大债务导致无履行能力。</w:t>
      </w:r>
    </w:p>
    <w:p w14:paraId="79AA6B0B">
      <w:pPr>
        <w:spacing w:line="360" w:lineRule="auto"/>
        <w:outlineLvl w:val="9"/>
        <w:rPr>
          <w:rFonts w:ascii="仿宋" w:hAnsi="仿宋" w:eastAsia="仿宋" w:cs="Times New Roman"/>
          <w:sz w:val="24"/>
          <w:szCs w:val="24"/>
        </w:rPr>
      </w:pPr>
      <w:r>
        <w:rPr>
          <w:rFonts w:ascii="仿宋" w:hAnsi="仿宋" w:eastAsia="仿宋" w:cs="仿宋_GB2312"/>
          <w:sz w:val="24"/>
          <w:szCs w:val="24"/>
        </w:rPr>
        <w:t xml:space="preserve">   （二） 如果因上述原因导致本合同终止，甲方已经采取或者将要采取任何补救措施的权利不受任何影响。</w:t>
      </w:r>
    </w:p>
    <w:p w14:paraId="3DC588A4">
      <w:pPr>
        <w:keepNext/>
        <w:keepLines/>
        <w:spacing w:line="360" w:lineRule="auto"/>
        <w:jc w:val="left"/>
        <w:outlineLvl w:val="9"/>
        <w:rPr>
          <w:rFonts w:ascii="Calibri" w:hAnsi="Calibri" w:eastAsia="仿宋" w:cs="Calibri"/>
          <w:b/>
          <w:bCs/>
          <w:sz w:val="24"/>
          <w:szCs w:val="24"/>
        </w:rPr>
      </w:pPr>
      <w:r>
        <w:rPr>
          <w:rFonts w:ascii="Calibri" w:hAnsi="Calibri" w:eastAsia="仿宋" w:cs="Calibri"/>
          <w:b/>
          <w:bCs/>
          <w:sz w:val="24"/>
          <w:szCs w:val="24"/>
        </w:rPr>
        <w:t>第十九条 法律适用与争议解决</w:t>
      </w:r>
    </w:p>
    <w:p w14:paraId="2F38FCD1">
      <w:pPr>
        <w:spacing w:line="360" w:lineRule="auto"/>
        <w:outlineLvl w:val="9"/>
        <w:rPr>
          <w:rFonts w:ascii="仿宋" w:hAnsi="仿宋" w:eastAsia="仿宋" w:cs="Times New Roman"/>
          <w:sz w:val="24"/>
          <w:szCs w:val="24"/>
        </w:rPr>
      </w:pPr>
      <w:r>
        <w:rPr>
          <w:rFonts w:ascii="仿宋" w:hAnsi="仿宋" w:eastAsia="仿宋" w:cs="仿宋_GB2312"/>
          <w:sz w:val="24"/>
          <w:szCs w:val="24"/>
        </w:rPr>
        <w:t xml:space="preserve">   （一） 本合同的订立、效力、解释、履行和争议的解决均适用中华人民共和国法律（不包括港澳台地区法律）。</w:t>
      </w:r>
    </w:p>
    <w:p w14:paraId="7D605962">
      <w:pPr>
        <w:spacing w:line="360" w:lineRule="auto"/>
        <w:outlineLvl w:val="9"/>
        <w:rPr>
          <w:rFonts w:ascii="仿宋" w:hAnsi="仿宋" w:eastAsia="仿宋" w:cs="Times New Roman"/>
          <w:sz w:val="24"/>
          <w:szCs w:val="24"/>
        </w:rPr>
      </w:pPr>
      <w:r>
        <w:rPr>
          <w:rFonts w:ascii="仿宋" w:hAnsi="仿宋" w:eastAsia="仿宋" w:cs="仿宋_GB2312"/>
          <w:sz w:val="24"/>
          <w:szCs w:val="24"/>
        </w:rPr>
        <w:t xml:space="preserve">   （二） </w:t>
      </w:r>
      <w:r>
        <w:rPr>
          <w:rFonts w:ascii="仿宋" w:hAnsi="仿宋" w:eastAsia="仿宋" w:cs="仿宋_GB2312"/>
          <w:b/>
          <w:bCs/>
          <w:sz w:val="24"/>
          <w:szCs w:val="24"/>
        </w:rPr>
        <w:t>争议解决</w:t>
      </w:r>
      <w:r>
        <w:rPr>
          <w:rFonts w:ascii="仿宋" w:hAnsi="仿宋" w:eastAsia="仿宋" w:cs="仿宋_GB2312"/>
          <w:sz w:val="24"/>
          <w:szCs w:val="24"/>
        </w:rPr>
        <w:br w:type="textWrapping"/>
      </w:r>
      <w:r>
        <w:rPr>
          <w:rFonts w:ascii="仿宋" w:hAnsi="仿宋" w:eastAsia="仿宋" w:cs="仿宋_GB2312"/>
          <w:sz w:val="24"/>
          <w:szCs w:val="24"/>
        </w:rPr>
        <w:t>凡因本合同引起的或与本合同有关的任何争议，双方首先应友好协商解决。协商不成的，任何一方均可向甲方所在地有管辖权的法院提起诉讼。</w:t>
      </w:r>
    </w:p>
    <w:p w14:paraId="0D619337">
      <w:pPr>
        <w:keepNext/>
        <w:keepLines/>
        <w:spacing w:line="360" w:lineRule="auto"/>
        <w:jc w:val="left"/>
        <w:outlineLvl w:val="9"/>
        <w:rPr>
          <w:rFonts w:ascii="Calibri" w:hAnsi="Calibri" w:eastAsia="仿宋" w:cs="Calibri"/>
          <w:b/>
          <w:bCs/>
          <w:sz w:val="24"/>
          <w:szCs w:val="24"/>
        </w:rPr>
      </w:pPr>
      <w:r>
        <w:rPr>
          <w:rFonts w:ascii="Calibri" w:hAnsi="Calibri" w:eastAsia="仿宋" w:cs="Calibri"/>
          <w:b/>
          <w:bCs/>
          <w:sz w:val="24"/>
          <w:szCs w:val="24"/>
        </w:rPr>
        <w:t>第二十条 合同生效及其他</w:t>
      </w:r>
    </w:p>
    <w:p w14:paraId="0D44ACF6">
      <w:pPr>
        <w:spacing w:line="360" w:lineRule="auto"/>
        <w:outlineLvl w:val="9"/>
        <w:rPr>
          <w:rFonts w:ascii="仿宋" w:hAnsi="仿宋" w:eastAsia="仿宋" w:cs="Times New Roman"/>
          <w:sz w:val="24"/>
          <w:szCs w:val="24"/>
        </w:rPr>
      </w:pPr>
      <w:r>
        <w:rPr>
          <w:rFonts w:ascii="仿宋" w:hAnsi="仿宋" w:eastAsia="仿宋" w:cs="仿宋_GB2312"/>
          <w:sz w:val="24"/>
          <w:szCs w:val="24"/>
        </w:rPr>
        <w:t xml:space="preserve">   （一） 本合同经甲乙双方法定代表人或授权代表签字并加盖公章后生效，在竣工结算、发包人支付完毕，工程验收合格并交付给发包人后，除有关保修条款、违约责任条款、争议解决条款仍然生效外，其他条款即告终止。</w:t>
      </w:r>
    </w:p>
    <w:p w14:paraId="390FB12B">
      <w:pPr>
        <w:spacing w:line="360" w:lineRule="auto"/>
        <w:outlineLvl w:val="9"/>
        <w:rPr>
          <w:rFonts w:ascii="仿宋" w:hAnsi="仿宋" w:eastAsia="仿宋" w:cs="Times New Roman"/>
          <w:sz w:val="24"/>
          <w:szCs w:val="24"/>
        </w:rPr>
      </w:pPr>
      <w:r>
        <w:rPr>
          <w:rFonts w:ascii="仿宋" w:hAnsi="仿宋" w:eastAsia="仿宋" w:cs="仿宋_GB2312"/>
          <w:sz w:val="24"/>
          <w:szCs w:val="24"/>
        </w:rPr>
        <w:t xml:space="preserve">   （二） 本合同一式 </w:t>
      </w:r>
      <w:r>
        <w:rPr>
          <w:rFonts w:ascii="仿宋" w:hAnsi="仿宋" w:eastAsia="仿宋" w:cs="仿宋_GB2312"/>
          <w:sz w:val="24"/>
          <w:szCs w:val="24"/>
          <w:u w:val="single"/>
        </w:rPr>
        <w:t xml:space="preserve"> 6 </w:t>
      </w:r>
      <w:r>
        <w:rPr>
          <w:rFonts w:ascii="仿宋" w:hAnsi="仿宋" w:eastAsia="仿宋" w:cs="仿宋_GB2312"/>
          <w:sz w:val="24"/>
          <w:szCs w:val="24"/>
        </w:rPr>
        <w:t>份，其中正本</w:t>
      </w:r>
      <w:r>
        <w:rPr>
          <w:rFonts w:ascii="仿宋" w:hAnsi="仿宋" w:eastAsia="仿宋" w:cs="仿宋_GB2312"/>
          <w:sz w:val="24"/>
          <w:szCs w:val="24"/>
          <w:u w:val="single"/>
        </w:rPr>
        <w:t xml:space="preserve"> 2 </w:t>
      </w:r>
      <w:r>
        <w:rPr>
          <w:rFonts w:ascii="仿宋" w:hAnsi="仿宋" w:eastAsia="仿宋" w:cs="仿宋_GB2312"/>
          <w:sz w:val="24"/>
          <w:szCs w:val="24"/>
        </w:rPr>
        <w:t>份，副本</w:t>
      </w:r>
      <w:r>
        <w:rPr>
          <w:rFonts w:ascii="仿宋" w:hAnsi="仿宋" w:eastAsia="仿宋" w:cs="仿宋_GB2312"/>
          <w:sz w:val="24"/>
          <w:szCs w:val="24"/>
          <w:u w:val="single"/>
        </w:rPr>
        <w:t xml:space="preserve"> 4 </w:t>
      </w:r>
      <w:r>
        <w:rPr>
          <w:rFonts w:ascii="仿宋" w:hAnsi="仿宋" w:eastAsia="仿宋" w:cs="仿宋_GB2312"/>
          <w:sz w:val="24"/>
          <w:szCs w:val="24"/>
        </w:rPr>
        <w:t>份。甲方执</w:t>
      </w:r>
      <w:r>
        <w:rPr>
          <w:rFonts w:ascii="仿宋" w:hAnsi="仿宋" w:eastAsia="仿宋" w:cs="仿宋_GB2312"/>
          <w:sz w:val="24"/>
          <w:szCs w:val="24"/>
          <w:u w:val="single"/>
        </w:rPr>
        <w:t xml:space="preserve"> 1 </w:t>
      </w:r>
      <w:r>
        <w:rPr>
          <w:rFonts w:ascii="仿宋" w:hAnsi="仿宋" w:eastAsia="仿宋" w:cs="仿宋_GB2312"/>
          <w:sz w:val="24"/>
          <w:szCs w:val="24"/>
        </w:rPr>
        <w:t>份正本，</w:t>
      </w:r>
      <w:r>
        <w:rPr>
          <w:rFonts w:ascii="仿宋" w:hAnsi="仿宋" w:eastAsia="仿宋" w:cs="仿宋_GB2312"/>
          <w:sz w:val="24"/>
          <w:szCs w:val="24"/>
          <w:u w:val="single"/>
        </w:rPr>
        <w:t xml:space="preserve">2 </w:t>
      </w:r>
      <w:r>
        <w:rPr>
          <w:rFonts w:ascii="仿宋" w:hAnsi="仿宋" w:eastAsia="仿宋" w:cs="仿宋_GB2312"/>
          <w:sz w:val="24"/>
          <w:szCs w:val="24"/>
        </w:rPr>
        <w:t>份副本；乙方执</w:t>
      </w:r>
      <w:r>
        <w:rPr>
          <w:rFonts w:ascii="仿宋" w:hAnsi="仿宋" w:eastAsia="仿宋" w:cs="仿宋_GB2312"/>
          <w:sz w:val="24"/>
          <w:szCs w:val="24"/>
          <w:u w:val="single"/>
        </w:rPr>
        <w:t xml:space="preserve"> 1 </w:t>
      </w:r>
      <w:r>
        <w:rPr>
          <w:rFonts w:ascii="仿宋" w:hAnsi="仿宋" w:eastAsia="仿宋" w:cs="仿宋_GB2312"/>
          <w:sz w:val="24"/>
          <w:szCs w:val="24"/>
        </w:rPr>
        <w:t>份正本，</w:t>
      </w:r>
      <w:r>
        <w:rPr>
          <w:rFonts w:ascii="仿宋" w:hAnsi="仿宋" w:eastAsia="仿宋" w:cs="仿宋_GB2312"/>
          <w:sz w:val="24"/>
          <w:szCs w:val="24"/>
          <w:u w:val="single"/>
        </w:rPr>
        <w:t xml:space="preserve">2 </w:t>
      </w:r>
      <w:r>
        <w:rPr>
          <w:rFonts w:ascii="仿宋" w:hAnsi="仿宋" w:eastAsia="仿宋" w:cs="仿宋_GB2312"/>
          <w:sz w:val="24"/>
          <w:szCs w:val="24"/>
        </w:rPr>
        <w:t>份副本。</w:t>
      </w:r>
    </w:p>
    <w:p w14:paraId="09BE76C9">
      <w:pPr>
        <w:keepNext/>
        <w:keepLines/>
        <w:spacing w:line="360" w:lineRule="auto"/>
        <w:jc w:val="left"/>
        <w:outlineLvl w:val="9"/>
        <w:rPr>
          <w:rFonts w:ascii="Calibri" w:hAnsi="Calibri" w:eastAsia="仿宋" w:cs="Calibri"/>
          <w:b/>
          <w:bCs/>
          <w:sz w:val="24"/>
          <w:szCs w:val="24"/>
        </w:rPr>
      </w:pPr>
      <w:r>
        <w:rPr>
          <w:rFonts w:ascii="Calibri" w:hAnsi="Calibri" w:eastAsia="仿宋" w:cs="Calibri"/>
          <w:b/>
          <w:bCs/>
          <w:sz w:val="24"/>
          <w:szCs w:val="24"/>
        </w:rPr>
        <w:t>第二十一条 合同效力</w:t>
      </w:r>
    </w:p>
    <w:p w14:paraId="5FE831F8">
      <w:pPr>
        <w:spacing w:line="360" w:lineRule="auto"/>
        <w:outlineLvl w:val="9"/>
        <w:rPr>
          <w:rFonts w:ascii="仿宋" w:hAnsi="仿宋" w:eastAsia="仿宋" w:cs="Times New Roman"/>
          <w:sz w:val="24"/>
          <w:szCs w:val="24"/>
        </w:rPr>
      </w:pPr>
      <w:r>
        <w:rPr>
          <w:rFonts w:ascii="仿宋" w:hAnsi="仿宋" w:eastAsia="仿宋" w:cs="仿宋_GB2312"/>
          <w:sz w:val="24"/>
          <w:szCs w:val="24"/>
        </w:rPr>
        <w:t xml:space="preserve">   （一） 无论本合同是否有相反约定，本合同附件（如有）作为本合同的组成部分，与本合同具有同等法律效力，当附件条款与本合同条款发生冲突时，以本合同条款为准。</w:t>
      </w:r>
    </w:p>
    <w:p w14:paraId="1E17372B">
      <w:pPr>
        <w:spacing w:line="360" w:lineRule="auto"/>
        <w:outlineLvl w:val="9"/>
        <w:rPr>
          <w:rFonts w:ascii="仿宋" w:hAnsi="仿宋" w:eastAsia="仿宋" w:cs="Times New Roman"/>
          <w:sz w:val="24"/>
          <w:szCs w:val="24"/>
        </w:rPr>
      </w:pPr>
      <w:r>
        <w:rPr>
          <w:rFonts w:ascii="仿宋" w:hAnsi="仿宋" w:eastAsia="仿宋" w:cs="仿宋_GB2312"/>
          <w:sz w:val="24"/>
          <w:szCs w:val="24"/>
        </w:rPr>
        <w:t xml:space="preserve">   （二） 本合同及合同附件（如有）是甲乙双方关于本次交易所最终确定的全部内容，甲乙双方均承认其已审阅、理解本合同及合同附件的内容，并同意取代甲乙双方之间此前关于本次交易所做出的任何口头或书面的承诺。</w:t>
      </w:r>
    </w:p>
    <w:p w14:paraId="551E642B">
      <w:pPr>
        <w:spacing w:line="360" w:lineRule="auto"/>
        <w:outlineLvl w:val="9"/>
        <w:rPr>
          <w:rFonts w:ascii="仿宋" w:hAnsi="仿宋" w:eastAsia="仿宋" w:cs="Times New Roman"/>
          <w:sz w:val="24"/>
          <w:szCs w:val="24"/>
        </w:rPr>
      </w:pPr>
      <w:r>
        <w:rPr>
          <w:rFonts w:ascii="仿宋" w:hAnsi="仿宋" w:eastAsia="仿宋" w:cs="仿宋_GB2312"/>
          <w:sz w:val="24"/>
          <w:szCs w:val="24"/>
        </w:rPr>
        <w:t xml:space="preserve">   （三） 由于法律和法规、政策而导致本合同任何条款无效或无法执行，则该条款无效，但不影响剩余其他条款的效力。</w:t>
      </w:r>
    </w:p>
    <w:p w14:paraId="2BBCEA41">
      <w:pPr>
        <w:keepNext/>
        <w:keepLines/>
        <w:spacing w:line="360" w:lineRule="auto"/>
        <w:jc w:val="left"/>
        <w:outlineLvl w:val="9"/>
        <w:rPr>
          <w:rFonts w:ascii="Calibri" w:hAnsi="Calibri" w:eastAsia="仿宋" w:cs="Calibri"/>
          <w:b/>
          <w:bCs/>
          <w:sz w:val="24"/>
          <w:szCs w:val="24"/>
        </w:rPr>
      </w:pPr>
      <w:r>
        <w:rPr>
          <w:rFonts w:ascii="Calibri" w:hAnsi="Calibri" w:eastAsia="仿宋" w:cs="Calibri"/>
          <w:b/>
          <w:bCs/>
          <w:sz w:val="24"/>
          <w:szCs w:val="24"/>
        </w:rPr>
        <w:t>第二十二条 附件的组成（适用于建设工程施工合同）</w:t>
      </w:r>
    </w:p>
    <w:p w14:paraId="655CA466">
      <w:pPr>
        <w:spacing w:line="360" w:lineRule="auto"/>
        <w:ind w:firstLine="280"/>
        <w:outlineLvl w:val="9"/>
        <w:rPr>
          <w:rFonts w:ascii="仿宋" w:hAnsi="仿宋" w:eastAsia="仿宋" w:cs="仿宋_GB2312"/>
          <w:sz w:val="24"/>
          <w:szCs w:val="24"/>
        </w:rPr>
      </w:pPr>
      <w:r>
        <w:rPr>
          <w:rFonts w:ascii="仿宋" w:hAnsi="仿宋" w:eastAsia="仿宋" w:cs="仿宋_GB2312"/>
          <w:sz w:val="24"/>
          <w:szCs w:val="24"/>
        </w:rPr>
        <w:t>附件的组成</w:t>
      </w:r>
      <w:r>
        <w:rPr>
          <w:rFonts w:ascii="仿宋" w:hAnsi="仿宋" w:eastAsia="仿宋" w:cs="仿宋_GB2312"/>
          <w:sz w:val="24"/>
          <w:szCs w:val="24"/>
        </w:rPr>
        <w:br w:type="textWrapping"/>
      </w:r>
      <w:r>
        <w:rPr>
          <w:rFonts w:ascii="仿宋" w:hAnsi="仿宋" w:eastAsia="仿宋" w:cs="仿宋_GB2312"/>
          <w:sz w:val="24"/>
          <w:szCs w:val="24"/>
        </w:rPr>
        <w:t>附件一、工程概况</w:t>
      </w:r>
      <w:r>
        <w:rPr>
          <w:rFonts w:ascii="仿宋" w:hAnsi="仿宋" w:eastAsia="仿宋" w:cs="仿宋_GB2312"/>
          <w:sz w:val="24"/>
          <w:szCs w:val="24"/>
        </w:rPr>
        <w:br w:type="textWrapping"/>
      </w:r>
      <w:r>
        <w:rPr>
          <w:rFonts w:ascii="仿宋" w:hAnsi="仿宋" w:eastAsia="仿宋" w:cs="仿宋_GB2312"/>
          <w:sz w:val="24"/>
          <w:szCs w:val="24"/>
        </w:rPr>
        <w:t>附件二、合同工期及质量标准</w:t>
      </w:r>
      <w:r>
        <w:rPr>
          <w:rFonts w:ascii="仿宋" w:hAnsi="仿宋" w:eastAsia="仿宋" w:cs="仿宋_GB2312"/>
          <w:sz w:val="24"/>
          <w:szCs w:val="24"/>
        </w:rPr>
        <w:br w:type="textWrapping"/>
      </w:r>
      <w:r>
        <w:rPr>
          <w:rFonts w:ascii="仿宋" w:hAnsi="仿宋" w:eastAsia="仿宋" w:cs="仿宋_GB2312"/>
          <w:sz w:val="24"/>
          <w:szCs w:val="24"/>
        </w:rPr>
        <w:t>附件三、计价清单</w:t>
      </w:r>
    </w:p>
    <w:p w14:paraId="4AB3EF65">
      <w:pPr>
        <w:spacing w:line="360" w:lineRule="auto"/>
        <w:outlineLvl w:val="9"/>
        <w:rPr>
          <w:rFonts w:ascii="仿宋" w:hAnsi="仿宋" w:eastAsia="仿宋" w:cs="仿宋_GB2312"/>
          <w:sz w:val="24"/>
          <w:szCs w:val="24"/>
        </w:rPr>
      </w:pPr>
      <w:r>
        <w:rPr>
          <w:rFonts w:ascii="仿宋" w:hAnsi="仿宋" w:eastAsia="仿宋" w:cs="仿宋_GB2312"/>
          <w:sz w:val="24"/>
          <w:szCs w:val="24"/>
        </w:rPr>
        <w:t>附件四、付款</w:t>
      </w:r>
    </w:p>
    <w:p w14:paraId="1A0358DC">
      <w:pPr>
        <w:spacing w:line="360" w:lineRule="auto"/>
        <w:outlineLvl w:val="9"/>
        <w:rPr>
          <w:rFonts w:ascii="仿宋" w:hAnsi="仿宋" w:eastAsia="仿宋" w:cs="Times New Roman"/>
          <w:sz w:val="24"/>
          <w:szCs w:val="24"/>
        </w:rPr>
      </w:pPr>
      <w:r>
        <w:rPr>
          <w:rFonts w:ascii="仿宋" w:hAnsi="仿宋" w:eastAsia="仿宋" w:cs="仿宋_GB2312"/>
          <w:sz w:val="24"/>
          <w:szCs w:val="24"/>
        </w:rPr>
        <w:t>附件五、材料设备供应</w:t>
      </w:r>
      <w:r>
        <w:rPr>
          <w:rFonts w:ascii="仿宋" w:hAnsi="仿宋" w:eastAsia="仿宋" w:cs="仿宋_GB2312"/>
          <w:sz w:val="24"/>
          <w:szCs w:val="24"/>
        </w:rPr>
        <w:br w:type="textWrapping"/>
      </w:r>
      <w:r>
        <w:rPr>
          <w:rFonts w:hint="eastAsia" w:ascii="仿宋" w:hAnsi="仿宋" w:eastAsia="仿宋" w:cs="仿宋_GB2312"/>
          <w:sz w:val="24"/>
          <w:szCs w:val="24"/>
        </w:rPr>
        <w:t>附件六、</w:t>
      </w:r>
      <w:r>
        <w:rPr>
          <w:rFonts w:ascii="仿宋" w:hAnsi="仿宋" w:eastAsia="仿宋" w:cs="仿宋_GB2312"/>
          <w:sz w:val="24"/>
          <w:szCs w:val="24"/>
        </w:rPr>
        <w:t>保修</w:t>
      </w:r>
    </w:p>
    <w:p w14:paraId="4A31A266">
      <w:pPr>
        <w:spacing w:line="360" w:lineRule="auto"/>
        <w:outlineLvl w:val="9"/>
        <w:rPr>
          <w:rFonts w:ascii="仿宋" w:hAnsi="仿宋" w:eastAsia="仿宋" w:cs="仿宋_GB2312"/>
          <w:sz w:val="24"/>
          <w:szCs w:val="24"/>
        </w:rPr>
      </w:pPr>
      <w:r>
        <w:rPr>
          <w:rFonts w:hint="eastAsia" w:ascii="仿宋" w:hAnsi="仿宋" w:eastAsia="仿宋" w:cs="仿宋_GB2312"/>
          <w:sz w:val="24"/>
          <w:szCs w:val="24"/>
        </w:rPr>
        <w:t>附件七、廉洁诚信协议</w:t>
      </w:r>
    </w:p>
    <w:p w14:paraId="662E6452">
      <w:pPr>
        <w:jc w:val="left"/>
        <w:outlineLvl w:val="9"/>
        <w:rPr>
          <w:rFonts w:ascii="宋体" w:hAnsi="宋体" w:eastAsia="宋体" w:cs="Times New Roman"/>
          <w:kern w:val="0"/>
          <w:sz w:val="24"/>
          <w:szCs w:val="24"/>
        </w:rPr>
      </w:pPr>
    </w:p>
    <w:p w14:paraId="63ADE23B">
      <w:pPr>
        <w:snapToGrid w:val="0"/>
        <w:spacing w:line="360" w:lineRule="auto"/>
        <w:outlineLvl w:val="9"/>
        <w:rPr>
          <w:rFonts w:ascii="仿宋" w:hAnsi="仿宋" w:eastAsia="仿宋" w:cs="Times New Roman"/>
          <w:b/>
          <w:sz w:val="24"/>
          <w:szCs w:val="24"/>
        </w:rPr>
      </w:pPr>
    </w:p>
    <w:p w14:paraId="6B8BAFFE">
      <w:pPr>
        <w:snapToGrid w:val="0"/>
        <w:spacing w:line="360" w:lineRule="auto"/>
        <w:outlineLvl w:val="9"/>
        <w:rPr>
          <w:rFonts w:hint="eastAsia" w:ascii="仿宋" w:hAnsi="仿宋" w:eastAsia="仿宋" w:cs="Times New Roman"/>
          <w:b/>
          <w:sz w:val="24"/>
          <w:szCs w:val="24"/>
          <w:lang w:eastAsia="zh-CN"/>
        </w:rPr>
      </w:pPr>
      <w:r>
        <w:rPr>
          <w:rFonts w:hint="eastAsia" w:ascii="仿宋" w:hAnsi="仿宋" w:eastAsia="仿宋" w:cs="Times New Roman"/>
          <w:b/>
          <w:sz w:val="24"/>
          <w:szCs w:val="24"/>
        </w:rPr>
        <w:t xml:space="preserve">甲方（公章）：中国人民财产保险股份 </w:t>
      </w:r>
      <w:r>
        <w:rPr>
          <w:rFonts w:ascii="仿宋" w:hAnsi="仿宋" w:eastAsia="仿宋" w:cs="Times New Roman"/>
          <w:b/>
          <w:sz w:val="24"/>
          <w:szCs w:val="24"/>
        </w:rPr>
        <w:t xml:space="preserve">    </w:t>
      </w:r>
      <w:r>
        <w:rPr>
          <w:rFonts w:hint="eastAsia" w:ascii="仿宋" w:hAnsi="仿宋" w:eastAsia="仿宋" w:cs="Times New Roman"/>
          <w:b/>
          <w:sz w:val="24"/>
          <w:szCs w:val="24"/>
        </w:rPr>
        <w:t>乙方（公章）：</w:t>
      </w:r>
      <w:r>
        <w:rPr>
          <w:rFonts w:hint="eastAsia" w:ascii="仿宋" w:hAnsi="仿宋" w:eastAsia="仿宋" w:cs="Times New Roman"/>
          <w:b/>
          <w:sz w:val="24"/>
          <w:szCs w:val="24"/>
          <w:lang w:eastAsia="zh-CN"/>
        </w:rPr>
        <w:t xml:space="preserve">  </w:t>
      </w:r>
    </w:p>
    <w:p w14:paraId="440A8249">
      <w:pPr>
        <w:snapToGrid w:val="0"/>
        <w:spacing w:line="360" w:lineRule="auto"/>
        <w:ind w:firstLine="1446" w:firstLineChars="600"/>
        <w:outlineLvl w:val="9"/>
        <w:rPr>
          <w:rFonts w:hint="eastAsia" w:ascii="仿宋" w:hAnsi="仿宋" w:eastAsia="仿宋" w:cs="Times New Roman"/>
          <w:b/>
          <w:sz w:val="24"/>
          <w:szCs w:val="24"/>
        </w:rPr>
      </w:pPr>
      <w:r>
        <w:rPr>
          <w:rFonts w:hint="eastAsia" w:ascii="仿宋" w:hAnsi="仿宋" w:eastAsia="仿宋" w:cs="Times New Roman"/>
          <w:b/>
          <w:sz w:val="24"/>
          <w:szCs w:val="24"/>
        </w:rPr>
        <w:t>有限公司南京市分公司</w:t>
      </w:r>
    </w:p>
    <w:p w14:paraId="4BCB025B">
      <w:pPr>
        <w:snapToGrid w:val="0"/>
        <w:spacing w:line="360" w:lineRule="auto"/>
        <w:outlineLvl w:val="9"/>
        <w:rPr>
          <w:rFonts w:hint="eastAsia" w:ascii="仿宋" w:hAnsi="仿宋" w:eastAsia="仿宋" w:cs="Times New Roman"/>
          <w:b/>
          <w:sz w:val="24"/>
          <w:szCs w:val="24"/>
        </w:rPr>
      </w:pPr>
      <w:r>
        <w:rPr>
          <w:rFonts w:hint="eastAsia" w:ascii="仿宋" w:hAnsi="仿宋" w:eastAsia="仿宋" w:cs="Times New Roman"/>
          <w:b/>
          <w:sz w:val="24"/>
          <w:szCs w:val="24"/>
        </w:rPr>
        <w:t>法定代表人或委托代理人（签字</w:t>
      </w:r>
      <w:r>
        <w:rPr>
          <w:rFonts w:hint="eastAsia" w:ascii="仿宋" w:hAnsi="仿宋" w:eastAsia="仿宋" w:cs="Times New Roman"/>
          <w:b/>
          <w:sz w:val="24"/>
          <w:szCs w:val="24"/>
          <w:lang w:val="en-US" w:eastAsia="zh-CN"/>
        </w:rPr>
        <w:t>或盖章</w:t>
      </w:r>
      <w:r>
        <w:rPr>
          <w:rFonts w:hint="eastAsia" w:ascii="仿宋" w:hAnsi="仿宋" w:eastAsia="仿宋" w:cs="Times New Roman"/>
          <w:b/>
          <w:sz w:val="24"/>
          <w:szCs w:val="24"/>
        </w:rPr>
        <w:t>）</w:t>
      </w:r>
      <w:r>
        <w:rPr>
          <w:rFonts w:hint="eastAsia" w:ascii="仿宋" w:hAnsi="仿宋" w:eastAsia="仿宋" w:cs="Times New Roman"/>
          <w:b/>
          <w:sz w:val="24"/>
          <w:szCs w:val="24"/>
          <w:lang w:eastAsia="zh-CN"/>
        </w:rPr>
        <w:t>：</w:t>
      </w:r>
      <w:r>
        <w:rPr>
          <w:rFonts w:hint="eastAsia" w:ascii="仿宋" w:hAnsi="仿宋" w:eastAsia="仿宋" w:cs="Times New Roman"/>
          <w:b/>
          <w:sz w:val="24"/>
          <w:szCs w:val="24"/>
        </w:rPr>
        <w:t>法定代表人或委托代理人（签字</w:t>
      </w:r>
      <w:r>
        <w:rPr>
          <w:rFonts w:hint="eastAsia" w:ascii="仿宋" w:hAnsi="仿宋" w:eastAsia="仿宋" w:cs="Times New Roman"/>
          <w:b/>
          <w:sz w:val="24"/>
          <w:szCs w:val="24"/>
          <w:lang w:val="en-US" w:eastAsia="zh-CN"/>
        </w:rPr>
        <w:t>或盖章</w:t>
      </w:r>
      <w:r>
        <w:rPr>
          <w:rFonts w:hint="eastAsia" w:ascii="仿宋" w:hAnsi="仿宋" w:eastAsia="仿宋" w:cs="Times New Roman"/>
          <w:b/>
          <w:sz w:val="24"/>
          <w:szCs w:val="24"/>
        </w:rPr>
        <w:t>）：</w:t>
      </w:r>
    </w:p>
    <w:p w14:paraId="593A11E3">
      <w:pPr>
        <w:snapToGrid w:val="0"/>
        <w:spacing w:line="360" w:lineRule="auto"/>
        <w:outlineLvl w:val="9"/>
        <w:rPr>
          <w:rFonts w:hint="eastAsia" w:ascii="仿宋" w:hAnsi="仿宋" w:eastAsia="仿宋" w:cs="Times New Roman"/>
          <w:b/>
          <w:sz w:val="24"/>
          <w:szCs w:val="24"/>
        </w:rPr>
      </w:pPr>
    </w:p>
    <w:p w14:paraId="2E92E5E6">
      <w:pPr>
        <w:snapToGrid w:val="0"/>
        <w:spacing w:line="360" w:lineRule="auto"/>
        <w:outlineLvl w:val="9"/>
        <w:rPr>
          <w:rFonts w:ascii="仿宋" w:hAnsi="仿宋" w:eastAsia="仿宋" w:cs="Times New Roman"/>
          <w:b/>
          <w:sz w:val="24"/>
          <w:szCs w:val="24"/>
        </w:rPr>
      </w:pPr>
      <w:r>
        <w:rPr>
          <w:rFonts w:hint="eastAsia" w:ascii="仿宋" w:hAnsi="仿宋" w:eastAsia="仿宋" w:cs="Times New Roman"/>
          <w:b/>
          <w:sz w:val="24"/>
          <w:szCs w:val="24"/>
        </w:rPr>
        <w:t>公司地址：南京市玄武区龙蟠中路</w:t>
      </w:r>
      <w:r>
        <w:rPr>
          <w:rFonts w:hint="eastAsia" w:ascii="仿宋" w:hAnsi="仿宋" w:eastAsia="仿宋" w:cs="Times New Roman"/>
          <w:b/>
          <w:sz w:val="24"/>
          <w:szCs w:val="24"/>
          <w:lang w:val="en-US" w:eastAsia="zh-CN"/>
        </w:rPr>
        <w:t>419</w:t>
      </w:r>
      <w:r>
        <w:rPr>
          <w:rFonts w:hint="eastAsia" w:ascii="仿宋" w:hAnsi="仿宋" w:eastAsia="仿宋" w:cs="Times New Roman"/>
          <w:b/>
          <w:sz w:val="24"/>
          <w:szCs w:val="24"/>
        </w:rPr>
        <w:t xml:space="preserve">号 </w:t>
      </w:r>
      <w:r>
        <w:rPr>
          <w:rFonts w:ascii="仿宋" w:hAnsi="仿宋" w:eastAsia="仿宋" w:cs="Times New Roman"/>
          <w:b/>
          <w:sz w:val="24"/>
          <w:szCs w:val="24"/>
        </w:rPr>
        <w:t xml:space="preserve">  </w:t>
      </w:r>
      <w:r>
        <w:rPr>
          <w:rFonts w:hint="eastAsia" w:ascii="仿宋" w:hAnsi="仿宋" w:eastAsia="仿宋" w:cs="Times New Roman"/>
          <w:b/>
          <w:sz w:val="24"/>
          <w:szCs w:val="24"/>
        </w:rPr>
        <w:t>公司地址 :</w:t>
      </w:r>
    </w:p>
    <w:p w14:paraId="21B70674">
      <w:pPr>
        <w:snapToGrid w:val="0"/>
        <w:spacing w:line="360" w:lineRule="auto"/>
        <w:ind w:firstLine="4578" w:firstLineChars="1900"/>
        <w:outlineLvl w:val="9"/>
        <w:rPr>
          <w:rFonts w:ascii="仿宋" w:hAnsi="仿宋" w:eastAsia="仿宋" w:cs="Times New Roman"/>
          <w:b/>
          <w:sz w:val="24"/>
          <w:szCs w:val="24"/>
        </w:rPr>
      </w:pPr>
      <w:r>
        <w:rPr>
          <w:rFonts w:hint="eastAsia" w:ascii="仿宋" w:hAnsi="仿宋" w:eastAsia="仿宋" w:cs="Times New Roman"/>
          <w:b/>
          <w:sz w:val="24"/>
          <w:szCs w:val="24"/>
        </w:rPr>
        <w:t>开户行：</w:t>
      </w:r>
    </w:p>
    <w:p w14:paraId="720DED79">
      <w:pPr>
        <w:snapToGrid w:val="0"/>
        <w:spacing w:line="360" w:lineRule="auto"/>
        <w:ind w:firstLine="4578" w:firstLineChars="1900"/>
        <w:outlineLvl w:val="9"/>
        <w:rPr>
          <w:rFonts w:ascii="仿宋" w:hAnsi="仿宋" w:eastAsia="仿宋" w:cs="Times New Roman"/>
          <w:b/>
          <w:sz w:val="24"/>
          <w:szCs w:val="24"/>
        </w:rPr>
      </w:pPr>
      <w:r>
        <w:rPr>
          <w:rFonts w:hint="eastAsia" w:ascii="仿宋" w:hAnsi="仿宋" w:eastAsia="仿宋" w:cs="Times New Roman"/>
          <w:b/>
          <w:sz w:val="24"/>
          <w:szCs w:val="24"/>
        </w:rPr>
        <w:t>银行账号 :</w:t>
      </w:r>
    </w:p>
    <w:p w14:paraId="7A4E0C0A">
      <w:pPr>
        <w:snapToGrid w:val="0"/>
        <w:spacing w:line="360" w:lineRule="auto"/>
        <w:rPr>
          <w:rFonts w:ascii="仿宋" w:hAnsi="仿宋" w:eastAsia="仿宋" w:cs="Times New Roman"/>
          <w:b/>
          <w:sz w:val="24"/>
          <w:szCs w:val="24"/>
        </w:rPr>
      </w:pPr>
    </w:p>
    <w:p w14:paraId="64BBD0A1">
      <w:pPr>
        <w:snapToGrid w:val="0"/>
        <w:spacing w:line="360" w:lineRule="auto"/>
        <w:rPr>
          <w:rFonts w:ascii="仿宋" w:hAnsi="仿宋" w:eastAsia="仿宋" w:cs="Times New Roman"/>
          <w:b/>
          <w:sz w:val="24"/>
          <w:szCs w:val="24"/>
        </w:rPr>
      </w:pPr>
    </w:p>
    <w:p w14:paraId="141C71AE">
      <w:pPr>
        <w:snapToGrid w:val="0"/>
        <w:spacing w:line="360" w:lineRule="auto"/>
        <w:rPr>
          <w:rFonts w:ascii="仿宋" w:hAnsi="仿宋" w:eastAsia="仿宋" w:cs="Times New Roman"/>
          <w:b/>
          <w:sz w:val="24"/>
          <w:szCs w:val="24"/>
        </w:rPr>
      </w:pPr>
      <w:r>
        <w:rPr>
          <w:rFonts w:hint="eastAsia" w:ascii="仿宋" w:hAnsi="仿宋" w:eastAsia="仿宋" w:cs="Times New Roman"/>
          <w:b/>
          <w:sz w:val="24"/>
          <w:szCs w:val="24"/>
        </w:rPr>
        <w:t>附件一：</w:t>
      </w:r>
    </w:p>
    <w:p w14:paraId="5589F91F">
      <w:pPr>
        <w:adjustRightInd w:val="0"/>
        <w:snapToGrid w:val="0"/>
        <w:spacing w:line="360" w:lineRule="auto"/>
        <w:ind w:left="482" w:firstLine="480"/>
        <w:rPr>
          <w:rFonts w:ascii="仿宋" w:hAnsi="仿宋" w:eastAsia="仿宋" w:cs="宋体"/>
          <w:b/>
          <w:color w:val="000000"/>
          <w:kern w:val="0"/>
          <w:sz w:val="24"/>
          <w:szCs w:val="24"/>
        </w:rPr>
      </w:pPr>
    </w:p>
    <w:p w14:paraId="3015E8E7">
      <w:pPr>
        <w:adjustRightInd w:val="0"/>
        <w:snapToGrid w:val="0"/>
        <w:spacing w:line="360" w:lineRule="auto"/>
        <w:ind w:left="482" w:firstLine="2771" w:firstLineChars="1150"/>
        <w:rPr>
          <w:rFonts w:ascii="仿宋" w:hAnsi="仿宋" w:eastAsia="仿宋" w:cs="宋体"/>
          <w:b/>
          <w:color w:val="000000"/>
          <w:kern w:val="0"/>
          <w:sz w:val="24"/>
          <w:szCs w:val="24"/>
        </w:rPr>
      </w:pPr>
      <w:r>
        <w:rPr>
          <w:rFonts w:hint="eastAsia" w:ascii="仿宋" w:hAnsi="仿宋" w:eastAsia="仿宋" w:cs="宋体"/>
          <w:b/>
          <w:color w:val="000000"/>
          <w:kern w:val="0"/>
          <w:sz w:val="24"/>
          <w:szCs w:val="24"/>
        </w:rPr>
        <w:t>工程概况</w:t>
      </w:r>
    </w:p>
    <w:p w14:paraId="4488830B">
      <w:pPr>
        <w:adjustRightInd w:val="0"/>
        <w:snapToGrid w:val="0"/>
        <w:spacing w:line="360" w:lineRule="auto"/>
        <w:ind w:left="482" w:firstLine="2771" w:firstLineChars="1150"/>
        <w:rPr>
          <w:rFonts w:ascii="仿宋" w:hAnsi="仿宋" w:eastAsia="仿宋" w:cs="宋体"/>
          <w:b/>
          <w:color w:val="000000"/>
          <w:kern w:val="0"/>
          <w:sz w:val="24"/>
          <w:szCs w:val="24"/>
        </w:rPr>
      </w:pPr>
    </w:p>
    <w:p w14:paraId="49B05854">
      <w:pPr>
        <w:adjustRightInd w:val="0"/>
        <w:snapToGrid w:val="0"/>
        <w:spacing w:line="360" w:lineRule="auto"/>
        <w:ind w:firstLine="480" w:firstLineChars="200"/>
        <w:rPr>
          <w:rFonts w:ascii="仿宋" w:hAnsi="仿宋" w:eastAsia="仿宋" w:cs="宋体"/>
          <w:color w:val="000000"/>
          <w:kern w:val="0"/>
          <w:sz w:val="24"/>
          <w:szCs w:val="24"/>
        </w:rPr>
      </w:pPr>
      <w:r>
        <w:rPr>
          <w:rFonts w:hint="eastAsia" w:ascii="仿宋" w:hAnsi="仿宋" w:eastAsia="仿宋" w:cs="宋体"/>
          <w:color w:val="000000"/>
          <w:kern w:val="0"/>
          <w:sz w:val="24"/>
          <w:szCs w:val="24"/>
        </w:rPr>
        <w:t>1.</w:t>
      </w:r>
      <w:r>
        <w:rPr>
          <w:rFonts w:ascii="仿宋" w:hAnsi="仿宋" w:eastAsia="仿宋" w:cs="宋体"/>
          <w:color w:val="000000"/>
          <w:kern w:val="0"/>
          <w:sz w:val="24"/>
          <w:szCs w:val="24"/>
        </w:rPr>
        <w:t xml:space="preserve"> </w:t>
      </w:r>
      <w:r>
        <w:rPr>
          <w:rFonts w:hint="eastAsia" w:ascii="仿宋" w:hAnsi="仿宋" w:eastAsia="仿宋" w:cs="宋体"/>
          <w:color w:val="000000"/>
          <w:kern w:val="0"/>
          <w:sz w:val="24"/>
          <w:szCs w:val="24"/>
        </w:rPr>
        <w:t>工程名称：人保财险南京市分公司营业用房零星装修改造框架协议项目。</w:t>
      </w:r>
    </w:p>
    <w:p w14:paraId="4E8E2558">
      <w:pPr>
        <w:adjustRightInd w:val="0"/>
        <w:snapToGrid w:val="0"/>
        <w:spacing w:line="360" w:lineRule="auto"/>
        <w:ind w:firstLine="480" w:firstLineChars="200"/>
        <w:rPr>
          <w:rFonts w:ascii="仿宋" w:hAnsi="仿宋" w:eastAsia="仿宋" w:cs="宋体"/>
          <w:color w:val="000000"/>
          <w:kern w:val="0"/>
          <w:sz w:val="24"/>
          <w:szCs w:val="24"/>
        </w:rPr>
      </w:pPr>
      <w:r>
        <w:rPr>
          <w:rFonts w:hint="eastAsia" w:ascii="仿宋" w:hAnsi="仿宋" w:eastAsia="仿宋" w:cs="宋体"/>
          <w:color w:val="000000"/>
          <w:kern w:val="0"/>
          <w:sz w:val="24"/>
          <w:szCs w:val="24"/>
        </w:rPr>
        <w:t>2．工程地点：江苏省南京市（除溧水、高淳外），采购人指定地点。</w:t>
      </w:r>
    </w:p>
    <w:p w14:paraId="25CD2659">
      <w:pPr>
        <w:adjustRightInd w:val="0"/>
        <w:snapToGrid w:val="0"/>
        <w:spacing w:line="360" w:lineRule="auto"/>
        <w:ind w:firstLine="480"/>
        <w:rPr>
          <w:rFonts w:ascii="仿宋" w:hAnsi="仿宋" w:eastAsia="仿宋" w:cs="宋体"/>
          <w:color w:val="000000"/>
          <w:kern w:val="0"/>
          <w:sz w:val="24"/>
          <w:szCs w:val="24"/>
        </w:rPr>
      </w:pPr>
      <w:r>
        <w:rPr>
          <w:rFonts w:hint="eastAsia" w:ascii="仿宋" w:hAnsi="仿宋" w:eastAsia="仿宋" w:cs="宋体"/>
          <w:color w:val="000000"/>
          <w:kern w:val="0"/>
          <w:sz w:val="24"/>
          <w:szCs w:val="24"/>
        </w:rPr>
        <w:t>3.</w:t>
      </w:r>
      <w:r>
        <w:rPr>
          <w:rFonts w:ascii="仿宋" w:hAnsi="仿宋" w:eastAsia="仿宋" w:cs="宋体"/>
          <w:color w:val="000000"/>
          <w:kern w:val="0"/>
          <w:sz w:val="24"/>
          <w:szCs w:val="24"/>
        </w:rPr>
        <w:t xml:space="preserve"> </w:t>
      </w:r>
      <w:r>
        <w:rPr>
          <w:rFonts w:hint="eastAsia" w:ascii="仿宋" w:hAnsi="仿宋" w:eastAsia="仿宋" w:cs="宋体"/>
          <w:color w:val="000000"/>
          <w:kern w:val="0"/>
          <w:sz w:val="24"/>
          <w:szCs w:val="24"/>
        </w:rPr>
        <w:t>工程承包范围：南京市（除溧水、高淳外）不超过5万元的营业用房装修改造工程</w:t>
      </w:r>
    </w:p>
    <w:p w14:paraId="3CDFE256">
      <w:pPr>
        <w:adjustRightInd w:val="0"/>
        <w:snapToGrid w:val="0"/>
        <w:spacing w:line="360" w:lineRule="auto"/>
        <w:ind w:firstLine="480" w:firstLineChars="200"/>
        <w:rPr>
          <w:rFonts w:ascii="仿宋" w:hAnsi="仿宋" w:eastAsia="仿宋" w:cs="宋体"/>
          <w:color w:val="000000"/>
          <w:kern w:val="0"/>
          <w:sz w:val="24"/>
          <w:szCs w:val="24"/>
        </w:rPr>
      </w:pPr>
      <w:r>
        <w:rPr>
          <w:rFonts w:hint="eastAsia" w:ascii="仿宋" w:hAnsi="仿宋" w:eastAsia="仿宋" w:cs="宋体"/>
          <w:color w:val="000000"/>
          <w:kern w:val="0"/>
          <w:sz w:val="24"/>
          <w:szCs w:val="24"/>
        </w:rPr>
        <w:t>4. 工程承包方式：包工包料</w:t>
      </w:r>
    </w:p>
    <w:p w14:paraId="4536D427">
      <w:pPr>
        <w:adjustRightInd w:val="0"/>
        <w:snapToGrid w:val="0"/>
        <w:spacing w:line="360" w:lineRule="auto"/>
        <w:ind w:firstLine="480" w:firstLineChars="200"/>
        <w:rPr>
          <w:rFonts w:hint="eastAsia" w:ascii="仿宋" w:hAnsi="仿宋" w:eastAsia="仿宋" w:cs="宋体"/>
          <w:color w:val="000000"/>
          <w:kern w:val="0"/>
          <w:sz w:val="24"/>
          <w:szCs w:val="24"/>
        </w:rPr>
      </w:pPr>
    </w:p>
    <w:p w14:paraId="132C95DE">
      <w:pPr>
        <w:spacing w:line="360" w:lineRule="auto"/>
        <w:rPr>
          <w:rFonts w:ascii="仿宋" w:hAnsi="仿宋" w:eastAsia="仿宋" w:cs="Times New Roman"/>
          <w:sz w:val="24"/>
          <w:szCs w:val="24"/>
        </w:rPr>
      </w:pPr>
    </w:p>
    <w:p w14:paraId="63221D4A">
      <w:pPr>
        <w:rPr>
          <w:rFonts w:hint="eastAsia" w:ascii="仿宋" w:hAnsi="仿宋" w:eastAsia="仿宋" w:cs="Times New Roman"/>
          <w:b/>
          <w:sz w:val="24"/>
          <w:szCs w:val="24"/>
        </w:rPr>
      </w:pPr>
      <w:r>
        <w:rPr>
          <w:rFonts w:hint="eastAsia" w:ascii="仿宋" w:hAnsi="仿宋" w:eastAsia="仿宋" w:cs="Times New Roman"/>
          <w:b/>
          <w:sz w:val="24"/>
          <w:szCs w:val="24"/>
        </w:rPr>
        <w:br w:type="page"/>
      </w:r>
    </w:p>
    <w:p w14:paraId="6049F71E">
      <w:pPr>
        <w:snapToGrid w:val="0"/>
        <w:spacing w:line="360" w:lineRule="auto"/>
        <w:rPr>
          <w:rFonts w:ascii="仿宋" w:hAnsi="仿宋" w:eastAsia="仿宋" w:cs="Times New Roman"/>
          <w:b/>
          <w:sz w:val="24"/>
          <w:szCs w:val="24"/>
        </w:rPr>
      </w:pPr>
      <w:r>
        <w:rPr>
          <w:rFonts w:hint="eastAsia" w:ascii="仿宋" w:hAnsi="仿宋" w:eastAsia="仿宋" w:cs="Times New Roman"/>
          <w:b/>
          <w:sz w:val="24"/>
          <w:szCs w:val="24"/>
        </w:rPr>
        <w:t>附件二：</w:t>
      </w:r>
    </w:p>
    <w:p w14:paraId="41E47282">
      <w:pPr>
        <w:adjustRightInd w:val="0"/>
        <w:snapToGrid w:val="0"/>
        <w:spacing w:line="360" w:lineRule="auto"/>
        <w:ind w:left="482" w:firstLine="480"/>
        <w:rPr>
          <w:rFonts w:ascii="仿宋" w:hAnsi="仿宋" w:eastAsia="仿宋" w:cs="宋体"/>
          <w:b/>
          <w:color w:val="000000"/>
          <w:kern w:val="0"/>
          <w:sz w:val="24"/>
          <w:szCs w:val="24"/>
        </w:rPr>
      </w:pPr>
    </w:p>
    <w:p w14:paraId="79CB7BA8">
      <w:pPr>
        <w:adjustRightInd w:val="0"/>
        <w:snapToGrid w:val="0"/>
        <w:spacing w:line="360" w:lineRule="auto"/>
        <w:ind w:left="840" w:leftChars="228" w:hanging="361" w:hangingChars="150"/>
        <w:jc w:val="center"/>
        <w:rPr>
          <w:rFonts w:ascii="仿宋" w:hAnsi="仿宋" w:eastAsia="仿宋" w:cs="宋体"/>
          <w:b/>
          <w:color w:val="000000"/>
          <w:kern w:val="0"/>
          <w:sz w:val="24"/>
          <w:szCs w:val="24"/>
        </w:rPr>
      </w:pPr>
      <w:r>
        <w:rPr>
          <w:rFonts w:hint="eastAsia" w:ascii="仿宋" w:hAnsi="仿宋" w:eastAsia="仿宋" w:cs="宋体"/>
          <w:b/>
          <w:color w:val="000000"/>
          <w:kern w:val="0"/>
          <w:sz w:val="24"/>
          <w:szCs w:val="24"/>
        </w:rPr>
        <w:t>合同工期及质量标准</w:t>
      </w:r>
    </w:p>
    <w:p w14:paraId="6CA2C6C1">
      <w:pPr>
        <w:adjustRightInd w:val="0"/>
        <w:snapToGrid w:val="0"/>
        <w:spacing w:line="360" w:lineRule="auto"/>
        <w:ind w:left="840" w:leftChars="228" w:hanging="361" w:hangingChars="150"/>
        <w:jc w:val="center"/>
        <w:rPr>
          <w:rFonts w:ascii="仿宋" w:hAnsi="仿宋" w:eastAsia="仿宋" w:cs="宋体"/>
          <w:b/>
          <w:color w:val="000000"/>
          <w:kern w:val="0"/>
          <w:sz w:val="24"/>
          <w:szCs w:val="24"/>
        </w:rPr>
      </w:pPr>
    </w:p>
    <w:p w14:paraId="2C608DD3">
      <w:pPr>
        <w:pStyle w:val="92"/>
        <w:numPr>
          <w:ilvl w:val="0"/>
          <w:numId w:val="6"/>
        </w:numPr>
        <w:adjustRightInd w:val="0"/>
        <w:snapToGrid w:val="0"/>
        <w:spacing w:line="360" w:lineRule="auto"/>
        <w:ind w:firstLineChars="0"/>
        <w:rPr>
          <w:rFonts w:ascii="仿宋" w:hAnsi="仿宋" w:eastAsia="仿宋" w:cs="宋体"/>
          <w:color w:val="000000"/>
          <w:kern w:val="0"/>
          <w:sz w:val="24"/>
          <w:szCs w:val="24"/>
        </w:rPr>
      </w:pPr>
      <w:r>
        <w:rPr>
          <w:rFonts w:hint="eastAsia" w:ascii="仿宋" w:hAnsi="仿宋" w:eastAsia="仿宋" w:cs="宋体"/>
          <w:color w:val="000000"/>
          <w:kern w:val="0"/>
          <w:sz w:val="24"/>
          <w:szCs w:val="24"/>
        </w:rPr>
        <w:t>合同工期</w:t>
      </w:r>
    </w:p>
    <w:p w14:paraId="39FD6EF9">
      <w:pPr>
        <w:pStyle w:val="92"/>
        <w:adjustRightInd w:val="0"/>
        <w:snapToGrid w:val="0"/>
        <w:spacing w:line="360" w:lineRule="auto"/>
        <w:ind w:left="840" w:firstLine="0" w:firstLineChars="0"/>
        <w:rPr>
          <w:rFonts w:hint="eastAsia" w:ascii="仿宋" w:hAnsi="仿宋" w:eastAsia="仿宋" w:cs="宋体"/>
          <w:color w:val="000000"/>
          <w:kern w:val="0"/>
          <w:sz w:val="24"/>
          <w:szCs w:val="24"/>
        </w:rPr>
      </w:pPr>
      <w:r>
        <w:rPr>
          <w:rFonts w:hint="eastAsia" w:ascii="仿宋" w:hAnsi="仿宋" w:eastAsia="仿宋" w:cs="宋体"/>
          <w:color w:val="000000"/>
          <w:kern w:val="0"/>
          <w:sz w:val="24"/>
          <w:szCs w:val="24"/>
        </w:rPr>
        <w:t>项目采购有效期为1年，单个工程工期：</w:t>
      </w:r>
    </w:p>
    <w:p w14:paraId="7F0F704C">
      <w:pPr>
        <w:adjustRightInd w:val="0"/>
        <w:snapToGrid w:val="0"/>
        <w:spacing w:line="360" w:lineRule="auto"/>
        <w:ind w:firstLine="480" w:firstLineChars="200"/>
        <w:rPr>
          <w:rFonts w:ascii="仿宋" w:hAnsi="仿宋" w:eastAsia="仿宋" w:cs="宋体"/>
          <w:color w:val="000000"/>
          <w:kern w:val="0"/>
          <w:sz w:val="24"/>
          <w:szCs w:val="24"/>
          <w:u w:val="single"/>
        </w:rPr>
      </w:pPr>
      <w:r>
        <w:rPr>
          <w:rFonts w:hint="eastAsia" w:ascii="仿宋" w:hAnsi="仿宋" w:eastAsia="仿宋" w:cs="宋体"/>
          <w:color w:val="000000"/>
          <w:kern w:val="0"/>
          <w:sz w:val="24"/>
          <w:szCs w:val="24"/>
        </w:rPr>
        <w:t>开工日期：</w:t>
      </w:r>
      <w:r>
        <w:rPr>
          <w:rFonts w:hint="eastAsia" w:ascii="仿宋" w:hAnsi="仿宋" w:eastAsia="仿宋" w:cs="宋体"/>
          <w:color w:val="000000"/>
          <w:kern w:val="0"/>
          <w:sz w:val="24"/>
          <w:szCs w:val="24"/>
          <w:u w:val="single"/>
        </w:rPr>
        <w:t xml:space="preserve">    以甲方书面委托开工日期为准  ；</w:t>
      </w:r>
    </w:p>
    <w:p w14:paraId="0B7280C8">
      <w:pPr>
        <w:adjustRightInd w:val="0"/>
        <w:snapToGrid w:val="0"/>
        <w:spacing w:line="360" w:lineRule="auto"/>
        <w:ind w:firstLine="480" w:firstLineChars="200"/>
        <w:rPr>
          <w:rFonts w:ascii="仿宋" w:hAnsi="仿宋" w:eastAsia="仿宋" w:cs="宋体"/>
          <w:color w:val="000000"/>
          <w:kern w:val="0"/>
          <w:sz w:val="24"/>
          <w:szCs w:val="24"/>
          <w:u w:val="single"/>
        </w:rPr>
      </w:pPr>
      <w:r>
        <w:rPr>
          <w:rFonts w:hint="eastAsia" w:ascii="仿宋" w:hAnsi="仿宋" w:eastAsia="仿宋" w:cs="宋体"/>
          <w:color w:val="000000"/>
          <w:kern w:val="0"/>
          <w:sz w:val="24"/>
          <w:szCs w:val="24"/>
        </w:rPr>
        <w:t>竣工日期：</w:t>
      </w:r>
      <w:r>
        <w:rPr>
          <w:rFonts w:hint="eastAsia" w:ascii="仿宋" w:hAnsi="仿宋" w:eastAsia="仿宋" w:cs="宋体"/>
          <w:color w:val="000000"/>
          <w:kern w:val="0"/>
          <w:sz w:val="24"/>
          <w:szCs w:val="24"/>
          <w:u w:val="single"/>
        </w:rPr>
        <w:t xml:space="preserve">    以甲方书面委托竣工日期为准  ；</w:t>
      </w:r>
    </w:p>
    <w:p w14:paraId="27F8E218">
      <w:pPr>
        <w:adjustRightInd w:val="0"/>
        <w:snapToGrid w:val="0"/>
        <w:spacing w:line="360" w:lineRule="auto"/>
        <w:ind w:firstLine="480" w:firstLineChars="200"/>
        <w:rPr>
          <w:rFonts w:ascii="仿宋" w:hAnsi="仿宋" w:eastAsia="仿宋" w:cs="宋体"/>
          <w:color w:val="000000"/>
          <w:kern w:val="0"/>
          <w:sz w:val="24"/>
          <w:szCs w:val="24"/>
        </w:rPr>
      </w:pPr>
      <w:r>
        <w:rPr>
          <w:rFonts w:hint="eastAsia" w:ascii="仿宋" w:hAnsi="仿宋" w:eastAsia="仿宋" w:cs="宋体"/>
          <w:color w:val="000000"/>
          <w:kern w:val="0"/>
          <w:sz w:val="24"/>
          <w:szCs w:val="24"/>
        </w:rPr>
        <w:t>2. 质量标准：</w:t>
      </w:r>
    </w:p>
    <w:p w14:paraId="15B8140A">
      <w:pPr>
        <w:adjustRightInd w:val="0"/>
        <w:snapToGrid w:val="0"/>
        <w:spacing w:line="360" w:lineRule="auto"/>
        <w:ind w:firstLine="480" w:firstLineChars="200"/>
        <w:rPr>
          <w:rFonts w:ascii="仿宋" w:hAnsi="仿宋" w:eastAsia="仿宋" w:cs="宋体"/>
          <w:color w:val="000000"/>
          <w:kern w:val="0"/>
          <w:sz w:val="24"/>
          <w:szCs w:val="24"/>
        </w:rPr>
      </w:pPr>
      <w:r>
        <w:rPr>
          <w:rFonts w:hint="eastAsia" w:ascii="仿宋" w:hAnsi="仿宋" w:eastAsia="仿宋" w:cs="宋体"/>
          <w:color w:val="000000"/>
          <w:kern w:val="0"/>
          <w:sz w:val="24"/>
          <w:szCs w:val="24"/>
        </w:rPr>
        <w:t>（1）本工程质量应达到国家、地方或专业的质量检验标准、设计标准；</w:t>
      </w:r>
    </w:p>
    <w:p w14:paraId="2B921B01">
      <w:pPr>
        <w:adjustRightInd w:val="0"/>
        <w:snapToGrid w:val="0"/>
        <w:spacing w:line="360" w:lineRule="auto"/>
        <w:ind w:firstLine="480" w:firstLineChars="200"/>
        <w:rPr>
          <w:rFonts w:ascii="仿宋" w:hAnsi="仿宋" w:eastAsia="仿宋" w:cs="宋体"/>
          <w:color w:val="000000"/>
          <w:kern w:val="0"/>
          <w:sz w:val="24"/>
          <w:szCs w:val="24"/>
          <w:u w:val="single"/>
        </w:rPr>
      </w:pPr>
      <w:r>
        <w:rPr>
          <w:rFonts w:hint="eastAsia" w:ascii="仿宋" w:hAnsi="仿宋" w:eastAsia="仿宋" w:cs="宋体"/>
          <w:color w:val="000000"/>
          <w:kern w:val="0"/>
          <w:sz w:val="24"/>
          <w:szCs w:val="24"/>
        </w:rPr>
        <w:t>（2）双方约定标准：</w:t>
      </w:r>
      <w:r>
        <w:rPr>
          <w:rFonts w:hint="eastAsia" w:ascii="仿宋" w:hAnsi="仿宋" w:eastAsia="仿宋" w:cs="宋体"/>
          <w:color w:val="000000"/>
          <w:kern w:val="0"/>
          <w:sz w:val="24"/>
          <w:szCs w:val="24"/>
          <w:u w:val="single"/>
        </w:rPr>
        <w:t xml:space="preserve"> </w:t>
      </w:r>
      <w:r>
        <w:rPr>
          <w:rFonts w:ascii="仿宋" w:hAnsi="仿宋" w:eastAsia="仿宋" w:cs="宋体"/>
          <w:color w:val="000000"/>
          <w:kern w:val="0"/>
          <w:sz w:val="24"/>
          <w:szCs w:val="24"/>
          <w:u w:val="single"/>
        </w:rPr>
        <w:t xml:space="preserve">  </w:t>
      </w:r>
      <w:r>
        <w:rPr>
          <w:rFonts w:hint="eastAsia" w:ascii="仿宋" w:hAnsi="仿宋" w:eastAsia="仿宋" w:cs="宋体"/>
          <w:color w:val="000000"/>
          <w:kern w:val="0"/>
          <w:sz w:val="24"/>
          <w:szCs w:val="24"/>
          <w:u w:val="single"/>
        </w:rPr>
        <w:t>合格</w:t>
      </w:r>
      <w:r>
        <w:rPr>
          <w:rFonts w:ascii="仿宋" w:hAnsi="仿宋" w:eastAsia="仿宋" w:cs="宋体"/>
          <w:color w:val="000000"/>
          <w:kern w:val="0"/>
          <w:sz w:val="24"/>
          <w:szCs w:val="24"/>
          <w:u w:val="single"/>
        </w:rPr>
        <w:t xml:space="preserve"> </w:t>
      </w:r>
      <w:r>
        <w:rPr>
          <w:rFonts w:hint="eastAsia" w:ascii="仿宋" w:hAnsi="仿宋" w:eastAsia="仿宋" w:cs="宋体"/>
          <w:color w:val="000000"/>
          <w:kern w:val="0"/>
          <w:sz w:val="24"/>
          <w:szCs w:val="24"/>
          <w:u w:val="single"/>
        </w:rPr>
        <w:t xml:space="preserve"> </w:t>
      </w:r>
      <w:r>
        <w:rPr>
          <w:rFonts w:ascii="仿宋" w:hAnsi="仿宋" w:eastAsia="仿宋" w:cs="宋体"/>
          <w:color w:val="000000"/>
          <w:kern w:val="0"/>
          <w:sz w:val="24"/>
          <w:szCs w:val="24"/>
          <w:u w:val="single"/>
        </w:rPr>
        <w:t xml:space="preserve">            </w:t>
      </w:r>
    </w:p>
    <w:p w14:paraId="653A06E0">
      <w:pPr>
        <w:adjustRightInd w:val="0"/>
        <w:snapToGrid w:val="0"/>
        <w:spacing w:line="360" w:lineRule="auto"/>
        <w:ind w:firstLine="480" w:firstLineChars="200"/>
        <w:rPr>
          <w:rFonts w:ascii="仿宋" w:hAnsi="仿宋" w:eastAsia="仿宋" w:cs="Times New Roman"/>
          <w:sz w:val="24"/>
          <w:szCs w:val="24"/>
        </w:rPr>
      </w:pPr>
    </w:p>
    <w:p w14:paraId="6ED0D495">
      <w:pPr>
        <w:spacing w:line="360" w:lineRule="auto"/>
        <w:rPr>
          <w:rFonts w:ascii="仿宋" w:hAnsi="仿宋" w:eastAsia="仿宋" w:cs="Times New Roman"/>
          <w:sz w:val="24"/>
          <w:szCs w:val="24"/>
        </w:rPr>
      </w:pPr>
    </w:p>
    <w:p w14:paraId="03A5D843">
      <w:pPr>
        <w:spacing w:line="360" w:lineRule="auto"/>
        <w:rPr>
          <w:rFonts w:ascii="仿宋" w:hAnsi="仿宋" w:eastAsia="仿宋" w:cs="Times New Roman"/>
          <w:sz w:val="24"/>
          <w:szCs w:val="24"/>
        </w:rPr>
      </w:pPr>
    </w:p>
    <w:p w14:paraId="6CA36741">
      <w:pPr>
        <w:spacing w:line="360" w:lineRule="auto"/>
        <w:rPr>
          <w:rFonts w:ascii="仿宋" w:hAnsi="仿宋" w:eastAsia="仿宋" w:cs="Times New Roman"/>
          <w:sz w:val="24"/>
          <w:szCs w:val="24"/>
        </w:rPr>
      </w:pPr>
    </w:p>
    <w:p w14:paraId="7D5FA6A0">
      <w:pPr>
        <w:rPr>
          <w:rFonts w:hint="eastAsia" w:ascii="仿宋" w:hAnsi="仿宋" w:eastAsia="仿宋" w:cs="Times New Roman"/>
          <w:b/>
          <w:sz w:val="24"/>
          <w:szCs w:val="24"/>
        </w:rPr>
      </w:pPr>
      <w:r>
        <w:rPr>
          <w:rFonts w:hint="eastAsia" w:ascii="仿宋" w:hAnsi="仿宋" w:eastAsia="仿宋" w:cs="Times New Roman"/>
          <w:b/>
          <w:sz w:val="24"/>
          <w:szCs w:val="24"/>
        </w:rPr>
        <w:br w:type="page"/>
      </w:r>
    </w:p>
    <w:p w14:paraId="0EADC83D">
      <w:pPr>
        <w:spacing w:line="360" w:lineRule="auto"/>
        <w:rPr>
          <w:rFonts w:ascii="仿宋" w:hAnsi="仿宋" w:eastAsia="仿宋" w:cs="Times New Roman"/>
          <w:b/>
          <w:sz w:val="24"/>
          <w:szCs w:val="24"/>
        </w:rPr>
      </w:pPr>
      <w:r>
        <w:rPr>
          <w:rFonts w:hint="eastAsia" w:ascii="仿宋" w:hAnsi="仿宋" w:eastAsia="仿宋" w:cs="Times New Roman"/>
          <w:b/>
          <w:sz w:val="24"/>
          <w:szCs w:val="24"/>
        </w:rPr>
        <w:t xml:space="preserve">附件三： </w:t>
      </w:r>
      <w:r>
        <w:rPr>
          <w:rFonts w:ascii="仿宋" w:hAnsi="仿宋" w:eastAsia="仿宋" w:cs="Times New Roman"/>
          <w:b/>
          <w:sz w:val="24"/>
          <w:szCs w:val="24"/>
        </w:rPr>
        <w:t xml:space="preserve">    </w:t>
      </w:r>
      <w:r>
        <w:rPr>
          <w:rFonts w:hint="eastAsia" w:ascii="仿宋" w:hAnsi="仿宋" w:eastAsia="仿宋" w:cs="Times New Roman"/>
          <w:b/>
          <w:sz w:val="24"/>
          <w:szCs w:val="24"/>
          <w:lang w:val="en-US" w:eastAsia="zh-CN"/>
        </w:rPr>
        <w:t xml:space="preserve">                   </w:t>
      </w:r>
      <w:r>
        <w:rPr>
          <w:rFonts w:ascii="仿宋" w:hAnsi="仿宋" w:eastAsia="仿宋" w:cs="Times New Roman"/>
          <w:b/>
          <w:sz w:val="28"/>
          <w:szCs w:val="28"/>
        </w:rPr>
        <w:t>计价清单</w:t>
      </w:r>
      <w:r>
        <w:rPr>
          <w:rFonts w:ascii="仿宋" w:hAnsi="仿宋" w:eastAsia="仿宋" w:cs="Times New Roman"/>
          <w:b/>
          <w:sz w:val="24"/>
          <w:szCs w:val="24"/>
        </w:rPr>
        <w:t xml:space="preserve">            </w:t>
      </w:r>
    </w:p>
    <w:p w14:paraId="736B399A">
      <w:pPr>
        <w:snapToGrid w:val="0"/>
        <w:spacing w:line="360" w:lineRule="auto"/>
        <w:rPr>
          <w:rFonts w:hint="eastAsia" w:ascii="仿宋" w:hAnsi="仿宋" w:eastAsia="仿宋" w:cs="Times New Roman"/>
          <w:b/>
          <w:sz w:val="24"/>
          <w:szCs w:val="24"/>
        </w:rPr>
      </w:pPr>
    </w:p>
    <w:p w14:paraId="425FDC39">
      <w:pPr>
        <w:snapToGrid w:val="0"/>
        <w:spacing w:line="360" w:lineRule="auto"/>
        <w:rPr>
          <w:rFonts w:hint="eastAsia" w:ascii="仿宋" w:hAnsi="仿宋" w:eastAsia="仿宋" w:cs="Times New Roman"/>
          <w:b/>
          <w:sz w:val="24"/>
          <w:szCs w:val="24"/>
        </w:rPr>
      </w:pPr>
    </w:p>
    <w:p w14:paraId="43A72168">
      <w:pPr>
        <w:rPr>
          <w:rFonts w:hint="eastAsia" w:ascii="仿宋" w:hAnsi="仿宋" w:eastAsia="仿宋" w:cs="Times New Roman"/>
          <w:b/>
          <w:sz w:val="24"/>
          <w:szCs w:val="24"/>
        </w:rPr>
      </w:pPr>
      <w:r>
        <w:rPr>
          <w:rFonts w:hint="eastAsia" w:ascii="仿宋" w:hAnsi="仿宋" w:eastAsia="仿宋" w:cs="Times New Roman"/>
          <w:b/>
          <w:sz w:val="24"/>
          <w:szCs w:val="24"/>
        </w:rPr>
        <w:br w:type="page"/>
      </w:r>
    </w:p>
    <w:p w14:paraId="73874E12">
      <w:pPr>
        <w:snapToGrid w:val="0"/>
        <w:spacing w:line="360" w:lineRule="auto"/>
        <w:rPr>
          <w:rFonts w:ascii="仿宋" w:hAnsi="仿宋" w:eastAsia="仿宋" w:cs="Times New Roman"/>
          <w:b/>
          <w:sz w:val="24"/>
          <w:szCs w:val="24"/>
        </w:rPr>
      </w:pPr>
      <w:r>
        <w:rPr>
          <w:rFonts w:hint="eastAsia" w:ascii="仿宋" w:hAnsi="仿宋" w:eastAsia="仿宋" w:cs="Times New Roman"/>
          <w:b/>
          <w:sz w:val="24"/>
          <w:szCs w:val="24"/>
        </w:rPr>
        <w:t>附件四：</w:t>
      </w:r>
    </w:p>
    <w:p w14:paraId="27BD53EA">
      <w:pPr>
        <w:adjustRightInd w:val="0"/>
        <w:snapToGrid w:val="0"/>
        <w:spacing w:line="360" w:lineRule="auto"/>
        <w:ind w:left="482" w:firstLine="480"/>
        <w:rPr>
          <w:rFonts w:ascii="仿宋" w:hAnsi="仿宋" w:eastAsia="仿宋" w:cs="宋体"/>
          <w:b/>
          <w:color w:val="000000"/>
          <w:kern w:val="0"/>
          <w:sz w:val="24"/>
          <w:szCs w:val="24"/>
        </w:rPr>
      </w:pPr>
    </w:p>
    <w:p w14:paraId="52989E39">
      <w:pPr>
        <w:adjustRightInd w:val="0"/>
        <w:snapToGrid w:val="0"/>
        <w:spacing w:line="360" w:lineRule="auto"/>
        <w:ind w:left="840" w:leftChars="228" w:hanging="361" w:hangingChars="150"/>
        <w:jc w:val="center"/>
        <w:rPr>
          <w:rFonts w:ascii="仿宋" w:hAnsi="仿宋" w:eastAsia="仿宋" w:cs="宋体"/>
          <w:b/>
          <w:color w:val="000000"/>
          <w:kern w:val="0"/>
          <w:sz w:val="24"/>
          <w:szCs w:val="24"/>
        </w:rPr>
      </w:pPr>
      <w:r>
        <w:rPr>
          <w:rFonts w:hint="eastAsia" w:ascii="仿宋" w:hAnsi="仿宋" w:eastAsia="仿宋" w:cs="宋体"/>
          <w:b/>
          <w:color w:val="000000"/>
          <w:kern w:val="0"/>
          <w:sz w:val="24"/>
          <w:szCs w:val="24"/>
        </w:rPr>
        <w:t>付款</w:t>
      </w:r>
    </w:p>
    <w:p w14:paraId="7F34E40A">
      <w:pPr>
        <w:adjustRightInd w:val="0"/>
        <w:snapToGrid w:val="0"/>
        <w:spacing w:line="360" w:lineRule="auto"/>
        <w:ind w:left="840" w:leftChars="228" w:hanging="361" w:hangingChars="150"/>
        <w:jc w:val="center"/>
        <w:rPr>
          <w:rFonts w:ascii="仿宋" w:hAnsi="仿宋" w:eastAsia="仿宋" w:cs="宋体"/>
          <w:b/>
          <w:color w:val="000000"/>
          <w:kern w:val="0"/>
          <w:sz w:val="24"/>
          <w:szCs w:val="24"/>
        </w:rPr>
      </w:pPr>
    </w:p>
    <w:p w14:paraId="2B65E92D">
      <w:pPr>
        <w:adjustRightInd w:val="0"/>
        <w:snapToGrid w:val="0"/>
        <w:spacing w:line="360" w:lineRule="auto"/>
        <w:ind w:firstLine="480" w:firstLineChars="200"/>
        <w:rPr>
          <w:rFonts w:ascii="仿宋" w:hAnsi="仿宋" w:eastAsia="仿宋" w:cs="Times New Roman"/>
          <w:sz w:val="24"/>
          <w:szCs w:val="24"/>
        </w:rPr>
      </w:pPr>
      <w:r>
        <w:rPr>
          <w:rFonts w:hint="eastAsia" w:ascii="仿宋" w:hAnsi="仿宋" w:eastAsia="仿宋" w:cs="Times New Roman"/>
          <w:sz w:val="24"/>
          <w:szCs w:val="24"/>
        </w:rPr>
        <w:t>1.</w:t>
      </w:r>
      <w:r>
        <w:rPr>
          <w:rFonts w:ascii="仿宋" w:hAnsi="仿宋" w:eastAsia="仿宋" w:cs="Times New Roman"/>
          <w:sz w:val="24"/>
          <w:szCs w:val="24"/>
        </w:rPr>
        <w:t xml:space="preserve"> </w:t>
      </w:r>
      <w:r>
        <w:rPr>
          <w:rFonts w:hint="eastAsia" w:ascii="仿宋" w:hAnsi="仿宋" w:eastAsia="仿宋" w:cs="Times New Roman"/>
          <w:sz w:val="24"/>
          <w:szCs w:val="24"/>
        </w:rPr>
        <w:t>本合同使用货币种类为人民币。</w:t>
      </w:r>
    </w:p>
    <w:p w14:paraId="77EEAABA">
      <w:pPr>
        <w:adjustRightInd w:val="0"/>
        <w:snapToGrid w:val="0"/>
        <w:spacing w:line="360" w:lineRule="auto"/>
        <w:ind w:firstLine="480" w:firstLineChars="200"/>
        <w:rPr>
          <w:rFonts w:ascii="仿宋" w:hAnsi="仿宋" w:eastAsia="仿宋" w:cs="Times New Roman"/>
          <w:sz w:val="24"/>
          <w:szCs w:val="24"/>
        </w:rPr>
      </w:pPr>
      <w:r>
        <w:rPr>
          <w:rFonts w:hint="eastAsia" w:ascii="仿宋" w:hAnsi="仿宋" w:eastAsia="仿宋" w:cs="Times New Roman"/>
          <w:sz w:val="24"/>
          <w:szCs w:val="24"/>
        </w:rPr>
        <w:t>2. 付款方式：转账[现金/支票]。</w:t>
      </w:r>
      <w:r>
        <w:rPr>
          <w:rFonts w:ascii="仿宋" w:hAnsi="仿宋" w:eastAsia="仿宋" w:cs="Times New Roman"/>
          <w:sz w:val="24"/>
          <w:szCs w:val="24"/>
        </w:rPr>
        <w:t>双方采用转账方式付款</w:t>
      </w:r>
      <w:r>
        <w:rPr>
          <w:rFonts w:hint="eastAsia" w:ascii="仿宋" w:hAnsi="仿宋" w:eastAsia="仿宋" w:cs="Times New Roman"/>
          <w:sz w:val="24"/>
          <w:szCs w:val="24"/>
        </w:rPr>
        <w:t>的，发包人应向承包人</w:t>
      </w:r>
      <w:r>
        <w:rPr>
          <w:rFonts w:ascii="仿宋" w:hAnsi="仿宋" w:eastAsia="仿宋" w:cs="Times New Roman"/>
          <w:sz w:val="24"/>
          <w:szCs w:val="24"/>
        </w:rPr>
        <w:t>以下账户进行付费：</w:t>
      </w:r>
    </w:p>
    <w:p w14:paraId="6998BEEE">
      <w:pPr>
        <w:adjustRightInd w:val="0"/>
        <w:snapToGrid w:val="0"/>
        <w:spacing w:line="360" w:lineRule="auto"/>
        <w:ind w:firstLine="480" w:firstLineChars="200"/>
        <w:rPr>
          <w:rFonts w:hint="eastAsia" w:ascii="仿宋" w:hAnsi="仿宋" w:eastAsia="仿宋" w:cs="Times New Roman"/>
          <w:sz w:val="24"/>
          <w:szCs w:val="24"/>
          <w:u w:val="single"/>
          <w:lang w:eastAsia="zh-CN"/>
        </w:rPr>
      </w:pPr>
      <w:r>
        <w:rPr>
          <w:rFonts w:ascii="仿宋" w:hAnsi="仿宋" w:eastAsia="仿宋" w:cs="Times New Roman"/>
          <w:sz w:val="24"/>
          <w:szCs w:val="24"/>
        </w:rPr>
        <w:tab/>
      </w:r>
      <w:r>
        <w:rPr>
          <w:rFonts w:hint="eastAsia" w:ascii="仿宋" w:hAnsi="仿宋" w:eastAsia="仿宋" w:cs="Times New Roman"/>
          <w:sz w:val="24"/>
          <w:szCs w:val="24"/>
        </w:rPr>
        <w:t>承包人</w:t>
      </w:r>
      <w:r>
        <w:rPr>
          <w:rFonts w:ascii="仿宋" w:hAnsi="仿宋" w:eastAsia="仿宋" w:cs="Times New Roman"/>
          <w:sz w:val="24"/>
          <w:szCs w:val="24"/>
        </w:rPr>
        <w:t>：</w:t>
      </w:r>
      <w:r>
        <w:rPr>
          <w:rFonts w:hint="eastAsia" w:ascii="仿宋" w:hAnsi="仿宋" w:eastAsia="仿宋" w:cs="Times New Roman"/>
          <w:sz w:val="24"/>
          <w:szCs w:val="24"/>
          <w:lang w:eastAsia="zh-CN"/>
        </w:rPr>
        <w:t xml:space="preserve">  </w:t>
      </w:r>
    </w:p>
    <w:p w14:paraId="63A4BE40">
      <w:pPr>
        <w:adjustRightInd w:val="0"/>
        <w:snapToGrid w:val="0"/>
        <w:spacing w:line="360" w:lineRule="auto"/>
        <w:ind w:firstLine="480" w:firstLineChars="200"/>
        <w:rPr>
          <w:rFonts w:hint="eastAsia" w:ascii="仿宋" w:hAnsi="仿宋" w:eastAsia="仿宋" w:cs="Times New Roman"/>
          <w:sz w:val="24"/>
          <w:szCs w:val="24"/>
          <w:u w:val="single"/>
          <w:lang w:eastAsia="zh-CN"/>
        </w:rPr>
      </w:pPr>
      <w:r>
        <w:rPr>
          <w:rFonts w:ascii="仿宋" w:hAnsi="仿宋" w:eastAsia="仿宋" w:cs="Times New Roman"/>
          <w:sz w:val="24"/>
          <w:szCs w:val="24"/>
        </w:rPr>
        <w:tab/>
      </w:r>
      <w:r>
        <w:rPr>
          <w:rFonts w:ascii="仿宋" w:hAnsi="仿宋" w:eastAsia="仿宋" w:cs="Times New Roman"/>
          <w:sz w:val="24"/>
          <w:szCs w:val="24"/>
        </w:rPr>
        <w:t>开户行：</w:t>
      </w:r>
      <w:r>
        <w:rPr>
          <w:rFonts w:hint="eastAsia" w:ascii="仿宋" w:hAnsi="仿宋" w:eastAsia="仿宋" w:cs="Times New Roman"/>
          <w:sz w:val="24"/>
          <w:szCs w:val="24"/>
          <w:lang w:val="en-US" w:eastAsia="zh-CN"/>
        </w:rPr>
        <w:t xml:space="preserve"> </w:t>
      </w:r>
    </w:p>
    <w:p w14:paraId="0DE5465E">
      <w:pPr>
        <w:adjustRightInd w:val="0"/>
        <w:snapToGrid w:val="0"/>
        <w:spacing w:line="360" w:lineRule="auto"/>
        <w:ind w:firstLine="480" w:firstLineChars="200"/>
        <w:rPr>
          <w:rFonts w:hint="eastAsia" w:ascii="仿宋" w:hAnsi="仿宋" w:eastAsia="仿宋" w:cs="Times New Roman"/>
          <w:sz w:val="24"/>
          <w:szCs w:val="24"/>
          <w:u w:val="single"/>
          <w:lang w:eastAsia="zh-CN"/>
        </w:rPr>
      </w:pPr>
      <w:r>
        <w:rPr>
          <w:rFonts w:ascii="仿宋" w:hAnsi="仿宋" w:eastAsia="仿宋" w:cs="Times New Roman"/>
          <w:sz w:val="24"/>
          <w:szCs w:val="24"/>
        </w:rPr>
        <w:tab/>
      </w:r>
      <w:r>
        <w:rPr>
          <w:rFonts w:ascii="仿宋" w:hAnsi="仿宋" w:eastAsia="仿宋" w:cs="Times New Roman"/>
          <w:sz w:val="24"/>
          <w:szCs w:val="24"/>
        </w:rPr>
        <w:t>账户名称：</w:t>
      </w:r>
      <w:r>
        <w:rPr>
          <w:rFonts w:hint="eastAsia" w:ascii="仿宋" w:hAnsi="仿宋" w:eastAsia="仿宋" w:cs="Times New Roman"/>
          <w:sz w:val="24"/>
          <w:szCs w:val="24"/>
          <w:lang w:eastAsia="zh-CN"/>
        </w:rPr>
        <w:t xml:space="preserve">  </w:t>
      </w:r>
    </w:p>
    <w:p w14:paraId="73C17997">
      <w:pPr>
        <w:adjustRightInd w:val="0"/>
        <w:snapToGrid w:val="0"/>
        <w:spacing w:line="360" w:lineRule="auto"/>
        <w:ind w:firstLine="480" w:firstLineChars="200"/>
        <w:rPr>
          <w:rFonts w:hint="eastAsia" w:ascii="仿宋" w:hAnsi="仿宋" w:eastAsia="仿宋" w:cs="Times New Roman"/>
          <w:sz w:val="24"/>
          <w:szCs w:val="24"/>
          <w:u w:val="single"/>
          <w:lang w:eastAsia="zh-CN"/>
        </w:rPr>
      </w:pPr>
      <w:r>
        <w:rPr>
          <w:rFonts w:ascii="仿宋" w:hAnsi="仿宋" w:eastAsia="仿宋" w:cs="Times New Roman"/>
          <w:sz w:val="24"/>
          <w:szCs w:val="24"/>
        </w:rPr>
        <w:tab/>
      </w:r>
      <w:r>
        <w:rPr>
          <w:rFonts w:ascii="仿宋" w:hAnsi="仿宋" w:eastAsia="仿宋" w:cs="Times New Roman"/>
          <w:sz w:val="24"/>
          <w:szCs w:val="24"/>
        </w:rPr>
        <w:t>账号：</w:t>
      </w:r>
      <w:r>
        <w:rPr>
          <w:rFonts w:hint="eastAsia" w:ascii="仿宋" w:hAnsi="仿宋" w:eastAsia="仿宋" w:cs="Times New Roman"/>
          <w:sz w:val="24"/>
          <w:szCs w:val="24"/>
          <w:lang w:val="en-US" w:eastAsia="zh-CN"/>
        </w:rPr>
        <w:t xml:space="preserve"> </w:t>
      </w:r>
    </w:p>
    <w:p w14:paraId="483C578E">
      <w:pPr>
        <w:widowControl/>
        <w:adjustRightInd w:val="0"/>
        <w:snapToGrid w:val="0"/>
        <w:spacing w:line="360" w:lineRule="auto"/>
        <w:ind w:firstLine="480" w:firstLineChars="200"/>
        <w:jc w:val="left"/>
        <w:rPr>
          <w:rFonts w:ascii="仿宋" w:hAnsi="仿宋" w:eastAsia="仿宋" w:cs="Times New Roman"/>
          <w:sz w:val="24"/>
          <w:szCs w:val="24"/>
        </w:rPr>
      </w:pPr>
      <w:r>
        <w:rPr>
          <w:rFonts w:hint="eastAsia" w:ascii="仿宋" w:hAnsi="仿宋" w:eastAsia="仿宋" w:cs="Times New Roman"/>
          <w:sz w:val="24"/>
          <w:szCs w:val="24"/>
        </w:rPr>
        <w:t>承包人</w:t>
      </w:r>
      <w:r>
        <w:rPr>
          <w:rFonts w:ascii="仿宋" w:hAnsi="仿宋" w:eastAsia="仿宋" w:cs="Times New Roman"/>
          <w:sz w:val="24"/>
          <w:szCs w:val="24"/>
        </w:rPr>
        <w:t>如需改变上述账户，应提前</w:t>
      </w:r>
      <w:r>
        <w:rPr>
          <w:rFonts w:hint="eastAsia" w:ascii="仿宋" w:hAnsi="仿宋" w:eastAsia="仿宋" w:cs="Times New Roman"/>
          <w:sz w:val="24"/>
          <w:szCs w:val="24"/>
        </w:rPr>
        <w:t>10</w:t>
      </w:r>
      <w:r>
        <w:rPr>
          <w:rFonts w:ascii="仿宋" w:hAnsi="仿宋" w:eastAsia="仿宋" w:cs="Times New Roman"/>
          <w:sz w:val="24"/>
          <w:szCs w:val="24"/>
        </w:rPr>
        <w:t>日以书面通知</w:t>
      </w:r>
      <w:r>
        <w:rPr>
          <w:rFonts w:hint="eastAsia" w:ascii="仿宋" w:hAnsi="仿宋" w:eastAsia="仿宋" w:cs="Times New Roman"/>
          <w:sz w:val="24"/>
          <w:szCs w:val="24"/>
        </w:rPr>
        <w:t>发包人</w:t>
      </w:r>
      <w:r>
        <w:rPr>
          <w:rFonts w:ascii="仿宋" w:hAnsi="仿宋" w:eastAsia="仿宋" w:cs="Times New Roman"/>
          <w:sz w:val="24"/>
          <w:szCs w:val="24"/>
        </w:rPr>
        <w:t>。</w:t>
      </w:r>
    </w:p>
    <w:p w14:paraId="1B04B3A5">
      <w:pPr>
        <w:adjustRightInd w:val="0"/>
        <w:snapToGrid w:val="0"/>
        <w:spacing w:line="360" w:lineRule="auto"/>
        <w:ind w:firstLine="480" w:firstLineChars="200"/>
        <w:rPr>
          <w:rFonts w:ascii="仿宋" w:hAnsi="仿宋" w:eastAsia="仿宋" w:cs="宋体"/>
          <w:color w:val="000000"/>
          <w:kern w:val="0"/>
          <w:sz w:val="24"/>
          <w:szCs w:val="24"/>
        </w:rPr>
      </w:pPr>
      <w:r>
        <w:rPr>
          <w:rFonts w:hint="eastAsia" w:ascii="仿宋" w:hAnsi="仿宋" w:eastAsia="仿宋" w:cs="宋体"/>
          <w:color w:val="000000"/>
          <w:kern w:val="0"/>
          <w:sz w:val="24"/>
          <w:szCs w:val="24"/>
        </w:rPr>
        <w:t>3．付款安排：</w:t>
      </w:r>
    </w:p>
    <w:p w14:paraId="513505EC">
      <w:pPr>
        <w:adjustRightInd w:val="0"/>
        <w:snapToGrid w:val="0"/>
        <w:spacing w:line="360" w:lineRule="auto"/>
        <w:ind w:left="2" w:firstLine="480" w:firstLineChars="200"/>
        <w:rPr>
          <w:rFonts w:ascii="仿宋" w:hAnsi="仿宋" w:eastAsia="仿宋" w:cs="宋体"/>
          <w:iCs/>
          <w:color w:val="000000"/>
          <w:kern w:val="0"/>
          <w:sz w:val="24"/>
          <w:szCs w:val="24"/>
        </w:rPr>
      </w:pPr>
      <w:r>
        <w:rPr>
          <w:rFonts w:hint="eastAsia" w:ascii="仿宋" w:hAnsi="仿宋" w:eastAsia="仿宋" w:cs="宋体"/>
          <w:iCs/>
          <w:color w:val="000000"/>
          <w:kern w:val="0"/>
          <w:sz w:val="24"/>
          <w:szCs w:val="24"/>
        </w:rPr>
        <w:t>（1）项目开工后，发包人在收到承包人相应金额的合法有效</w:t>
      </w:r>
      <w:r>
        <w:rPr>
          <w:rFonts w:ascii="仿宋" w:hAnsi="仿宋" w:eastAsia="仿宋" w:cs="宋体"/>
          <w:iCs/>
          <w:color w:val="000000"/>
          <w:kern w:val="0"/>
          <w:sz w:val="24"/>
          <w:szCs w:val="24"/>
        </w:rPr>
        <w:t>的增值税专用</w:t>
      </w:r>
      <w:r>
        <w:rPr>
          <w:rFonts w:hint="eastAsia" w:ascii="仿宋" w:hAnsi="仿宋" w:eastAsia="仿宋" w:cs="宋体"/>
          <w:iCs/>
          <w:color w:val="000000"/>
          <w:kern w:val="0"/>
          <w:sz w:val="24"/>
          <w:szCs w:val="24"/>
        </w:rPr>
        <w:t>发票后</w:t>
      </w:r>
      <w:r>
        <w:rPr>
          <w:rFonts w:hint="eastAsia" w:ascii="仿宋" w:hAnsi="仿宋" w:eastAsia="仿宋" w:cs="宋体"/>
          <w:iCs/>
          <w:color w:val="000000"/>
          <w:kern w:val="0"/>
          <w:sz w:val="24"/>
          <w:szCs w:val="24"/>
          <w:u w:val="single"/>
        </w:rPr>
        <w:t xml:space="preserve"> </w:t>
      </w:r>
      <w:r>
        <w:rPr>
          <w:rFonts w:ascii="仿宋" w:hAnsi="仿宋" w:eastAsia="仿宋" w:cs="宋体"/>
          <w:iCs/>
          <w:color w:val="000000"/>
          <w:kern w:val="0"/>
          <w:sz w:val="24"/>
          <w:szCs w:val="24"/>
          <w:u w:val="single"/>
        </w:rPr>
        <w:t xml:space="preserve">7 </w:t>
      </w:r>
      <w:r>
        <w:rPr>
          <w:rFonts w:hint="eastAsia" w:ascii="仿宋" w:hAnsi="仿宋" w:eastAsia="仿宋" w:cs="宋体"/>
          <w:iCs/>
          <w:color w:val="000000"/>
          <w:kern w:val="0"/>
          <w:sz w:val="24"/>
          <w:szCs w:val="24"/>
        </w:rPr>
        <w:t xml:space="preserve">个工作日内向承包人支付上述项目暂估价款的 </w:t>
      </w:r>
      <w:r>
        <w:rPr>
          <w:rFonts w:ascii="仿宋" w:hAnsi="仿宋" w:eastAsia="仿宋" w:cs="宋体"/>
          <w:iCs/>
          <w:color w:val="000000"/>
          <w:kern w:val="0"/>
          <w:sz w:val="24"/>
          <w:szCs w:val="24"/>
          <w:u w:val="single"/>
        </w:rPr>
        <w:t xml:space="preserve"> 60 </w:t>
      </w:r>
      <w:r>
        <w:rPr>
          <w:rFonts w:ascii="仿宋" w:hAnsi="仿宋" w:eastAsia="仿宋" w:cs="宋体"/>
          <w:iCs/>
          <w:color w:val="000000"/>
          <w:kern w:val="0"/>
          <w:sz w:val="24"/>
          <w:szCs w:val="24"/>
        </w:rPr>
        <w:t xml:space="preserve">  </w:t>
      </w:r>
      <w:r>
        <w:rPr>
          <w:rFonts w:hint="eastAsia" w:ascii="仿宋" w:hAnsi="仿宋" w:eastAsia="仿宋" w:cs="宋体"/>
          <w:iCs/>
          <w:color w:val="000000"/>
          <w:kern w:val="0"/>
          <w:sz w:val="24"/>
          <w:szCs w:val="24"/>
        </w:rPr>
        <w:t>%；</w:t>
      </w:r>
    </w:p>
    <w:p w14:paraId="207AD03B">
      <w:pPr>
        <w:adjustRightInd w:val="0"/>
        <w:snapToGrid w:val="0"/>
        <w:spacing w:line="360" w:lineRule="auto"/>
        <w:ind w:left="2" w:firstLine="480" w:firstLineChars="200"/>
        <w:rPr>
          <w:rFonts w:ascii="仿宋" w:hAnsi="仿宋" w:eastAsia="仿宋" w:cs="宋体"/>
          <w:iCs/>
          <w:color w:val="000000"/>
          <w:kern w:val="0"/>
          <w:sz w:val="24"/>
          <w:szCs w:val="24"/>
        </w:rPr>
      </w:pPr>
      <w:r>
        <w:rPr>
          <w:rFonts w:hint="eastAsia" w:ascii="仿宋" w:hAnsi="仿宋" w:eastAsia="仿宋" w:cs="宋体"/>
          <w:iCs/>
          <w:color w:val="000000"/>
          <w:kern w:val="0"/>
          <w:sz w:val="24"/>
          <w:szCs w:val="24"/>
        </w:rPr>
        <w:t>（2）工程竣工验收合格并完成结算后，发包人在收到承包人相应金额的合法有效</w:t>
      </w:r>
      <w:r>
        <w:rPr>
          <w:rFonts w:ascii="仿宋" w:hAnsi="仿宋" w:eastAsia="仿宋" w:cs="宋体"/>
          <w:iCs/>
          <w:color w:val="000000"/>
          <w:kern w:val="0"/>
          <w:sz w:val="24"/>
          <w:szCs w:val="24"/>
        </w:rPr>
        <w:t>的增值税专用</w:t>
      </w:r>
      <w:r>
        <w:rPr>
          <w:rFonts w:hint="eastAsia" w:ascii="仿宋" w:hAnsi="仿宋" w:eastAsia="仿宋" w:cs="宋体"/>
          <w:iCs/>
          <w:color w:val="000000"/>
          <w:kern w:val="0"/>
          <w:sz w:val="24"/>
          <w:szCs w:val="24"/>
        </w:rPr>
        <w:t>发票后</w:t>
      </w:r>
      <w:r>
        <w:rPr>
          <w:rFonts w:hint="eastAsia" w:ascii="仿宋" w:hAnsi="仿宋" w:eastAsia="仿宋" w:cs="宋体"/>
          <w:iCs/>
          <w:color w:val="000000"/>
          <w:kern w:val="0"/>
          <w:sz w:val="24"/>
          <w:szCs w:val="24"/>
          <w:u w:val="single"/>
        </w:rPr>
        <w:t xml:space="preserve"> </w:t>
      </w:r>
      <w:r>
        <w:rPr>
          <w:rFonts w:ascii="仿宋" w:hAnsi="仿宋" w:eastAsia="仿宋" w:cs="宋体"/>
          <w:iCs/>
          <w:color w:val="000000"/>
          <w:kern w:val="0"/>
          <w:sz w:val="24"/>
          <w:szCs w:val="24"/>
          <w:u w:val="single"/>
        </w:rPr>
        <w:t xml:space="preserve">7 </w:t>
      </w:r>
      <w:r>
        <w:rPr>
          <w:rFonts w:hint="eastAsia" w:ascii="仿宋" w:hAnsi="仿宋" w:eastAsia="仿宋" w:cs="宋体"/>
          <w:iCs/>
          <w:color w:val="000000"/>
          <w:kern w:val="0"/>
          <w:sz w:val="24"/>
          <w:szCs w:val="24"/>
        </w:rPr>
        <w:t>个工作日内向承包人支付到最终工程结算总价款的</w:t>
      </w:r>
      <w:r>
        <w:rPr>
          <w:rFonts w:ascii="仿宋" w:hAnsi="仿宋" w:eastAsia="仿宋" w:cs="宋体"/>
          <w:iCs/>
          <w:color w:val="000000"/>
          <w:kern w:val="0"/>
          <w:sz w:val="24"/>
          <w:szCs w:val="24"/>
          <w:u w:val="single"/>
        </w:rPr>
        <w:t>100</w:t>
      </w:r>
      <w:r>
        <w:rPr>
          <w:rFonts w:hint="eastAsia" w:ascii="仿宋" w:hAnsi="仿宋" w:eastAsia="仿宋" w:cs="宋体"/>
          <w:iCs/>
          <w:color w:val="000000"/>
          <w:kern w:val="0"/>
          <w:sz w:val="24"/>
          <w:szCs w:val="24"/>
        </w:rPr>
        <w:t>%；</w:t>
      </w:r>
    </w:p>
    <w:p w14:paraId="3E056E1B">
      <w:pPr>
        <w:adjustRightInd w:val="0"/>
        <w:snapToGrid w:val="0"/>
        <w:spacing w:line="360" w:lineRule="auto"/>
        <w:ind w:firstLine="480" w:firstLineChars="200"/>
        <w:rPr>
          <w:rFonts w:ascii="仿宋" w:hAnsi="仿宋" w:eastAsia="仿宋" w:cs="宋体"/>
          <w:color w:val="000000"/>
          <w:kern w:val="0"/>
          <w:sz w:val="24"/>
          <w:szCs w:val="24"/>
        </w:rPr>
      </w:pPr>
      <w:r>
        <w:rPr>
          <w:rFonts w:hint="eastAsia" w:ascii="仿宋" w:hAnsi="仿宋" w:eastAsia="仿宋" w:cs="宋体"/>
          <w:color w:val="000000"/>
          <w:kern w:val="0"/>
          <w:sz w:val="24"/>
          <w:szCs w:val="24"/>
        </w:rPr>
        <w:t>4. 接通施工所需的水、电，水电费由乙方承担。</w:t>
      </w:r>
    </w:p>
    <w:p w14:paraId="17B970CB">
      <w:pPr>
        <w:adjustRightInd w:val="0"/>
        <w:snapToGrid w:val="0"/>
        <w:spacing w:line="360" w:lineRule="auto"/>
        <w:ind w:firstLine="480" w:firstLineChars="200"/>
        <w:rPr>
          <w:rFonts w:ascii="仿宋" w:hAnsi="仿宋" w:eastAsia="仿宋" w:cs="宋体"/>
          <w:color w:val="000000"/>
          <w:kern w:val="0"/>
          <w:sz w:val="24"/>
          <w:szCs w:val="24"/>
        </w:rPr>
      </w:pPr>
      <w:r>
        <w:rPr>
          <w:rFonts w:hint="eastAsia" w:ascii="仿宋" w:hAnsi="仿宋" w:eastAsia="仿宋" w:cs="宋体"/>
          <w:color w:val="000000"/>
          <w:kern w:val="0"/>
          <w:sz w:val="24"/>
          <w:szCs w:val="24"/>
        </w:rPr>
        <w:t>5</w:t>
      </w:r>
      <w:r>
        <w:rPr>
          <w:rFonts w:ascii="仿宋" w:hAnsi="仿宋" w:eastAsia="仿宋" w:cs="宋体"/>
          <w:color w:val="000000"/>
          <w:kern w:val="0"/>
          <w:sz w:val="24"/>
          <w:szCs w:val="24"/>
        </w:rPr>
        <w:t xml:space="preserve">. </w:t>
      </w:r>
      <w:r>
        <w:rPr>
          <w:rFonts w:hint="eastAsia" w:ascii="仿宋" w:hAnsi="仿宋" w:eastAsia="仿宋" w:cs="宋体"/>
          <w:color w:val="000000"/>
          <w:kern w:val="0"/>
          <w:sz w:val="24"/>
          <w:szCs w:val="24"/>
        </w:rPr>
        <w:t>增值税</w:t>
      </w:r>
      <w:r>
        <w:rPr>
          <w:rFonts w:ascii="仿宋" w:hAnsi="仿宋" w:eastAsia="仿宋" w:cs="宋体"/>
          <w:color w:val="000000"/>
          <w:kern w:val="0"/>
          <w:sz w:val="24"/>
          <w:szCs w:val="24"/>
        </w:rPr>
        <w:t>专用发票的相关</w:t>
      </w:r>
      <w:r>
        <w:rPr>
          <w:rFonts w:hint="eastAsia" w:ascii="仿宋" w:hAnsi="仿宋" w:eastAsia="仿宋" w:cs="宋体"/>
          <w:color w:val="000000"/>
          <w:kern w:val="0"/>
          <w:sz w:val="24"/>
          <w:szCs w:val="24"/>
        </w:rPr>
        <w:t>约定</w:t>
      </w:r>
    </w:p>
    <w:p w14:paraId="1900DBCF">
      <w:pPr>
        <w:snapToGrid w:val="0"/>
        <w:spacing w:line="360" w:lineRule="auto"/>
        <w:rPr>
          <w:rFonts w:ascii="仿宋" w:hAnsi="仿宋" w:eastAsia="仿宋" w:cs="Times New Roman"/>
          <w:sz w:val="24"/>
          <w:szCs w:val="24"/>
        </w:rPr>
      </w:pPr>
      <w:r>
        <w:rPr>
          <w:rFonts w:hint="eastAsia" w:ascii="仿宋" w:hAnsi="仿宋" w:eastAsia="仿宋" w:cs="Times New Roman"/>
          <w:sz w:val="24"/>
          <w:szCs w:val="24"/>
        </w:rPr>
        <w:t>（1）乙方应向甲方开具增值税专用发票，甲方开票信息如下：</w:t>
      </w:r>
      <w:r>
        <w:rPr>
          <w:rFonts w:ascii="仿宋" w:hAnsi="仿宋" w:eastAsia="仿宋" w:cs="Times New Roman"/>
          <w:sz w:val="24"/>
          <w:szCs w:val="24"/>
        </w:rPr>
        <w:t xml:space="preserve"> </w:t>
      </w:r>
    </w:p>
    <w:p w14:paraId="0C1E3542">
      <w:pPr>
        <w:snapToGrid w:val="0"/>
        <w:spacing w:line="360" w:lineRule="auto"/>
        <w:rPr>
          <w:rFonts w:hint="eastAsia" w:ascii="仿宋" w:hAnsi="仿宋" w:eastAsia="仿宋" w:cs="Times New Roman"/>
          <w:sz w:val="24"/>
          <w:szCs w:val="24"/>
          <w:lang w:eastAsia="zh-CN"/>
        </w:rPr>
      </w:pPr>
      <w:r>
        <w:rPr>
          <w:rFonts w:hint="eastAsia" w:ascii="仿宋" w:hAnsi="仿宋" w:eastAsia="仿宋" w:cs="Times New Roman"/>
          <w:sz w:val="24"/>
          <w:szCs w:val="24"/>
        </w:rPr>
        <w:t>公司名称：</w:t>
      </w:r>
      <w:r>
        <w:rPr>
          <w:rFonts w:ascii="仿宋" w:hAnsi="仿宋" w:eastAsia="仿宋" w:cs="Times New Roman"/>
          <w:sz w:val="24"/>
          <w:szCs w:val="24"/>
        </w:rPr>
        <w:t xml:space="preserve"> </w:t>
      </w:r>
      <w:r>
        <w:rPr>
          <w:rFonts w:hint="eastAsia" w:ascii="仿宋" w:hAnsi="仿宋" w:eastAsia="仿宋" w:cs="Times New Roman"/>
          <w:sz w:val="24"/>
          <w:szCs w:val="24"/>
          <w:lang w:eastAsia="zh-CN"/>
        </w:rPr>
        <w:t xml:space="preserve">  </w:t>
      </w:r>
    </w:p>
    <w:p w14:paraId="7ED25DCB">
      <w:pPr>
        <w:snapToGrid w:val="0"/>
        <w:spacing w:line="360" w:lineRule="auto"/>
        <w:rPr>
          <w:rFonts w:hint="eastAsia" w:ascii="仿宋" w:hAnsi="仿宋" w:eastAsia="仿宋" w:cs="Times New Roman"/>
          <w:sz w:val="24"/>
          <w:szCs w:val="24"/>
          <w:lang w:val="en-US" w:eastAsia="zh-CN"/>
        </w:rPr>
      </w:pPr>
      <w:r>
        <w:rPr>
          <w:rFonts w:hint="eastAsia" w:ascii="仿宋" w:hAnsi="仿宋" w:eastAsia="仿宋" w:cs="Times New Roman"/>
          <w:sz w:val="24"/>
          <w:szCs w:val="24"/>
        </w:rPr>
        <w:t>纳税识别号：</w:t>
      </w:r>
      <w:r>
        <w:rPr>
          <w:rFonts w:hint="eastAsia" w:ascii="仿宋" w:hAnsi="仿宋" w:eastAsia="仿宋" w:cs="Times New Roman"/>
          <w:sz w:val="24"/>
          <w:szCs w:val="24"/>
          <w:lang w:val="en-US" w:eastAsia="zh-CN"/>
        </w:rPr>
        <w:t xml:space="preserve">   </w:t>
      </w:r>
    </w:p>
    <w:p w14:paraId="5F66FFD5">
      <w:pPr>
        <w:snapToGrid w:val="0"/>
        <w:spacing w:line="360" w:lineRule="auto"/>
        <w:rPr>
          <w:rFonts w:ascii="仿宋" w:hAnsi="仿宋" w:eastAsia="仿宋" w:cs="Times New Roman"/>
          <w:sz w:val="24"/>
          <w:szCs w:val="24"/>
        </w:rPr>
      </w:pPr>
      <w:r>
        <w:rPr>
          <w:rFonts w:hint="eastAsia" w:ascii="仿宋" w:hAnsi="仿宋" w:eastAsia="仿宋" w:cs="Times New Roman"/>
          <w:sz w:val="24"/>
          <w:szCs w:val="24"/>
        </w:rPr>
        <w:t>开票电话：</w:t>
      </w:r>
      <w:r>
        <w:rPr>
          <w:rFonts w:ascii="仿宋" w:hAnsi="仿宋" w:eastAsia="仿宋" w:cs="Times New Roman"/>
          <w:sz w:val="24"/>
          <w:szCs w:val="24"/>
        </w:rPr>
        <w:t xml:space="preserve"> </w:t>
      </w:r>
    </w:p>
    <w:p w14:paraId="03067F20">
      <w:pPr>
        <w:snapToGrid w:val="0"/>
        <w:spacing w:line="360" w:lineRule="auto"/>
        <w:rPr>
          <w:rFonts w:ascii="仿宋" w:hAnsi="仿宋" w:eastAsia="仿宋" w:cs="Times New Roman"/>
          <w:sz w:val="24"/>
          <w:szCs w:val="24"/>
        </w:rPr>
      </w:pPr>
      <w:r>
        <w:rPr>
          <w:rFonts w:hint="eastAsia" w:ascii="仿宋" w:hAnsi="仿宋" w:eastAsia="仿宋" w:cs="Times New Roman"/>
          <w:sz w:val="24"/>
          <w:szCs w:val="24"/>
        </w:rPr>
        <w:t>（2）乙方同时向甲方公司及其分支机构提供产品及服务的，双方应在合同中约定甲方的分支机构和对应的价款。乙方应分别对清单中的费用承担方开具相应金额的增值税专用发票；</w:t>
      </w:r>
    </w:p>
    <w:p w14:paraId="0E627D03">
      <w:pPr>
        <w:snapToGrid w:val="0"/>
        <w:spacing w:line="360" w:lineRule="auto"/>
        <w:rPr>
          <w:rFonts w:ascii="仿宋" w:hAnsi="仿宋" w:eastAsia="仿宋" w:cs="Times New Roman"/>
          <w:sz w:val="24"/>
          <w:szCs w:val="24"/>
        </w:rPr>
      </w:pPr>
      <w:r>
        <w:rPr>
          <w:rFonts w:hint="eastAsia" w:ascii="仿宋" w:hAnsi="仿宋" w:eastAsia="仿宋" w:cs="Times New Roman"/>
          <w:sz w:val="24"/>
          <w:szCs w:val="24"/>
        </w:rPr>
        <w:t xml:space="preserve">（3）乙方应在每次增值税专用发票开具后的30个自然日内向甲方提交相应增值税专用发票，否则甲方有权拒收发票。经多次分批的增值税专用发票的开具、提交以及双方收付款，乙方开具并提交甲方的增值税专用发票的价税合计金额应与甲方已经支付的价税合计款项保持一致； </w:t>
      </w:r>
    </w:p>
    <w:p w14:paraId="2B24206C">
      <w:pPr>
        <w:snapToGrid w:val="0"/>
        <w:spacing w:line="360" w:lineRule="auto"/>
        <w:rPr>
          <w:rFonts w:ascii="仿宋" w:hAnsi="仿宋" w:eastAsia="仿宋" w:cs="Times New Roman"/>
          <w:sz w:val="24"/>
          <w:szCs w:val="24"/>
        </w:rPr>
      </w:pPr>
      <w:r>
        <w:rPr>
          <w:rFonts w:hint="eastAsia" w:ascii="仿宋" w:hAnsi="仿宋" w:eastAsia="仿宋" w:cs="Times New Roman"/>
          <w:sz w:val="24"/>
          <w:szCs w:val="24"/>
        </w:rPr>
        <w:t>（4）乙方必须严格遵照相关税收法规和文件，开具合法的增值税专用发票。因乙方开具的增值税专用发票不符合税收法规与税务机关相关规定而给甲方造成经济损失的，乙方负责赔偿。即乙方如不能提供增值税专用发票，则采购对应的进项税额由乙方承担；如提供的票面税率与承诺不一致，则差额由乙方承担；</w:t>
      </w:r>
    </w:p>
    <w:p w14:paraId="2EE3666C">
      <w:pPr>
        <w:snapToGrid w:val="0"/>
        <w:spacing w:line="360" w:lineRule="auto"/>
        <w:rPr>
          <w:rFonts w:ascii="仿宋" w:hAnsi="仿宋" w:eastAsia="仿宋" w:cs="Times New Roman"/>
          <w:sz w:val="24"/>
          <w:szCs w:val="24"/>
        </w:rPr>
      </w:pPr>
      <w:r>
        <w:rPr>
          <w:rFonts w:hint="eastAsia" w:ascii="仿宋" w:hAnsi="仿宋" w:eastAsia="仿宋" w:cs="Times New Roman"/>
          <w:sz w:val="24"/>
          <w:szCs w:val="24"/>
        </w:rPr>
        <w:t>（5）乙方开具的增值税专用发票在送达甲方前如发生丢失、灭失或被盗等情况，导致相应票据未能顺利送达甲方的，乙方应负责按相关税收法律法规的规定提供相应资料，以保证甲方顺利获得抵扣，否则甲方因此遭受的经济损失由乙方负责赔偿；</w:t>
      </w:r>
    </w:p>
    <w:p w14:paraId="216A1052">
      <w:pPr>
        <w:snapToGrid w:val="0"/>
        <w:spacing w:line="360" w:lineRule="auto"/>
        <w:rPr>
          <w:rFonts w:ascii="仿宋" w:hAnsi="仿宋" w:eastAsia="仿宋" w:cs="Times New Roman"/>
          <w:sz w:val="24"/>
          <w:szCs w:val="24"/>
        </w:rPr>
      </w:pPr>
      <w:r>
        <w:rPr>
          <w:rFonts w:hint="eastAsia" w:ascii="仿宋" w:hAnsi="仿宋" w:eastAsia="仿宋" w:cs="Times New Roman"/>
          <w:sz w:val="24"/>
          <w:szCs w:val="24"/>
        </w:rPr>
        <w:t>（6）为保证取得的发票可以及时并成功获得抵扣，乙方开具的增值税专用发票送达并经甲方签收后，若发生丢失，乙方应积极协助甲方，按照相关税收法规和文件的规定提供相应资料，并确保甲方顺利获得抵扣；</w:t>
      </w:r>
    </w:p>
    <w:p w14:paraId="0732E487">
      <w:pPr>
        <w:snapToGrid w:val="0"/>
        <w:spacing w:line="360" w:lineRule="auto"/>
        <w:rPr>
          <w:rFonts w:ascii="仿宋" w:hAnsi="仿宋" w:eastAsia="仿宋" w:cs="Times New Roman"/>
          <w:sz w:val="24"/>
          <w:szCs w:val="24"/>
        </w:rPr>
      </w:pPr>
      <w:r>
        <w:rPr>
          <w:rFonts w:hint="eastAsia" w:ascii="仿宋" w:hAnsi="仿宋" w:eastAsia="仿宋" w:cs="Times New Roman"/>
          <w:sz w:val="24"/>
          <w:szCs w:val="24"/>
        </w:rPr>
        <w:t>（7）本合同项下的业务发生销售折让、销售退回或其它按照国家规定需要开具红字发票或重新开票的情况，乙方有义务按照国家税收规定向甲方开具红字发票或重新开票。如果乙方</w:t>
      </w:r>
      <w:r>
        <w:rPr>
          <w:rFonts w:ascii="仿宋" w:hAnsi="仿宋" w:eastAsia="仿宋" w:cs="Times New Roman"/>
          <w:sz w:val="24"/>
          <w:szCs w:val="24"/>
        </w:rPr>
        <w:t>需要</w:t>
      </w:r>
      <w:r>
        <w:rPr>
          <w:rFonts w:hint="eastAsia" w:ascii="仿宋" w:hAnsi="仿宋" w:eastAsia="仿宋" w:cs="Times New Roman"/>
          <w:sz w:val="24"/>
          <w:szCs w:val="24"/>
        </w:rPr>
        <w:t>甲方提供开具红字发票或重新开票的有关资料，甲方应视具体情况予以</w:t>
      </w:r>
      <w:r>
        <w:rPr>
          <w:rFonts w:ascii="仿宋" w:hAnsi="仿宋" w:eastAsia="仿宋" w:cs="Times New Roman"/>
          <w:sz w:val="24"/>
          <w:szCs w:val="24"/>
        </w:rPr>
        <w:t>提供</w:t>
      </w:r>
      <w:r>
        <w:rPr>
          <w:rFonts w:hint="eastAsia" w:ascii="仿宋" w:hAnsi="仿宋" w:eastAsia="仿宋" w:cs="Times New Roman"/>
          <w:sz w:val="24"/>
          <w:szCs w:val="24"/>
        </w:rPr>
        <w:t>。</w:t>
      </w:r>
    </w:p>
    <w:p w14:paraId="734CECD7">
      <w:pPr>
        <w:spacing w:line="360" w:lineRule="auto"/>
        <w:rPr>
          <w:rFonts w:hint="eastAsia" w:ascii="仿宋" w:hAnsi="仿宋" w:eastAsia="仿宋" w:cs="Times New Roman"/>
          <w:b/>
          <w:sz w:val="24"/>
          <w:szCs w:val="24"/>
        </w:rPr>
      </w:pPr>
    </w:p>
    <w:p w14:paraId="1D191249">
      <w:pPr>
        <w:rPr>
          <w:rFonts w:hint="eastAsia" w:ascii="仿宋" w:hAnsi="仿宋" w:eastAsia="仿宋" w:cs="Times New Roman"/>
          <w:b/>
          <w:sz w:val="24"/>
          <w:szCs w:val="24"/>
        </w:rPr>
      </w:pPr>
      <w:r>
        <w:rPr>
          <w:rFonts w:hint="eastAsia" w:ascii="仿宋" w:hAnsi="仿宋" w:eastAsia="仿宋" w:cs="Times New Roman"/>
          <w:b/>
          <w:sz w:val="24"/>
          <w:szCs w:val="24"/>
        </w:rPr>
        <w:br w:type="page"/>
      </w:r>
    </w:p>
    <w:p w14:paraId="2221F9E2">
      <w:pPr>
        <w:spacing w:line="360" w:lineRule="auto"/>
        <w:rPr>
          <w:rFonts w:ascii="仿宋" w:hAnsi="仿宋" w:eastAsia="仿宋" w:cs="Times New Roman"/>
          <w:sz w:val="24"/>
          <w:szCs w:val="24"/>
        </w:rPr>
      </w:pPr>
      <w:r>
        <w:rPr>
          <w:rFonts w:hint="eastAsia" w:ascii="仿宋" w:hAnsi="仿宋" w:eastAsia="仿宋" w:cs="Times New Roman"/>
          <w:b/>
          <w:sz w:val="24"/>
          <w:szCs w:val="24"/>
        </w:rPr>
        <w:t>附件五：</w:t>
      </w:r>
    </w:p>
    <w:p w14:paraId="568B62E1">
      <w:pPr>
        <w:adjustRightInd w:val="0"/>
        <w:snapToGrid w:val="0"/>
        <w:spacing w:line="360" w:lineRule="auto"/>
        <w:ind w:firstLine="3614" w:firstLineChars="1500"/>
        <w:jc w:val="both"/>
        <w:rPr>
          <w:rFonts w:ascii="仿宋" w:hAnsi="仿宋" w:eastAsia="仿宋" w:cs="宋体"/>
          <w:b/>
          <w:color w:val="000000"/>
          <w:kern w:val="0"/>
          <w:sz w:val="24"/>
          <w:szCs w:val="24"/>
        </w:rPr>
      </w:pPr>
      <w:r>
        <w:rPr>
          <w:rFonts w:hint="eastAsia" w:ascii="仿宋" w:hAnsi="仿宋" w:eastAsia="仿宋" w:cs="宋体"/>
          <w:b/>
          <w:color w:val="000000"/>
          <w:kern w:val="0"/>
          <w:sz w:val="24"/>
          <w:szCs w:val="24"/>
        </w:rPr>
        <w:t>材料设备供应</w:t>
      </w:r>
    </w:p>
    <w:p w14:paraId="53F25F9E">
      <w:pPr>
        <w:adjustRightInd w:val="0"/>
        <w:snapToGrid w:val="0"/>
        <w:spacing w:line="360" w:lineRule="auto"/>
        <w:ind w:left="840" w:leftChars="228" w:hanging="361" w:hangingChars="150"/>
        <w:jc w:val="center"/>
        <w:rPr>
          <w:rFonts w:ascii="仿宋" w:hAnsi="仿宋" w:eastAsia="仿宋" w:cs="宋体"/>
          <w:b/>
          <w:color w:val="000000"/>
          <w:kern w:val="0"/>
          <w:sz w:val="24"/>
          <w:szCs w:val="24"/>
        </w:rPr>
      </w:pPr>
    </w:p>
    <w:p w14:paraId="5095BF14">
      <w:pPr>
        <w:adjustRightInd w:val="0"/>
        <w:snapToGrid w:val="0"/>
        <w:spacing w:line="360" w:lineRule="auto"/>
        <w:ind w:firstLine="480" w:firstLineChars="200"/>
        <w:rPr>
          <w:rFonts w:ascii="仿宋" w:hAnsi="仿宋" w:eastAsia="仿宋" w:cs="宋体"/>
          <w:color w:val="000000"/>
          <w:kern w:val="0"/>
          <w:sz w:val="24"/>
          <w:szCs w:val="24"/>
        </w:rPr>
      </w:pPr>
      <w:r>
        <w:rPr>
          <w:rFonts w:hint="eastAsia" w:ascii="仿宋" w:hAnsi="仿宋" w:eastAsia="仿宋" w:cs="宋体"/>
          <w:color w:val="000000"/>
          <w:kern w:val="0"/>
          <w:sz w:val="24"/>
          <w:szCs w:val="24"/>
        </w:rPr>
        <w:t>承包人提供的材料设备有：</w:t>
      </w:r>
    </w:p>
    <w:p w14:paraId="7FA65632">
      <w:pPr>
        <w:adjustRightInd w:val="0"/>
        <w:snapToGrid w:val="0"/>
        <w:spacing w:line="360" w:lineRule="auto"/>
        <w:ind w:firstLine="480" w:firstLineChars="200"/>
        <w:rPr>
          <w:rFonts w:ascii="仿宋" w:hAnsi="仿宋" w:eastAsia="仿宋" w:cs="宋体"/>
          <w:color w:val="000000"/>
          <w:kern w:val="0"/>
          <w:sz w:val="24"/>
          <w:szCs w:val="24"/>
          <w:u w:val="single"/>
        </w:rPr>
      </w:pPr>
      <w:r>
        <w:rPr>
          <w:rFonts w:hint="eastAsia" w:ascii="仿宋" w:hAnsi="仿宋" w:eastAsia="仿宋" w:cs="宋体"/>
          <w:color w:val="000000"/>
          <w:kern w:val="0"/>
          <w:sz w:val="24"/>
          <w:szCs w:val="24"/>
          <w:u w:val="single"/>
        </w:rPr>
        <w:t>本项目所有材料设备由承包人提供。</w:t>
      </w:r>
    </w:p>
    <w:p w14:paraId="140A1FC1">
      <w:pPr>
        <w:snapToGrid w:val="0"/>
        <w:spacing w:line="360" w:lineRule="auto"/>
        <w:rPr>
          <w:rFonts w:hint="eastAsia" w:ascii="仿宋" w:hAnsi="仿宋" w:eastAsia="仿宋" w:cs="Times New Roman"/>
          <w:b/>
          <w:sz w:val="24"/>
          <w:szCs w:val="24"/>
        </w:rPr>
      </w:pPr>
    </w:p>
    <w:p w14:paraId="76445D1F">
      <w:pPr>
        <w:rPr>
          <w:rFonts w:hint="eastAsia" w:ascii="仿宋" w:hAnsi="仿宋" w:eastAsia="仿宋" w:cs="Times New Roman"/>
          <w:b/>
          <w:sz w:val="24"/>
          <w:szCs w:val="24"/>
        </w:rPr>
      </w:pPr>
      <w:r>
        <w:rPr>
          <w:rFonts w:hint="eastAsia" w:ascii="仿宋" w:hAnsi="仿宋" w:eastAsia="仿宋" w:cs="Times New Roman"/>
          <w:b/>
          <w:sz w:val="24"/>
          <w:szCs w:val="24"/>
        </w:rPr>
        <w:br w:type="page"/>
      </w:r>
    </w:p>
    <w:p w14:paraId="06DB5451">
      <w:pPr>
        <w:snapToGrid w:val="0"/>
        <w:spacing w:line="360" w:lineRule="auto"/>
        <w:rPr>
          <w:rFonts w:ascii="仿宋" w:hAnsi="仿宋" w:eastAsia="仿宋" w:cs="Times New Roman"/>
          <w:b/>
          <w:sz w:val="24"/>
          <w:szCs w:val="24"/>
        </w:rPr>
      </w:pPr>
      <w:r>
        <w:rPr>
          <w:rFonts w:hint="eastAsia" w:ascii="仿宋" w:hAnsi="仿宋" w:eastAsia="仿宋" w:cs="Times New Roman"/>
          <w:b/>
          <w:sz w:val="24"/>
          <w:szCs w:val="24"/>
        </w:rPr>
        <w:t>附件六：</w:t>
      </w:r>
    </w:p>
    <w:p w14:paraId="3647E2EE">
      <w:pPr>
        <w:spacing w:line="360" w:lineRule="auto"/>
        <w:jc w:val="center"/>
        <w:rPr>
          <w:rFonts w:ascii="仿宋" w:hAnsi="仿宋" w:eastAsia="仿宋" w:cs="宋体"/>
          <w:b/>
          <w:color w:val="000000"/>
          <w:kern w:val="0"/>
          <w:sz w:val="24"/>
          <w:szCs w:val="24"/>
        </w:rPr>
      </w:pPr>
      <w:r>
        <w:rPr>
          <w:rFonts w:hint="eastAsia" w:ascii="仿宋" w:hAnsi="仿宋" w:eastAsia="仿宋" w:cs="宋体"/>
          <w:b/>
          <w:color w:val="000000"/>
          <w:kern w:val="0"/>
          <w:sz w:val="24"/>
          <w:szCs w:val="24"/>
        </w:rPr>
        <w:t>保修</w:t>
      </w:r>
    </w:p>
    <w:p w14:paraId="1D23AD53">
      <w:pPr>
        <w:spacing w:line="360" w:lineRule="auto"/>
        <w:jc w:val="center"/>
        <w:rPr>
          <w:rFonts w:ascii="仿宋" w:hAnsi="仿宋" w:eastAsia="仿宋" w:cs="Times New Roman"/>
          <w:sz w:val="24"/>
          <w:szCs w:val="24"/>
        </w:rPr>
      </w:pPr>
    </w:p>
    <w:p w14:paraId="04148768">
      <w:pPr>
        <w:adjustRightInd w:val="0"/>
        <w:snapToGrid w:val="0"/>
        <w:spacing w:line="360" w:lineRule="auto"/>
        <w:ind w:firstLine="480" w:firstLineChars="200"/>
        <w:rPr>
          <w:rFonts w:ascii="仿宋" w:hAnsi="仿宋" w:eastAsia="仿宋" w:cs="宋体"/>
          <w:color w:val="000000"/>
          <w:kern w:val="0"/>
          <w:sz w:val="24"/>
          <w:szCs w:val="24"/>
        </w:rPr>
      </w:pPr>
      <w:r>
        <w:rPr>
          <w:rFonts w:hint="eastAsia" w:ascii="仿宋" w:hAnsi="仿宋" w:eastAsia="仿宋" w:cs="宋体"/>
          <w:color w:val="000000"/>
          <w:kern w:val="0"/>
          <w:sz w:val="24"/>
          <w:szCs w:val="24"/>
        </w:rPr>
        <w:t>1. 本合同工程保修期限为</w:t>
      </w:r>
      <w:r>
        <w:rPr>
          <w:rFonts w:ascii="仿宋" w:hAnsi="仿宋" w:eastAsia="仿宋" w:cs="宋体"/>
          <w:color w:val="000000"/>
          <w:kern w:val="0"/>
          <w:sz w:val="24"/>
          <w:szCs w:val="24"/>
        </w:rPr>
        <w:t>2</w:t>
      </w:r>
      <w:r>
        <w:rPr>
          <w:rFonts w:hint="eastAsia" w:ascii="仿宋" w:hAnsi="仿宋" w:eastAsia="仿宋" w:cs="宋体"/>
          <w:color w:val="000000"/>
          <w:kern w:val="0"/>
          <w:sz w:val="24"/>
          <w:szCs w:val="24"/>
        </w:rPr>
        <w:t>年，但防水工程、有防水要求的房间、卫生间和外墙的防渗漏工程为</w:t>
      </w:r>
      <w:r>
        <w:rPr>
          <w:rFonts w:ascii="仿宋" w:hAnsi="仿宋" w:eastAsia="仿宋" w:cs="宋体"/>
          <w:color w:val="000000"/>
          <w:kern w:val="0"/>
          <w:sz w:val="24"/>
          <w:szCs w:val="24"/>
        </w:rPr>
        <w:t>5</w:t>
      </w:r>
      <w:r>
        <w:rPr>
          <w:rFonts w:hint="eastAsia" w:ascii="仿宋" w:hAnsi="仿宋" w:eastAsia="仿宋" w:cs="宋体"/>
          <w:color w:val="000000"/>
          <w:kern w:val="0"/>
          <w:sz w:val="24"/>
          <w:szCs w:val="24"/>
        </w:rPr>
        <w:t>年，自工程竣工验收合格之日起计算。</w:t>
      </w:r>
    </w:p>
    <w:p w14:paraId="009570E2">
      <w:pPr>
        <w:adjustRightInd w:val="0"/>
        <w:snapToGrid w:val="0"/>
        <w:spacing w:line="360" w:lineRule="auto"/>
        <w:ind w:firstLine="480" w:firstLineChars="200"/>
        <w:rPr>
          <w:rFonts w:ascii="仿宋" w:hAnsi="仿宋" w:eastAsia="仿宋" w:cs="宋体"/>
          <w:color w:val="000000"/>
          <w:kern w:val="0"/>
          <w:sz w:val="24"/>
          <w:szCs w:val="24"/>
        </w:rPr>
      </w:pPr>
      <w:r>
        <w:rPr>
          <w:rFonts w:hint="eastAsia" w:ascii="仿宋" w:hAnsi="仿宋" w:eastAsia="仿宋" w:cs="宋体"/>
          <w:color w:val="000000"/>
          <w:kern w:val="0"/>
          <w:sz w:val="24"/>
          <w:szCs w:val="24"/>
        </w:rPr>
        <w:t>2. 保修期内承包人应在接到发包人修理或维护通知后在发包人指定的合理时间内派人修理维护，承包人不能在指定时间内进行修理或维护的，发包人可以自行或另行委托第三方进行修复，所发生的费用从保修金内扣除，不足部分由承包人向发包人另行支付。承包人不按本合同约定履行修理或维护义务的，应承担违约责任。</w:t>
      </w:r>
    </w:p>
    <w:p w14:paraId="0918B3BA">
      <w:pPr>
        <w:rPr>
          <w:rFonts w:hint="eastAsia" w:ascii="仿宋" w:hAnsi="仿宋" w:eastAsia="仿宋" w:cs="Times New Roman"/>
          <w:b/>
          <w:sz w:val="24"/>
          <w:szCs w:val="24"/>
        </w:rPr>
      </w:pPr>
      <w:r>
        <w:rPr>
          <w:rFonts w:hint="eastAsia" w:ascii="仿宋" w:hAnsi="仿宋" w:eastAsia="仿宋" w:cs="Times New Roman"/>
          <w:b/>
          <w:sz w:val="24"/>
          <w:szCs w:val="24"/>
        </w:rPr>
        <w:br w:type="page"/>
      </w:r>
    </w:p>
    <w:p w14:paraId="76C59921">
      <w:pPr>
        <w:spacing w:line="360" w:lineRule="auto"/>
        <w:rPr>
          <w:rFonts w:ascii="仿宋" w:hAnsi="仿宋" w:eastAsia="仿宋" w:cs="Times New Roman"/>
          <w:b/>
          <w:sz w:val="24"/>
          <w:szCs w:val="24"/>
        </w:rPr>
      </w:pPr>
      <w:r>
        <w:rPr>
          <w:rFonts w:hint="eastAsia" w:ascii="仿宋" w:hAnsi="仿宋" w:eastAsia="仿宋" w:cs="Times New Roman"/>
          <w:b/>
          <w:sz w:val="24"/>
          <w:szCs w:val="24"/>
        </w:rPr>
        <w:t>附件七</w:t>
      </w:r>
    </w:p>
    <w:p w14:paraId="1DB2DCF9">
      <w:pPr>
        <w:spacing w:before="312" w:beforeLines="100" w:after="312" w:afterLines="100"/>
        <w:jc w:val="center"/>
        <w:rPr>
          <w:rFonts w:ascii="仿宋" w:hAnsi="仿宋" w:eastAsia="仿宋" w:cs="宋体"/>
          <w:b/>
          <w:bCs/>
          <w:spacing w:val="20"/>
          <w:sz w:val="24"/>
          <w:szCs w:val="24"/>
        </w:rPr>
      </w:pPr>
      <w:r>
        <w:rPr>
          <w:rFonts w:hint="eastAsia" w:ascii="仿宋" w:hAnsi="仿宋" w:eastAsia="仿宋" w:cs="宋体"/>
          <w:b/>
          <w:bCs/>
          <w:spacing w:val="20"/>
          <w:sz w:val="24"/>
          <w:szCs w:val="24"/>
        </w:rPr>
        <w:t>廉洁诚信协议</w:t>
      </w:r>
    </w:p>
    <w:p w14:paraId="4EBD1E80">
      <w:pPr>
        <w:spacing w:before="312" w:beforeLines="100" w:after="312" w:afterLines="100" w:line="300" w:lineRule="auto"/>
        <w:rPr>
          <w:rFonts w:ascii="仿宋" w:hAnsi="仿宋" w:eastAsia="仿宋" w:cs="宋体"/>
          <w:b/>
          <w:bCs/>
          <w:sz w:val="24"/>
          <w:szCs w:val="24"/>
        </w:rPr>
      </w:pPr>
      <w:r>
        <w:rPr>
          <w:rFonts w:hint="eastAsia" w:ascii="仿宋" w:hAnsi="仿宋" w:eastAsia="仿宋" w:cs="宋体"/>
          <w:b/>
          <w:bCs/>
          <w:sz w:val="24"/>
          <w:szCs w:val="24"/>
        </w:rPr>
        <w:t>甲方：【中国人民财产保险股份有限公司南京市分公司】</w:t>
      </w:r>
    </w:p>
    <w:p w14:paraId="1025645D">
      <w:pPr>
        <w:spacing w:before="312" w:beforeLines="100" w:after="312" w:afterLines="100" w:line="300" w:lineRule="auto"/>
        <w:rPr>
          <w:rFonts w:ascii="仿宋" w:hAnsi="仿宋" w:eastAsia="仿宋" w:cs="宋体"/>
          <w:sz w:val="24"/>
          <w:szCs w:val="24"/>
        </w:rPr>
      </w:pPr>
      <w:r>
        <w:rPr>
          <w:rFonts w:hint="eastAsia" w:ascii="仿宋" w:hAnsi="仿宋" w:eastAsia="仿宋" w:cs="宋体"/>
          <w:b/>
          <w:bCs/>
          <w:sz w:val="24"/>
          <w:szCs w:val="24"/>
        </w:rPr>
        <w:t>乙方：【</w:t>
      </w:r>
      <w:r>
        <w:rPr>
          <w:rFonts w:hint="eastAsia" w:ascii="仿宋" w:hAnsi="仿宋" w:eastAsia="仿宋" w:cs="宋体"/>
          <w:b/>
          <w:bCs/>
          <w:sz w:val="24"/>
          <w:szCs w:val="24"/>
          <w:lang w:eastAsia="zh-CN"/>
        </w:rPr>
        <w:t xml:space="preserve">  </w:t>
      </w:r>
      <w:r>
        <w:rPr>
          <w:rFonts w:hint="eastAsia" w:ascii="仿宋" w:hAnsi="仿宋" w:eastAsia="仿宋" w:cs="宋体"/>
          <w:b/>
          <w:bCs/>
          <w:sz w:val="24"/>
          <w:szCs w:val="24"/>
        </w:rPr>
        <w:t>】</w:t>
      </w:r>
    </w:p>
    <w:p w14:paraId="49901C1F">
      <w:pPr>
        <w:spacing w:line="360" w:lineRule="auto"/>
        <w:ind w:firstLine="480" w:firstLineChars="200"/>
        <w:rPr>
          <w:rFonts w:ascii="仿宋" w:hAnsi="仿宋" w:eastAsia="仿宋" w:cs="宋体"/>
          <w:sz w:val="24"/>
          <w:szCs w:val="24"/>
        </w:rPr>
      </w:pPr>
    </w:p>
    <w:p w14:paraId="71E52AA1">
      <w:pPr>
        <w:spacing w:line="360" w:lineRule="auto"/>
        <w:ind w:firstLine="480" w:firstLineChars="200"/>
        <w:rPr>
          <w:rFonts w:ascii="仿宋" w:hAnsi="仿宋" w:eastAsia="仿宋" w:cs="宋体"/>
          <w:sz w:val="24"/>
          <w:szCs w:val="24"/>
        </w:rPr>
      </w:pPr>
      <w:r>
        <w:rPr>
          <w:rFonts w:hint="eastAsia" w:ascii="仿宋" w:hAnsi="仿宋" w:eastAsia="仿宋" w:cs="宋体"/>
          <w:sz w:val="24"/>
          <w:szCs w:val="24"/>
        </w:rPr>
        <w:t>根据《中华人民共和国民法典》《中华人民共和国反不正当竞争法》《关于禁止商业贿赂行为的暂行规定》等法律、法规及部门规章等有关规定，为了维护公平竞争的市场秩序和公正透明的商业环境，防止各类谋取不正当利益的违法违规违纪行为的发生，双方经协商一致订立本协议，以资共同遵守。</w:t>
      </w:r>
    </w:p>
    <w:p w14:paraId="651DA571">
      <w:pPr>
        <w:spacing w:line="360" w:lineRule="auto"/>
        <w:ind w:firstLine="482" w:firstLineChars="200"/>
        <w:rPr>
          <w:rFonts w:ascii="仿宋" w:hAnsi="仿宋" w:eastAsia="仿宋" w:cs="宋体"/>
          <w:b/>
          <w:bCs/>
          <w:sz w:val="24"/>
          <w:szCs w:val="24"/>
        </w:rPr>
      </w:pPr>
      <w:r>
        <w:rPr>
          <w:rFonts w:hint="eastAsia" w:ascii="仿宋" w:hAnsi="仿宋" w:eastAsia="仿宋" w:cs="宋体"/>
          <w:b/>
          <w:bCs/>
          <w:sz w:val="24"/>
          <w:szCs w:val="24"/>
        </w:rPr>
        <w:t>第一条  总则</w:t>
      </w:r>
    </w:p>
    <w:p w14:paraId="128F306C">
      <w:pPr>
        <w:spacing w:line="360" w:lineRule="auto"/>
        <w:ind w:firstLine="480" w:firstLineChars="200"/>
        <w:rPr>
          <w:rFonts w:ascii="仿宋" w:hAnsi="仿宋" w:eastAsia="仿宋" w:cs="宋体"/>
          <w:sz w:val="24"/>
          <w:szCs w:val="24"/>
        </w:rPr>
      </w:pPr>
      <w:r>
        <w:rPr>
          <w:rFonts w:hint="eastAsia" w:ascii="仿宋" w:hAnsi="仿宋" w:eastAsia="仿宋" w:cs="宋体"/>
          <w:sz w:val="24"/>
          <w:szCs w:val="24"/>
        </w:rPr>
        <w:t>1.</w:t>
      </w:r>
      <w:r>
        <w:rPr>
          <w:rFonts w:ascii="仿宋" w:hAnsi="仿宋" w:eastAsia="仿宋" w:cs="宋体"/>
          <w:sz w:val="24"/>
          <w:szCs w:val="24"/>
        </w:rPr>
        <w:t>1</w:t>
      </w:r>
      <w:r>
        <w:rPr>
          <w:rFonts w:hint="eastAsia" w:ascii="仿宋" w:hAnsi="仿宋" w:eastAsia="仿宋" w:cs="宋体"/>
          <w:sz w:val="24"/>
          <w:szCs w:val="24"/>
        </w:rPr>
        <w:t>甲乙双方均应当严格遵守国家法律法规和甲方集中采购管理、供应商管理的相关要求，不从事任何违法违规违纪行为。坚持诚实守信原则，恪守商业道德和职业道德，规范商务人员廉洁从业行为。</w:t>
      </w:r>
    </w:p>
    <w:p w14:paraId="14490779">
      <w:pPr>
        <w:spacing w:line="360" w:lineRule="auto"/>
        <w:ind w:firstLine="480" w:firstLineChars="200"/>
        <w:rPr>
          <w:rFonts w:ascii="仿宋" w:hAnsi="仿宋" w:eastAsia="仿宋" w:cs="宋体"/>
          <w:sz w:val="24"/>
          <w:szCs w:val="24"/>
        </w:rPr>
      </w:pPr>
      <w:r>
        <w:rPr>
          <w:rFonts w:ascii="仿宋" w:hAnsi="仿宋" w:eastAsia="仿宋" w:cs="宋体"/>
          <w:sz w:val="24"/>
          <w:szCs w:val="24"/>
        </w:rPr>
        <w:t>1.</w:t>
      </w:r>
      <w:r>
        <w:rPr>
          <w:rFonts w:hint="eastAsia" w:ascii="仿宋" w:hAnsi="仿宋" w:eastAsia="仿宋" w:cs="宋体"/>
          <w:sz w:val="24"/>
          <w:szCs w:val="24"/>
        </w:rPr>
        <w:t>2采取有效措施，约束双方及双方相关主体自觉履行廉洁从业义务，不得弄虚作假、串通操纵、损公肥私，防止商业贿赂、利益输送、关联交易等各种谋取不正当利益行为发生，维护好双方企业形象、产品品牌和合法权益。</w:t>
      </w:r>
    </w:p>
    <w:p w14:paraId="5295901D">
      <w:pPr>
        <w:spacing w:line="360" w:lineRule="auto"/>
        <w:ind w:firstLine="480" w:firstLineChars="200"/>
        <w:rPr>
          <w:rFonts w:ascii="仿宋" w:hAnsi="仿宋" w:eastAsia="仿宋" w:cs="宋体"/>
          <w:sz w:val="24"/>
          <w:szCs w:val="24"/>
        </w:rPr>
      </w:pPr>
      <w:r>
        <w:rPr>
          <w:rFonts w:ascii="仿宋" w:hAnsi="仿宋" w:eastAsia="仿宋" w:cs="宋体"/>
          <w:sz w:val="24"/>
          <w:szCs w:val="24"/>
        </w:rPr>
        <w:t>1.</w:t>
      </w:r>
      <w:r>
        <w:rPr>
          <w:rFonts w:hint="eastAsia" w:ascii="仿宋" w:hAnsi="仿宋" w:eastAsia="仿宋" w:cs="宋体"/>
          <w:sz w:val="24"/>
          <w:szCs w:val="24"/>
        </w:rPr>
        <w:t>3本协议所称相关主体，对任何一方而言，包括但不限于以下单位或者个人：</w:t>
      </w:r>
    </w:p>
    <w:p w14:paraId="6D1BB2D5">
      <w:pPr>
        <w:spacing w:line="360" w:lineRule="auto"/>
        <w:ind w:firstLine="480" w:firstLineChars="200"/>
        <w:rPr>
          <w:rFonts w:ascii="仿宋" w:hAnsi="仿宋" w:eastAsia="仿宋" w:cs="宋体"/>
          <w:sz w:val="24"/>
          <w:szCs w:val="24"/>
        </w:rPr>
      </w:pPr>
      <w:r>
        <w:rPr>
          <w:rFonts w:hint="eastAsia" w:ascii="仿宋" w:hAnsi="仿宋" w:eastAsia="仿宋" w:cs="宋体"/>
          <w:sz w:val="24"/>
          <w:szCs w:val="24"/>
        </w:rPr>
        <w:t>（1）一方或其关联方之工作人员；</w:t>
      </w:r>
    </w:p>
    <w:p w14:paraId="0DF5C1F1">
      <w:pPr>
        <w:spacing w:line="360" w:lineRule="auto"/>
        <w:ind w:firstLine="480" w:firstLineChars="200"/>
        <w:rPr>
          <w:rFonts w:ascii="仿宋" w:hAnsi="仿宋" w:eastAsia="仿宋" w:cs="宋体"/>
          <w:sz w:val="24"/>
          <w:szCs w:val="24"/>
        </w:rPr>
      </w:pPr>
      <w:r>
        <w:rPr>
          <w:rFonts w:hint="eastAsia" w:ascii="仿宋" w:hAnsi="仿宋" w:eastAsia="仿宋" w:cs="宋体"/>
          <w:sz w:val="24"/>
          <w:szCs w:val="24"/>
        </w:rPr>
        <w:t>（2）受一方委托办理相关事务的单位或者个人；</w:t>
      </w:r>
    </w:p>
    <w:p w14:paraId="70E6B2AD">
      <w:pPr>
        <w:spacing w:line="360" w:lineRule="auto"/>
        <w:ind w:firstLine="480" w:firstLineChars="200"/>
        <w:rPr>
          <w:rFonts w:ascii="仿宋" w:hAnsi="仿宋" w:eastAsia="仿宋" w:cs="宋体"/>
          <w:sz w:val="24"/>
          <w:szCs w:val="24"/>
        </w:rPr>
      </w:pPr>
      <w:r>
        <w:rPr>
          <w:rFonts w:hint="eastAsia" w:ascii="仿宋" w:hAnsi="仿宋" w:eastAsia="仿宋" w:cs="宋体"/>
          <w:sz w:val="24"/>
          <w:szCs w:val="24"/>
        </w:rPr>
        <w:t>（3）利用职权或者影响力影响交易的单位或者个人；</w:t>
      </w:r>
    </w:p>
    <w:p w14:paraId="295C5867">
      <w:pPr>
        <w:spacing w:line="360" w:lineRule="auto"/>
        <w:ind w:firstLine="480" w:firstLineChars="200"/>
        <w:rPr>
          <w:rFonts w:ascii="仿宋" w:hAnsi="仿宋" w:eastAsia="仿宋" w:cs="宋体"/>
          <w:sz w:val="24"/>
          <w:szCs w:val="24"/>
        </w:rPr>
      </w:pPr>
      <w:r>
        <w:rPr>
          <w:rFonts w:hint="eastAsia" w:ascii="仿宋" w:hAnsi="仿宋" w:eastAsia="仿宋" w:cs="宋体"/>
          <w:sz w:val="24"/>
          <w:szCs w:val="24"/>
        </w:rPr>
        <w:t>（4）前述相关人员的亲属；</w:t>
      </w:r>
    </w:p>
    <w:p w14:paraId="74778375">
      <w:pPr>
        <w:spacing w:line="360" w:lineRule="auto"/>
        <w:ind w:firstLine="480" w:firstLineChars="200"/>
        <w:rPr>
          <w:rFonts w:ascii="仿宋" w:hAnsi="仿宋" w:eastAsia="仿宋" w:cs="宋体"/>
          <w:sz w:val="24"/>
          <w:szCs w:val="24"/>
        </w:rPr>
      </w:pPr>
      <w:r>
        <w:rPr>
          <w:rFonts w:hint="eastAsia" w:ascii="仿宋" w:hAnsi="仿宋" w:eastAsia="仿宋" w:cs="宋体"/>
          <w:sz w:val="24"/>
          <w:szCs w:val="24"/>
        </w:rPr>
        <w:t>（5）与前述相关主体存在利害关系的其他单位或者人员。</w:t>
      </w:r>
    </w:p>
    <w:p w14:paraId="265AE57E">
      <w:pPr>
        <w:spacing w:line="360" w:lineRule="auto"/>
        <w:ind w:firstLine="480" w:firstLineChars="200"/>
        <w:rPr>
          <w:rFonts w:ascii="仿宋" w:hAnsi="仿宋" w:eastAsia="仿宋" w:cs="宋体"/>
          <w:sz w:val="24"/>
          <w:szCs w:val="24"/>
        </w:rPr>
      </w:pPr>
      <w:r>
        <w:rPr>
          <w:rFonts w:hint="eastAsia" w:ascii="仿宋" w:hAnsi="仿宋" w:eastAsia="仿宋" w:cs="宋体"/>
          <w:sz w:val="24"/>
          <w:szCs w:val="24"/>
        </w:rPr>
        <w:t>乙方相关主体实施违反本协议约定之行为的，均应视为乙方实施行为。</w:t>
      </w:r>
    </w:p>
    <w:p w14:paraId="6A622869">
      <w:pPr>
        <w:spacing w:line="360" w:lineRule="auto"/>
        <w:ind w:firstLine="480" w:firstLineChars="200"/>
        <w:rPr>
          <w:rFonts w:ascii="仿宋" w:hAnsi="仿宋" w:eastAsia="仿宋" w:cs="宋体"/>
          <w:sz w:val="24"/>
          <w:szCs w:val="24"/>
        </w:rPr>
      </w:pPr>
      <w:r>
        <w:rPr>
          <w:rFonts w:ascii="仿宋" w:hAnsi="仿宋" w:eastAsia="仿宋" w:cs="宋体"/>
          <w:sz w:val="24"/>
          <w:szCs w:val="24"/>
        </w:rPr>
        <w:t>1.</w:t>
      </w:r>
      <w:r>
        <w:rPr>
          <w:rFonts w:hint="eastAsia" w:ascii="仿宋" w:hAnsi="仿宋" w:eastAsia="仿宋" w:cs="宋体"/>
          <w:sz w:val="24"/>
          <w:szCs w:val="24"/>
        </w:rPr>
        <w:t>4一方监督发现对方相关主体在业务合作中存在违规行为的，应当及时提醒并有权向对方纪检部门举报。情节严重构成犯罪的，任何一方均有权向司法机关报案，追究相关单位或者人员的刑事责任。</w:t>
      </w:r>
    </w:p>
    <w:p w14:paraId="7F813BB9">
      <w:pPr>
        <w:spacing w:line="360" w:lineRule="auto"/>
        <w:ind w:firstLine="482" w:firstLineChars="200"/>
        <w:rPr>
          <w:rFonts w:ascii="仿宋" w:hAnsi="仿宋" w:eastAsia="仿宋" w:cs="宋体"/>
          <w:b/>
          <w:bCs/>
          <w:sz w:val="24"/>
          <w:szCs w:val="24"/>
        </w:rPr>
      </w:pPr>
      <w:r>
        <w:rPr>
          <w:rFonts w:hint="eastAsia" w:ascii="仿宋" w:hAnsi="仿宋" w:eastAsia="仿宋" w:cs="宋体"/>
          <w:b/>
          <w:bCs/>
          <w:sz w:val="24"/>
          <w:szCs w:val="24"/>
        </w:rPr>
        <w:t>第二条  商业贿赂</w:t>
      </w:r>
    </w:p>
    <w:p w14:paraId="02214EB3">
      <w:pPr>
        <w:spacing w:line="360" w:lineRule="auto"/>
        <w:ind w:firstLine="480" w:firstLineChars="200"/>
        <w:rPr>
          <w:rFonts w:ascii="仿宋" w:hAnsi="仿宋" w:eastAsia="仿宋" w:cs="宋体"/>
          <w:sz w:val="24"/>
          <w:szCs w:val="24"/>
        </w:rPr>
      </w:pPr>
      <w:r>
        <w:rPr>
          <w:rFonts w:ascii="仿宋" w:hAnsi="仿宋" w:eastAsia="仿宋" w:cs="宋体"/>
          <w:sz w:val="24"/>
          <w:szCs w:val="24"/>
        </w:rPr>
        <w:t>2.</w:t>
      </w:r>
      <w:r>
        <w:rPr>
          <w:rFonts w:hint="eastAsia" w:ascii="仿宋" w:hAnsi="仿宋" w:eastAsia="仿宋" w:cs="宋体"/>
          <w:sz w:val="24"/>
          <w:szCs w:val="24"/>
        </w:rPr>
        <w:t>1本协议所称商业贿赂，是指乙方或乙方相关主体为获取或意图获取交易机会或者竞争优势，采用财物或者其他形式贿赂甲方或甲方相关主体的行为。</w:t>
      </w:r>
    </w:p>
    <w:p w14:paraId="704FF2AF">
      <w:pPr>
        <w:spacing w:line="360" w:lineRule="auto"/>
        <w:ind w:firstLine="480" w:firstLineChars="200"/>
        <w:rPr>
          <w:rFonts w:ascii="仿宋" w:hAnsi="仿宋" w:eastAsia="仿宋" w:cs="宋体"/>
          <w:sz w:val="24"/>
          <w:szCs w:val="24"/>
        </w:rPr>
      </w:pPr>
      <w:r>
        <w:rPr>
          <w:rFonts w:ascii="仿宋" w:hAnsi="仿宋" w:eastAsia="仿宋" w:cs="宋体"/>
          <w:sz w:val="24"/>
          <w:szCs w:val="24"/>
        </w:rPr>
        <w:t>2.</w:t>
      </w:r>
      <w:r>
        <w:rPr>
          <w:rFonts w:hint="eastAsia" w:ascii="仿宋" w:hAnsi="仿宋" w:eastAsia="仿宋" w:cs="宋体"/>
          <w:sz w:val="24"/>
          <w:szCs w:val="24"/>
        </w:rPr>
        <w:t>2本条第1款所称财物，是指乙方为促成合作，采用金钱（包括各种币钞和其他具有支付、结算功能的各类有价币、卡、券或账户，有价证券，减免债务、提供资金借贷，或代为还款还贷，或给予其他具有折扣、储值功能的券、卡等）、实物（包括各种高档生活用品、奢侈消费品、工艺品、收藏品等，房屋、车辆等大宗商品，以及其他具有一定经济价值的各种礼品、藏品或物品，虽然不具有支付、结算功能但具有一定面额的票、卡、提货单等，以租借等方式长期免费或低价供给、使用的物品等），或者以报销各种费用等方式，给付甲方或甲方相关主体的财物。</w:t>
      </w:r>
    </w:p>
    <w:p w14:paraId="7B762117">
      <w:pPr>
        <w:spacing w:line="360" w:lineRule="auto"/>
        <w:ind w:firstLine="480" w:firstLineChars="200"/>
        <w:rPr>
          <w:rFonts w:ascii="仿宋" w:hAnsi="仿宋" w:eastAsia="仿宋" w:cs="宋体"/>
          <w:sz w:val="24"/>
          <w:szCs w:val="24"/>
        </w:rPr>
      </w:pPr>
      <w:r>
        <w:rPr>
          <w:rFonts w:ascii="仿宋" w:hAnsi="仿宋" w:eastAsia="仿宋" w:cs="宋体"/>
          <w:sz w:val="24"/>
          <w:szCs w:val="24"/>
        </w:rPr>
        <w:t>2.</w:t>
      </w:r>
      <w:r>
        <w:rPr>
          <w:rFonts w:hint="eastAsia" w:ascii="仿宋" w:hAnsi="仿宋" w:eastAsia="仿宋" w:cs="宋体"/>
          <w:sz w:val="24"/>
          <w:szCs w:val="24"/>
        </w:rPr>
        <w:t>3本条第1款所称其他形式，包括但不限于：</w:t>
      </w:r>
    </w:p>
    <w:p w14:paraId="32DD219D">
      <w:pPr>
        <w:spacing w:line="360" w:lineRule="auto"/>
        <w:ind w:firstLine="480" w:firstLineChars="200"/>
        <w:rPr>
          <w:rFonts w:ascii="仿宋" w:hAnsi="仿宋" w:eastAsia="仿宋" w:cs="宋体"/>
          <w:sz w:val="24"/>
          <w:szCs w:val="24"/>
        </w:rPr>
      </w:pPr>
      <w:r>
        <w:rPr>
          <w:rFonts w:hint="eastAsia" w:ascii="仿宋" w:hAnsi="仿宋" w:eastAsia="仿宋" w:cs="宋体"/>
          <w:sz w:val="24"/>
          <w:szCs w:val="24"/>
        </w:rPr>
        <w:t>（</w:t>
      </w:r>
      <w:r>
        <w:rPr>
          <w:rFonts w:ascii="仿宋" w:hAnsi="仿宋" w:eastAsia="仿宋" w:cs="宋体"/>
          <w:sz w:val="24"/>
          <w:szCs w:val="24"/>
        </w:rPr>
        <w:t>1）以任何方式实施商业贿赂或违规提供回扣、折扣、宴请与游玩活动或其他不正当利益；</w:t>
      </w:r>
    </w:p>
    <w:p w14:paraId="7B143888">
      <w:pPr>
        <w:spacing w:line="360" w:lineRule="auto"/>
        <w:ind w:firstLine="480" w:firstLineChars="200"/>
        <w:rPr>
          <w:rFonts w:ascii="仿宋" w:hAnsi="仿宋" w:eastAsia="仿宋" w:cs="宋体"/>
          <w:sz w:val="24"/>
          <w:szCs w:val="24"/>
        </w:rPr>
      </w:pPr>
      <w:r>
        <w:rPr>
          <w:rFonts w:hint="eastAsia" w:ascii="仿宋" w:hAnsi="仿宋" w:eastAsia="仿宋" w:cs="宋体"/>
          <w:sz w:val="24"/>
          <w:szCs w:val="24"/>
        </w:rPr>
        <w:t>（</w:t>
      </w:r>
      <w:r>
        <w:rPr>
          <w:rFonts w:ascii="仿宋" w:hAnsi="仿宋" w:eastAsia="仿宋" w:cs="宋体"/>
          <w:sz w:val="24"/>
          <w:szCs w:val="24"/>
        </w:rPr>
        <w:t>2）为</w:t>
      </w:r>
      <w:r>
        <w:rPr>
          <w:rFonts w:hint="eastAsia" w:ascii="仿宋" w:hAnsi="仿宋" w:eastAsia="仿宋" w:cs="宋体"/>
          <w:sz w:val="24"/>
          <w:szCs w:val="24"/>
        </w:rPr>
        <w:t>甲方或甲方相关主体</w:t>
      </w:r>
      <w:r>
        <w:rPr>
          <w:rFonts w:ascii="仿宋" w:hAnsi="仿宋" w:eastAsia="仿宋" w:cs="宋体"/>
          <w:sz w:val="24"/>
          <w:szCs w:val="24"/>
        </w:rPr>
        <w:t>安排有可能影响公平、公正交易的宴请、健身、娱乐等活动；</w:t>
      </w:r>
    </w:p>
    <w:p w14:paraId="6BA0C805">
      <w:pPr>
        <w:spacing w:line="360" w:lineRule="auto"/>
        <w:ind w:firstLine="480" w:firstLineChars="200"/>
        <w:rPr>
          <w:rFonts w:ascii="仿宋" w:hAnsi="仿宋" w:eastAsia="仿宋" w:cs="宋体"/>
          <w:sz w:val="24"/>
          <w:szCs w:val="24"/>
        </w:rPr>
      </w:pPr>
      <w:r>
        <w:rPr>
          <w:rFonts w:hint="eastAsia" w:ascii="仿宋" w:hAnsi="仿宋" w:eastAsia="仿宋" w:cs="宋体"/>
          <w:sz w:val="24"/>
          <w:szCs w:val="24"/>
        </w:rPr>
        <w:t>（</w:t>
      </w:r>
      <w:r>
        <w:rPr>
          <w:rFonts w:ascii="仿宋" w:hAnsi="仿宋" w:eastAsia="仿宋" w:cs="宋体"/>
          <w:sz w:val="24"/>
          <w:szCs w:val="24"/>
        </w:rPr>
        <w:t>3）为</w:t>
      </w:r>
      <w:r>
        <w:rPr>
          <w:rFonts w:hint="eastAsia" w:ascii="仿宋" w:hAnsi="仿宋" w:eastAsia="仿宋" w:cs="宋体"/>
          <w:sz w:val="24"/>
          <w:szCs w:val="24"/>
        </w:rPr>
        <w:t>甲方或甲方相关主体</w:t>
      </w:r>
      <w:r>
        <w:rPr>
          <w:rFonts w:ascii="仿宋" w:hAnsi="仿宋" w:eastAsia="仿宋" w:cs="宋体"/>
          <w:sz w:val="24"/>
          <w:szCs w:val="24"/>
        </w:rPr>
        <w:t>投资入股、个人借款或买卖股票、债券等提供方便；</w:t>
      </w:r>
    </w:p>
    <w:p w14:paraId="3E7C7E84">
      <w:pPr>
        <w:spacing w:line="360" w:lineRule="auto"/>
        <w:ind w:firstLine="480" w:firstLineChars="200"/>
        <w:rPr>
          <w:rFonts w:ascii="仿宋" w:hAnsi="仿宋" w:eastAsia="仿宋" w:cs="宋体"/>
          <w:sz w:val="24"/>
          <w:szCs w:val="24"/>
        </w:rPr>
      </w:pPr>
      <w:r>
        <w:rPr>
          <w:rFonts w:hint="eastAsia" w:ascii="仿宋" w:hAnsi="仿宋" w:eastAsia="仿宋" w:cs="宋体"/>
          <w:sz w:val="24"/>
          <w:szCs w:val="24"/>
        </w:rPr>
        <w:t>（</w:t>
      </w:r>
      <w:r>
        <w:rPr>
          <w:rFonts w:ascii="仿宋" w:hAnsi="仿宋" w:eastAsia="仿宋" w:cs="宋体"/>
          <w:sz w:val="24"/>
          <w:szCs w:val="24"/>
        </w:rPr>
        <w:t>4）为</w:t>
      </w:r>
      <w:r>
        <w:rPr>
          <w:rFonts w:hint="eastAsia" w:ascii="仿宋" w:hAnsi="仿宋" w:eastAsia="仿宋" w:cs="宋体"/>
          <w:sz w:val="24"/>
          <w:szCs w:val="24"/>
        </w:rPr>
        <w:t>甲方或甲方相关主体</w:t>
      </w:r>
      <w:r>
        <w:rPr>
          <w:rFonts w:ascii="仿宋" w:hAnsi="仿宋" w:eastAsia="仿宋" w:cs="宋体"/>
          <w:sz w:val="24"/>
          <w:szCs w:val="24"/>
        </w:rPr>
        <w:t>购买或装修住房、婚丧嫁娶、配偶子女上学或工作安排以及出国出境、旅游等提供方便；</w:t>
      </w:r>
    </w:p>
    <w:p w14:paraId="31966AD6">
      <w:pPr>
        <w:spacing w:line="360" w:lineRule="auto"/>
        <w:ind w:firstLine="480" w:firstLineChars="200"/>
        <w:rPr>
          <w:rFonts w:ascii="仿宋" w:hAnsi="仿宋" w:eastAsia="仿宋" w:cs="宋体"/>
          <w:sz w:val="24"/>
          <w:szCs w:val="24"/>
        </w:rPr>
      </w:pPr>
      <w:r>
        <w:rPr>
          <w:rFonts w:hint="eastAsia" w:ascii="仿宋" w:hAnsi="仿宋" w:eastAsia="仿宋" w:cs="宋体"/>
          <w:sz w:val="24"/>
          <w:szCs w:val="24"/>
        </w:rPr>
        <w:t>（</w:t>
      </w:r>
      <w:r>
        <w:rPr>
          <w:rFonts w:ascii="仿宋" w:hAnsi="仿宋" w:eastAsia="仿宋" w:cs="宋体"/>
          <w:sz w:val="24"/>
          <w:szCs w:val="24"/>
        </w:rPr>
        <w:t>5）违反规定为</w:t>
      </w:r>
      <w:r>
        <w:rPr>
          <w:rFonts w:hint="eastAsia" w:ascii="仿宋" w:hAnsi="仿宋" w:eastAsia="仿宋" w:cs="宋体"/>
          <w:sz w:val="24"/>
          <w:szCs w:val="24"/>
        </w:rPr>
        <w:t>甲方或甲方相关主体</w:t>
      </w:r>
      <w:r>
        <w:rPr>
          <w:rFonts w:ascii="仿宋" w:hAnsi="仿宋" w:eastAsia="仿宋" w:cs="宋体"/>
          <w:sz w:val="24"/>
          <w:szCs w:val="24"/>
        </w:rPr>
        <w:t>在</w:t>
      </w:r>
      <w:r>
        <w:rPr>
          <w:rFonts w:hint="eastAsia" w:ascii="仿宋" w:hAnsi="仿宋" w:eastAsia="仿宋" w:cs="宋体"/>
          <w:sz w:val="24"/>
          <w:szCs w:val="24"/>
        </w:rPr>
        <w:t>乙</w:t>
      </w:r>
      <w:r>
        <w:rPr>
          <w:rFonts w:ascii="仿宋" w:hAnsi="仿宋" w:eastAsia="仿宋" w:cs="宋体"/>
          <w:sz w:val="24"/>
          <w:szCs w:val="24"/>
        </w:rPr>
        <w:t>方相关企业工作、挂名兼职、合伙经营、介绍承揽业务等提供方便；</w:t>
      </w:r>
    </w:p>
    <w:p w14:paraId="115C9B20">
      <w:pPr>
        <w:spacing w:line="360" w:lineRule="auto"/>
        <w:ind w:firstLine="480" w:firstLineChars="200"/>
        <w:rPr>
          <w:rFonts w:ascii="仿宋" w:hAnsi="仿宋" w:eastAsia="仿宋" w:cs="宋体"/>
          <w:sz w:val="24"/>
          <w:szCs w:val="24"/>
        </w:rPr>
      </w:pPr>
      <w:r>
        <w:rPr>
          <w:rFonts w:hint="eastAsia" w:ascii="仿宋" w:hAnsi="仿宋" w:eastAsia="仿宋" w:cs="宋体"/>
          <w:sz w:val="24"/>
          <w:szCs w:val="24"/>
        </w:rPr>
        <w:t>（</w:t>
      </w:r>
      <w:r>
        <w:rPr>
          <w:rFonts w:ascii="仿宋" w:hAnsi="仿宋" w:eastAsia="仿宋" w:cs="宋体"/>
          <w:sz w:val="24"/>
          <w:szCs w:val="24"/>
        </w:rPr>
        <w:t>6）向</w:t>
      </w:r>
      <w:r>
        <w:rPr>
          <w:rFonts w:hint="eastAsia" w:ascii="仿宋" w:hAnsi="仿宋" w:eastAsia="仿宋" w:cs="宋体"/>
          <w:sz w:val="24"/>
          <w:szCs w:val="24"/>
        </w:rPr>
        <w:t>甲方或甲方相关主体</w:t>
      </w:r>
      <w:r>
        <w:rPr>
          <w:rFonts w:ascii="仿宋" w:hAnsi="仿宋" w:eastAsia="仿宋" w:cs="宋体"/>
          <w:sz w:val="24"/>
          <w:szCs w:val="24"/>
        </w:rPr>
        <w:t>提供借款、融资</w:t>
      </w:r>
      <w:r>
        <w:rPr>
          <w:rFonts w:hint="eastAsia" w:ascii="仿宋" w:hAnsi="仿宋" w:eastAsia="仿宋" w:cs="宋体"/>
          <w:sz w:val="24"/>
          <w:szCs w:val="24"/>
        </w:rPr>
        <w:t>、担保</w:t>
      </w:r>
      <w:r>
        <w:rPr>
          <w:rFonts w:ascii="仿宋" w:hAnsi="仿宋" w:eastAsia="仿宋" w:cs="宋体"/>
          <w:sz w:val="24"/>
          <w:szCs w:val="24"/>
        </w:rPr>
        <w:t>等；</w:t>
      </w:r>
    </w:p>
    <w:p w14:paraId="7B333277">
      <w:pPr>
        <w:spacing w:line="360" w:lineRule="auto"/>
        <w:ind w:firstLine="480" w:firstLineChars="200"/>
        <w:rPr>
          <w:rFonts w:ascii="仿宋" w:hAnsi="仿宋" w:eastAsia="仿宋" w:cs="宋体"/>
          <w:sz w:val="24"/>
          <w:szCs w:val="24"/>
        </w:rPr>
      </w:pPr>
      <w:r>
        <w:rPr>
          <w:rFonts w:hint="eastAsia" w:ascii="仿宋" w:hAnsi="仿宋" w:eastAsia="仿宋" w:cs="宋体"/>
          <w:sz w:val="24"/>
          <w:szCs w:val="24"/>
        </w:rPr>
        <w:t>（</w:t>
      </w:r>
      <w:r>
        <w:rPr>
          <w:rFonts w:ascii="仿宋" w:hAnsi="仿宋" w:eastAsia="仿宋" w:cs="宋体"/>
          <w:sz w:val="24"/>
          <w:szCs w:val="24"/>
        </w:rPr>
        <w:t>7）给予或承诺给予其不正当利益的其他行为；</w:t>
      </w:r>
    </w:p>
    <w:p w14:paraId="573003C6">
      <w:pPr>
        <w:spacing w:line="360" w:lineRule="auto"/>
        <w:ind w:firstLine="480" w:firstLineChars="200"/>
        <w:rPr>
          <w:rFonts w:ascii="仿宋" w:hAnsi="仿宋" w:eastAsia="仿宋" w:cs="宋体"/>
          <w:sz w:val="24"/>
          <w:szCs w:val="24"/>
        </w:rPr>
      </w:pPr>
      <w:r>
        <w:rPr>
          <w:rFonts w:hint="eastAsia" w:ascii="仿宋" w:hAnsi="仿宋" w:eastAsia="仿宋" w:cs="宋体"/>
          <w:sz w:val="24"/>
          <w:szCs w:val="24"/>
        </w:rPr>
        <w:t>（</w:t>
      </w:r>
      <w:r>
        <w:rPr>
          <w:rFonts w:ascii="仿宋" w:hAnsi="仿宋" w:eastAsia="仿宋" w:cs="宋体"/>
          <w:sz w:val="24"/>
          <w:szCs w:val="24"/>
        </w:rPr>
        <w:t>8）其他违反国家法律法规或商业道德准则的影响公正交易的行为</w:t>
      </w:r>
      <w:r>
        <w:rPr>
          <w:rFonts w:hint="eastAsia" w:ascii="仿宋" w:hAnsi="仿宋" w:eastAsia="仿宋" w:cs="宋体"/>
          <w:sz w:val="24"/>
          <w:szCs w:val="24"/>
        </w:rPr>
        <w:t>。</w:t>
      </w:r>
    </w:p>
    <w:p w14:paraId="09D40478">
      <w:pPr>
        <w:spacing w:line="360" w:lineRule="auto"/>
        <w:ind w:firstLine="482" w:firstLineChars="200"/>
        <w:rPr>
          <w:rFonts w:ascii="仿宋" w:hAnsi="仿宋" w:eastAsia="仿宋" w:cs="宋体"/>
          <w:b/>
          <w:bCs/>
          <w:sz w:val="24"/>
          <w:szCs w:val="24"/>
        </w:rPr>
      </w:pPr>
      <w:r>
        <w:rPr>
          <w:rFonts w:hint="eastAsia" w:ascii="仿宋" w:hAnsi="仿宋" w:eastAsia="仿宋" w:cs="宋体"/>
          <w:b/>
          <w:bCs/>
          <w:sz w:val="24"/>
          <w:szCs w:val="24"/>
        </w:rPr>
        <w:t>第三条  回扣</w:t>
      </w:r>
    </w:p>
    <w:p w14:paraId="64D582C2">
      <w:pPr>
        <w:spacing w:line="360" w:lineRule="auto"/>
        <w:ind w:firstLine="480" w:firstLineChars="200"/>
        <w:rPr>
          <w:rFonts w:ascii="仿宋" w:hAnsi="仿宋" w:eastAsia="仿宋" w:cs="宋体"/>
          <w:sz w:val="24"/>
          <w:szCs w:val="24"/>
        </w:rPr>
      </w:pPr>
      <w:r>
        <w:rPr>
          <w:rFonts w:ascii="仿宋" w:hAnsi="仿宋" w:eastAsia="仿宋" w:cs="宋体"/>
          <w:sz w:val="24"/>
          <w:szCs w:val="24"/>
        </w:rPr>
        <w:t>3.</w:t>
      </w:r>
      <w:r>
        <w:rPr>
          <w:rFonts w:hint="eastAsia" w:ascii="仿宋" w:hAnsi="仿宋" w:eastAsia="仿宋" w:cs="宋体"/>
          <w:sz w:val="24"/>
          <w:szCs w:val="24"/>
        </w:rPr>
        <w:t>1本协议所称回扣，是指乙方促成合作时在账外暗中以现金、实物或者其他方式退给甲方或甲方相关主体一定比例的商品或服务价款。</w:t>
      </w:r>
    </w:p>
    <w:p w14:paraId="7E0927AA">
      <w:pPr>
        <w:spacing w:line="360" w:lineRule="auto"/>
        <w:ind w:firstLine="480" w:firstLineChars="200"/>
        <w:rPr>
          <w:rFonts w:ascii="仿宋" w:hAnsi="仿宋" w:eastAsia="仿宋" w:cs="宋体"/>
          <w:sz w:val="24"/>
          <w:szCs w:val="24"/>
        </w:rPr>
      </w:pPr>
      <w:r>
        <w:rPr>
          <w:rFonts w:ascii="仿宋" w:hAnsi="仿宋" w:eastAsia="仿宋" w:cs="宋体"/>
          <w:sz w:val="24"/>
          <w:szCs w:val="24"/>
        </w:rPr>
        <w:t>3.</w:t>
      </w:r>
      <w:r>
        <w:rPr>
          <w:rFonts w:hint="eastAsia" w:ascii="仿宋" w:hAnsi="仿宋" w:eastAsia="仿宋" w:cs="宋体"/>
          <w:sz w:val="24"/>
          <w:szCs w:val="24"/>
        </w:rPr>
        <w:t>2本条第1款所称账外，是指未在依法设立的反映其生产经营活动或者行政事业经费收支的财务账上按照财务会计制度规定明确如实记载，包括不记入财务账、转入其他财务账或者做假账等。</w:t>
      </w:r>
    </w:p>
    <w:p w14:paraId="1122BFA6">
      <w:pPr>
        <w:spacing w:line="360" w:lineRule="auto"/>
        <w:ind w:firstLine="480" w:firstLineChars="200"/>
        <w:rPr>
          <w:rFonts w:ascii="仿宋" w:hAnsi="仿宋" w:eastAsia="仿宋" w:cs="宋体"/>
          <w:sz w:val="24"/>
          <w:szCs w:val="24"/>
        </w:rPr>
      </w:pPr>
      <w:r>
        <w:rPr>
          <w:rFonts w:ascii="仿宋" w:hAnsi="仿宋" w:eastAsia="仿宋" w:cs="宋体"/>
          <w:sz w:val="24"/>
          <w:szCs w:val="24"/>
        </w:rPr>
        <w:t>3.</w:t>
      </w:r>
      <w:r>
        <w:rPr>
          <w:rFonts w:hint="eastAsia" w:ascii="仿宋" w:hAnsi="仿宋" w:eastAsia="仿宋" w:cs="宋体"/>
          <w:sz w:val="24"/>
          <w:szCs w:val="24"/>
        </w:rPr>
        <w:t>3乙方在账外暗中给予甲方相关主体回扣的，视为实施商业贿赂行为。</w:t>
      </w:r>
    </w:p>
    <w:p w14:paraId="0D7368EF">
      <w:pPr>
        <w:spacing w:line="360" w:lineRule="auto"/>
        <w:ind w:firstLine="482" w:firstLineChars="200"/>
        <w:rPr>
          <w:rFonts w:ascii="仿宋" w:hAnsi="仿宋" w:eastAsia="仿宋" w:cs="宋体"/>
          <w:b/>
          <w:bCs/>
          <w:sz w:val="24"/>
          <w:szCs w:val="24"/>
        </w:rPr>
      </w:pPr>
      <w:r>
        <w:rPr>
          <w:rFonts w:hint="eastAsia" w:ascii="仿宋" w:hAnsi="仿宋" w:eastAsia="仿宋" w:cs="宋体"/>
          <w:b/>
          <w:bCs/>
          <w:sz w:val="24"/>
          <w:szCs w:val="24"/>
        </w:rPr>
        <w:t>第四条  折扣</w:t>
      </w:r>
    </w:p>
    <w:p w14:paraId="28E71C48">
      <w:pPr>
        <w:spacing w:line="360" w:lineRule="auto"/>
        <w:ind w:firstLine="480" w:firstLineChars="200"/>
        <w:rPr>
          <w:rFonts w:ascii="仿宋" w:hAnsi="仿宋" w:eastAsia="仿宋" w:cs="宋体"/>
          <w:sz w:val="24"/>
          <w:szCs w:val="24"/>
        </w:rPr>
      </w:pPr>
      <w:r>
        <w:rPr>
          <w:rFonts w:ascii="仿宋" w:hAnsi="仿宋" w:eastAsia="仿宋" w:cs="宋体"/>
          <w:sz w:val="24"/>
          <w:szCs w:val="24"/>
        </w:rPr>
        <w:t>4.</w:t>
      </w:r>
      <w:r>
        <w:rPr>
          <w:rFonts w:hint="eastAsia" w:ascii="仿宋" w:hAnsi="仿宋" w:eastAsia="仿宋" w:cs="宋体"/>
          <w:sz w:val="24"/>
          <w:szCs w:val="24"/>
        </w:rPr>
        <w:t>1本协议所称折扣，是指乙方在销售商品或提供服务时，以明示并如实入账的方式给予甲方的价格优惠，包括支付价款时对价款总额按一定比例即时予以扣除和支付价款总额后再按一定比例予以退还两种形式。</w:t>
      </w:r>
    </w:p>
    <w:p w14:paraId="62EBEC05">
      <w:pPr>
        <w:spacing w:line="360" w:lineRule="auto"/>
        <w:ind w:firstLine="480" w:firstLineChars="200"/>
        <w:rPr>
          <w:rFonts w:ascii="仿宋" w:hAnsi="仿宋" w:eastAsia="仿宋" w:cs="宋体"/>
          <w:sz w:val="24"/>
          <w:szCs w:val="24"/>
        </w:rPr>
      </w:pPr>
      <w:r>
        <w:rPr>
          <w:rFonts w:ascii="仿宋" w:hAnsi="仿宋" w:eastAsia="仿宋" w:cs="宋体"/>
          <w:sz w:val="24"/>
          <w:szCs w:val="24"/>
        </w:rPr>
        <w:t>4.</w:t>
      </w:r>
      <w:r>
        <w:rPr>
          <w:rFonts w:hint="eastAsia" w:ascii="仿宋" w:hAnsi="仿宋" w:eastAsia="仿宋" w:cs="宋体"/>
          <w:sz w:val="24"/>
          <w:szCs w:val="24"/>
        </w:rPr>
        <w:t>2乙方提供的商品或服务，可以以明示方式给予甲方折扣。乙方给予甲方折扣的，必须在采购协议中予以明确并如实入账。</w:t>
      </w:r>
    </w:p>
    <w:p w14:paraId="56047B82">
      <w:pPr>
        <w:spacing w:line="360" w:lineRule="auto"/>
        <w:ind w:firstLine="480" w:firstLineChars="200"/>
        <w:rPr>
          <w:rFonts w:ascii="仿宋" w:hAnsi="仿宋" w:eastAsia="仿宋" w:cs="宋体"/>
          <w:sz w:val="24"/>
          <w:szCs w:val="24"/>
        </w:rPr>
      </w:pPr>
      <w:r>
        <w:rPr>
          <w:rFonts w:ascii="仿宋" w:hAnsi="仿宋" w:eastAsia="仿宋" w:cs="宋体"/>
          <w:sz w:val="24"/>
          <w:szCs w:val="24"/>
        </w:rPr>
        <w:t>4.</w:t>
      </w:r>
      <w:r>
        <w:rPr>
          <w:rFonts w:hint="eastAsia" w:ascii="仿宋" w:hAnsi="仿宋" w:eastAsia="仿宋" w:cs="宋体"/>
          <w:sz w:val="24"/>
          <w:szCs w:val="24"/>
        </w:rPr>
        <w:t>3本条第1款所称如实入账，是指根据采购或合作协议约定的金额和支付方式，在依法设立的反映甲方生产经营活动收支的财务账上按照财务会计制度规定明确如实记载。</w:t>
      </w:r>
    </w:p>
    <w:p w14:paraId="6105AC20">
      <w:pPr>
        <w:spacing w:line="360" w:lineRule="auto"/>
        <w:ind w:firstLine="480" w:firstLineChars="200"/>
        <w:rPr>
          <w:rFonts w:ascii="仿宋" w:hAnsi="仿宋" w:eastAsia="仿宋" w:cs="宋体"/>
          <w:sz w:val="24"/>
          <w:szCs w:val="24"/>
        </w:rPr>
      </w:pPr>
      <w:r>
        <w:rPr>
          <w:rFonts w:hint="eastAsia" w:ascii="仿宋" w:hAnsi="仿宋" w:eastAsia="仿宋" w:cs="宋体"/>
          <w:sz w:val="24"/>
          <w:szCs w:val="24"/>
        </w:rPr>
        <w:t>4.</w:t>
      </w:r>
      <w:r>
        <w:rPr>
          <w:rFonts w:ascii="仿宋" w:hAnsi="仿宋" w:eastAsia="仿宋" w:cs="宋体"/>
          <w:sz w:val="24"/>
          <w:szCs w:val="24"/>
        </w:rPr>
        <w:t>4</w:t>
      </w:r>
      <w:r>
        <w:rPr>
          <w:rFonts w:hint="eastAsia" w:ascii="仿宋" w:hAnsi="仿宋" w:eastAsia="仿宋" w:cs="宋体"/>
          <w:sz w:val="24"/>
          <w:szCs w:val="24"/>
        </w:rPr>
        <w:t>乙方违反本条约定的，视为实施商业贿赂行为。</w:t>
      </w:r>
    </w:p>
    <w:p w14:paraId="064D7359">
      <w:pPr>
        <w:spacing w:line="360" w:lineRule="auto"/>
        <w:ind w:firstLine="482" w:firstLineChars="200"/>
        <w:rPr>
          <w:rFonts w:ascii="仿宋" w:hAnsi="仿宋" w:eastAsia="仿宋" w:cs="宋体"/>
          <w:b/>
          <w:bCs/>
          <w:sz w:val="24"/>
          <w:szCs w:val="24"/>
        </w:rPr>
      </w:pPr>
      <w:r>
        <w:rPr>
          <w:rFonts w:hint="eastAsia" w:ascii="仿宋" w:hAnsi="仿宋" w:eastAsia="仿宋" w:cs="宋体"/>
          <w:b/>
          <w:bCs/>
          <w:sz w:val="24"/>
          <w:szCs w:val="24"/>
        </w:rPr>
        <w:t>第五条  宴请与游玩活动</w:t>
      </w:r>
    </w:p>
    <w:p w14:paraId="576DEC45">
      <w:pPr>
        <w:spacing w:line="360" w:lineRule="auto"/>
        <w:ind w:firstLine="480" w:firstLineChars="200"/>
        <w:rPr>
          <w:rFonts w:ascii="仿宋" w:hAnsi="仿宋" w:eastAsia="仿宋" w:cs="宋体"/>
          <w:sz w:val="24"/>
          <w:szCs w:val="24"/>
        </w:rPr>
      </w:pPr>
      <w:r>
        <w:rPr>
          <w:rFonts w:ascii="仿宋" w:hAnsi="仿宋" w:eastAsia="仿宋" w:cs="宋体"/>
          <w:sz w:val="24"/>
          <w:szCs w:val="24"/>
        </w:rPr>
        <w:t>5.</w:t>
      </w:r>
      <w:r>
        <w:rPr>
          <w:rFonts w:hint="eastAsia" w:ascii="仿宋" w:hAnsi="仿宋" w:eastAsia="仿宋" w:cs="宋体"/>
          <w:sz w:val="24"/>
          <w:szCs w:val="24"/>
        </w:rPr>
        <w:t>1乙方不得为甲方相关主体提供各种场合、各种规格的餐饮请吃、住宿等。但因公务活动持续到用餐时间，乙方基于公认的商务礼仪和便利而参照接待甲方普通员工餐标准安排的工作餐除外，且乙方提供的工作餐应当从简。</w:t>
      </w:r>
    </w:p>
    <w:p w14:paraId="2033E582">
      <w:pPr>
        <w:spacing w:line="360" w:lineRule="auto"/>
        <w:ind w:firstLine="480" w:firstLineChars="200"/>
        <w:rPr>
          <w:rFonts w:ascii="仿宋" w:hAnsi="仿宋" w:eastAsia="仿宋" w:cs="宋体"/>
          <w:sz w:val="24"/>
          <w:szCs w:val="24"/>
        </w:rPr>
      </w:pPr>
      <w:r>
        <w:rPr>
          <w:rFonts w:ascii="仿宋" w:hAnsi="仿宋" w:eastAsia="仿宋" w:cs="宋体"/>
          <w:sz w:val="24"/>
          <w:szCs w:val="24"/>
        </w:rPr>
        <w:t>5.</w:t>
      </w:r>
      <w:r>
        <w:rPr>
          <w:rFonts w:hint="eastAsia" w:ascii="仿宋" w:hAnsi="仿宋" w:eastAsia="仿宋" w:cs="宋体"/>
          <w:sz w:val="24"/>
          <w:szCs w:val="24"/>
        </w:rPr>
        <w:t>2乙方不得为甲方相关主体提供各种形式的旅游、健身、KTV、酒吧、按摩、赌博、色情等娱乐休闲活动。</w:t>
      </w:r>
    </w:p>
    <w:p w14:paraId="7E372538">
      <w:pPr>
        <w:spacing w:line="360" w:lineRule="auto"/>
        <w:ind w:firstLine="480" w:firstLineChars="200"/>
        <w:rPr>
          <w:rFonts w:ascii="仿宋" w:hAnsi="仿宋" w:eastAsia="仿宋" w:cs="宋体"/>
          <w:sz w:val="24"/>
          <w:szCs w:val="24"/>
        </w:rPr>
      </w:pPr>
      <w:r>
        <w:rPr>
          <w:rFonts w:ascii="仿宋" w:hAnsi="仿宋" w:eastAsia="仿宋" w:cs="宋体"/>
          <w:sz w:val="24"/>
          <w:szCs w:val="24"/>
        </w:rPr>
        <w:t>5.</w:t>
      </w:r>
      <w:r>
        <w:rPr>
          <w:rFonts w:hint="eastAsia" w:ascii="仿宋" w:hAnsi="仿宋" w:eastAsia="仿宋" w:cs="宋体"/>
          <w:sz w:val="24"/>
          <w:szCs w:val="24"/>
        </w:rPr>
        <w:t>3乙方违反本条约定的，视为实施商业贿赂行为。</w:t>
      </w:r>
    </w:p>
    <w:p w14:paraId="32EE861A">
      <w:pPr>
        <w:spacing w:line="360" w:lineRule="auto"/>
        <w:ind w:firstLine="482" w:firstLineChars="200"/>
        <w:rPr>
          <w:rFonts w:ascii="仿宋" w:hAnsi="仿宋" w:eastAsia="仿宋" w:cs="宋体"/>
          <w:b/>
          <w:bCs/>
          <w:sz w:val="24"/>
          <w:szCs w:val="24"/>
        </w:rPr>
      </w:pPr>
      <w:r>
        <w:rPr>
          <w:rFonts w:hint="eastAsia" w:ascii="仿宋" w:hAnsi="仿宋" w:eastAsia="仿宋" w:cs="宋体"/>
          <w:b/>
          <w:bCs/>
          <w:sz w:val="24"/>
          <w:szCs w:val="24"/>
        </w:rPr>
        <w:t>第六条  禁止行为</w:t>
      </w:r>
    </w:p>
    <w:p w14:paraId="6FD0B591">
      <w:pPr>
        <w:spacing w:line="360" w:lineRule="auto"/>
        <w:ind w:firstLine="480" w:firstLineChars="200"/>
        <w:rPr>
          <w:rFonts w:ascii="仿宋" w:hAnsi="仿宋" w:eastAsia="仿宋" w:cs="宋体"/>
          <w:sz w:val="24"/>
          <w:szCs w:val="24"/>
        </w:rPr>
      </w:pPr>
      <w:r>
        <w:rPr>
          <w:rFonts w:hint="eastAsia" w:ascii="仿宋" w:hAnsi="仿宋" w:eastAsia="仿宋" w:cs="宋体"/>
          <w:sz w:val="24"/>
          <w:szCs w:val="24"/>
        </w:rPr>
        <w:t>双方一致同意双方或双方相关主体的如下行为是应当禁止的营私舞弊或腐败行为：</w:t>
      </w:r>
    </w:p>
    <w:p w14:paraId="5C4FF714">
      <w:pPr>
        <w:spacing w:line="360" w:lineRule="auto"/>
        <w:ind w:firstLine="480" w:firstLineChars="200"/>
        <w:rPr>
          <w:rFonts w:ascii="仿宋" w:hAnsi="仿宋" w:eastAsia="仿宋" w:cs="宋体"/>
          <w:sz w:val="24"/>
          <w:szCs w:val="24"/>
        </w:rPr>
      </w:pPr>
      <w:r>
        <w:rPr>
          <w:rFonts w:hint="eastAsia" w:ascii="仿宋" w:hAnsi="仿宋" w:eastAsia="仿宋" w:cs="宋体"/>
          <w:sz w:val="24"/>
          <w:szCs w:val="24"/>
        </w:rPr>
        <w:t>6</w:t>
      </w:r>
      <w:r>
        <w:rPr>
          <w:rFonts w:ascii="仿宋" w:hAnsi="仿宋" w:eastAsia="仿宋" w:cs="宋体"/>
          <w:sz w:val="24"/>
          <w:szCs w:val="24"/>
        </w:rPr>
        <w:t>.</w:t>
      </w:r>
      <w:r>
        <w:rPr>
          <w:rFonts w:hint="eastAsia" w:ascii="仿宋" w:hAnsi="仿宋" w:eastAsia="仿宋" w:cs="宋体"/>
          <w:sz w:val="24"/>
          <w:szCs w:val="24"/>
        </w:rPr>
        <w:t>1甲方及甲方相关主体向乙方索要或收受财物或其他形式的财产性利益、非财产性利益。</w:t>
      </w:r>
    </w:p>
    <w:p w14:paraId="541FB923">
      <w:pPr>
        <w:spacing w:line="360" w:lineRule="auto"/>
        <w:ind w:firstLine="480" w:firstLineChars="200"/>
        <w:rPr>
          <w:rFonts w:ascii="仿宋" w:hAnsi="仿宋" w:eastAsia="仿宋" w:cs="宋体"/>
          <w:sz w:val="24"/>
          <w:szCs w:val="24"/>
        </w:rPr>
      </w:pPr>
      <w:r>
        <w:rPr>
          <w:rFonts w:hint="eastAsia" w:ascii="仿宋" w:hAnsi="仿宋" w:eastAsia="仿宋" w:cs="宋体"/>
          <w:sz w:val="24"/>
          <w:szCs w:val="24"/>
        </w:rPr>
        <w:t>6</w:t>
      </w:r>
      <w:r>
        <w:rPr>
          <w:rFonts w:ascii="仿宋" w:hAnsi="仿宋" w:eastAsia="仿宋" w:cs="宋体"/>
          <w:sz w:val="24"/>
          <w:szCs w:val="24"/>
        </w:rPr>
        <w:t>.</w:t>
      </w:r>
      <w:r>
        <w:rPr>
          <w:rFonts w:hint="eastAsia" w:ascii="仿宋" w:hAnsi="仿宋" w:eastAsia="仿宋" w:cs="宋体"/>
          <w:sz w:val="24"/>
          <w:szCs w:val="24"/>
        </w:rPr>
        <w:t>2乙方及乙方相关主体向甲方或甲方相关主体提供财物或其他形式的财产性利益、非财产性利益，包括但不限于：</w:t>
      </w:r>
    </w:p>
    <w:p w14:paraId="11E80561">
      <w:pPr>
        <w:spacing w:line="360" w:lineRule="auto"/>
        <w:ind w:firstLine="480" w:firstLineChars="200"/>
        <w:rPr>
          <w:rFonts w:ascii="仿宋" w:hAnsi="仿宋" w:eastAsia="仿宋" w:cs="宋体"/>
          <w:sz w:val="24"/>
          <w:szCs w:val="24"/>
        </w:rPr>
      </w:pPr>
      <w:r>
        <w:rPr>
          <w:rFonts w:hint="eastAsia" w:ascii="仿宋" w:hAnsi="仿宋" w:eastAsia="仿宋" w:cs="宋体"/>
          <w:sz w:val="24"/>
          <w:szCs w:val="24"/>
        </w:rPr>
        <w:t>（1）报销甲方相关主体的私人费用；</w:t>
      </w:r>
    </w:p>
    <w:p w14:paraId="114A1C56">
      <w:pPr>
        <w:spacing w:line="360" w:lineRule="auto"/>
        <w:ind w:firstLine="480" w:firstLineChars="200"/>
        <w:rPr>
          <w:rFonts w:ascii="仿宋" w:hAnsi="仿宋" w:eastAsia="仿宋" w:cs="宋体"/>
          <w:sz w:val="24"/>
          <w:szCs w:val="24"/>
        </w:rPr>
      </w:pPr>
      <w:r>
        <w:rPr>
          <w:rFonts w:hint="eastAsia" w:ascii="仿宋" w:hAnsi="仿宋" w:eastAsia="仿宋" w:cs="宋体"/>
          <w:sz w:val="24"/>
          <w:szCs w:val="24"/>
        </w:rPr>
        <w:t>（2）提供超过宴请标准的宴请或娱乐活动；</w:t>
      </w:r>
    </w:p>
    <w:p w14:paraId="2DCA439A">
      <w:pPr>
        <w:spacing w:line="360" w:lineRule="auto"/>
        <w:ind w:firstLine="480" w:firstLineChars="200"/>
        <w:rPr>
          <w:rFonts w:ascii="仿宋" w:hAnsi="仿宋" w:eastAsia="仿宋" w:cs="宋体"/>
          <w:sz w:val="24"/>
          <w:szCs w:val="24"/>
        </w:rPr>
      </w:pPr>
      <w:r>
        <w:rPr>
          <w:rFonts w:hint="eastAsia" w:ascii="仿宋" w:hAnsi="仿宋" w:eastAsia="仿宋" w:cs="宋体"/>
          <w:sz w:val="24"/>
          <w:szCs w:val="24"/>
        </w:rPr>
        <w:t>（3）介绍甲方相关主体亲友到乙方处工作；</w:t>
      </w:r>
    </w:p>
    <w:p w14:paraId="2FFB75DC">
      <w:pPr>
        <w:spacing w:line="360" w:lineRule="auto"/>
        <w:ind w:firstLine="480" w:firstLineChars="200"/>
        <w:rPr>
          <w:rFonts w:ascii="仿宋" w:hAnsi="仿宋" w:eastAsia="仿宋" w:cs="宋体"/>
          <w:sz w:val="24"/>
          <w:szCs w:val="24"/>
        </w:rPr>
      </w:pPr>
      <w:r>
        <w:rPr>
          <w:rFonts w:hint="eastAsia" w:ascii="仿宋" w:hAnsi="仿宋" w:eastAsia="仿宋" w:cs="宋体"/>
          <w:sz w:val="24"/>
          <w:szCs w:val="24"/>
        </w:rPr>
        <w:t>（4）提出、邀请或事实上接受甲方相关主体在乙方参股或参与乙方经营活动；</w:t>
      </w:r>
    </w:p>
    <w:p w14:paraId="21020D83">
      <w:pPr>
        <w:spacing w:line="360" w:lineRule="auto"/>
        <w:ind w:firstLine="480" w:firstLineChars="200"/>
        <w:rPr>
          <w:rFonts w:ascii="仿宋" w:hAnsi="仿宋" w:eastAsia="仿宋" w:cs="宋体"/>
          <w:sz w:val="24"/>
          <w:szCs w:val="24"/>
        </w:rPr>
      </w:pPr>
      <w:r>
        <w:rPr>
          <w:rFonts w:hint="eastAsia" w:ascii="仿宋" w:hAnsi="仿宋" w:eastAsia="仿宋" w:cs="宋体"/>
          <w:sz w:val="24"/>
          <w:szCs w:val="24"/>
        </w:rPr>
        <w:t>（5）组织或向甲方相关主体提供旅游等代偿活动利益；</w:t>
      </w:r>
    </w:p>
    <w:p w14:paraId="6F6E94F5">
      <w:pPr>
        <w:spacing w:line="360" w:lineRule="auto"/>
        <w:ind w:firstLine="480" w:firstLineChars="200"/>
        <w:rPr>
          <w:rFonts w:ascii="仿宋" w:hAnsi="仿宋" w:eastAsia="仿宋" w:cs="宋体"/>
          <w:sz w:val="24"/>
          <w:szCs w:val="24"/>
        </w:rPr>
      </w:pPr>
      <w:r>
        <w:rPr>
          <w:rFonts w:hint="eastAsia" w:ascii="仿宋" w:hAnsi="仿宋" w:eastAsia="仿宋" w:cs="宋体"/>
          <w:sz w:val="24"/>
          <w:szCs w:val="24"/>
        </w:rPr>
        <w:t>（6）向甲方相关主体提供借款、融资</w:t>
      </w:r>
      <w:r>
        <w:rPr>
          <w:rFonts w:ascii="仿宋" w:hAnsi="仿宋" w:eastAsia="仿宋" w:cs="宋体"/>
          <w:sz w:val="24"/>
          <w:szCs w:val="24"/>
        </w:rPr>
        <w:t>、担保</w:t>
      </w:r>
      <w:r>
        <w:rPr>
          <w:rFonts w:hint="eastAsia" w:ascii="仿宋" w:hAnsi="仿宋" w:eastAsia="仿宋" w:cs="宋体"/>
          <w:sz w:val="24"/>
          <w:szCs w:val="24"/>
        </w:rPr>
        <w:t>等；</w:t>
      </w:r>
    </w:p>
    <w:p w14:paraId="4DAB8C0B">
      <w:pPr>
        <w:spacing w:line="360" w:lineRule="auto"/>
        <w:ind w:firstLine="480" w:firstLineChars="200"/>
        <w:rPr>
          <w:rFonts w:ascii="仿宋" w:hAnsi="仿宋" w:eastAsia="仿宋" w:cs="宋体"/>
          <w:sz w:val="24"/>
          <w:szCs w:val="24"/>
        </w:rPr>
      </w:pPr>
      <w:r>
        <w:rPr>
          <w:rFonts w:hint="eastAsia" w:ascii="仿宋" w:hAnsi="仿宋" w:eastAsia="仿宋" w:cs="宋体"/>
          <w:sz w:val="24"/>
          <w:szCs w:val="24"/>
        </w:rPr>
        <w:t>（7）给予或承诺给予甲方相关主体不正当利益的其他行为；</w:t>
      </w:r>
    </w:p>
    <w:p w14:paraId="54AD448C">
      <w:pPr>
        <w:spacing w:line="360" w:lineRule="auto"/>
        <w:ind w:firstLine="480" w:firstLineChars="200"/>
        <w:rPr>
          <w:rFonts w:ascii="仿宋" w:hAnsi="仿宋" w:eastAsia="仿宋" w:cs="宋体"/>
          <w:sz w:val="24"/>
          <w:szCs w:val="24"/>
        </w:rPr>
      </w:pPr>
      <w:r>
        <w:rPr>
          <w:rFonts w:hint="eastAsia" w:ascii="仿宋" w:hAnsi="仿宋" w:eastAsia="仿宋" w:cs="宋体"/>
          <w:sz w:val="24"/>
          <w:szCs w:val="24"/>
        </w:rPr>
        <w:t>（8）其他违反本协议约定、国家法律法规或商业道德准则的影响公正交易的行为。</w:t>
      </w:r>
    </w:p>
    <w:p w14:paraId="68AACFDB">
      <w:pPr>
        <w:spacing w:line="360" w:lineRule="auto"/>
        <w:ind w:firstLine="482" w:firstLineChars="200"/>
        <w:rPr>
          <w:rFonts w:ascii="仿宋" w:hAnsi="仿宋" w:eastAsia="仿宋" w:cs="宋体"/>
          <w:b/>
          <w:bCs/>
          <w:sz w:val="24"/>
          <w:szCs w:val="24"/>
        </w:rPr>
      </w:pPr>
      <w:r>
        <w:rPr>
          <w:rFonts w:hint="eastAsia" w:ascii="仿宋" w:hAnsi="仿宋" w:eastAsia="仿宋" w:cs="宋体"/>
          <w:b/>
          <w:bCs/>
          <w:sz w:val="24"/>
          <w:szCs w:val="24"/>
        </w:rPr>
        <w:t>第七条  乙方承诺</w:t>
      </w:r>
    </w:p>
    <w:p w14:paraId="4CCE2EA7">
      <w:pPr>
        <w:spacing w:line="360" w:lineRule="auto"/>
        <w:ind w:firstLine="480" w:firstLineChars="200"/>
        <w:rPr>
          <w:rFonts w:ascii="仿宋" w:hAnsi="仿宋" w:eastAsia="仿宋" w:cs="宋体"/>
          <w:sz w:val="24"/>
          <w:szCs w:val="24"/>
        </w:rPr>
      </w:pPr>
      <w:r>
        <w:rPr>
          <w:rFonts w:hint="eastAsia" w:ascii="仿宋" w:hAnsi="仿宋" w:eastAsia="仿宋" w:cs="宋体"/>
          <w:sz w:val="24"/>
          <w:szCs w:val="24"/>
        </w:rPr>
        <w:t>乙方承诺在双方的商务接洽、合同关系、交易过程中遵守如下要求：</w:t>
      </w:r>
    </w:p>
    <w:p w14:paraId="73D35D21">
      <w:pPr>
        <w:spacing w:line="360" w:lineRule="auto"/>
        <w:ind w:firstLine="482" w:firstLineChars="200"/>
        <w:rPr>
          <w:rFonts w:ascii="仿宋" w:hAnsi="仿宋" w:eastAsia="仿宋" w:cs="宋体"/>
          <w:b/>
          <w:bCs/>
          <w:sz w:val="24"/>
          <w:szCs w:val="24"/>
        </w:rPr>
      </w:pPr>
      <w:r>
        <w:rPr>
          <w:rFonts w:hint="eastAsia" w:ascii="仿宋" w:hAnsi="仿宋" w:eastAsia="仿宋" w:cs="宋体"/>
          <w:b/>
          <w:bCs/>
          <w:sz w:val="24"/>
          <w:szCs w:val="24"/>
        </w:rPr>
        <w:t>7.1 避免利害关系</w:t>
      </w:r>
    </w:p>
    <w:p w14:paraId="5364D093">
      <w:pPr>
        <w:spacing w:line="360" w:lineRule="auto"/>
        <w:ind w:firstLine="480" w:firstLineChars="200"/>
        <w:rPr>
          <w:rFonts w:ascii="仿宋" w:hAnsi="仿宋" w:eastAsia="仿宋" w:cs="宋体"/>
          <w:sz w:val="24"/>
          <w:szCs w:val="24"/>
        </w:rPr>
      </w:pPr>
      <w:r>
        <w:rPr>
          <w:rFonts w:hint="eastAsia" w:ascii="仿宋" w:hAnsi="仿宋" w:eastAsia="仿宋" w:cs="宋体"/>
          <w:sz w:val="24"/>
          <w:szCs w:val="24"/>
        </w:rPr>
        <w:t>在采购过程中主动申报与甲方及甲方相关主体的关联及利害关系，包括乙方经办合作或交易事宜的相关主体与甲方及甲方相关主体的关联及利害关系，避免任何可能影响公平竞争的关系或利益冲突，主动披露任何可能影响采购或合作决策的利益关系，并采取必要的措施确保采购及合作过程的公正性。</w:t>
      </w:r>
    </w:p>
    <w:p w14:paraId="34325C41">
      <w:pPr>
        <w:spacing w:line="360" w:lineRule="auto"/>
        <w:ind w:firstLine="482" w:firstLineChars="200"/>
        <w:rPr>
          <w:rFonts w:ascii="仿宋" w:hAnsi="仿宋" w:eastAsia="仿宋" w:cs="宋体"/>
          <w:b/>
          <w:bCs/>
          <w:sz w:val="24"/>
          <w:szCs w:val="24"/>
        </w:rPr>
      </w:pPr>
      <w:r>
        <w:rPr>
          <w:rFonts w:hint="eastAsia" w:ascii="仿宋" w:hAnsi="仿宋" w:eastAsia="仿宋" w:cs="宋体"/>
          <w:b/>
          <w:bCs/>
          <w:sz w:val="24"/>
          <w:szCs w:val="24"/>
        </w:rPr>
        <w:t>7.2 恪守廉洁自律原则</w:t>
      </w:r>
    </w:p>
    <w:p w14:paraId="6251533B">
      <w:pPr>
        <w:spacing w:line="360" w:lineRule="auto"/>
        <w:ind w:firstLine="480" w:firstLineChars="200"/>
        <w:rPr>
          <w:rFonts w:ascii="仿宋" w:hAnsi="仿宋" w:eastAsia="仿宋" w:cs="宋体"/>
          <w:sz w:val="24"/>
          <w:szCs w:val="24"/>
        </w:rPr>
      </w:pPr>
      <w:r>
        <w:rPr>
          <w:rFonts w:hint="eastAsia" w:ascii="仿宋" w:hAnsi="仿宋" w:eastAsia="仿宋" w:cs="宋体"/>
          <w:sz w:val="24"/>
          <w:szCs w:val="24"/>
        </w:rPr>
        <w:t>7.2.1不以任何方式实施本协议所述的商业贿赂行为、营私舞弊或腐败行为等禁止行为，也不会以任何方式向甲方或甲方相关主体索要金钱、实物等不正当利益，或收受甲方或甲方相关主体给予的金钱、实物等不正当利益。</w:t>
      </w:r>
    </w:p>
    <w:p w14:paraId="52CE6E90">
      <w:pPr>
        <w:spacing w:line="360" w:lineRule="auto"/>
        <w:ind w:firstLine="480" w:firstLineChars="200"/>
        <w:rPr>
          <w:rFonts w:ascii="仿宋" w:hAnsi="仿宋" w:eastAsia="仿宋" w:cs="宋体"/>
          <w:sz w:val="24"/>
          <w:szCs w:val="24"/>
        </w:rPr>
      </w:pPr>
      <w:r>
        <w:rPr>
          <w:rFonts w:hint="eastAsia" w:ascii="仿宋" w:hAnsi="仿宋" w:eastAsia="仿宋" w:cs="宋体"/>
          <w:sz w:val="24"/>
          <w:szCs w:val="24"/>
        </w:rPr>
        <w:t>7</w:t>
      </w:r>
      <w:r>
        <w:rPr>
          <w:rFonts w:ascii="仿宋" w:hAnsi="仿宋" w:eastAsia="仿宋" w:cs="宋体"/>
          <w:sz w:val="24"/>
          <w:szCs w:val="24"/>
        </w:rPr>
        <w:t>.</w:t>
      </w:r>
      <w:r>
        <w:rPr>
          <w:rFonts w:hint="eastAsia" w:ascii="仿宋" w:hAnsi="仿宋" w:eastAsia="仿宋" w:cs="宋体"/>
          <w:sz w:val="24"/>
          <w:szCs w:val="24"/>
        </w:rPr>
        <w:t>2.2支持甲方的廉洁诚信建设，承诺承担实名举报的义务，若乙方或乙方相关主体对甲方或甲方相关主体的索贿行为不拒绝、不申报，并满足其要求的，则该行为视同乙方实施商业贿赂行为。</w:t>
      </w:r>
    </w:p>
    <w:p w14:paraId="1B85AEE4">
      <w:pPr>
        <w:spacing w:line="360" w:lineRule="auto"/>
        <w:ind w:firstLine="482" w:firstLineChars="200"/>
        <w:rPr>
          <w:rFonts w:ascii="仿宋" w:hAnsi="仿宋" w:eastAsia="仿宋" w:cs="宋体"/>
          <w:b/>
          <w:bCs/>
          <w:sz w:val="24"/>
          <w:szCs w:val="24"/>
        </w:rPr>
      </w:pPr>
      <w:r>
        <w:rPr>
          <w:rFonts w:hint="eastAsia" w:ascii="仿宋" w:hAnsi="仿宋" w:eastAsia="仿宋" w:cs="宋体"/>
          <w:b/>
          <w:bCs/>
          <w:sz w:val="24"/>
          <w:szCs w:val="24"/>
        </w:rPr>
        <w:t>7.3 恪守诚实信用原则</w:t>
      </w:r>
    </w:p>
    <w:p w14:paraId="56F926BF">
      <w:pPr>
        <w:spacing w:line="360" w:lineRule="auto"/>
        <w:ind w:firstLine="480" w:firstLineChars="200"/>
        <w:rPr>
          <w:rFonts w:ascii="仿宋" w:hAnsi="仿宋" w:eastAsia="仿宋" w:cs="宋体"/>
          <w:sz w:val="24"/>
          <w:szCs w:val="24"/>
        </w:rPr>
      </w:pPr>
      <w:r>
        <w:rPr>
          <w:rFonts w:hint="eastAsia" w:ascii="仿宋" w:hAnsi="仿宋" w:eastAsia="仿宋" w:cs="宋体"/>
          <w:sz w:val="24"/>
          <w:szCs w:val="24"/>
        </w:rPr>
        <w:t>7.3.1在与甲方的业务往来过程中，向甲方提供的信息、文件、资料、数据及相关书面和口头陈述等保证真实、准确和完整，并不存在任何虚假、误导和重大遗漏，且已按甲方要求向甲方提供或披露了与该等文件资料有关的其他辅助文件资料和信息。</w:t>
      </w:r>
    </w:p>
    <w:p w14:paraId="06483A86">
      <w:pPr>
        <w:spacing w:line="360" w:lineRule="auto"/>
        <w:ind w:firstLine="480" w:firstLineChars="200"/>
        <w:rPr>
          <w:rFonts w:ascii="仿宋" w:hAnsi="仿宋" w:eastAsia="仿宋" w:cs="宋体"/>
          <w:sz w:val="24"/>
          <w:szCs w:val="24"/>
        </w:rPr>
      </w:pPr>
      <w:r>
        <w:rPr>
          <w:rFonts w:hint="eastAsia" w:ascii="仿宋" w:hAnsi="仿宋" w:eastAsia="仿宋" w:cs="宋体"/>
          <w:sz w:val="24"/>
          <w:szCs w:val="24"/>
        </w:rPr>
        <w:t>7.3.2严格遵守向甲方做出的承诺、双方签署的合同、协议和备忘录等，确保产品质量和服务质量，不隐瞒任何可能对甲方利益造成影响的信息，积极配合甲方的审计。</w:t>
      </w:r>
    </w:p>
    <w:p w14:paraId="1C5A16D7">
      <w:pPr>
        <w:spacing w:line="360" w:lineRule="auto"/>
        <w:ind w:firstLine="480" w:firstLineChars="200"/>
        <w:rPr>
          <w:rFonts w:ascii="仿宋" w:hAnsi="仿宋" w:eastAsia="仿宋" w:cs="宋体"/>
          <w:sz w:val="24"/>
          <w:szCs w:val="24"/>
        </w:rPr>
      </w:pPr>
      <w:r>
        <w:rPr>
          <w:rFonts w:hint="eastAsia" w:ascii="仿宋" w:hAnsi="仿宋" w:eastAsia="仿宋" w:cs="宋体"/>
          <w:sz w:val="24"/>
          <w:szCs w:val="24"/>
        </w:rPr>
        <w:t>7.3.3严格遵守甲方的供应商行为准则、合作协议、保密承诺书等政策文件中的相关规定。</w:t>
      </w:r>
    </w:p>
    <w:p w14:paraId="714E7345">
      <w:pPr>
        <w:spacing w:line="360" w:lineRule="auto"/>
        <w:ind w:firstLine="480" w:firstLineChars="200"/>
        <w:rPr>
          <w:rFonts w:ascii="仿宋" w:hAnsi="仿宋" w:eastAsia="仿宋" w:cs="宋体"/>
          <w:sz w:val="24"/>
          <w:szCs w:val="24"/>
        </w:rPr>
      </w:pPr>
      <w:r>
        <w:rPr>
          <w:rFonts w:hint="eastAsia" w:ascii="仿宋" w:hAnsi="仿宋" w:eastAsia="仿宋" w:cs="宋体"/>
          <w:sz w:val="24"/>
          <w:szCs w:val="24"/>
        </w:rPr>
        <w:t>7.3.4严格遵守甲方的品牌管理的相关规定，未经甲方授权不擅自使用甲方字样、授权合作伙伴等类似容易对外产生混淆的字样。</w:t>
      </w:r>
    </w:p>
    <w:p w14:paraId="345D6F5C">
      <w:pPr>
        <w:spacing w:line="360" w:lineRule="auto"/>
        <w:ind w:firstLine="480" w:firstLineChars="200"/>
        <w:rPr>
          <w:rFonts w:ascii="仿宋" w:hAnsi="仿宋" w:eastAsia="仿宋" w:cs="宋体"/>
          <w:sz w:val="24"/>
          <w:szCs w:val="24"/>
        </w:rPr>
      </w:pPr>
      <w:r>
        <w:rPr>
          <w:rFonts w:hint="eastAsia" w:ascii="仿宋" w:hAnsi="仿宋" w:eastAsia="仿宋" w:cs="宋体"/>
          <w:sz w:val="24"/>
          <w:szCs w:val="24"/>
        </w:rPr>
        <w:t>7.3.5严格遵守国家相关法律法规及甲方的管理规定，不参与任何违法活动。</w:t>
      </w:r>
    </w:p>
    <w:p w14:paraId="44E705B5">
      <w:pPr>
        <w:spacing w:line="360" w:lineRule="auto"/>
        <w:ind w:firstLine="480" w:firstLineChars="200"/>
        <w:rPr>
          <w:rFonts w:ascii="仿宋" w:hAnsi="仿宋" w:eastAsia="仿宋" w:cs="宋体"/>
          <w:sz w:val="24"/>
          <w:szCs w:val="24"/>
        </w:rPr>
      </w:pPr>
      <w:r>
        <w:rPr>
          <w:rFonts w:hint="eastAsia" w:ascii="仿宋" w:hAnsi="仿宋" w:eastAsia="仿宋" w:cs="宋体"/>
          <w:sz w:val="24"/>
          <w:szCs w:val="24"/>
        </w:rPr>
        <w:t>7.3.6承诺实事求是，不对内部或社会传递任何虚假信息，严格遵守保密协议，不透露任何甲方的商业机密。</w:t>
      </w:r>
    </w:p>
    <w:p w14:paraId="0043F156">
      <w:pPr>
        <w:spacing w:line="360" w:lineRule="auto"/>
        <w:ind w:firstLine="480" w:firstLineChars="200"/>
        <w:rPr>
          <w:rFonts w:ascii="仿宋" w:hAnsi="仿宋" w:eastAsia="仿宋" w:cs="宋体"/>
          <w:sz w:val="24"/>
          <w:szCs w:val="24"/>
        </w:rPr>
      </w:pPr>
      <w:r>
        <w:rPr>
          <w:rFonts w:hint="eastAsia" w:ascii="仿宋" w:hAnsi="仿宋" w:eastAsia="仿宋" w:cs="宋体"/>
          <w:sz w:val="24"/>
          <w:szCs w:val="24"/>
        </w:rPr>
        <w:t>7.3.7未经甲方同意，不向任何新闻媒体、第三方述及有关甲方工作人员恪守商业道德方面的评价、信息。</w:t>
      </w:r>
    </w:p>
    <w:p w14:paraId="68DAF6F6">
      <w:pPr>
        <w:spacing w:line="360" w:lineRule="auto"/>
        <w:ind w:firstLine="480" w:firstLineChars="200"/>
        <w:rPr>
          <w:rFonts w:ascii="仿宋" w:hAnsi="仿宋" w:eastAsia="仿宋" w:cs="宋体"/>
          <w:sz w:val="24"/>
          <w:szCs w:val="24"/>
        </w:rPr>
      </w:pPr>
      <w:r>
        <w:rPr>
          <w:rFonts w:hint="eastAsia" w:ascii="仿宋" w:hAnsi="仿宋" w:eastAsia="仿宋" w:cs="宋体"/>
          <w:sz w:val="24"/>
          <w:szCs w:val="24"/>
        </w:rPr>
        <w:t>7.3.8依法合规参加招投标活动和业务合作并诚实守则，不出借、转让资质证书，不伙同他人串标、围标或非法排挤竞争对手，不以他人名义参与或者以其他方式弄虚作假，不夸大自身技术和提供服务的能力，损害甲方合法权益。</w:t>
      </w:r>
    </w:p>
    <w:p w14:paraId="27D16DE8">
      <w:pPr>
        <w:spacing w:line="360" w:lineRule="auto"/>
        <w:ind w:firstLine="482" w:firstLineChars="200"/>
        <w:rPr>
          <w:rFonts w:ascii="仿宋" w:hAnsi="仿宋" w:eastAsia="仿宋" w:cs="宋体"/>
          <w:b/>
          <w:bCs/>
          <w:sz w:val="24"/>
          <w:szCs w:val="24"/>
        </w:rPr>
      </w:pPr>
      <w:r>
        <w:rPr>
          <w:rFonts w:hint="eastAsia" w:ascii="仿宋" w:hAnsi="仿宋" w:eastAsia="仿宋" w:cs="宋体"/>
          <w:b/>
          <w:bCs/>
          <w:sz w:val="24"/>
          <w:szCs w:val="24"/>
        </w:rPr>
        <w:t>7.4 确保信息公开透明</w:t>
      </w:r>
    </w:p>
    <w:p w14:paraId="08BB4E17">
      <w:pPr>
        <w:spacing w:line="360" w:lineRule="auto"/>
        <w:ind w:firstLine="480" w:firstLineChars="200"/>
        <w:rPr>
          <w:rFonts w:ascii="仿宋" w:hAnsi="仿宋" w:eastAsia="仿宋" w:cs="宋体"/>
          <w:sz w:val="24"/>
          <w:szCs w:val="24"/>
        </w:rPr>
      </w:pPr>
      <w:r>
        <w:rPr>
          <w:rFonts w:hint="eastAsia" w:ascii="仿宋" w:hAnsi="仿宋" w:eastAsia="仿宋" w:cs="宋体"/>
          <w:sz w:val="24"/>
          <w:szCs w:val="24"/>
        </w:rPr>
        <w:t>7.4.1主动向甲方披露与采购项目相关的信息，包括乙方真实情况、产品价格、技术参数、服务团队信息、履约情况等。</w:t>
      </w:r>
    </w:p>
    <w:p w14:paraId="798407DB">
      <w:pPr>
        <w:spacing w:line="360" w:lineRule="auto"/>
        <w:ind w:firstLine="480" w:firstLineChars="200"/>
        <w:rPr>
          <w:rFonts w:ascii="仿宋" w:hAnsi="仿宋" w:eastAsia="仿宋" w:cs="宋体"/>
          <w:sz w:val="24"/>
          <w:szCs w:val="24"/>
        </w:rPr>
      </w:pPr>
      <w:r>
        <w:rPr>
          <w:rFonts w:hint="eastAsia" w:ascii="仿宋" w:hAnsi="仿宋" w:eastAsia="仿宋" w:cs="宋体"/>
          <w:sz w:val="24"/>
          <w:szCs w:val="24"/>
        </w:rPr>
        <w:t>7.4.2不利用非法手段向甲方及甲方相关主体打探有关涉及甲方及甲方相关主体的商业秘密、人员信息、采购信息等。</w:t>
      </w:r>
    </w:p>
    <w:p w14:paraId="109C3D8E">
      <w:pPr>
        <w:spacing w:line="360" w:lineRule="auto"/>
        <w:ind w:firstLine="482" w:firstLineChars="200"/>
        <w:rPr>
          <w:rFonts w:ascii="仿宋" w:hAnsi="仿宋" w:eastAsia="仿宋" w:cs="宋体"/>
          <w:b/>
          <w:bCs/>
          <w:sz w:val="24"/>
          <w:szCs w:val="24"/>
        </w:rPr>
      </w:pPr>
      <w:r>
        <w:rPr>
          <w:rFonts w:hint="eastAsia" w:ascii="仿宋" w:hAnsi="仿宋" w:eastAsia="仿宋" w:cs="宋体"/>
          <w:b/>
          <w:bCs/>
          <w:sz w:val="24"/>
          <w:szCs w:val="24"/>
        </w:rPr>
        <w:t>7.5 积极配合监督举报</w:t>
      </w:r>
    </w:p>
    <w:p w14:paraId="085354CC">
      <w:pPr>
        <w:spacing w:line="360" w:lineRule="auto"/>
        <w:ind w:firstLine="480" w:firstLineChars="200"/>
        <w:rPr>
          <w:rFonts w:ascii="仿宋" w:hAnsi="仿宋" w:eastAsia="仿宋" w:cs="宋体"/>
          <w:sz w:val="24"/>
          <w:szCs w:val="24"/>
        </w:rPr>
      </w:pPr>
      <w:r>
        <w:rPr>
          <w:rFonts w:hint="eastAsia" w:ascii="仿宋" w:hAnsi="仿宋" w:eastAsia="仿宋" w:cs="宋体"/>
          <w:sz w:val="24"/>
          <w:szCs w:val="24"/>
        </w:rPr>
        <w:t>7.5.1乙方承诺积极配合甲方或第三方机构的监督和检查，对发现的违规行为及时纠正，并严肃处理涉嫌违规的相关主体，确保采购过程和项目合作的公正性和透明度。甲方对乙方及乙方相关主体涉嫌违法违规违纪的商业行为进行调查时，乙方有配合提供证据、作证的义务。</w:t>
      </w:r>
    </w:p>
    <w:p w14:paraId="00E2143B">
      <w:pPr>
        <w:spacing w:line="360" w:lineRule="auto"/>
        <w:ind w:firstLine="480" w:firstLineChars="200"/>
        <w:rPr>
          <w:rFonts w:ascii="仿宋" w:hAnsi="仿宋" w:eastAsia="仿宋" w:cs="宋体"/>
          <w:sz w:val="24"/>
          <w:szCs w:val="24"/>
        </w:rPr>
      </w:pPr>
      <w:r>
        <w:rPr>
          <w:rFonts w:hint="eastAsia" w:ascii="仿宋" w:hAnsi="仿宋" w:eastAsia="仿宋" w:cs="宋体"/>
          <w:sz w:val="24"/>
          <w:szCs w:val="24"/>
        </w:rPr>
        <w:t>7.5.2如乙方有知悉或怀疑甲方相关主体有违反上述约定的，应及时采取措施并有权向甲方纪检部门举报。甲方会对所有信息提供者及所提供的全部资料严格保密。</w:t>
      </w:r>
    </w:p>
    <w:p w14:paraId="1C696075">
      <w:pPr>
        <w:spacing w:line="360" w:lineRule="auto"/>
        <w:ind w:firstLine="482" w:firstLineChars="200"/>
        <w:rPr>
          <w:rFonts w:ascii="仿宋" w:hAnsi="仿宋" w:eastAsia="仿宋" w:cs="宋体"/>
          <w:b/>
          <w:bCs/>
          <w:sz w:val="24"/>
          <w:szCs w:val="24"/>
        </w:rPr>
      </w:pPr>
      <w:r>
        <w:rPr>
          <w:rFonts w:hint="eastAsia" w:ascii="仿宋" w:hAnsi="仿宋" w:eastAsia="仿宋" w:cs="宋体"/>
          <w:b/>
          <w:bCs/>
          <w:sz w:val="24"/>
          <w:szCs w:val="24"/>
        </w:rPr>
        <w:t>7.6 加强内部廉洁管理</w:t>
      </w:r>
    </w:p>
    <w:p w14:paraId="13E4B18E">
      <w:pPr>
        <w:spacing w:line="360" w:lineRule="auto"/>
        <w:ind w:firstLine="480" w:firstLineChars="200"/>
        <w:rPr>
          <w:rFonts w:ascii="仿宋" w:hAnsi="仿宋" w:eastAsia="仿宋" w:cs="宋体"/>
          <w:sz w:val="24"/>
          <w:szCs w:val="24"/>
        </w:rPr>
      </w:pPr>
      <w:r>
        <w:rPr>
          <w:rFonts w:hint="eastAsia" w:ascii="仿宋" w:hAnsi="仿宋" w:eastAsia="仿宋" w:cs="宋体"/>
          <w:sz w:val="24"/>
          <w:szCs w:val="24"/>
        </w:rPr>
        <w:t>7.6.1加强内部管理：加强对员工的廉洁教育和培训，提高员工的道德素质和法律意识，建立健全内部管理制度，确保员工行为的合规性和廉洁性。</w:t>
      </w:r>
    </w:p>
    <w:p w14:paraId="203502D2">
      <w:pPr>
        <w:spacing w:line="360" w:lineRule="auto"/>
        <w:ind w:firstLine="480" w:firstLineChars="200"/>
        <w:rPr>
          <w:rFonts w:ascii="仿宋" w:hAnsi="仿宋" w:eastAsia="仿宋" w:cs="宋体"/>
          <w:sz w:val="24"/>
          <w:szCs w:val="24"/>
        </w:rPr>
      </w:pPr>
      <w:r>
        <w:rPr>
          <w:rFonts w:hint="eastAsia" w:ascii="仿宋" w:hAnsi="仿宋" w:eastAsia="仿宋" w:cs="宋体"/>
          <w:sz w:val="24"/>
          <w:szCs w:val="24"/>
        </w:rPr>
        <w:t>7.6.2设立监督机制：通过专门的监督机构或人员，对乙方的业务活动进行实时监督，确保员工行为的合规性。</w:t>
      </w:r>
    </w:p>
    <w:p w14:paraId="3BC3ECF0">
      <w:pPr>
        <w:spacing w:line="360" w:lineRule="auto"/>
        <w:ind w:firstLine="480" w:firstLineChars="200"/>
        <w:rPr>
          <w:rFonts w:ascii="仿宋" w:hAnsi="仿宋" w:eastAsia="仿宋" w:cs="宋体"/>
          <w:sz w:val="24"/>
          <w:szCs w:val="24"/>
        </w:rPr>
      </w:pPr>
      <w:r>
        <w:rPr>
          <w:rFonts w:hint="eastAsia" w:ascii="仿宋" w:hAnsi="仿宋" w:eastAsia="仿宋" w:cs="宋体"/>
          <w:sz w:val="24"/>
          <w:szCs w:val="24"/>
        </w:rPr>
        <w:t>7.6.3建立举报制度：鼓励员工积极举报违规行为，对举报人予以保护并给予奖励。</w:t>
      </w:r>
    </w:p>
    <w:p w14:paraId="2607A7D0">
      <w:pPr>
        <w:spacing w:line="360" w:lineRule="auto"/>
        <w:ind w:firstLine="482" w:firstLineChars="200"/>
        <w:rPr>
          <w:rFonts w:ascii="仿宋" w:hAnsi="仿宋" w:eastAsia="仿宋" w:cs="宋体"/>
          <w:b/>
          <w:bCs/>
          <w:sz w:val="24"/>
          <w:szCs w:val="24"/>
        </w:rPr>
      </w:pPr>
      <w:r>
        <w:rPr>
          <w:rFonts w:hint="eastAsia" w:ascii="仿宋" w:hAnsi="仿宋" w:eastAsia="仿宋" w:cs="宋体"/>
          <w:b/>
          <w:bCs/>
          <w:sz w:val="24"/>
          <w:szCs w:val="24"/>
        </w:rPr>
        <w:t>第八条  违约责任</w:t>
      </w:r>
    </w:p>
    <w:p w14:paraId="26E11135">
      <w:pPr>
        <w:spacing w:line="360" w:lineRule="auto"/>
        <w:ind w:firstLine="480" w:firstLineChars="200"/>
        <w:rPr>
          <w:rFonts w:ascii="仿宋" w:hAnsi="仿宋" w:eastAsia="仿宋" w:cs="宋体"/>
          <w:sz w:val="24"/>
          <w:szCs w:val="24"/>
        </w:rPr>
      </w:pPr>
      <w:r>
        <w:rPr>
          <w:rFonts w:ascii="仿宋" w:hAnsi="仿宋" w:eastAsia="仿宋" w:cs="宋体"/>
          <w:sz w:val="24"/>
          <w:szCs w:val="24"/>
        </w:rPr>
        <w:t>8.</w:t>
      </w:r>
      <w:r>
        <w:rPr>
          <w:rFonts w:hint="eastAsia" w:ascii="仿宋" w:hAnsi="仿宋" w:eastAsia="仿宋" w:cs="宋体"/>
          <w:sz w:val="24"/>
          <w:szCs w:val="24"/>
        </w:rPr>
        <w:t>1若甲方人员违反本协议第六条规定的，按照甲方内部管理权限，依据有关法律和规定给予处分或组织处理，涉嫌犯罪的，移交司法机关追究刑事责任。</w:t>
      </w:r>
    </w:p>
    <w:p w14:paraId="63811EBB">
      <w:pPr>
        <w:spacing w:line="360" w:lineRule="auto"/>
        <w:ind w:firstLine="480" w:firstLineChars="200"/>
        <w:rPr>
          <w:rFonts w:ascii="仿宋" w:hAnsi="仿宋" w:eastAsia="仿宋" w:cs="宋体"/>
          <w:sz w:val="24"/>
          <w:szCs w:val="24"/>
        </w:rPr>
      </w:pPr>
      <w:r>
        <w:rPr>
          <w:rFonts w:ascii="仿宋" w:hAnsi="仿宋" w:eastAsia="仿宋" w:cs="宋体"/>
          <w:sz w:val="24"/>
          <w:szCs w:val="24"/>
        </w:rPr>
        <w:t>8.</w:t>
      </w:r>
      <w:r>
        <w:rPr>
          <w:rFonts w:hint="eastAsia" w:ascii="仿宋" w:hAnsi="仿宋" w:eastAsia="仿宋" w:cs="宋体"/>
          <w:sz w:val="24"/>
          <w:szCs w:val="24"/>
        </w:rPr>
        <w:t>2如乙方违反本协议任何约定或承诺，甲方有权依据甲方采购管理、供应商管理和采购文件相关要求，对乙方进行严肃处理，相关处罚结果记入供应商诚信档案。</w:t>
      </w:r>
    </w:p>
    <w:p w14:paraId="60CB7662">
      <w:pPr>
        <w:spacing w:line="360" w:lineRule="auto"/>
        <w:ind w:firstLine="480" w:firstLineChars="200"/>
        <w:rPr>
          <w:rFonts w:ascii="仿宋" w:hAnsi="仿宋" w:eastAsia="仿宋" w:cs="宋体"/>
          <w:sz w:val="24"/>
          <w:szCs w:val="24"/>
        </w:rPr>
      </w:pPr>
      <w:r>
        <w:rPr>
          <w:rFonts w:hint="eastAsia" w:ascii="仿宋" w:hAnsi="仿宋" w:eastAsia="仿宋" w:cs="宋体"/>
          <w:sz w:val="24"/>
          <w:szCs w:val="24"/>
        </w:rPr>
        <w:t>8.3 如乙方违反本协议任何约定或承诺，</w:t>
      </w:r>
      <w:r>
        <w:rPr>
          <w:rFonts w:hint="eastAsia" w:ascii="仿宋" w:hAnsi="仿宋" w:eastAsia="仿宋" w:cs="宋体"/>
          <w:b/>
          <w:bCs/>
          <w:sz w:val="24"/>
          <w:szCs w:val="24"/>
        </w:rPr>
        <w:t>甲方及甲方子公司有权根据情节严重程度选择单方全面终止与乙方的合同及合作，且无需承担任何责任。乙方给甲方造成损失的，甲方有权要求乙方承担全部赔偿责任。</w:t>
      </w:r>
    </w:p>
    <w:p w14:paraId="5AF06480">
      <w:pPr>
        <w:spacing w:line="360" w:lineRule="auto"/>
        <w:ind w:firstLine="480" w:firstLineChars="200"/>
        <w:rPr>
          <w:rFonts w:ascii="仿宋" w:hAnsi="仿宋" w:eastAsia="仿宋" w:cs="宋体"/>
          <w:sz w:val="24"/>
          <w:szCs w:val="24"/>
        </w:rPr>
      </w:pPr>
      <w:r>
        <w:rPr>
          <w:rFonts w:ascii="仿宋" w:hAnsi="仿宋" w:eastAsia="仿宋" w:cs="宋体"/>
          <w:sz w:val="24"/>
          <w:szCs w:val="24"/>
        </w:rPr>
        <w:t>8.</w:t>
      </w:r>
      <w:r>
        <w:rPr>
          <w:rFonts w:hint="eastAsia" w:ascii="仿宋" w:hAnsi="仿宋" w:eastAsia="仿宋" w:cs="宋体"/>
          <w:sz w:val="24"/>
          <w:szCs w:val="24"/>
        </w:rPr>
        <w:t>4</w:t>
      </w:r>
      <w:r>
        <w:rPr>
          <w:rFonts w:hint="eastAsia" w:ascii="仿宋" w:hAnsi="仿宋" w:eastAsia="仿宋" w:cs="宋体"/>
          <w:b/>
          <w:bCs/>
          <w:sz w:val="24"/>
          <w:szCs w:val="24"/>
        </w:rPr>
        <w:t>甲方及甲方子公司按照前述条款要求乙方承担赔偿责任的，</w:t>
      </w:r>
      <w:r>
        <w:rPr>
          <w:rFonts w:hint="eastAsia" w:ascii="仿宋" w:hAnsi="仿宋" w:eastAsia="仿宋" w:cs="宋体"/>
          <w:sz w:val="24"/>
          <w:szCs w:val="24"/>
        </w:rPr>
        <w:t>乙方应于甲方发出赔偿通知之日起【 】个工作日内支付，如未及时支付，甲方及甲方子公司有权从主合同款项中直接扣除。</w:t>
      </w:r>
    </w:p>
    <w:p w14:paraId="7011D29B">
      <w:pPr>
        <w:spacing w:line="360" w:lineRule="auto"/>
        <w:ind w:firstLine="480" w:firstLineChars="200"/>
        <w:rPr>
          <w:rFonts w:ascii="仿宋" w:hAnsi="仿宋" w:eastAsia="仿宋" w:cs="宋体"/>
          <w:sz w:val="24"/>
          <w:szCs w:val="24"/>
        </w:rPr>
      </w:pPr>
      <w:r>
        <w:rPr>
          <w:rFonts w:ascii="仿宋" w:hAnsi="仿宋" w:eastAsia="仿宋" w:cs="宋体"/>
          <w:sz w:val="24"/>
          <w:szCs w:val="24"/>
        </w:rPr>
        <w:t>8.</w:t>
      </w:r>
      <w:r>
        <w:rPr>
          <w:rFonts w:hint="eastAsia" w:ascii="仿宋" w:hAnsi="仿宋" w:eastAsia="仿宋" w:cs="宋体"/>
          <w:sz w:val="24"/>
          <w:szCs w:val="24"/>
        </w:rPr>
        <w:t>5乙方知悉并同意，对于上述情形的处理甲方有完全的判断权和自主权。</w:t>
      </w:r>
    </w:p>
    <w:p w14:paraId="08B059FA">
      <w:pPr>
        <w:spacing w:line="360" w:lineRule="auto"/>
        <w:ind w:firstLine="482" w:firstLineChars="200"/>
        <w:rPr>
          <w:rFonts w:ascii="仿宋" w:hAnsi="仿宋" w:eastAsia="仿宋" w:cs="宋体"/>
          <w:b/>
          <w:bCs/>
          <w:sz w:val="24"/>
          <w:szCs w:val="24"/>
        </w:rPr>
      </w:pPr>
      <w:r>
        <w:rPr>
          <w:rFonts w:hint="eastAsia" w:ascii="仿宋" w:hAnsi="仿宋" w:eastAsia="仿宋" w:cs="宋体"/>
          <w:b/>
          <w:bCs/>
          <w:sz w:val="24"/>
          <w:szCs w:val="24"/>
        </w:rPr>
        <w:t>第九条  附则</w:t>
      </w:r>
    </w:p>
    <w:p w14:paraId="32870710">
      <w:pPr>
        <w:spacing w:line="360" w:lineRule="auto"/>
        <w:ind w:firstLine="480" w:firstLineChars="200"/>
        <w:rPr>
          <w:rFonts w:ascii="仿宋" w:hAnsi="仿宋" w:eastAsia="仿宋" w:cs="宋体"/>
          <w:sz w:val="24"/>
          <w:szCs w:val="24"/>
        </w:rPr>
      </w:pPr>
      <w:r>
        <w:rPr>
          <w:rFonts w:hint="eastAsia" w:ascii="仿宋" w:hAnsi="仿宋" w:eastAsia="仿宋" w:cs="宋体"/>
          <w:sz w:val="24"/>
          <w:szCs w:val="24"/>
        </w:rPr>
        <w:t>9</w:t>
      </w:r>
      <w:r>
        <w:rPr>
          <w:rFonts w:ascii="仿宋" w:hAnsi="仿宋" w:eastAsia="仿宋" w:cs="宋体"/>
          <w:sz w:val="24"/>
          <w:szCs w:val="24"/>
        </w:rPr>
        <w:t>.</w:t>
      </w:r>
      <w:r>
        <w:rPr>
          <w:rFonts w:hint="eastAsia" w:ascii="仿宋" w:hAnsi="仿宋" w:eastAsia="仿宋" w:cs="宋体"/>
          <w:sz w:val="24"/>
          <w:szCs w:val="24"/>
        </w:rPr>
        <w:t>1本协议的标题及各条款的标题仅为检索方便而设置，具体内容应当以各条款的具体规定为准，而不应参考该标题进行解释。</w:t>
      </w:r>
    </w:p>
    <w:p w14:paraId="7680160B">
      <w:pPr>
        <w:spacing w:line="360" w:lineRule="auto"/>
        <w:ind w:firstLine="480" w:firstLineChars="200"/>
        <w:rPr>
          <w:rFonts w:ascii="仿宋" w:hAnsi="仿宋" w:eastAsia="仿宋" w:cs="宋体"/>
          <w:sz w:val="24"/>
          <w:szCs w:val="24"/>
        </w:rPr>
      </w:pPr>
      <w:r>
        <w:rPr>
          <w:rFonts w:hint="eastAsia" w:ascii="仿宋" w:hAnsi="仿宋" w:eastAsia="仿宋" w:cs="宋体"/>
          <w:sz w:val="24"/>
          <w:szCs w:val="24"/>
        </w:rPr>
        <w:t>9</w:t>
      </w:r>
      <w:r>
        <w:rPr>
          <w:rFonts w:ascii="仿宋" w:hAnsi="仿宋" w:eastAsia="仿宋" w:cs="宋体"/>
          <w:sz w:val="24"/>
          <w:szCs w:val="24"/>
        </w:rPr>
        <w:t>.</w:t>
      </w:r>
      <w:r>
        <w:rPr>
          <w:rFonts w:hint="eastAsia" w:ascii="仿宋" w:hAnsi="仿宋" w:eastAsia="仿宋" w:cs="宋体"/>
          <w:sz w:val="24"/>
          <w:szCs w:val="24"/>
        </w:rPr>
        <w:t>2除非另有书面规定，甲方未能行使或者延迟行使在本协议项下的任何权利，不得被视为放弃行使该等权利，且任何权利的单独或部分行使亦不得妨碍该等权利的进一步或其他任何权利的行使。甲方在任何时候放弃追究乙方违反本协议任何条款约定的违约行为的，不得被视为甲方放弃追究其他各方面的违约行为。</w:t>
      </w:r>
    </w:p>
    <w:p w14:paraId="598768B1">
      <w:pPr>
        <w:spacing w:line="360" w:lineRule="auto"/>
        <w:ind w:firstLine="480" w:firstLineChars="200"/>
        <w:rPr>
          <w:rFonts w:ascii="仿宋" w:hAnsi="仿宋" w:eastAsia="仿宋" w:cs="宋体"/>
          <w:sz w:val="24"/>
          <w:szCs w:val="24"/>
        </w:rPr>
      </w:pPr>
      <w:r>
        <w:rPr>
          <w:rFonts w:hint="eastAsia" w:ascii="仿宋" w:hAnsi="仿宋" w:eastAsia="仿宋" w:cs="宋体"/>
          <w:sz w:val="24"/>
          <w:szCs w:val="24"/>
        </w:rPr>
        <w:t>9</w:t>
      </w:r>
      <w:r>
        <w:rPr>
          <w:rFonts w:ascii="仿宋" w:hAnsi="仿宋" w:eastAsia="仿宋" w:cs="宋体"/>
          <w:sz w:val="24"/>
          <w:szCs w:val="24"/>
        </w:rPr>
        <w:t>.</w:t>
      </w:r>
      <w:r>
        <w:rPr>
          <w:rFonts w:hint="eastAsia" w:ascii="仿宋" w:hAnsi="仿宋" w:eastAsia="仿宋" w:cs="宋体"/>
          <w:sz w:val="24"/>
          <w:szCs w:val="24"/>
        </w:rPr>
        <w:t>3本协议之解释、效力、履行及其他未尽事宜均依中华人民共和国（仅为本协议之目的，不含香港特别行政区、澳门特别行政区和台湾地区）法律为准，任何关于本协议产生的争议，由双方协商解决，协商不成的，双方同意任何一方均有权向上海仲裁委员会申请仲裁。</w:t>
      </w:r>
    </w:p>
    <w:p w14:paraId="2117B352">
      <w:pPr>
        <w:spacing w:line="360" w:lineRule="auto"/>
        <w:ind w:firstLine="480" w:firstLineChars="200"/>
        <w:rPr>
          <w:rFonts w:ascii="仿宋" w:hAnsi="仿宋" w:eastAsia="仿宋" w:cs="宋体"/>
          <w:sz w:val="24"/>
          <w:szCs w:val="24"/>
        </w:rPr>
      </w:pPr>
      <w:r>
        <w:rPr>
          <w:rFonts w:hint="eastAsia" w:ascii="仿宋" w:hAnsi="仿宋" w:eastAsia="仿宋" w:cs="宋体"/>
          <w:sz w:val="24"/>
          <w:szCs w:val="24"/>
        </w:rPr>
        <w:t>9</w:t>
      </w:r>
      <w:r>
        <w:rPr>
          <w:rFonts w:ascii="仿宋" w:hAnsi="仿宋" w:eastAsia="仿宋" w:cs="宋体"/>
          <w:sz w:val="24"/>
          <w:szCs w:val="24"/>
        </w:rPr>
        <w:t>.4</w:t>
      </w:r>
      <w:r>
        <w:rPr>
          <w:rFonts w:hint="eastAsia" w:ascii="仿宋" w:hAnsi="仿宋" w:eastAsia="仿宋" w:cs="宋体"/>
          <w:sz w:val="24"/>
          <w:szCs w:val="24"/>
        </w:rPr>
        <w:t>本协议未尽事宜以双方签订的主合同为准。本协议与主合同约定不一致的，根据约定内容对双方提出的廉洁诚信要求，以较为严格的约定为准。若双方未签订主合同或主合同终止、解除的，本协议应独立执行。</w:t>
      </w:r>
    </w:p>
    <w:p w14:paraId="5EC98548">
      <w:pPr>
        <w:spacing w:line="360" w:lineRule="auto"/>
        <w:ind w:firstLine="480" w:firstLineChars="200"/>
        <w:rPr>
          <w:rFonts w:ascii="仿宋" w:hAnsi="仿宋" w:eastAsia="仿宋" w:cs="宋体"/>
          <w:sz w:val="24"/>
          <w:szCs w:val="24"/>
        </w:rPr>
      </w:pPr>
      <w:r>
        <w:rPr>
          <w:rFonts w:hint="eastAsia" w:ascii="仿宋" w:hAnsi="仿宋" w:eastAsia="仿宋" w:cs="宋体"/>
          <w:sz w:val="24"/>
          <w:szCs w:val="24"/>
        </w:rPr>
        <w:t>9</w:t>
      </w:r>
      <w:r>
        <w:rPr>
          <w:rFonts w:ascii="仿宋" w:hAnsi="仿宋" w:eastAsia="仿宋" w:cs="宋体"/>
          <w:sz w:val="24"/>
          <w:szCs w:val="24"/>
        </w:rPr>
        <w:t>.5</w:t>
      </w:r>
      <w:r>
        <w:rPr>
          <w:rFonts w:hint="eastAsia" w:ascii="仿宋" w:hAnsi="仿宋" w:eastAsia="仿宋" w:cs="宋体"/>
          <w:sz w:val="24"/>
          <w:szCs w:val="24"/>
        </w:rPr>
        <w:t>本协议一式【</w:t>
      </w:r>
      <w:r>
        <w:rPr>
          <w:rFonts w:ascii="仿宋" w:hAnsi="仿宋" w:eastAsia="仿宋" w:cs="宋体"/>
          <w:sz w:val="24"/>
          <w:szCs w:val="24"/>
        </w:rPr>
        <w:t>6</w:t>
      </w:r>
      <w:r>
        <w:rPr>
          <w:rFonts w:hint="eastAsia" w:ascii="仿宋" w:hAnsi="仿宋" w:eastAsia="仿宋" w:cs="宋体"/>
          <w:sz w:val="24"/>
          <w:szCs w:val="24"/>
        </w:rPr>
        <w:t>】份，双方各执【</w:t>
      </w:r>
      <w:r>
        <w:rPr>
          <w:rFonts w:ascii="仿宋" w:hAnsi="仿宋" w:eastAsia="仿宋" w:cs="宋体"/>
          <w:sz w:val="24"/>
          <w:szCs w:val="24"/>
        </w:rPr>
        <w:t>3</w:t>
      </w:r>
      <w:r>
        <w:rPr>
          <w:rFonts w:hint="eastAsia" w:ascii="仿宋" w:hAnsi="仿宋" w:eastAsia="仿宋" w:cs="宋体"/>
          <w:sz w:val="24"/>
          <w:szCs w:val="24"/>
        </w:rPr>
        <w:t>】份，自双方签字并盖章之日起生效，本协议长期有效。</w:t>
      </w:r>
    </w:p>
    <w:p w14:paraId="24092F45">
      <w:pPr>
        <w:spacing w:before="312" w:beforeLines="100" w:after="312" w:afterLines="100" w:line="300" w:lineRule="auto"/>
        <w:jc w:val="center"/>
        <w:rPr>
          <w:rFonts w:ascii="仿宋" w:hAnsi="仿宋" w:eastAsia="仿宋" w:cs="宋体"/>
          <w:sz w:val="24"/>
          <w:szCs w:val="24"/>
        </w:rPr>
      </w:pPr>
      <w:r>
        <w:rPr>
          <w:rFonts w:hint="eastAsia" w:ascii="仿宋" w:hAnsi="仿宋" w:eastAsia="仿宋" w:cs="宋体"/>
          <w:sz w:val="24"/>
          <w:szCs w:val="24"/>
        </w:rPr>
        <w:t>（以下为《廉洁诚信协议》之签署页）</w:t>
      </w:r>
    </w:p>
    <w:p w14:paraId="6457BF97">
      <w:pPr>
        <w:spacing w:before="312" w:beforeLines="100" w:after="312" w:afterLines="100" w:line="300" w:lineRule="auto"/>
        <w:rPr>
          <w:rFonts w:ascii="仿宋" w:hAnsi="仿宋" w:eastAsia="仿宋" w:cs="宋体"/>
          <w:sz w:val="24"/>
          <w:szCs w:val="24"/>
        </w:rPr>
      </w:pPr>
      <w:r>
        <w:rPr>
          <w:rFonts w:hint="eastAsia" w:ascii="仿宋" w:hAnsi="仿宋" w:eastAsia="仿宋" w:cs="宋体"/>
          <w:sz w:val="24"/>
          <w:szCs w:val="24"/>
        </w:rPr>
        <w:t>兹确认，本《廉洁诚信协议》在双方友好协商、充分知悉并同意双方权利、义务与责任之基础上签署，并同意自签署之日起接受本《廉洁诚信协议》之约束：</w:t>
      </w:r>
    </w:p>
    <w:p w14:paraId="1CCB3371">
      <w:pPr>
        <w:spacing w:before="312" w:beforeLines="100" w:after="312" w:afterLines="100" w:line="300" w:lineRule="auto"/>
        <w:rPr>
          <w:rFonts w:ascii="仿宋" w:hAnsi="仿宋" w:eastAsia="仿宋" w:cs="宋体"/>
          <w:sz w:val="24"/>
          <w:szCs w:val="24"/>
        </w:rPr>
      </w:pPr>
    </w:p>
    <w:p w14:paraId="04C95E44">
      <w:pPr>
        <w:spacing w:before="312" w:beforeLines="100" w:after="312" w:afterLines="100" w:line="300" w:lineRule="auto"/>
        <w:rPr>
          <w:rFonts w:ascii="仿宋" w:hAnsi="仿宋" w:eastAsia="仿宋" w:cs="宋体"/>
          <w:b/>
          <w:bCs/>
          <w:sz w:val="24"/>
          <w:szCs w:val="24"/>
        </w:rPr>
      </w:pPr>
      <w:r>
        <w:rPr>
          <w:rFonts w:hint="eastAsia" w:ascii="仿宋" w:hAnsi="仿宋" w:eastAsia="仿宋" w:cs="宋体"/>
          <w:b/>
          <w:bCs/>
          <w:sz w:val="24"/>
          <w:szCs w:val="24"/>
        </w:rPr>
        <w:t>甲方（盖章）：</w:t>
      </w:r>
      <w:r>
        <w:rPr>
          <w:rFonts w:hint="eastAsia" w:ascii="仿宋" w:hAnsi="仿宋" w:eastAsia="仿宋" w:cs="宋体"/>
          <w:b/>
          <w:bCs/>
          <w:sz w:val="24"/>
          <w:szCs w:val="24"/>
        </w:rPr>
        <w:tab/>
      </w:r>
      <w:r>
        <w:rPr>
          <w:rFonts w:hint="eastAsia" w:ascii="仿宋" w:hAnsi="仿宋" w:eastAsia="仿宋" w:cs="宋体"/>
          <w:b/>
          <w:bCs/>
          <w:sz w:val="24"/>
          <w:szCs w:val="24"/>
        </w:rPr>
        <w:tab/>
      </w:r>
      <w:r>
        <w:rPr>
          <w:rFonts w:hint="eastAsia" w:ascii="仿宋" w:hAnsi="仿宋" w:eastAsia="仿宋" w:cs="宋体"/>
          <w:b/>
          <w:bCs/>
          <w:sz w:val="24"/>
          <w:szCs w:val="24"/>
        </w:rPr>
        <w:tab/>
      </w:r>
      <w:r>
        <w:rPr>
          <w:rFonts w:hint="eastAsia" w:ascii="仿宋" w:hAnsi="仿宋" w:eastAsia="仿宋" w:cs="宋体"/>
          <w:b/>
          <w:bCs/>
          <w:sz w:val="24"/>
          <w:szCs w:val="24"/>
        </w:rPr>
        <w:tab/>
      </w:r>
      <w:r>
        <w:rPr>
          <w:rFonts w:hint="eastAsia" w:ascii="仿宋" w:hAnsi="仿宋" w:eastAsia="仿宋" w:cs="宋体"/>
          <w:b/>
          <w:bCs/>
          <w:sz w:val="24"/>
          <w:szCs w:val="24"/>
        </w:rPr>
        <w:tab/>
      </w:r>
      <w:r>
        <w:rPr>
          <w:rFonts w:hint="eastAsia" w:ascii="仿宋" w:hAnsi="仿宋" w:eastAsia="仿宋" w:cs="宋体"/>
          <w:b/>
          <w:bCs/>
          <w:sz w:val="24"/>
          <w:szCs w:val="24"/>
        </w:rPr>
        <w:tab/>
      </w:r>
      <w:r>
        <w:rPr>
          <w:rFonts w:hint="eastAsia" w:ascii="仿宋" w:hAnsi="仿宋" w:eastAsia="仿宋" w:cs="宋体"/>
          <w:b/>
          <w:bCs/>
          <w:sz w:val="24"/>
          <w:szCs w:val="24"/>
        </w:rPr>
        <w:tab/>
      </w:r>
      <w:r>
        <w:rPr>
          <w:rFonts w:hint="eastAsia" w:ascii="仿宋" w:hAnsi="仿宋" w:eastAsia="仿宋" w:cs="宋体"/>
          <w:b/>
          <w:bCs/>
          <w:sz w:val="24"/>
          <w:szCs w:val="24"/>
          <w:lang w:val="en-US" w:eastAsia="zh-CN"/>
        </w:rPr>
        <w:t xml:space="preserve"> </w:t>
      </w:r>
      <w:r>
        <w:rPr>
          <w:rFonts w:hint="eastAsia" w:ascii="仿宋" w:hAnsi="仿宋" w:eastAsia="仿宋" w:cs="宋体"/>
          <w:b/>
          <w:bCs/>
          <w:sz w:val="24"/>
          <w:szCs w:val="24"/>
        </w:rPr>
        <w:t xml:space="preserve"> 乙方：（盖章）</w:t>
      </w:r>
    </w:p>
    <w:p w14:paraId="21EB188C">
      <w:pPr>
        <w:spacing w:before="312" w:beforeLines="100" w:after="312" w:afterLines="100" w:line="300" w:lineRule="auto"/>
        <w:rPr>
          <w:rFonts w:ascii="仿宋" w:hAnsi="仿宋" w:eastAsia="仿宋" w:cs="宋体"/>
          <w:sz w:val="24"/>
          <w:szCs w:val="24"/>
        </w:rPr>
      </w:pPr>
      <w:r>
        <w:rPr>
          <w:rFonts w:hint="eastAsia" w:ascii="仿宋" w:hAnsi="仿宋" w:eastAsia="仿宋" w:cs="宋体"/>
          <w:sz w:val="24"/>
          <w:szCs w:val="24"/>
        </w:rPr>
        <w:t>法定代表人或授权代表签字</w:t>
      </w:r>
      <w:r>
        <w:rPr>
          <w:rFonts w:hint="eastAsia" w:ascii="仿宋" w:hAnsi="仿宋" w:eastAsia="仿宋" w:cs="宋体"/>
          <w:sz w:val="24"/>
          <w:szCs w:val="24"/>
          <w:lang w:val="en-US" w:eastAsia="zh-CN"/>
        </w:rPr>
        <w:t>或盖章</w:t>
      </w:r>
      <w:r>
        <w:rPr>
          <w:rFonts w:hint="eastAsia" w:ascii="仿宋" w:hAnsi="仿宋" w:eastAsia="仿宋" w:cs="宋体"/>
          <w:sz w:val="24"/>
          <w:szCs w:val="24"/>
        </w:rPr>
        <w:t>：</w:t>
      </w:r>
      <w:r>
        <w:rPr>
          <w:rFonts w:hint="eastAsia" w:ascii="仿宋" w:hAnsi="仿宋" w:eastAsia="仿宋" w:cs="宋体"/>
          <w:sz w:val="24"/>
          <w:szCs w:val="24"/>
        </w:rPr>
        <w:tab/>
      </w:r>
      <w:r>
        <w:rPr>
          <w:rFonts w:hint="eastAsia" w:ascii="仿宋" w:hAnsi="仿宋" w:eastAsia="仿宋" w:cs="宋体"/>
          <w:sz w:val="24"/>
          <w:szCs w:val="24"/>
          <w:lang w:val="en-US" w:eastAsia="zh-CN"/>
        </w:rPr>
        <w:t xml:space="preserve">  </w:t>
      </w:r>
      <w:r>
        <w:rPr>
          <w:rFonts w:hint="eastAsia" w:ascii="仿宋" w:hAnsi="仿宋" w:eastAsia="仿宋" w:cs="宋体"/>
          <w:sz w:val="24"/>
          <w:szCs w:val="24"/>
        </w:rPr>
        <w:t>法定代表人或授权代表签字</w:t>
      </w:r>
      <w:r>
        <w:rPr>
          <w:rFonts w:hint="eastAsia" w:ascii="仿宋" w:hAnsi="仿宋" w:eastAsia="仿宋" w:cs="宋体"/>
          <w:sz w:val="24"/>
          <w:szCs w:val="24"/>
          <w:lang w:val="en-US" w:eastAsia="zh-CN"/>
        </w:rPr>
        <w:t>或盖章</w:t>
      </w:r>
      <w:r>
        <w:rPr>
          <w:rFonts w:hint="eastAsia" w:ascii="仿宋" w:hAnsi="仿宋" w:eastAsia="仿宋" w:cs="宋体"/>
          <w:sz w:val="24"/>
          <w:szCs w:val="24"/>
        </w:rPr>
        <w:t>：</w:t>
      </w:r>
    </w:p>
    <w:p w14:paraId="346AEFF1">
      <w:pPr>
        <w:spacing w:before="312" w:beforeLines="100" w:after="312" w:afterLines="100" w:line="300" w:lineRule="auto"/>
      </w:pPr>
      <w:r>
        <w:rPr>
          <w:rFonts w:hint="eastAsia" w:ascii="仿宋" w:hAnsi="仿宋" w:eastAsia="仿宋" w:cs="宋体"/>
          <w:sz w:val="24"/>
          <w:szCs w:val="24"/>
          <w:u w:val="single"/>
        </w:rPr>
        <w:t xml:space="preserve">                        </w:t>
      </w:r>
      <w:r>
        <w:rPr>
          <w:rFonts w:hint="eastAsia" w:ascii="仿宋" w:hAnsi="仿宋" w:eastAsia="仿宋" w:cs="宋体"/>
          <w:sz w:val="24"/>
          <w:szCs w:val="24"/>
        </w:rPr>
        <w:tab/>
      </w:r>
      <w:r>
        <w:rPr>
          <w:rFonts w:hint="eastAsia" w:ascii="仿宋" w:hAnsi="仿宋" w:eastAsia="仿宋" w:cs="宋体"/>
          <w:sz w:val="24"/>
          <w:szCs w:val="24"/>
        </w:rPr>
        <w:tab/>
      </w:r>
      <w:r>
        <w:rPr>
          <w:rFonts w:hint="eastAsia" w:ascii="仿宋" w:hAnsi="仿宋" w:eastAsia="仿宋" w:cs="宋体"/>
          <w:sz w:val="24"/>
          <w:szCs w:val="24"/>
        </w:rPr>
        <w:tab/>
      </w:r>
      <w:r>
        <w:rPr>
          <w:rFonts w:hint="eastAsia" w:ascii="仿宋" w:hAnsi="仿宋" w:eastAsia="仿宋" w:cs="宋体"/>
          <w:sz w:val="24"/>
          <w:szCs w:val="24"/>
        </w:rPr>
        <w:tab/>
      </w:r>
      <w:r>
        <w:rPr>
          <w:rFonts w:hint="eastAsia" w:ascii="仿宋" w:hAnsi="仿宋" w:eastAsia="仿宋" w:cs="宋体"/>
          <w:sz w:val="24"/>
          <w:szCs w:val="24"/>
        </w:rPr>
        <w:t xml:space="preserve">   </w:t>
      </w:r>
      <w:r>
        <w:rPr>
          <w:rFonts w:hint="eastAsia" w:ascii="仿宋" w:hAnsi="仿宋" w:eastAsia="仿宋" w:cs="宋体"/>
          <w:sz w:val="24"/>
          <w:szCs w:val="24"/>
          <w:u w:val="single"/>
        </w:rPr>
        <w:t xml:space="preserve">                       </w:t>
      </w:r>
    </w:p>
    <w:p w14:paraId="37602F69"/>
    <w:p w14:paraId="4D395DE2"/>
    <w:p w14:paraId="68053B62"/>
    <w:p w14:paraId="41F9A9AF"/>
    <w:p w14:paraId="4F423DD4"/>
    <w:p w14:paraId="4AA4F63B"/>
    <w:p w14:paraId="09322FA3"/>
    <w:p w14:paraId="7E456BB0"/>
    <w:p w14:paraId="121EE0B5"/>
    <w:p w14:paraId="1466434E"/>
    <w:p w14:paraId="07FDD7BC"/>
    <w:p w14:paraId="18C6FA4F"/>
    <w:p w14:paraId="4F8EEC22"/>
    <w:p w14:paraId="557EF50D"/>
    <w:p w14:paraId="06DD33D1"/>
    <w:p w14:paraId="28F94ACB">
      <w:pPr>
        <w:outlineLvl w:val="9"/>
      </w:pPr>
    </w:p>
    <w:p w14:paraId="3108A98E">
      <w:pPr>
        <w:pStyle w:val="2"/>
        <w:numPr>
          <w:ilvl w:val="0"/>
          <w:numId w:val="7"/>
        </w:numPr>
        <w:rPr>
          <w:rFonts w:hint="eastAsia" w:ascii="宋体" w:hAnsi="宋体" w:eastAsia="宋体" w:cs="宋体"/>
          <w:color w:val="000000"/>
          <w:highlight w:val="none"/>
        </w:rPr>
      </w:pPr>
      <w:r>
        <w:rPr>
          <w:rFonts w:hint="eastAsia" w:ascii="宋体" w:hAnsi="宋体" w:eastAsia="宋体" w:cs="宋体"/>
          <w:color w:val="000000"/>
          <w:highlight w:val="none"/>
        </w:rPr>
        <w:br w:type="page"/>
      </w:r>
      <w:r>
        <w:rPr>
          <w:rFonts w:hint="eastAsia" w:ascii="宋体" w:hAnsi="宋体" w:eastAsia="宋体" w:cs="宋体"/>
          <w:color w:val="000000"/>
          <w:highlight w:val="none"/>
        </w:rPr>
        <w:t xml:space="preserve"> </w:t>
      </w:r>
      <w:bookmarkStart w:id="649" w:name="_Toc9229"/>
      <w:r>
        <w:rPr>
          <w:rFonts w:hint="eastAsia" w:ascii="宋体" w:hAnsi="宋体" w:eastAsia="宋体" w:cs="宋体"/>
          <w:color w:val="000000"/>
          <w:highlight w:val="none"/>
        </w:rPr>
        <w:t>技术规范书</w:t>
      </w:r>
      <w:bookmarkEnd w:id="643"/>
      <w:bookmarkEnd w:id="644"/>
      <w:bookmarkEnd w:id="645"/>
      <w:bookmarkEnd w:id="649"/>
    </w:p>
    <w:p w14:paraId="192A22FC">
      <w:pPr>
        <w:keepNext w:val="0"/>
        <w:keepLines w:val="0"/>
        <w:pageBreakBefore w:val="0"/>
        <w:widowControl/>
        <w:kinsoku/>
        <w:wordWrap/>
        <w:overflowPunct/>
        <w:topLinePunct/>
        <w:autoSpaceDE/>
        <w:autoSpaceDN/>
        <w:bidi w:val="0"/>
        <w:adjustRightInd/>
        <w:snapToGrid/>
        <w:spacing w:line="360" w:lineRule="auto"/>
        <w:textAlignment w:val="auto"/>
        <w:rPr>
          <w:rFonts w:hint="eastAsia" w:ascii="宋体" w:hAnsi="宋体" w:eastAsia="宋体" w:cs="宋体"/>
          <w:b w:val="0"/>
          <w:bCs w:val="0"/>
          <w:color w:val="000000"/>
          <w:kern w:val="0"/>
          <w:sz w:val="24"/>
          <w:szCs w:val="24"/>
          <w:highlight w:val="none"/>
        </w:rPr>
      </w:pPr>
      <w:bookmarkStart w:id="650" w:name="_Toc12230"/>
      <w:r>
        <w:rPr>
          <w:rFonts w:hint="eastAsia" w:ascii="宋体" w:hAnsi="宋体" w:eastAsia="宋体" w:cs="宋体"/>
          <w:b w:val="0"/>
          <w:bCs w:val="0"/>
          <w:color w:val="000000"/>
          <w:kern w:val="0"/>
          <w:sz w:val="24"/>
          <w:szCs w:val="24"/>
          <w:highlight w:val="none"/>
        </w:rPr>
        <w:t>一</w:t>
      </w:r>
      <w:r>
        <w:rPr>
          <w:rFonts w:hint="eastAsia" w:ascii="宋体" w:hAnsi="宋体" w:eastAsia="宋体" w:cs="宋体"/>
          <w:b/>
          <w:bCs/>
          <w:color w:val="000000"/>
          <w:kern w:val="0"/>
          <w:sz w:val="24"/>
          <w:szCs w:val="24"/>
          <w:highlight w:val="none"/>
        </w:rPr>
        <w:t>、项目概况：</w:t>
      </w:r>
    </w:p>
    <w:p w14:paraId="3EC07F83">
      <w:pPr>
        <w:keepNext w:val="0"/>
        <w:keepLines w:val="0"/>
        <w:pageBreakBefore w:val="0"/>
        <w:widowControl/>
        <w:kinsoku/>
        <w:wordWrap/>
        <w:overflowPunct/>
        <w:topLinePunct/>
        <w:autoSpaceDE/>
        <w:autoSpaceDN/>
        <w:bidi w:val="0"/>
        <w:adjustRightInd/>
        <w:snapToGrid/>
        <w:spacing w:line="360" w:lineRule="auto"/>
        <w:ind w:left="0" w:leftChars="0" w:firstLine="480" w:firstLineChars="200"/>
        <w:textAlignment w:val="auto"/>
        <w:rPr>
          <w:rFonts w:hint="eastAsia" w:ascii="宋体" w:hAnsi="宋体" w:eastAsia="宋体" w:cs="宋体"/>
          <w:bCs w:val="0"/>
          <w:color w:val="000000"/>
          <w:kern w:val="0"/>
          <w:sz w:val="24"/>
          <w:szCs w:val="24"/>
          <w:highlight w:val="none"/>
          <w:lang w:val="en-US" w:eastAsia="zh-CN"/>
        </w:rPr>
      </w:pPr>
      <w:r>
        <w:rPr>
          <w:rFonts w:hint="eastAsia" w:ascii="宋体" w:hAnsi="宋体" w:eastAsia="宋体" w:cs="宋体"/>
          <w:bCs w:val="0"/>
          <w:color w:val="000000"/>
          <w:kern w:val="0"/>
          <w:sz w:val="24"/>
          <w:szCs w:val="24"/>
          <w:highlight w:val="none"/>
        </w:rPr>
        <w:t>项目名称：</w:t>
      </w:r>
      <w:r>
        <w:rPr>
          <w:rFonts w:hint="eastAsia" w:ascii="宋体" w:hAnsi="宋体" w:cs="宋体"/>
          <w:bCs w:val="0"/>
          <w:color w:val="000000"/>
          <w:kern w:val="0"/>
          <w:sz w:val="24"/>
          <w:szCs w:val="24"/>
          <w:highlight w:val="none"/>
          <w:lang w:eastAsia="zh-CN"/>
        </w:rPr>
        <w:t>人保财险南京市分公司营业用房零星维修服务供应商项目</w:t>
      </w:r>
      <w:r>
        <w:rPr>
          <w:rFonts w:hint="eastAsia" w:ascii="宋体" w:hAnsi="宋体" w:eastAsia="宋体" w:cs="宋体"/>
          <w:bCs w:val="0"/>
          <w:color w:val="000000"/>
          <w:kern w:val="0"/>
          <w:sz w:val="24"/>
          <w:szCs w:val="24"/>
          <w:highlight w:val="none"/>
          <w:lang w:eastAsia="zh-CN"/>
        </w:rPr>
        <w:t>。</w:t>
      </w:r>
    </w:p>
    <w:p w14:paraId="289C5A75">
      <w:pPr>
        <w:keepNext w:val="0"/>
        <w:keepLines w:val="0"/>
        <w:pageBreakBefore w:val="0"/>
        <w:widowControl/>
        <w:kinsoku/>
        <w:wordWrap/>
        <w:overflowPunct/>
        <w:topLinePunct/>
        <w:autoSpaceDE/>
        <w:autoSpaceDN/>
        <w:bidi w:val="0"/>
        <w:adjustRightInd/>
        <w:snapToGrid/>
        <w:spacing w:line="360" w:lineRule="auto"/>
        <w:ind w:left="0" w:leftChars="0" w:firstLine="480" w:firstLineChars="200"/>
        <w:textAlignment w:val="auto"/>
        <w:rPr>
          <w:rFonts w:hint="eastAsia" w:ascii="宋体" w:hAnsi="宋体" w:eastAsia="宋体" w:cs="宋体"/>
          <w:bCs w:val="0"/>
          <w:color w:val="000000"/>
          <w:kern w:val="0"/>
          <w:sz w:val="24"/>
          <w:szCs w:val="24"/>
          <w:highlight w:val="none"/>
          <w:lang w:val="en-US" w:eastAsia="zh-CN"/>
        </w:rPr>
      </w:pPr>
      <w:r>
        <w:rPr>
          <w:rFonts w:hint="eastAsia" w:ascii="宋体" w:hAnsi="宋体" w:eastAsia="宋体" w:cs="宋体"/>
          <w:bCs w:val="0"/>
          <w:color w:val="000000"/>
          <w:kern w:val="0"/>
          <w:sz w:val="24"/>
          <w:szCs w:val="24"/>
          <w:highlight w:val="none"/>
        </w:rPr>
        <w:t>项目地址：</w:t>
      </w:r>
      <w:r>
        <w:rPr>
          <w:rFonts w:hint="eastAsia" w:ascii="宋体" w:hAnsi="宋体" w:eastAsia="宋体" w:cs="宋体"/>
          <w:color w:val="000000"/>
          <w:sz w:val="24"/>
          <w:szCs w:val="24"/>
          <w:highlight w:val="none"/>
          <w:lang w:val="en-US" w:eastAsia="zh-CN"/>
        </w:rPr>
        <w:t>在合同期内按照需要确定地点。</w:t>
      </w:r>
    </w:p>
    <w:p w14:paraId="1286084D">
      <w:pPr>
        <w:keepNext w:val="0"/>
        <w:keepLines w:val="0"/>
        <w:pageBreakBefore w:val="0"/>
        <w:widowControl/>
        <w:kinsoku/>
        <w:wordWrap/>
        <w:overflowPunct/>
        <w:topLinePunct/>
        <w:autoSpaceDE/>
        <w:autoSpaceDN/>
        <w:bidi w:val="0"/>
        <w:adjustRightInd/>
        <w:snapToGrid/>
        <w:spacing w:line="360" w:lineRule="auto"/>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000000"/>
          <w:kern w:val="0"/>
          <w:sz w:val="24"/>
          <w:szCs w:val="24"/>
          <w:highlight w:val="none"/>
        </w:rPr>
        <w:t>二、招标范围：</w:t>
      </w:r>
    </w:p>
    <w:p w14:paraId="5E8ADB84">
      <w:pPr>
        <w:keepNext w:val="0"/>
        <w:keepLines w:val="0"/>
        <w:pageBreakBefore w:val="0"/>
        <w:widowControl/>
        <w:kinsoku/>
        <w:wordWrap/>
        <w:overflowPunct/>
        <w:topLinePunct/>
        <w:autoSpaceDE/>
        <w:autoSpaceDN/>
        <w:bidi w:val="0"/>
        <w:adjustRightInd/>
        <w:snapToGrid/>
        <w:spacing w:line="360" w:lineRule="auto"/>
        <w:ind w:left="0" w:leftChars="0" w:firstLine="480" w:firstLineChars="200"/>
        <w:textAlignment w:val="auto"/>
        <w:rPr>
          <w:rFonts w:hint="eastAsia" w:ascii="宋体" w:hAnsi="宋体" w:eastAsia="宋体" w:cs="宋体"/>
          <w:bCs w:val="0"/>
          <w:color w:val="auto"/>
          <w:kern w:val="0"/>
          <w:sz w:val="24"/>
          <w:szCs w:val="24"/>
          <w:highlight w:val="none"/>
          <w:lang w:eastAsia="zh-CN"/>
        </w:rPr>
      </w:pPr>
      <w:r>
        <w:rPr>
          <w:rFonts w:hint="eastAsia" w:ascii="宋体" w:hAnsi="宋体" w:eastAsia="宋体" w:cs="宋体"/>
          <w:bCs w:val="0"/>
          <w:color w:val="auto"/>
          <w:kern w:val="0"/>
          <w:sz w:val="24"/>
          <w:szCs w:val="24"/>
          <w:highlight w:val="none"/>
          <w:lang w:eastAsia="zh-CN"/>
        </w:rPr>
        <w:t>拟</w:t>
      </w:r>
      <w:r>
        <w:rPr>
          <w:rFonts w:hint="eastAsia" w:ascii="宋体" w:hAnsi="宋体" w:eastAsia="宋体" w:cs="宋体"/>
          <w:bCs w:val="0"/>
          <w:color w:val="auto"/>
          <w:kern w:val="0"/>
          <w:sz w:val="24"/>
          <w:szCs w:val="24"/>
          <w:highlight w:val="none"/>
          <w:lang w:val="en-US" w:eastAsia="zh-CN"/>
        </w:rPr>
        <w:t>通过公开招标的方式入围</w:t>
      </w:r>
      <w:r>
        <w:rPr>
          <w:rFonts w:hint="eastAsia" w:ascii="宋体" w:hAnsi="宋体" w:cs="宋体"/>
          <w:bCs w:val="0"/>
          <w:color w:val="auto"/>
          <w:kern w:val="0"/>
          <w:sz w:val="24"/>
          <w:szCs w:val="24"/>
          <w:highlight w:val="none"/>
          <w:lang w:val="en-US" w:eastAsia="zh-CN"/>
        </w:rPr>
        <w:t>4</w:t>
      </w:r>
      <w:r>
        <w:rPr>
          <w:rFonts w:hint="eastAsia" w:ascii="宋体" w:hAnsi="宋体" w:eastAsia="宋体" w:cs="宋体"/>
          <w:bCs w:val="0"/>
          <w:color w:val="auto"/>
          <w:kern w:val="0"/>
          <w:sz w:val="24"/>
          <w:szCs w:val="24"/>
          <w:highlight w:val="none"/>
          <w:lang w:val="en-US" w:eastAsia="zh-CN"/>
        </w:rPr>
        <w:t>家供应商为招标人提供2025-2026年度人保财险南京市分</w:t>
      </w:r>
      <w:r>
        <w:rPr>
          <w:rFonts w:hint="eastAsia" w:ascii="宋体" w:hAnsi="宋体" w:eastAsia="宋体" w:cs="宋体"/>
          <w:bCs w:val="0"/>
          <w:color w:val="auto"/>
          <w:kern w:val="0"/>
          <w:sz w:val="24"/>
          <w:szCs w:val="24"/>
          <w:highlight w:val="none"/>
          <w:u w:val="single"/>
          <w:lang w:val="en-US" w:eastAsia="zh-CN"/>
        </w:rPr>
        <w:t>公司全辖（除溧水、高淳外）的营业用房的零星</w:t>
      </w:r>
      <w:r>
        <w:rPr>
          <w:rFonts w:hint="eastAsia" w:ascii="宋体" w:hAnsi="宋体" w:eastAsia="宋体" w:cs="宋体"/>
          <w:bCs w:val="0"/>
          <w:color w:val="auto"/>
          <w:kern w:val="0"/>
          <w:sz w:val="24"/>
          <w:szCs w:val="24"/>
          <w:highlight w:val="none"/>
          <w:lang w:val="en-US" w:eastAsia="zh-CN"/>
        </w:rPr>
        <w:t>装修改造</w:t>
      </w:r>
      <w:r>
        <w:rPr>
          <w:rFonts w:hint="eastAsia" w:ascii="宋体" w:hAnsi="宋体" w:cs="宋体"/>
          <w:bCs w:val="0"/>
          <w:color w:val="auto"/>
          <w:kern w:val="0"/>
          <w:sz w:val="24"/>
          <w:szCs w:val="24"/>
          <w:highlight w:val="none"/>
          <w:lang w:val="en-US" w:eastAsia="zh-CN"/>
        </w:rPr>
        <w:t>服务</w:t>
      </w:r>
      <w:r>
        <w:rPr>
          <w:rFonts w:hint="eastAsia" w:ascii="宋体" w:hAnsi="宋体" w:eastAsia="宋体" w:cs="宋体"/>
          <w:bCs w:val="0"/>
          <w:color w:val="auto"/>
          <w:kern w:val="0"/>
          <w:sz w:val="24"/>
          <w:szCs w:val="24"/>
          <w:highlight w:val="none"/>
          <w:lang w:val="en-US" w:eastAsia="zh-CN"/>
        </w:rPr>
        <w:t>。</w:t>
      </w:r>
    </w:p>
    <w:p w14:paraId="3ADD03A0">
      <w:pPr>
        <w:keepNext w:val="0"/>
        <w:keepLines w:val="0"/>
        <w:pageBreakBefore w:val="0"/>
        <w:widowControl/>
        <w:kinsoku/>
        <w:wordWrap/>
        <w:overflowPunct/>
        <w:topLinePunct/>
        <w:autoSpaceDE/>
        <w:autoSpaceDN/>
        <w:bidi w:val="0"/>
        <w:adjustRightInd/>
        <w:snapToGrid/>
        <w:spacing w:line="360" w:lineRule="auto"/>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三、服务期限：</w:t>
      </w:r>
    </w:p>
    <w:p w14:paraId="548C1915">
      <w:pPr>
        <w:keepNext w:val="0"/>
        <w:keepLines w:val="0"/>
        <w:pageBreakBefore w:val="0"/>
        <w:widowControl/>
        <w:kinsoku/>
        <w:wordWrap/>
        <w:overflowPunct/>
        <w:topLinePunct/>
        <w:autoSpaceDE/>
        <w:autoSpaceDN/>
        <w:bidi w:val="0"/>
        <w:adjustRightInd/>
        <w:snapToGrid/>
        <w:spacing w:line="360" w:lineRule="auto"/>
        <w:ind w:left="0" w:leftChars="0" w:firstLine="480" w:firstLineChars="200"/>
        <w:textAlignment w:val="auto"/>
        <w:rPr>
          <w:rFonts w:hint="eastAsia" w:ascii="宋体" w:hAnsi="宋体" w:eastAsia="宋体" w:cs="宋体"/>
          <w:bCs w:val="0"/>
          <w:color w:val="000000"/>
          <w:kern w:val="0"/>
          <w:sz w:val="24"/>
          <w:szCs w:val="24"/>
          <w:highlight w:val="none"/>
        </w:rPr>
      </w:pPr>
      <w:r>
        <w:rPr>
          <w:rFonts w:hint="eastAsia" w:ascii="宋体" w:hAnsi="宋体" w:eastAsia="宋体" w:cs="宋体"/>
          <w:bCs w:val="0"/>
          <w:color w:val="000000"/>
          <w:kern w:val="0"/>
          <w:sz w:val="24"/>
          <w:szCs w:val="24"/>
          <w:highlight w:val="none"/>
        </w:rPr>
        <w:t>一年（自签订合同之日起算）。在服务期间，</w:t>
      </w:r>
      <w:r>
        <w:rPr>
          <w:rFonts w:hint="eastAsia" w:ascii="宋体" w:hAnsi="宋体" w:eastAsia="宋体" w:cs="宋体"/>
          <w:bCs w:val="0"/>
          <w:color w:val="000000"/>
          <w:kern w:val="0"/>
          <w:sz w:val="24"/>
          <w:szCs w:val="24"/>
          <w:highlight w:val="none"/>
          <w:lang w:eastAsia="zh-CN"/>
        </w:rPr>
        <w:t>中标供应商</w:t>
      </w:r>
      <w:r>
        <w:rPr>
          <w:rFonts w:hint="eastAsia" w:ascii="宋体" w:hAnsi="宋体" w:eastAsia="宋体" w:cs="宋体"/>
          <w:bCs w:val="0"/>
          <w:color w:val="000000"/>
          <w:kern w:val="0"/>
          <w:sz w:val="24"/>
          <w:szCs w:val="24"/>
          <w:highlight w:val="none"/>
        </w:rPr>
        <w:t>未能履行</w:t>
      </w:r>
      <w:r>
        <w:rPr>
          <w:rFonts w:hint="eastAsia" w:ascii="宋体" w:hAnsi="宋体" w:eastAsia="宋体" w:cs="宋体"/>
          <w:bCs w:val="0"/>
          <w:color w:val="000000"/>
          <w:kern w:val="0"/>
          <w:sz w:val="24"/>
          <w:szCs w:val="24"/>
          <w:highlight w:val="none"/>
          <w:lang w:eastAsia="zh-CN"/>
        </w:rPr>
        <w:t>招标文件及投标文件</w:t>
      </w:r>
      <w:r>
        <w:rPr>
          <w:rFonts w:hint="eastAsia" w:ascii="宋体" w:hAnsi="宋体" w:eastAsia="宋体" w:cs="宋体"/>
          <w:bCs w:val="0"/>
          <w:color w:val="000000"/>
          <w:kern w:val="0"/>
          <w:sz w:val="24"/>
          <w:szCs w:val="24"/>
          <w:highlight w:val="none"/>
        </w:rPr>
        <w:t>的相关承诺，未按合同要求履行义务或者出现重大违法行为或因</w:t>
      </w:r>
      <w:r>
        <w:rPr>
          <w:rFonts w:hint="eastAsia" w:ascii="宋体" w:hAnsi="宋体" w:eastAsia="宋体" w:cs="宋体"/>
          <w:bCs w:val="0"/>
          <w:color w:val="000000"/>
          <w:kern w:val="0"/>
          <w:sz w:val="24"/>
          <w:szCs w:val="24"/>
          <w:highlight w:val="none"/>
          <w:lang w:eastAsia="zh-CN"/>
        </w:rPr>
        <w:t>中标供应商</w:t>
      </w:r>
      <w:r>
        <w:rPr>
          <w:rFonts w:hint="eastAsia" w:ascii="宋体" w:hAnsi="宋体" w:eastAsia="宋体" w:cs="宋体"/>
          <w:bCs w:val="0"/>
          <w:color w:val="000000"/>
          <w:kern w:val="0"/>
          <w:sz w:val="24"/>
          <w:szCs w:val="24"/>
          <w:highlight w:val="none"/>
        </w:rPr>
        <w:t>原因导致</w:t>
      </w:r>
      <w:r>
        <w:rPr>
          <w:rFonts w:hint="eastAsia" w:ascii="宋体" w:hAnsi="宋体" w:eastAsia="宋体" w:cs="宋体"/>
          <w:bCs w:val="0"/>
          <w:color w:val="000000"/>
          <w:kern w:val="0"/>
          <w:sz w:val="24"/>
          <w:szCs w:val="24"/>
          <w:highlight w:val="none"/>
          <w:lang w:eastAsia="zh-CN"/>
        </w:rPr>
        <w:t>招标人</w:t>
      </w:r>
      <w:r>
        <w:rPr>
          <w:rFonts w:hint="eastAsia" w:ascii="宋体" w:hAnsi="宋体" w:eastAsia="宋体" w:cs="宋体"/>
          <w:bCs w:val="0"/>
          <w:color w:val="000000"/>
          <w:kern w:val="0"/>
          <w:sz w:val="24"/>
          <w:szCs w:val="24"/>
          <w:highlight w:val="none"/>
        </w:rPr>
        <w:t>利益受损的，</w:t>
      </w:r>
      <w:r>
        <w:rPr>
          <w:rFonts w:hint="eastAsia" w:ascii="宋体" w:hAnsi="宋体" w:eastAsia="宋体" w:cs="宋体"/>
          <w:bCs w:val="0"/>
          <w:color w:val="000000"/>
          <w:kern w:val="0"/>
          <w:sz w:val="24"/>
          <w:szCs w:val="24"/>
          <w:highlight w:val="none"/>
          <w:lang w:eastAsia="zh-CN"/>
        </w:rPr>
        <w:t>招标人</w:t>
      </w:r>
      <w:r>
        <w:rPr>
          <w:rFonts w:hint="eastAsia" w:ascii="宋体" w:hAnsi="宋体" w:eastAsia="宋体" w:cs="宋体"/>
          <w:bCs w:val="0"/>
          <w:color w:val="000000"/>
          <w:kern w:val="0"/>
          <w:sz w:val="24"/>
          <w:szCs w:val="24"/>
          <w:highlight w:val="none"/>
        </w:rPr>
        <w:t>有权终止双方合作关系。服务期限结束后，</w:t>
      </w:r>
      <w:r>
        <w:rPr>
          <w:rFonts w:hint="eastAsia" w:ascii="宋体" w:hAnsi="宋体" w:eastAsia="宋体" w:cs="宋体"/>
          <w:bCs w:val="0"/>
          <w:color w:val="000000"/>
          <w:kern w:val="0"/>
          <w:sz w:val="24"/>
          <w:szCs w:val="24"/>
          <w:highlight w:val="none"/>
          <w:lang w:eastAsia="zh-CN"/>
        </w:rPr>
        <w:t>招标人</w:t>
      </w:r>
      <w:r>
        <w:rPr>
          <w:rFonts w:hint="eastAsia" w:ascii="宋体" w:hAnsi="宋体" w:eastAsia="宋体" w:cs="宋体"/>
          <w:bCs w:val="0"/>
          <w:color w:val="000000"/>
          <w:kern w:val="0"/>
          <w:sz w:val="24"/>
          <w:szCs w:val="24"/>
          <w:highlight w:val="none"/>
        </w:rPr>
        <w:t>可自行与</w:t>
      </w:r>
      <w:r>
        <w:rPr>
          <w:rFonts w:hint="eastAsia" w:ascii="宋体" w:hAnsi="宋体" w:eastAsia="宋体" w:cs="宋体"/>
          <w:bCs w:val="0"/>
          <w:color w:val="000000"/>
          <w:kern w:val="0"/>
          <w:sz w:val="24"/>
          <w:szCs w:val="24"/>
          <w:highlight w:val="none"/>
          <w:lang w:eastAsia="zh-CN"/>
        </w:rPr>
        <w:t>中标供应商</w:t>
      </w:r>
      <w:r>
        <w:rPr>
          <w:rFonts w:hint="eastAsia" w:ascii="宋体" w:hAnsi="宋体" w:eastAsia="宋体" w:cs="宋体"/>
          <w:bCs w:val="0"/>
          <w:color w:val="000000"/>
          <w:kern w:val="0"/>
          <w:sz w:val="24"/>
          <w:szCs w:val="24"/>
          <w:highlight w:val="none"/>
        </w:rPr>
        <w:t>续签合同。</w:t>
      </w:r>
    </w:p>
    <w:p w14:paraId="7B2AF876">
      <w:pPr>
        <w:keepNext w:val="0"/>
        <w:keepLines w:val="0"/>
        <w:pageBreakBefore w:val="0"/>
        <w:widowControl/>
        <w:numPr>
          <w:ilvl w:val="0"/>
          <w:numId w:val="8"/>
        </w:numPr>
        <w:kinsoku/>
        <w:wordWrap/>
        <w:overflowPunct/>
        <w:topLinePunct/>
        <w:autoSpaceDE/>
        <w:autoSpaceDN/>
        <w:bidi w:val="0"/>
        <w:adjustRightInd/>
        <w:snapToGrid/>
        <w:spacing w:line="360" w:lineRule="auto"/>
        <w:textAlignment w:val="auto"/>
        <w:rPr>
          <w:rFonts w:hint="eastAsia" w:ascii="宋体" w:hAnsi="宋体" w:eastAsia="宋体" w:cs="宋体"/>
          <w:b/>
          <w:bCs/>
          <w:color w:val="000000"/>
          <w:kern w:val="0"/>
          <w:sz w:val="24"/>
          <w:szCs w:val="24"/>
          <w:highlight w:val="none"/>
        </w:rPr>
      </w:pPr>
      <w:r>
        <w:rPr>
          <w:rFonts w:hint="eastAsia" w:ascii="宋体" w:hAnsi="宋体" w:eastAsia="宋体" w:cs="宋体"/>
          <w:b/>
          <w:bCs/>
          <w:color w:val="000000"/>
          <w:kern w:val="0"/>
          <w:sz w:val="24"/>
          <w:szCs w:val="24"/>
          <w:highlight w:val="none"/>
        </w:rPr>
        <w:t>具体要求：</w:t>
      </w:r>
    </w:p>
    <w:p w14:paraId="55D5899F">
      <w:pPr>
        <w:keepNext w:val="0"/>
        <w:keepLines w:val="0"/>
        <w:pageBreakBefore w:val="0"/>
        <w:widowControl/>
        <w:numPr>
          <w:ilvl w:val="0"/>
          <w:numId w:val="0"/>
        </w:numPr>
        <w:kinsoku/>
        <w:wordWrap/>
        <w:overflowPunct/>
        <w:topLinePunct/>
        <w:autoSpaceDE/>
        <w:autoSpaceDN/>
        <w:bidi w:val="0"/>
        <w:adjustRightInd/>
        <w:snapToGrid/>
        <w:spacing w:line="360" w:lineRule="auto"/>
        <w:textAlignment w:val="auto"/>
        <w:rPr>
          <w:rFonts w:hint="eastAsia" w:ascii="宋体" w:hAnsi="宋体" w:eastAsia="宋体" w:cs="宋体"/>
          <w:b w:val="0"/>
          <w:bCs w:val="0"/>
          <w:color w:val="000000"/>
          <w:kern w:val="0"/>
          <w:sz w:val="24"/>
          <w:szCs w:val="24"/>
          <w:highlight w:val="none"/>
        </w:rPr>
      </w:pPr>
      <w:r>
        <w:rPr>
          <w:rFonts w:hint="eastAsia" w:ascii="宋体" w:hAnsi="宋体" w:eastAsia="宋体" w:cs="宋体"/>
          <w:b w:val="0"/>
          <w:bCs w:val="0"/>
          <w:color w:val="000000"/>
          <w:kern w:val="0"/>
          <w:sz w:val="24"/>
          <w:szCs w:val="24"/>
          <w:highlight w:val="none"/>
        </w:rPr>
        <w:t>（一）工程质量要求</w:t>
      </w:r>
    </w:p>
    <w:p w14:paraId="04D00A7B">
      <w:pPr>
        <w:keepNext w:val="0"/>
        <w:keepLines w:val="0"/>
        <w:pageBreakBefore w:val="0"/>
        <w:widowControl/>
        <w:numPr>
          <w:ilvl w:val="0"/>
          <w:numId w:val="0"/>
        </w:numPr>
        <w:kinsoku/>
        <w:wordWrap/>
        <w:overflowPunct/>
        <w:topLinePunct/>
        <w:autoSpaceDE/>
        <w:autoSpaceDN/>
        <w:bidi w:val="0"/>
        <w:adjustRightInd/>
        <w:snapToGrid/>
        <w:spacing w:line="360" w:lineRule="auto"/>
        <w:textAlignment w:val="auto"/>
        <w:rPr>
          <w:rFonts w:hint="eastAsia" w:ascii="宋体" w:hAnsi="宋体" w:eastAsia="宋体" w:cs="宋体"/>
          <w:b w:val="0"/>
          <w:bCs w:val="0"/>
          <w:color w:val="000000"/>
          <w:kern w:val="0"/>
          <w:sz w:val="24"/>
          <w:szCs w:val="24"/>
          <w:highlight w:val="none"/>
        </w:rPr>
      </w:pPr>
      <w:r>
        <w:rPr>
          <w:rFonts w:hint="eastAsia" w:ascii="宋体" w:hAnsi="宋体" w:eastAsia="宋体" w:cs="宋体"/>
          <w:b w:val="0"/>
          <w:bCs w:val="0"/>
          <w:color w:val="000000"/>
          <w:kern w:val="0"/>
          <w:sz w:val="24"/>
          <w:szCs w:val="24"/>
          <w:highlight w:val="none"/>
        </w:rPr>
        <w:t>1、工程质量标准：中华人民共和国《建筑工程施工质量验收统一标准》等建筑工程施工质量验收规范的合格标准。</w:t>
      </w:r>
    </w:p>
    <w:p w14:paraId="5BDC5199">
      <w:pPr>
        <w:keepNext w:val="0"/>
        <w:keepLines w:val="0"/>
        <w:pageBreakBefore w:val="0"/>
        <w:widowControl/>
        <w:numPr>
          <w:ilvl w:val="0"/>
          <w:numId w:val="0"/>
        </w:numPr>
        <w:kinsoku/>
        <w:wordWrap/>
        <w:overflowPunct/>
        <w:topLinePunct/>
        <w:autoSpaceDE/>
        <w:autoSpaceDN/>
        <w:bidi w:val="0"/>
        <w:adjustRightInd/>
        <w:snapToGrid/>
        <w:spacing w:line="360" w:lineRule="auto"/>
        <w:textAlignment w:val="auto"/>
        <w:rPr>
          <w:rFonts w:hint="eastAsia" w:ascii="宋体" w:hAnsi="宋体" w:eastAsia="宋体" w:cs="宋体"/>
          <w:b w:val="0"/>
          <w:bCs w:val="0"/>
          <w:color w:val="000000"/>
          <w:kern w:val="0"/>
          <w:sz w:val="24"/>
          <w:szCs w:val="24"/>
          <w:highlight w:val="none"/>
        </w:rPr>
      </w:pPr>
      <w:r>
        <w:rPr>
          <w:rFonts w:hint="eastAsia" w:ascii="宋体" w:hAnsi="宋体" w:eastAsia="宋体" w:cs="宋体"/>
          <w:b w:val="0"/>
          <w:bCs w:val="0"/>
          <w:color w:val="000000"/>
          <w:kern w:val="0"/>
          <w:sz w:val="24"/>
          <w:szCs w:val="24"/>
          <w:highlight w:val="none"/>
        </w:rPr>
        <w:t>2、工程规范以现行的或承担具体施工任务期间国家和行业最新颁布施行的规范、规程为准。</w:t>
      </w:r>
    </w:p>
    <w:p w14:paraId="4E614A15">
      <w:pPr>
        <w:keepNext w:val="0"/>
        <w:keepLines w:val="0"/>
        <w:pageBreakBefore w:val="0"/>
        <w:widowControl/>
        <w:numPr>
          <w:ilvl w:val="0"/>
          <w:numId w:val="0"/>
        </w:numPr>
        <w:kinsoku/>
        <w:wordWrap/>
        <w:overflowPunct/>
        <w:topLinePunct/>
        <w:autoSpaceDE/>
        <w:autoSpaceDN/>
        <w:bidi w:val="0"/>
        <w:adjustRightInd/>
        <w:snapToGrid/>
        <w:spacing w:line="360" w:lineRule="auto"/>
        <w:textAlignment w:val="auto"/>
        <w:rPr>
          <w:rFonts w:hint="eastAsia" w:ascii="宋体" w:hAnsi="宋体" w:eastAsia="宋体" w:cs="宋体"/>
          <w:b w:val="0"/>
          <w:bCs w:val="0"/>
          <w:color w:val="000000"/>
          <w:kern w:val="0"/>
          <w:sz w:val="24"/>
          <w:szCs w:val="24"/>
          <w:highlight w:val="none"/>
        </w:rPr>
      </w:pPr>
      <w:r>
        <w:rPr>
          <w:rFonts w:hint="eastAsia" w:ascii="宋体" w:hAnsi="宋体" w:eastAsia="宋体" w:cs="宋体"/>
          <w:b w:val="0"/>
          <w:bCs w:val="0"/>
          <w:color w:val="000000"/>
          <w:kern w:val="0"/>
          <w:sz w:val="24"/>
          <w:szCs w:val="24"/>
          <w:highlight w:val="none"/>
        </w:rPr>
        <w:t>3、在履行合同过程中，项目经理必须为响应时承诺的项目经理，每个项目必须至少配备一名安全员。</w:t>
      </w:r>
    </w:p>
    <w:p w14:paraId="3E6C8249">
      <w:pPr>
        <w:keepNext w:val="0"/>
        <w:keepLines w:val="0"/>
        <w:pageBreakBefore w:val="0"/>
        <w:widowControl/>
        <w:numPr>
          <w:ilvl w:val="0"/>
          <w:numId w:val="0"/>
        </w:numPr>
        <w:kinsoku/>
        <w:wordWrap/>
        <w:overflowPunct/>
        <w:topLinePunct/>
        <w:autoSpaceDE/>
        <w:autoSpaceDN/>
        <w:bidi w:val="0"/>
        <w:adjustRightInd/>
        <w:snapToGrid/>
        <w:spacing w:line="360" w:lineRule="auto"/>
        <w:textAlignment w:val="auto"/>
        <w:rPr>
          <w:rFonts w:hint="eastAsia" w:ascii="宋体" w:hAnsi="宋体" w:eastAsia="宋体" w:cs="宋体"/>
          <w:b w:val="0"/>
          <w:bCs w:val="0"/>
          <w:color w:val="000000"/>
          <w:kern w:val="0"/>
          <w:sz w:val="24"/>
          <w:szCs w:val="24"/>
          <w:highlight w:val="none"/>
        </w:rPr>
      </w:pPr>
      <w:r>
        <w:rPr>
          <w:rFonts w:hint="eastAsia" w:ascii="宋体" w:hAnsi="宋体" w:eastAsia="宋体" w:cs="宋体"/>
          <w:b w:val="0"/>
          <w:bCs w:val="0"/>
          <w:color w:val="000000"/>
          <w:kern w:val="0"/>
          <w:sz w:val="24"/>
          <w:szCs w:val="24"/>
          <w:highlight w:val="none"/>
        </w:rPr>
        <w:t>（二）工期和进度要求</w:t>
      </w:r>
    </w:p>
    <w:p w14:paraId="4D73914E">
      <w:pPr>
        <w:keepNext w:val="0"/>
        <w:keepLines w:val="0"/>
        <w:pageBreakBefore w:val="0"/>
        <w:widowControl/>
        <w:numPr>
          <w:ilvl w:val="0"/>
          <w:numId w:val="0"/>
        </w:numPr>
        <w:kinsoku/>
        <w:wordWrap/>
        <w:overflowPunct/>
        <w:topLinePunct/>
        <w:autoSpaceDE/>
        <w:autoSpaceDN/>
        <w:bidi w:val="0"/>
        <w:adjustRightInd/>
        <w:snapToGrid/>
        <w:spacing w:line="360" w:lineRule="auto"/>
        <w:textAlignment w:val="auto"/>
        <w:rPr>
          <w:rFonts w:hint="eastAsia" w:ascii="宋体" w:hAnsi="宋体" w:eastAsia="宋体" w:cs="宋体"/>
          <w:b w:val="0"/>
          <w:bCs w:val="0"/>
          <w:color w:val="000000"/>
          <w:kern w:val="0"/>
          <w:sz w:val="24"/>
          <w:szCs w:val="24"/>
          <w:highlight w:val="none"/>
        </w:rPr>
      </w:pPr>
      <w:r>
        <w:rPr>
          <w:rFonts w:hint="eastAsia" w:ascii="宋体" w:hAnsi="宋体" w:eastAsia="宋体" w:cs="宋体"/>
          <w:b w:val="0"/>
          <w:bCs w:val="0"/>
          <w:color w:val="000000"/>
          <w:kern w:val="0"/>
          <w:sz w:val="24"/>
          <w:szCs w:val="24"/>
          <w:highlight w:val="none"/>
        </w:rPr>
        <w:t>1、计划开工日期和竣工日期在签订施工承包合同时确定。</w:t>
      </w:r>
    </w:p>
    <w:p w14:paraId="632CCB74">
      <w:pPr>
        <w:keepNext w:val="0"/>
        <w:keepLines w:val="0"/>
        <w:pageBreakBefore w:val="0"/>
        <w:widowControl/>
        <w:numPr>
          <w:ilvl w:val="0"/>
          <w:numId w:val="0"/>
        </w:numPr>
        <w:kinsoku/>
        <w:wordWrap/>
        <w:overflowPunct/>
        <w:topLinePunct/>
        <w:autoSpaceDE/>
        <w:autoSpaceDN/>
        <w:bidi w:val="0"/>
        <w:adjustRightInd/>
        <w:snapToGrid/>
        <w:spacing w:line="360" w:lineRule="auto"/>
        <w:textAlignment w:val="auto"/>
        <w:rPr>
          <w:rFonts w:hint="eastAsia" w:ascii="宋体" w:hAnsi="宋体" w:eastAsia="宋体" w:cs="宋体"/>
          <w:b w:val="0"/>
          <w:bCs w:val="0"/>
          <w:color w:val="000000"/>
          <w:kern w:val="0"/>
          <w:sz w:val="24"/>
          <w:szCs w:val="24"/>
          <w:highlight w:val="none"/>
        </w:rPr>
      </w:pPr>
      <w:r>
        <w:rPr>
          <w:rFonts w:hint="eastAsia" w:ascii="宋体" w:hAnsi="宋体" w:eastAsia="宋体" w:cs="宋体"/>
          <w:b w:val="0"/>
          <w:bCs w:val="0"/>
          <w:color w:val="000000"/>
          <w:kern w:val="0"/>
          <w:sz w:val="24"/>
          <w:szCs w:val="24"/>
          <w:highlight w:val="none"/>
        </w:rPr>
        <w:t>2、实际开工日期以招标人所发布的开工指令中注明的开工日期为准。</w:t>
      </w:r>
    </w:p>
    <w:p w14:paraId="2C509B1B">
      <w:pPr>
        <w:keepNext w:val="0"/>
        <w:keepLines w:val="0"/>
        <w:pageBreakBefore w:val="0"/>
        <w:widowControl/>
        <w:numPr>
          <w:ilvl w:val="0"/>
          <w:numId w:val="0"/>
        </w:numPr>
        <w:kinsoku/>
        <w:wordWrap/>
        <w:overflowPunct/>
        <w:topLinePunct/>
        <w:autoSpaceDE/>
        <w:autoSpaceDN/>
        <w:bidi w:val="0"/>
        <w:adjustRightInd/>
        <w:snapToGrid/>
        <w:spacing w:line="360" w:lineRule="auto"/>
        <w:textAlignment w:val="auto"/>
        <w:rPr>
          <w:rFonts w:hint="eastAsia" w:ascii="宋体" w:hAnsi="宋体" w:eastAsia="宋体" w:cs="宋体"/>
          <w:b w:val="0"/>
          <w:bCs w:val="0"/>
          <w:color w:val="000000"/>
          <w:kern w:val="0"/>
          <w:sz w:val="24"/>
          <w:szCs w:val="24"/>
          <w:highlight w:val="none"/>
        </w:rPr>
      </w:pPr>
      <w:r>
        <w:rPr>
          <w:rFonts w:hint="eastAsia" w:ascii="宋体" w:hAnsi="宋体" w:eastAsia="宋体" w:cs="宋体"/>
          <w:b w:val="0"/>
          <w:bCs w:val="0"/>
          <w:color w:val="000000"/>
          <w:kern w:val="0"/>
          <w:sz w:val="24"/>
          <w:szCs w:val="24"/>
          <w:highlight w:val="none"/>
        </w:rPr>
        <w:t>（三）关于协议期内的限额内工程价格</w:t>
      </w:r>
    </w:p>
    <w:p w14:paraId="4FB1FB77">
      <w:pPr>
        <w:keepNext w:val="0"/>
        <w:keepLines w:val="0"/>
        <w:pageBreakBefore w:val="0"/>
        <w:widowControl/>
        <w:numPr>
          <w:ilvl w:val="0"/>
          <w:numId w:val="0"/>
        </w:numPr>
        <w:kinsoku/>
        <w:wordWrap/>
        <w:overflowPunct/>
        <w:topLinePunct/>
        <w:autoSpaceDE/>
        <w:autoSpaceDN/>
        <w:bidi w:val="0"/>
        <w:adjustRightInd/>
        <w:snapToGrid/>
        <w:spacing w:line="360" w:lineRule="auto"/>
        <w:textAlignment w:val="auto"/>
        <w:rPr>
          <w:rFonts w:hint="eastAsia" w:ascii="宋体" w:hAnsi="宋体" w:eastAsia="宋体" w:cs="宋体"/>
          <w:b w:val="0"/>
          <w:bCs w:val="0"/>
          <w:color w:val="000000"/>
          <w:kern w:val="0"/>
          <w:sz w:val="24"/>
          <w:szCs w:val="24"/>
          <w:highlight w:val="none"/>
        </w:rPr>
      </w:pPr>
      <w:r>
        <w:rPr>
          <w:rFonts w:hint="eastAsia" w:ascii="宋体" w:hAnsi="宋体" w:eastAsia="宋体" w:cs="宋体"/>
          <w:b w:val="0"/>
          <w:bCs w:val="0"/>
          <w:color w:val="000000"/>
          <w:kern w:val="0"/>
          <w:sz w:val="24"/>
          <w:szCs w:val="24"/>
          <w:highlight w:val="none"/>
        </w:rPr>
        <w:t>1、计价原则</w:t>
      </w:r>
    </w:p>
    <w:p w14:paraId="5CF43CD5">
      <w:pPr>
        <w:keepNext w:val="0"/>
        <w:keepLines w:val="0"/>
        <w:pageBreakBefore w:val="0"/>
        <w:widowControl/>
        <w:numPr>
          <w:ilvl w:val="0"/>
          <w:numId w:val="0"/>
        </w:numPr>
        <w:kinsoku/>
        <w:wordWrap/>
        <w:overflowPunct/>
        <w:topLinePunct/>
        <w:autoSpaceDE/>
        <w:autoSpaceDN/>
        <w:bidi w:val="0"/>
        <w:adjustRightInd/>
        <w:snapToGrid/>
        <w:spacing w:line="360" w:lineRule="auto"/>
        <w:textAlignment w:val="auto"/>
        <w:rPr>
          <w:rFonts w:hint="eastAsia" w:ascii="宋体" w:hAnsi="宋体" w:eastAsia="宋体" w:cs="宋体"/>
          <w:b w:val="0"/>
          <w:bCs w:val="0"/>
          <w:color w:val="000000"/>
          <w:kern w:val="0"/>
          <w:sz w:val="24"/>
          <w:szCs w:val="24"/>
          <w:highlight w:val="none"/>
        </w:rPr>
      </w:pPr>
      <w:r>
        <w:rPr>
          <w:rFonts w:hint="eastAsia" w:ascii="宋体" w:hAnsi="宋体" w:eastAsia="宋体" w:cs="宋体"/>
          <w:b w:val="0"/>
          <w:bCs w:val="0"/>
          <w:color w:val="000000"/>
          <w:kern w:val="0"/>
          <w:sz w:val="24"/>
          <w:szCs w:val="24"/>
          <w:highlight w:val="none"/>
        </w:rPr>
        <w:t>1.1施工单位承担的具体工程项目施工任务，由招标人根据工程性质和特点，报价的计价方法按下列规则计算：</w:t>
      </w:r>
    </w:p>
    <w:p w14:paraId="06D19D30">
      <w:pPr>
        <w:keepNext w:val="0"/>
        <w:keepLines w:val="0"/>
        <w:pageBreakBefore w:val="0"/>
        <w:widowControl/>
        <w:numPr>
          <w:ilvl w:val="0"/>
          <w:numId w:val="0"/>
        </w:numPr>
        <w:kinsoku/>
        <w:wordWrap/>
        <w:overflowPunct/>
        <w:topLinePunct/>
        <w:autoSpaceDE/>
        <w:autoSpaceDN/>
        <w:bidi w:val="0"/>
        <w:adjustRightInd/>
        <w:snapToGrid/>
        <w:spacing w:line="360" w:lineRule="auto"/>
        <w:textAlignment w:val="auto"/>
        <w:rPr>
          <w:rFonts w:hint="eastAsia" w:ascii="宋体" w:hAnsi="宋体" w:eastAsia="宋体" w:cs="宋体"/>
          <w:b w:val="0"/>
          <w:bCs w:val="0"/>
          <w:color w:val="000000"/>
          <w:kern w:val="0"/>
          <w:sz w:val="24"/>
          <w:szCs w:val="24"/>
          <w:highlight w:val="none"/>
        </w:rPr>
      </w:pPr>
      <w:r>
        <w:rPr>
          <w:rFonts w:hint="eastAsia" w:ascii="宋体" w:hAnsi="宋体" w:eastAsia="宋体" w:cs="宋体"/>
          <w:b w:val="0"/>
          <w:bCs w:val="0"/>
          <w:color w:val="000000"/>
          <w:kern w:val="0"/>
          <w:sz w:val="24"/>
          <w:szCs w:val="24"/>
          <w:highlight w:val="none"/>
        </w:rPr>
        <w:t>1.1.1按现行建设工程工程量清单计价规范执行。</w:t>
      </w:r>
    </w:p>
    <w:p w14:paraId="53FFD4D2">
      <w:pPr>
        <w:keepNext w:val="0"/>
        <w:keepLines w:val="0"/>
        <w:pageBreakBefore w:val="0"/>
        <w:widowControl/>
        <w:numPr>
          <w:ilvl w:val="0"/>
          <w:numId w:val="0"/>
        </w:numPr>
        <w:kinsoku/>
        <w:wordWrap/>
        <w:overflowPunct/>
        <w:topLinePunct/>
        <w:autoSpaceDE/>
        <w:autoSpaceDN/>
        <w:bidi w:val="0"/>
        <w:adjustRightInd/>
        <w:snapToGrid/>
        <w:spacing w:line="360" w:lineRule="auto"/>
        <w:textAlignment w:val="auto"/>
        <w:rPr>
          <w:rFonts w:hint="eastAsia" w:ascii="宋体" w:hAnsi="宋体" w:eastAsia="宋体" w:cs="宋体"/>
          <w:b w:val="0"/>
          <w:bCs w:val="0"/>
          <w:color w:val="000000"/>
          <w:kern w:val="0"/>
          <w:sz w:val="24"/>
          <w:szCs w:val="24"/>
          <w:highlight w:val="none"/>
        </w:rPr>
      </w:pPr>
      <w:r>
        <w:rPr>
          <w:rFonts w:hint="eastAsia" w:ascii="宋体" w:hAnsi="宋体" w:eastAsia="宋体" w:cs="宋体"/>
          <w:b w:val="0"/>
          <w:bCs w:val="0"/>
          <w:color w:val="000000"/>
          <w:kern w:val="0"/>
          <w:sz w:val="24"/>
          <w:szCs w:val="24"/>
          <w:highlight w:val="none"/>
        </w:rPr>
        <w:t>1.1.2可参考的工程计价表和有关文件按现行计价规范及相关规定执行。</w:t>
      </w:r>
    </w:p>
    <w:p w14:paraId="075295DA">
      <w:pPr>
        <w:keepNext w:val="0"/>
        <w:keepLines w:val="0"/>
        <w:pageBreakBefore w:val="0"/>
        <w:widowControl/>
        <w:numPr>
          <w:ilvl w:val="0"/>
          <w:numId w:val="0"/>
        </w:numPr>
        <w:kinsoku/>
        <w:wordWrap/>
        <w:overflowPunct/>
        <w:topLinePunct/>
        <w:autoSpaceDE/>
        <w:autoSpaceDN/>
        <w:bidi w:val="0"/>
        <w:adjustRightInd/>
        <w:snapToGrid/>
        <w:spacing w:line="360" w:lineRule="auto"/>
        <w:textAlignment w:val="auto"/>
        <w:rPr>
          <w:rFonts w:hint="eastAsia" w:ascii="宋体" w:hAnsi="宋体" w:eastAsia="宋体" w:cs="宋体"/>
          <w:b w:val="0"/>
          <w:bCs w:val="0"/>
          <w:color w:val="000000"/>
          <w:kern w:val="0"/>
          <w:sz w:val="24"/>
          <w:szCs w:val="24"/>
          <w:highlight w:val="none"/>
        </w:rPr>
      </w:pPr>
      <w:r>
        <w:rPr>
          <w:rFonts w:hint="eastAsia" w:ascii="宋体" w:hAnsi="宋体" w:eastAsia="宋体" w:cs="宋体"/>
          <w:b w:val="0"/>
          <w:bCs w:val="0"/>
          <w:color w:val="000000"/>
          <w:kern w:val="0"/>
          <w:sz w:val="24"/>
          <w:szCs w:val="24"/>
          <w:highlight w:val="none"/>
        </w:rPr>
        <w:t>1.1.3材料、设备价格：以南京市工程造价信息中公布的合同签订时的材料、设备单价为基础；材料消耗量和辅材单价按相关定额计算。</w:t>
      </w:r>
    </w:p>
    <w:p w14:paraId="290B2BB6">
      <w:pPr>
        <w:keepNext w:val="0"/>
        <w:keepLines w:val="0"/>
        <w:pageBreakBefore w:val="0"/>
        <w:widowControl/>
        <w:numPr>
          <w:ilvl w:val="0"/>
          <w:numId w:val="0"/>
        </w:numPr>
        <w:kinsoku/>
        <w:wordWrap/>
        <w:overflowPunct/>
        <w:topLinePunct/>
        <w:autoSpaceDE/>
        <w:autoSpaceDN/>
        <w:bidi w:val="0"/>
        <w:adjustRightInd/>
        <w:snapToGrid/>
        <w:spacing w:line="360" w:lineRule="auto"/>
        <w:textAlignment w:val="auto"/>
        <w:rPr>
          <w:rFonts w:hint="eastAsia" w:ascii="宋体" w:hAnsi="宋体" w:eastAsia="宋体" w:cs="宋体"/>
          <w:b w:val="0"/>
          <w:bCs w:val="0"/>
          <w:color w:val="000000"/>
          <w:kern w:val="0"/>
          <w:sz w:val="24"/>
          <w:szCs w:val="24"/>
          <w:highlight w:val="none"/>
        </w:rPr>
      </w:pPr>
      <w:r>
        <w:rPr>
          <w:rFonts w:hint="eastAsia" w:ascii="宋体" w:hAnsi="宋体" w:eastAsia="宋体" w:cs="宋体"/>
          <w:b w:val="0"/>
          <w:bCs w:val="0"/>
          <w:color w:val="000000"/>
          <w:kern w:val="0"/>
          <w:sz w:val="24"/>
          <w:szCs w:val="24"/>
          <w:highlight w:val="none"/>
        </w:rPr>
        <w:t>1.1.4人工费单价：按签订合同时正在实行的江苏省政策性文件确定。</w:t>
      </w:r>
    </w:p>
    <w:p w14:paraId="67768912">
      <w:pPr>
        <w:keepNext w:val="0"/>
        <w:keepLines w:val="0"/>
        <w:pageBreakBefore w:val="0"/>
        <w:widowControl/>
        <w:numPr>
          <w:ilvl w:val="0"/>
          <w:numId w:val="0"/>
        </w:numPr>
        <w:kinsoku/>
        <w:wordWrap/>
        <w:overflowPunct/>
        <w:topLinePunct/>
        <w:autoSpaceDE/>
        <w:autoSpaceDN/>
        <w:bidi w:val="0"/>
        <w:adjustRightInd/>
        <w:snapToGrid/>
        <w:spacing w:line="360" w:lineRule="auto"/>
        <w:textAlignment w:val="auto"/>
        <w:rPr>
          <w:rFonts w:hint="eastAsia" w:ascii="宋体" w:hAnsi="宋体" w:eastAsia="宋体" w:cs="宋体"/>
          <w:b w:val="0"/>
          <w:bCs w:val="0"/>
          <w:color w:val="000000"/>
          <w:kern w:val="0"/>
          <w:sz w:val="24"/>
          <w:szCs w:val="24"/>
          <w:highlight w:val="none"/>
        </w:rPr>
      </w:pPr>
      <w:r>
        <w:rPr>
          <w:rFonts w:hint="eastAsia" w:ascii="宋体" w:hAnsi="宋体" w:eastAsia="宋体" w:cs="宋体"/>
          <w:b w:val="0"/>
          <w:bCs w:val="0"/>
          <w:color w:val="000000"/>
          <w:kern w:val="0"/>
          <w:sz w:val="24"/>
          <w:szCs w:val="24"/>
          <w:highlight w:val="none"/>
        </w:rPr>
        <w:t>1.1.5措施费和不可竞争费用：双方应根据具体项目情况在合同中加以明确约定。</w:t>
      </w:r>
    </w:p>
    <w:p w14:paraId="57E7D4C6">
      <w:pPr>
        <w:keepNext w:val="0"/>
        <w:keepLines w:val="0"/>
        <w:pageBreakBefore w:val="0"/>
        <w:widowControl/>
        <w:numPr>
          <w:ilvl w:val="0"/>
          <w:numId w:val="0"/>
        </w:numPr>
        <w:kinsoku/>
        <w:wordWrap/>
        <w:overflowPunct/>
        <w:topLinePunct/>
        <w:autoSpaceDE/>
        <w:autoSpaceDN/>
        <w:bidi w:val="0"/>
        <w:adjustRightInd/>
        <w:snapToGrid/>
        <w:spacing w:line="360" w:lineRule="auto"/>
        <w:textAlignment w:val="auto"/>
        <w:rPr>
          <w:rFonts w:hint="eastAsia" w:ascii="宋体" w:hAnsi="宋体" w:eastAsia="宋体" w:cs="宋体"/>
          <w:b w:val="0"/>
          <w:bCs w:val="0"/>
          <w:color w:val="000000"/>
          <w:kern w:val="0"/>
          <w:sz w:val="24"/>
          <w:szCs w:val="24"/>
          <w:highlight w:val="none"/>
        </w:rPr>
      </w:pPr>
      <w:r>
        <w:rPr>
          <w:rFonts w:hint="eastAsia" w:ascii="宋体" w:hAnsi="宋体" w:eastAsia="宋体" w:cs="宋体"/>
          <w:b w:val="0"/>
          <w:bCs w:val="0"/>
          <w:color w:val="000000"/>
          <w:kern w:val="0"/>
          <w:sz w:val="24"/>
          <w:szCs w:val="24"/>
          <w:highlight w:val="none"/>
        </w:rPr>
        <w:t>1.2项目实施期间，如遇国家或江苏省政策性调整，则双方须按最新政策规定执行。</w:t>
      </w:r>
    </w:p>
    <w:p w14:paraId="2AFC5755">
      <w:pPr>
        <w:keepNext w:val="0"/>
        <w:keepLines w:val="0"/>
        <w:pageBreakBefore w:val="0"/>
        <w:widowControl/>
        <w:numPr>
          <w:ilvl w:val="0"/>
          <w:numId w:val="0"/>
        </w:numPr>
        <w:kinsoku/>
        <w:wordWrap/>
        <w:overflowPunct/>
        <w:topLinePunct/>
        <w:autoSpaceDE/>
        <w:autoSpaceDN/>
        <w:bidi w:val="0"/>
        <w:adjustRightInd/>
        <w:snapToGrid/>
        <w:spacing w:line="360" w:lineRule="auto"/>
        <w:textAlignment w:val="auto"/>
        <w:rPr>
          <w:rFonts w:hint="eastAsia" w:ascii="宋体" w:hAnsi="宋体" w:eastAsia="宋体" w:cs="宋体"/>
          <w:b w:val="0"/>
          <w:bCs w:val="0"/>
          <w:color w:val="000000"/>
          <w:kern w:val="0"/>
          <w:sz w:val="24"/>
          <w:szCs w:val="24"/>
          <w:highlight w:val="none"/>
        </w:rPr>
      </w:pPr>
      <w:r>
        <w:rPr>
          <w:rFonts w:hint="eastAsia" w:ascii="宋体" w:hAnsi="宋体" w:eastAsia="宋体" w:cs="宋体"/>
          <w:b w:val="0"/>
          <w:bCs w:val="0"/>
          <w:color w:val="000000"/>
          <w:kern w:val="0"/>
          <w:sz w:val="24"/>
          <w:szCs w:val="24"/>
          <w:highlight w:val="none"/>
        </w:rPr>
        <w:t>1.3结算价格的确定：施工单位依照1.1、1.2、条和施工承包合同中有关价格调整的规定计算工程造价（包括但不限于人工费、材料费、机械费、管理费（含企业和现场管理费）、措施费、规费、保险费用、利润、税金等），并由招标人委托的审计部门进行结算审计。</w:t>
      </w:r>
    </w:p>
    <w:p w14:paraId="4BCD4600">
      <w:pPr>
        <w:keepNext w:val="0"/>
        <w:keepLines w:val="0"/>
        <w:pageBreakBefore w:val="0"/>
        <w:widowControl/>
        <w:numPr>
          <w:ilvl w:val="0"/>
          <w:numId w:val="0"/>
        </w:numPr>
        <w:kinsoku/>
        <w:wordWrap/>
        <w:overflowPunct/>
        <w:topLinePunct/>
        <w:autoSpaceDE/>
        <w:autoSpaceDN/>
        <w:bidi w:val="0"/>
        <w:adjustRightInd/>
        <w:snapToGrid/>
        <w:spacing w:line="360" w:lineRule="auto"/>
        <w:textAlignment w:val="auto"/>
        <w:rPr>
          <w:rFonts w:hint="eastAsia" w:ascii="宋体" w:hAnsi="宋体" w:eastAsia="宋体" w:cs="宋体"/>
          <w:b w:val="0"/>
          <w:bCs w:val="0"/>
          <w:color w:val="000000"/>
          <w:kern w:val="0"/>
          <w:sz w:val="24"/>
          <w:szCs w:val="24"/>
          <w:highlight w:val="none"/>
        </w:rPr>
      </w:pPr>
      <w:r>
        <w:rPr>
          <w:rFonts w:hint="eastAsia" w:ascii="宋体" w:hAnsi="宋体" w:eastAsia="宋体" w:cs="宋体"/>
          <w:b w:val="0"/>
          <w:bCs w:val="0"/>
          <w:color w:val="000000"/>
          <w:kern w:val="0"/>
          <w:sz w:val="24"/>
          <w:szCs w:val="24"/>
          <w:highlight w:val="none"/>
        </w:rPr>
        <w:t>最终工程结算价格按照经审计后的工程造价下浮投标单位在投标时填报的综合优惠率计算。</w:t>
      </w:r>
    </w:p>
    <w:p w14:paraId="60F84DAD">
      <w:pPr>
        <w:keepNext w:val="0"/>
        <w:keepLines w:val="0"/>
        <w:pageBreakBefore w:val="0"/>
        <w:widowControl/>
        <w:numPr>
          <w:ilvl w:val="0"/>
          <w:numId w:val="0"/>
        </w:numPr>
        <w:kinsoku/>
        <w:wordWrap/>
        <w:overflowPunct/>
        <w:topLinePunct/>
        <w:autoSpaceDE/>
        <w:autoSpaceDN/>
        <w:bidi w:val="0"/>
        <w:adjustRightInd/>
        <w:snapToGrid/>
        <w:spacing w:line="360" w:lineRule="auto"/>
        <w:textAlignment w:val="auto"/>
        <w:rPr>
          <w:rFonts w:hint="eastAsia" w:ascii="宋体" w:hAnsi="宋体" w:eastAsia="宋体" w:cs="宋体"/>
          <w:b w:val="0"/>
          <w:bCs w:val="0"/>
          <w:color w:val="000000"/>
          <w:kern w:val="0"/>
          <w:sz w:val="24"/>
          <w:szCs w:val="24"/>
          <w:highlight w:val="none"/>
        </w:rPr>
      </w:pPr>
      <w:r>
        <w:rPr>
          <w:rFonts w:hint="eastAsia" w:ascii="宋体" w:hAnsi="宋体" w:eastAsia="宋体" w:cs="宋体"/>
          <w:b w:val="0"/>
          <w:bCs w:val="0"/>
          <w:color w:val="000000"/>
          <w:kern w:val="0"/>
          <w:sz w:val="24"/>
          <w:szCs w:val="24"/>
          <w:highlight w:val="none"/>
        </w:rPr>
        <w:t>2.限额内工程报价</w:t>
      </w:r>
    </w:p>
    <w:p w14:paraId="75BA0C03">
      <w:pPr>
        <w:keepNext w:val="0"/>
        <w:keepLines w:val="0"/>
        <w:pageBreakBefore w:val="0"/>
        <w:widowControl/>
        <w:numPr>
          <w:ilvl w:val="0"/>
          <w:numId w:val="0"/>
        </w:numPr>
        <w:kinsoku/>
        <w:wordWrap/>
        <w:overflowPunct/>
        <w:topLinePunct/>
        <w:autoSpaceDE/>
        <w:autoSpaceDN/>
        <w:bidi w:val="0"/>
        <w:adjustRightInd/>
        <w:snapToGrid/>
        <w:spacing w:line="360" w:lineRule="auto"/>
        <w:textAlignment w:val="auto"/>
        <w:rPr>
          <w:rFonts w:hint="eastAsia" w:ascii="宋体" w:hAnsi="宋体" w:eastAsia="宋体" w:cs="宋体"/>
          <w:b w:val="0"/>
          <w:bCs w:val="0"/>
          <w:color w:val="000000"/>
          <w:kern w:val="0"/>
          <w:sz w:val="24"/>
          <w:szCs w:val="24"/>
          <w:highlight w:val="none"/>
        </w:rPr>
      </w:pPr>
      <w:r>
        <w:rPr>
          <w:rFonts w:hint="eastAsia" w:ascii="宋体" w:hAnsi="宋体" w:eastAsia="宋体" w:cs="宋体"/>
          <w:b w:val="0"/>
          <w:bCs w:val="0"/>
          <w:color w:val="000000"/>
          <w:kern w:val="0"/>
          <w:sz w:val="24"/>
          <w:szCs w:val="24"/>
          <w:highlight w:val="none"/>
        </w:rPr>
        <w:t>2.1投标人填报的综合优惠率，无论在施工承包合同签订前或签订后，均不得以任何理由进行上调。</w:t>
      </w:r>
    </w:p>
    <w:p w14:paraId="0600FB5F">
      <w:pPr>
        <w:keepNext w:val="0"/>
        <w:keepLines w:val="0"/>
        <w:pageBreakBefore w:val="0"/>
        <w:widowControl/>
        <w:numPr>
          <w:ilvl w:val="0"/>
          <w:numId w:val="0"/>
        </w:numPr>
        <w:kinsoku/>
        <w:wordWrap/>
        <w:overflowPunct/>
        <w:topLinePunct/>
        <w:autoSpaceDE/>
        <w:autoSpaceDN/>
        <w:bidi w:val="0"/>
        <w:adjustRightInd/>
        <w:snapToGrid/>
        <w:spacing w:line="360" w:lineRule="auto"/>
        <w:textAlignment w:val="auto"/>
        <w:rPr>
          <w:rFonts w:hint="eastAsia" w:ascii="宋体" w:hAnsi="宋体" w:eastAsia="宋体" w:cs="宋体"/>
          <w:b w:val="0"/>
          <w:bCs w:val="0"/>
          <w:color w:val="000000"/>
          <w:kern w:val="0"/>
          <w:sz w:val="24"/>
          <w:szCs w:val="24"/>
          <w:highlight w:val="none"/>
        </w:rPr>
      </w:pPr>
      <w:r>
        <w:rPr>
          <w:rFonts w:hint="eastAsia" w:ascii="宋体" w:hAnsi="宋体" w:eastAsia="宋体" w:cs="宋体"/>
          <w:b w:val="0"/>
          <w:bCs w:val="0"/>
          <w:color w:val="000000"/>
          <w:kern w:val="0"/>
          <w:sz w:val="24"/>
          <w:szCs w:val="24"/>
          <w:highlight w:val="none"/>
        </w:rPr>
        <w:t>2.2其他注意事项：</w:t>
      </w:r>
    </w:p>
    <w:p w14:paraId="03E0113E">
      <w:pPr>
        <w:keepNext w:val="0"/>
        <w:keepLines w:val="0"/>
        <w:pageBreakBefore w:val="0"/>
        <w:widowControl/>
        <w:numPr>
          <w:ilvl w:val="0"/>
          <w:numId w:val="0"/>
        </w:numPr>
        <w:kinsoku/>
        <w:wordWrap/>
        <w:overflowPunct/>
        <w:topLinePunct/>
        <w:autoSpaceDE/>
        <w:autoSpaceDN/>
        <w:bidi w:val="0"/>
        <w:adjustRightInd/>
        <w:snapToGrid/>
        <w:spacing w:line="360" w:lineRule="auto"/>
        <w:textAlignment w:val="auto"/>
        <w:rPr>
          <w:rFonts w:hint="eastAsia" w:ascii="宋体" w:hAnsi="宋体" w:eastAsia="宋体" w:cs="宋体"/>
          <w:b w:val="0"/>
          <w:bCs w:val="0"/>
          <w:color w:val="000000"/>
          <w:kern w:val="0"/>
          <w:sz w:val="24"/>
          <w:szCs w:val="24"/>
          <w:highlight w:val="none"/>
        </w:rPr>
      </w:pPr>
      <w:r>
        <w:rPr>
          <w:rFonts w:hint="eastAsia" w:ascii="宋体" w:hAnsi="宋体" w:eastAsia="宋体" w:cs="宋体"/>
          <w:b w:val="0"/>
          <w:bCs w:val="0"/>
          <w:color w:val="000000"/>
          <w:kern w:val="0"/>
          <w:sz w:val="24"/>
          <w:szCs w:val="24"/>
          <w:highlight w:val="none"/>
        </w:rPr>
        <w:t>2.2.1在具体项目施工期间，施工单位应根据江苏省相关文件规定、现行标准和合同文件关于农民工工伤保险的约定，负责购买农民工工伤保险。</w:t>
      </w:r>
    </w:p>
    <w:p w14:paraId="0D9048D8">
      <w:pPr>
        <w:keepNext w:val="0"/>
        <w:keepLines w:val="0"/>
        <w:pageBreakBefore w:val="0"/>
        <w:widowControl/>
        <w:numPr>
          <w:ilvl w:val="0"/>
          <w:numId w:val="0"/>
        </w:numPr>
        <w:kinsoku/>
        <w:wordWrap/>
        <w:overflowPunct/>
        <w:topLinePunct/>
        <w:autoSpaceDE/>
        <w:autoSpaceDN/>
        <w:bidi w:val="0"/>
        <w:adjustRightInd/>
        <w:snapToGrid/>
        <w:spacing w:line="360" w:lineRule="auto"/>
        <w:textAlignment w:val="auto"/>
        <w:rPr>
          <w:rFonts w:hint="eastAsia" w:ascii="宋体" w:hAnsi="宋体" w:eastAsia="宋体" w:cs="宋体"/>
          <w:b w:val="0"/>
          <w:bCs w:val="0"/>
          <w:color w:val="000000"/>
          <w:kern w:val="0"/>
          <w:sz w:val="24"/>
          <w:szCs w:val="24"/>
          <w:highlight w:val="none"/>
        </w:rPr>
      </w:pPr>
      <w:r>
        <w:rPr>
          <w:rFonts w:hint="eastAsia" w:ascii="宋体" w:hAnsi="宋体" w:eastAsia="宋体" w:cs="宋体"/>
          <w:b w:val="0"/>
          <w:bCs w:val="0"/>
          <w:color w:val="000000"/>
          <w:kern w:val="0"/>
          <w:sz w:val="24"/>
          <w:szCs w:val="24"/>
          <w:highlight w:val="none"/>
        </w:rPr>
        <w:t>2.2.2凡涉及影响建筑风格、档次的设备、材料，采购前其品牌、质量、规格、颜色等必须获得招标人的书面确认。</w:t>
      </w:r>
    </w:p>
    <w:p w14:paraId="09BED7DB">
      <w:pPr>
        <w:keepNext w:val="0"/>
        <w:keepLines w:val="0"/>
        <w:pageBreakBefore w:val="0"/>
        <w:widowControl/>
        <w:numPr>
          <w:ilvl w:val="0"/>
          <w:numId w:val="0"/>
        </w:numPr>
        <w:kinsoku/>
        <w:wordWrap/>
        <w:overflowPunct/>
        <w:topLinePunct/>
        <w:autoSpaceDE/>
        <w:autoSpaceDN/>
        <w:bidi w:val="0"/>
        <w:adjustRightInd/>
        <w:snapToGrid/>
        <w:spacing w:line="360" w:lineRule="auto"/>
        <w:textAlignment w:val="auto"/>
        <w:rPr>
          <w:rFonts w:hint="eastAsia" w:ascii="宋体" w:hAnsi="宋体" w:eastAsia="宋体" w:cs="宋体"/>
          <w:b w:val="0"/>
          <w:bCs w:val="0"/>
          <w:color w:val="000000"/>
          <w:kern w:val="0"/>
          <w:sz w:val="24"/>
          <w:szCs w:val="24"/>
          <w:highlight w:val="none"/>
        </w:rPr>
      </w:pPr>
      <w:r>
        <w:rPr>
          <w:rFonts w:hint="eastAsia" w:ascii="宋体" w:hAnsi="宋体" w:eastAsia="宋体" w:cs="宋体"/>
          <w:b w:val="0"/>
          <w:bCs w:val="0"/>
          <w:color w:val="000000"/>
          <w:kern w:val="0"/>
          <w:sz w:val="24"/>
          <w:szCs w:val="24"/>
          <w:highlight w:val="none"/>
        </w:rPr>
        <w:t>3.调整工程价款的范围及方法</w:t>
      </w:r>
    </w:p>
    <w:p w14:paraId="5D69DCFB">
      <w:pPr>
        <w:keepNext w:val="0"/>
        <w:keepLines w:val="0"/>
        <w:pageBreakBefore w:val="0"/>
        <w:widowControl/>
        <w:numPr>
          <w:ilvl w:val="0"/>
          <w:numId w:val="0"/>
        </w:numPr>
        <w:kinsoku/>
        <w:wordWrap/>
        <w:overflowPunct/>
        <w:topLinePunct/>
        <w:autoSpaceDE/>
        <w:autoSpaceDN/>
        <w:bidi w:val="0"/>
        <w:adjustRightInd/>
        <w:snapToGrid/>
        <w:spacing w:line="360" w:lineRule="auto"/>
        <w:textAlignment w:val="auto"/>
        <w:rPr>
          <w:rFonts w:hint="eastAsia" w:ascii="宋体" w:hAnsi="宋体" w:eastAsia="宋体" w:cs="宋体"/>
          <w:b w:val="0"/>
          <w:bCs w:val="0"/>
          <w:color w:val="000000"/>
          <w:kern w:val="0"/>
          <w:sz w:val="24"/>
          <w:szCs w:val="24"/>
          <w:highlight w:val="none"/>
        </w:rPr>
      </w:pPr>
      <w:r>
        <w:rPr>
          <w:rFonts w:hint="eastAsia" w:ascii="宋体" w:hAnsi="宋体" w:eastAsia="宋体" w:cs="宋体"/>
          <w:b w:val="0"/>
          <w:bCs w:val="0"/>
          <w:color w:val="000000"/>
          <w:kern w:val="0"/>
          <w:sz w:val="24"/>
          <w:szCs w:val="24"/>
          <w:highlight w:val="none"/>
        </w:rPr>
        <w:t>3.l暂估材料、设备价格按照招标人书面确认的实际价格调整。对于暂估价材料、设备只调整材料、设备价差和计取税金，不计取其它费用。</w:t>
      </w:r>
    </w:p>
    <w:p w14:paraId="53FC06B8">
      <w:pPr>
        <w:keepNext w:val="0"/>
        <w:keepLines w:val="0"/>
        <w:pageBreakBefore w:val="0"/>
        <w:widowControl/>
        <w:numPr>
          <w:ilvl w:val="0"/>
          <w:numId w:val="0"/>
        </w:numPr>
        <w:kinsoku/>
        <w:wordWrap/>
        <w:overflowPunct/>
        <w:topLinePunct/>
        <w:autoSpaceDE/>
        <w:autoSpaceDN/>
        <w:bidi w:val="0"/>
        <w:adjustRightInd/>
        <w:snapToGrid/>
        <w:spacing w:line="360" w:lineRule="auto"/>
        <w:textAlignment w:val="auto"/>
        <w:rPr>
          <w:rFonts w:hint="eastAsia" w:ascii="宋体" w:hAnsi="宋体" w:eastAsia="宋体" w:cs="宋体"/>
          <w:b w:val="0"/>
          <w:bCs w:val="0"/>
          <w:color w:val="000000"/>
          <w:kern w:val="0"/>
          <w:sz w:val="24"/>
          <w:szCs w:val="24"/>
          <w:highlight w:val="none"/>
        </w:rPr>
      </w:pPr>
      <w:r>
        <w:rPr>
          <w:rFonts w:hint="eastAsia" w:ascii="宋体" w:hAnsi="宋体" w:eastAsia="宋体" w:cs="宋体"/>
          <w:b w:val="0"/>
          <w:bCs w:val="0"/>
          <w:color w:val="000000"/>
          <w:kern w:val="0"/>
          <w:sz w:val="24"/>
          <w:szCs w:val="24"/>
          <w:highlight w:val="none"/>
        </w:rPr>
        <w:t>3.2有关竣工结算说明：工程竣工结算须经审计部门审计，最终工程结算造价=经招标人审计后的工程结算造价×（1-综合优惠率）。</w:t>
      </w:r>
    </w:p>
    <w:p w14:paraId="409E16FB">
      <w:pPr>
        <w:keepNext w:val="0"/>
        <w:keepLines w:val="0"/>
        <w:pageBreakBefore w:val="0"/>
        <w:widowControl/>
        <w:numPr>
          <w:ilvl w:val="0"/>
          <w:numId w:val="0"/>
        </w:numPr>
        <w:kinsoku/>
        <w:wordWrap/>
        <w:overflowPunct/>
        <w:topLinePunct/>
        <w:autoSpaceDE/>
        <w:autoSpaceDN/>
        <w:bidi w:val="0"/>
        <w:adjustRightInd/>
        <w:snapToGrid/>
        <w:spacing w:line="360" w:lineRule="auto"/>
        <w:textAlignment w:val="auto"/>
        <w:rPr>
          <w:rFonts w:hint="eastAsia" w:ascii="宋体" w:hAnsi="宋体" w:eastAsia="宋体" w:cs="宋体"/>
          <w:b w:val="0"/>
          <w:bCs w:val="0"/>
          <w:color w:val="000000"/>
          <w:kern w:val="0"/>
          <w:sz w:val="24"/>
          <w:szCs w:val="24"/>
          <w:highlight w:val="none"/>
        </w:rPr>
      </w:pPr>
      <w:r>
        <w:rPr>
          <w:rFonts w:hint="eastAsia" w:ascii="宋体" w:hAnsi="宋体" w:eastAsia="宋体" w:cs="宋体"/>
          <w:b w:val="0"/>
          <w:bCs w:val="0"/>
          <w:color w:val="000000"/>
          <w:kern w:val="0"/>
          <w:sz w:val="24"/>
          <w:szCs w:val="24"/>
          <w:highlight w:val="none"/>
        </w:rPr>
        <w:t>（四）工程合同的签订</w:t>
      </w:r>
    </w:p>
    <w:p w14:paraId="0A306BED">
      <w:pPr>
        <w:keepNext w:val="0"/>
        <w:keepLines w:val="0"/>
        <w:pageBreakBefore w:val="0"/>
        <w:widowControl/>
        <w:numPr>
          <w:ilvl w:val="0"/>
          <w:numId w:val="0"/>
        </w:numPr>
        <w:kinsoku/>
        <w:wordWrap/>
        <w:overflowPunct/>
        <w:topLinePunct/>
        <w:autoSpaceDE/>
        <w:autoSpaceDN/>
        <w:bidi w:val="0"/>
        <w:adjustRightInd/>
        <w:snapToGrid/>
        <w:spacing w:line="360" w:lineRule="auto"/>
        <w:textAlignment w:val="auto"/>
        <w:rPr>
          <w:rFonts w:hint="eastAsia" w:ascii="宋体" w:hAnsi="宋体" w:eastAsia="宋体" w:cs="宋体"/>
          <w:b w:val="0"/>
          <w:bCs w:val="0"/>
          <w:color w:val="000000"/>
          <w:kern w:val="0"/>
          <w:sz w:val="24"/>
          <w:szCs w:val="24"/>
          <w:highlight w:val="none"/>
        </w:rPr>
      </w:pPr>
      <w:r>
        <w:rPr>
          <w:rFonts w:hint="eastAsia" w:ascii="宋体" w:hAnsi="宋体" w:eastAsia="宋体" w:cs="宋体"/>
          <w:b w:val="0"/>
          <w:bCs w:val="0"/>
          <w:color w:val="000000"/>
          <w:kern w:val="0"/>
          <w:sz w:val="24"/>
          <w:szCs w:val="24"/>
          <w:highlight w:val="none"/>
        </w:rPr>
        <w:t>施工单位根据招标人的工程要求，经招标人确认后，与招标人签订专项合同，合同范本参照现行建设工程施工合同范本执行。</w:t>
      </w:r>
    </w:p>
    <w:p w14:paraId="3618116B">
      <w:pPr>
        <w:keepNext w:val="0"/>
        <w:keepLines w:val="0"/>
        <w:pageBreakBefore w:val="0"/>
        <w:widowControl/>
        <w:numPr>
          <w:ilvl w:val="0"/>
          <w:numId w:val="0"/>
        </w:numPr>
        <w:kinsoku/>
        <w:wordWrap/>
        <w:overflowPunct/>
        <w:topLinePunct/>
        <w:autoSpaceDE/>
        <w:autoSpaceDN/>
        <w:bidi w:val="0"/>
        <w:adjustRightInd/>
        <w:snapToGrid/>
        <w:spacing w:line="360" w:lineRule="auto"/>
        <w:textAlignment w:val="auto"/>
        <w:rPr>
          <w:rFonts w:hint="eastAsia" w:ascii="宋体" w:hAnsi="宋体" w:eastAsia="宋体" w:cs="宋体"/>
          <w:b/>
          <w:bCs/>
          <w:color w:val="000000"/>
          <w:kern w:val="0"/>
          <w:sz w:val="24"/>
          <w:szCs w:val="24"/>
          <w:highlight w:val="none"/>
        </w:rPr>
      </w:pPr>
      <w:r>
        <w:rPr>
          <w:rFonts w:hint="eastAsia" w:ascii="宋体" w:hAnsi="宋体" w:eastAsia="宋体" w:cs="宋体"/>
          <w:b/>
          <w:bCs/>
          <w:color w:val="000000"/>
          <w:kern w:val="0"/>
          <w:sz w:val="24"/>
          <w:szCs w:val="24"/>
          <w:highlight w:val="none"/>
        </w:rPr>
        <w:t>五、相关计价规范和技术规范</w:t>
      </w:r>
    </w:p>
    <w:p w14:paraId="3FF503E5">
      <w:pPr>
        <w:keepNext w:val="0"/>
        <w:keepLines w:val="0"/>
        <w:pageBreakBefore w:val="0"/>
        <w:widowControl/>
        <w:numPr>
          <w:ilvl w:val="0"/>
          <w:numId w:val="0"/>
        </w:numPr>
        <w:kinsoku/>
        <w:wordWrap/>
        <w:overflowPunct/>
        <w:topLinePunct/>
        <w:autoSpaceDE/>
        <w:autoSpaceDN/>
        <w:bidi w:val="0"/>
        <w:adjustRightInd/>
        <w:snapToGrid/>
        <w:spacing w:line="360" w:lineRule="auto"/>
        <w:textAlignment w:val="auto"/>
        <w:rPr>
          <w:rFonts w:hint="eastAsia" w:ascii="宋体" w:hAnsi="宋体" w:eastAsia="宋体" w:cs="宋体"/>
          <w:b w:val="0"/>
          <w:bCs w:val="0"/>
          <w:color w:val="000000"/>
          <w:kern w:val="0"/>
          <w:sz w:val="24"/>
          <w:szCs w:val="24"/>
          <w:highlight w:val="none"/>
        </w:rPr>
      </w:pPr>
      <w:r>
        <w:rPr>
          <w:rFonts w:hint="eastAsia" w:ascii="宋体" w:hAnsi="宋体" w:eastAsia="宋体" w:cs="宋体"/>
          <w:b w:val="0"/>
          <w:bCs w:val="0"/>
          <w:color w:val="000000"/>
          <w:kern w:val="0"/>
          <w:sz w:val="24"/>
          <w:szCs w:val="24"/>
          <w:highlight w:val="none"/>
        </w:rPr>
        <w:t>5.1本工程采用的计价规范</w:t>
      </w:r>
    </w:p>
    <w:p w14:paraId="7DD127BB">
      <w:pPr>
        <w:keepNext w:val="0"/>
        <w:keepLines w:val="0"/>
        <w:pageBreakBefore w:val="0"/>
        <w:widowControl/>
        <w:numPr>
          <w:ilvl w:val="0"/>
          <w:numId w:val="0"/>
        </w:numPr>
        <w:kinsoku/>
        <w:wordWrap/>
        <w:overflowPunct/>
        <w:topLinePunct/>
        <w:autoSpaceDE/>
        <w:autoSpaceDN/>
        <w:bidi w:val="0"/>
        <w:adjustRightInd/>
        <w:snapToGrid/>
        <w:spacing w:line="360" w:lineRule="auto"/>
        <w:textAlignment w:val="auto"/>
        <w:rPr>
          <w:rFonts w:hint="eastAsia" w:ascii="宋体" w:hAnsi="宋体" w:eastAsia="宋体" w:cs="宋体"/>
          <w:b w:val="0"/>
          <w:bCs w:val="0"/>
          <w:color w:val="000000"/>
          <w:kern w:val="0"/>
          <w:sz w:val="24"/>
          <w:szCs w:val="24"/>
          <w:highlight w:val="none"/>
        </w:rPr>
      </w:pPr>
      <w:r>
        <w:rPr>
          <w:rFonts w:hint="eastAsia" w:ascii="宋体" w:hAnsi="宋体" w:eastAsia="宋体" w:cs="宋体"/>
          <w:b w:val="0"/>
          <w:bCs w:val="0"/>
          <w:color w:val="000000"/>
          <w:kern w:val="0"/>
          <w:sz w:val="24"/>
          <w:szCs w:val="24"/>
          <w:highlight w:val="none"/>
        </w:rPr>
        <w:t>《建设工程工程量清单计价规范》GB50500-2013</w:t>
      </w:r>
    </w:p>
    <w:p w14:paraId="3B23484F">
      <w:pPr>
        <w:keepNext w:val="0"/>
        <w:keepLines w:val="0"/>
        <w:pageBreakBefore w:val="0"/>
        <w:widowControl/>
        <w:numPr>
          <w:ilvl w:val="0"/>
          <w:numId w:val="0"/>
        </w:numPr>
        <w:kinsoku/>
        <w:wordWrap/>
        <w:overflowPunct/>
        <w:topLinePunct/>
        <w:autoSpaceDE/>
        <w:autoSpaceDN/>
        <w:bidi w:val="0"/>
        <w:adjustRightInd/>
        <w:snapToGrid/>
        <w:spacing w:line="360" w:lineRule="auto"/>
        <w:textAlignment w:val="auto"/>
        <w:rPr>
          <w:rFonts w:hint="eastAsia" w:ascii="宋体" w:hAnsi="宋体" w:eastAsia="宋体" w:cs="宋体"/>
          <w:b w:val="0"/>
          <w:bCs w:val="0"/>
          <w:color w:val="000000"/>
          <w:kern w:val="0"/>
          <w:sz w:val="24"/>
          <w:szCs w:val="24"/>
          <w:highlight w:val="none"/>
        </w:rPr>
      </w:pPr>
      <w:r>
        <w:rPr>
          <w:rFonts w:hint="eastAsia" w:ascii="宋体" w:hAnsi="宋体" w:eastAsia="宋体" w:cs="宋体"/>
          <w:b w:val="0"/>
          <w:bCs w:val="0"/>
          <w:color w:val="000000"/>
          <w:kern w:val="0"/>
          <w:sz w:val="24"/>
          <w:szCs w:val="24"/>
          <w:highlight w:val="none"/>
        </w:rPr>
        <w:t>5.2本工程采用的主要技术规范</w:t>
      </w:r>
    </w:p>
    <w:p w14:paraId="7B46C90D">
      <w:pPr>
        <w:keepNext w:val="0"/>
        <w:keepLines w:val="0"/>
        <w:pageBreakBefore w:val="0"/>
        <w:widowControl/>
        <w:numPr>
          <w:ilvl w:val="0"/>
          <w:numId w:val="0"/>
        </w:numPr>
        <w:kinsoku/>
        <w:wordWrap/>
        <w:overflowPunct/>
        <w:topLinePunct/>
        <w:autoSpaceDE/>
        <w:autoSpaceDN/>
        <w:bidi w:val="0"/>
        <w:adjustRightInd/>
        <w:snapToGrid/>
        <w:spacing w:line="360" w:lineRule="auto"/>
        <w:textAlignment w:val="auto"/>
        <w:rPr>
          <w:rFonts w:hint="eastAsia" w:ascii="宋体" w:hAnsi="宋体" w:eastAsia="宋体" w:cs="宋体"/>
          <w:b w:val="0"/>
          <w:bCs w:val="0"/>
          <w:color w:val="000000"/>
          <w:kern w:val="0"/>
          <w:sz w:val="24"/>
          <w:szCs w:val="24"/>
          <w:highlight w:val="none"/>
        </w:rPr>
      </w:pPr>
      <w:r>
        <w:rPr>
          <w:rFonts w:hint="eastAsia" w:ascii="宋体" w:hAnsi="宋体" w:eastAsia="宋体" w:cs="宋体"/>
          <w:b w:val="0"/>
          <w:bCs w:val="0"/>
          <w:color w:val="000000"/>
          <w:kern w:val="0"/>
          <w:sz w:val="24"/>
          <w:szCs w:val="24"/>
          <w:highlight w:val="none"/>
        </w:rPr>
        <w:t>《建设工程工程量清单计价规范》GB50500-2008</w:t>
      </w:r>
    </w:p>
    <w:p w14:paraId="7583696A">
      <w:pPr>
        <w:keepNext w:val="0"/>
        <w:keepLines w:val="0"/>
        <w:pageBreakBefore w:val="0"/>
        <w:widowControl/>
        <w:numPr>
          <w:ilvl w:val="0"/>
          <w:numId w:val="0"/>
        </w:numPr>
        <w:kinsoku/>
        <w:wordWrap/>
        <w:overflowPunct/>
        <w:topLinePunct/>
        <w:autoSpaceDE/>
        <w:autoSpaceDN/>
        <w:bidi w:val="0"/>
        <w:adjustRightInd/>
        <w:snapToGrid/>
        <w:spacing w:line="360" w:lineRule="auto"/>
        <w:textAlignment w:val="auto"/>
        <w:rPr>
          <w:rFonts w:hint="eastAsia" w:ascii="宋体" w:hAnsi="宋体" w:eastAsia="宋体" w:cs="宋体"/>
          <w:b w:val="0"/>
          <w:bCs w:val="0"/>
          <w:color w:val="000000"/>
          <w:kern w:val="0"/>
          <w:sz w:val="24"/>
          <w:szCs w:val="24"/>
          <w:highlight w:val="none"/>
        </w:rPr>
      </w:pPr>
      <w:r>
        <w:rPr>
          <w:rFonts w:hint="eastAsia" w:ascii="宋体" w:hAnsi="宋体" w:eastAsia="宋体" w:cs="宋体"/>
          <w:b w:val="0"/>
          <w:bCs w:val="0"/>
          <w:color w:val="000000"/>
          <w:kern w:val="0"/>
          <w:sz w:val="24"/>
          <w:szCs w:val="24"/>
          <w:highlight w:val="none"/>
        </w:rPr>
        <w:t>《建筑装修工程质量验收规范》GB50210-2001</w:t>
      </w:r>
    </w:p>
    <w:p w14:paraId="59FCF6E6">
      <w:pPr>
        <w:keepNext w:val="0"/>
        <w:keepLines w:val="0"/>
        <w:pageBreakBefore w:val="0"/>
        <w:widowControl/>
        <w:numPr>
          <w:ilvl w:val="0"/>
          <w:numId w:val="0"/>
        </w:numPr>
        <w:kinsoku/>
        <w:wordWrap/>
        <w:overflowPunct/>
        <w:topLinePunct/>
        <w:autoSpaceDE/>
        <w:autoSpaceDN/>
        <w:bidi w:val="0"/>
        <w:adjustRightInd/>
        <w:snapToGrid/>
        <w:spacing w:line="360" w:lineRule="auto"/>
        <w:textAlignment w:val="auto"/>
        <w:rPr>
          <w:rFonts w:hint="eastAsia" w:ascii="宋体" w:hAnsi="宋体" w:eastAsia="宋体" w:cs="宋体"/>
          <w:b w:val="0"/>
          <w:bCs w:val="0"/>
          <w:color w:val="000000"/>
          <w:kern w:val="0"/>
          <w:sz w:val="24"/>
          <w:szCs w:val="24"/>
          <w:highlight w:val="none"/>
        </w:rPr>
      </w:pPr>
      <w:r>
        <w:rPr>
          <w:rFonts w:hint="eastAsia" w:ascii="宋体" w:hAnsi="宋体" w:eastAsia="宋体" w:cs="宋体"/>
          <w:b w:val="0"/>
          <w:bCs w:val="0"/>
          <w:color w:val="000000"/>
          <w:kern w:val="0"/>
          <w:sz w:val="24"/>
          <w:szCs w:val="24"/>
          <w:highlight w:val="none"/>
        </w:rPr>
        <w:t>《室内装饰材料装修材料  人造板及其制品中甲醛释放限量》GB18580</w:t>
      </w:r>
    </w:p>
    <w:p w14:paraId="2FC2B368">
      <w:pPr>
        <w:keepNext w:val="0"/>
        <w:keepLines w:val="0"/>
        <w:pageBreakBefore w:val="0"/>
        <w:widowControl/>
        <w:numPr>
          <w:ilvl w:val="0"/>
          <w:numId w:val="0"/>
        </w:numPr>
        <w:kinsoku/>
        <w:wordWrap/>
        <w:overflowPunct/>
        <w:topLinePunct/>
        <w:autoSpaceDE/>
        <w:autoSpaceDN/>
        <w:bidi w:val="0"/>
        <w:adjustRightInd/>
        <w:snapToGrid/>
        <w:spacing w:line="360" w:lineRule="auto"/>
        <w:textAlignment w:val="auto"/>
        <w:rPr>
          <w:rFonts w:hint="eastAsia" w:ascii="宋体" w:hAnsi="宋体" w:eastAsia="宋体" w:cs="宋体"/>
          <w:b w:val="0"/>
          <w:bCs w:val="0"/>
          <w:color w:val="000000"/>
          <w:kern w:val="0"/>
          <w:sz w:val="24"/>
          <w:szCs w:val="24"/>
          <w:highlight w:val="none"/>
        </w:rPr>
      </w:pPr>
      <w:r>
        <w:rPr>
          <w:rFonts w:hint="eastAsia" w:ascii="宋体" w:hAnsi="宋体" w:eastAsia="宋体" w:cs="宋体"/>
          <w:b w:val="0"/>
          <w:bCs w:val="0"/>
          <w:color w:val="000000"/>
          <w:kern w:val="0"/>
          <w:sz w:val="24"/>
          <w:szCs w:val="24"/>
          <w:highlight w:val="none"/>
        </w:rPr>
        <w:t>《室内装饰材料装修材料  溶剂型木器涂料中有害物质限量》GB18581</w:t>
      </w:r>
    </w:p>
    <w:p w14:paraId="509CC878">
      <w:pPr>
        <w:keepNext w:val="0"/>
        <w:keepLines w:val="0"/>
        <w:pageBreakBefore w:val="0"/>
        <w:widowControl/>
        <w:numPr>
          <w:ilvl w:val="0"/>
          <w:numId w:val="0"/>
        </w:numPr>
        <w:kinsoku/>
        <w:wordWrap/>
        <w:overflowPunct/>
        <w:topLinePunct/>
        <w:autoSpaceDE/>
        <w:autoSpaceDN/>
        <w:bidi w:val="0"/>
        <w:adjustRightInd/>
        <w:snapToGrid/>
        <w:spacing w:line="360" w:lineRule="auto"/>
        <w:textAlignment w:val="auto"/>
        <w:rPr>
          <w:rFonts w:hint="eastAsia" w:ascii="宋体" w:hAnsi="宋体" w:eastAsia="宋体" w:cs="宋体"/>
          <w:b w:val="0"/>
          <w:bCs w:val="0"/>
          <w:color w:val="000000"/>
          <w:kern w:val="0"/>
          <w:sz w:val="24"/>
          <w:szCs w:val="24"/>
          <w:highlight w:val="none"/>
        </w:rPr>
      </w:pPr>
      <w:r>
        <w:rPr>
          <w:rFonts w:hint="eastAsia" w:ascii="宋体" w:hAnsi="宋体" w:eastAsia="宋体" w:cs="宋体"/>
          <w:b w:val="0"/>
          <w:bCs w:val="0"/>
          <w:color w:val="000000"/>
          <w:kern w:val="0"/>
          <w:sz w:val="24"/>
          <w:szCs w:val="24"/>
          <w:highlight w:val="none"/>
        </w:rPr>
        <w:t>《室内装饰材料装修材料  内墙涂料中有害物质限量》GB18582</w:t>
      </w:r>
    </w:p>
    <w:p w14:paraId="374788A0">
      <w:pPr>
        <w:keepNext w:val="0"/>
        <w:keepLines w:val="0"/>
        <w:pageBreakBefore w:val="0"/>
        <w:widowControl/>
        <w:numPr>
          <w:ilvl w:val="0"/>
          <w:numId w:val="0"/>
        </w:numPr>
        <w:kinsoku/>
        <w:wordWrap/>
        <w:overflowPunct/>
        <w:topLinePunct/>
        <w:autoSpaceDE/>
        <w:autoSpaceDN/>
        <w:bidi w:val="0"/>
        <w:adjustRightInd/>
        <w:snapToGrid/>
        <w:spacing w:line="360" w:lineRule="auto"/>
        <w:textAlignment w:val="auto"/>
        <w:rPr>
          <w:rFonts w:hint="eastAsia" w:ascii="宋体" w:hAnsi="宋体" w:eastAsia="宋体" w:cs="宋体"/>
          <w:b w:val="0"/>
          <w:bCs w:val="0"/>
          <w:color w:val="000000"/>
          <w:kern w:val="0"/>
          <w:sz w:val="24"/>
          <w:szCs w:val="24"/>
          <w:highlight w:val="none"/>
        </w:rPr>
      </w:pPr>
      <w:r>
        <w:rPr>
          <w:rFonts w:hint="eastAsia" w:ascii="宋体" w:hAnsi="宋体" w:eastAsia="宋体" w:cs="宋体"/>
          <w:b w:val="0"/>
          <w:bCs w:val="0"/>
          <w:color w:val="000000"/>
          <w:kern w:val="0"/>
          <w:sz w:val="24"/>
          <w:szCs w:val="24"/>
          <w:highlight w:val="none"/>
        </w:rPr>
        <w:t>《室内装饰材料装修材料  胶粘剂中有害物质限量》GB18583</w:t>
      </w:r>
    </w:p>
    <w:p w14:paraId="7C94ED7A">
      <w:pPr>
        <w:keepNext w:val="0"/>
        <w:keepLines w:val="0"/>
        <w:pageBreakBefore w:val="0"/>
        <w:widowControl/>
        <w:numPr>
          <w:ilvl w:val="0"/>
          <w:numId w:val="0"/>
        </w:numPr>
        <w:kinsoku/>
        <w:wordWrap/>
        <w:overflowPunct/>
        <w:topLinePunct/>
        <w:autoSpaceDE/>
        <w:autoSpaceDN/>
        <w:bidi w:val="0"/>
        <w:adjustRightInd/>
        <w:snapToGrid/>
        <w:spacing w:line="360" w:lineRule="auto"/>
        <w:textAlignment w:val="auto"/>
        <w:rPr>
          <w:rFonts w:hint="eastAsia" w:ascii="宋体" w:hAnsi="宋体" w:eastAsia="宋体" w:cs="宋体"/>
          <w:b w:val="0"/>
          <w:bCs w:val="0"/>
          <w:color w:val="000000"/>
          <w:kern w:val="0"/>
          <w:sz w:val="24"/>
          <w:szCs w:val="24"/>
          <w:highlight w:val="none"/>
        </w:rPr>
      </w:pPr>
      <w:r>
        <w:rPr>
          <w:rFonts w:hint="eastAsia" w:ascii="宋体" w:hAnsi="宋体" w:eastAsia="宋体" w:cs="宋体"/>
          <w:b w:val="0"/>
          <w:bCs w:val="0"/>
          <w:color w:val="000000"/>
          <w:kern w:val="0"/>
          <w:sz w:val="24"/>
          <w:szCs w:val="24"/>
          <w:highlight w:val="none"/>
        </w:rPr>
        <w:t>《室内装饰材料装修材料  壁纸中有害物质限量》GB18585</w:t>
      </w:r>
    </w:p>
    <w:p w14:paraId="0A6080A3">
      <w:pPr>
        <w:keepNext w:val="0"/>
        <w:keepLines w:val="0"/>
        <w:pageBreakBefore w:val="0"/>
        <w:widowControl/>
        <w:numPr>
          <w:ilvl w:val="0"/>
          <w:numId w:val="0"/>
        </w:numPr>
        <w:kinsoku/>
        <w:wordWrap/>
        <w:overflowPunct/>
        <w:topLinePunct/>
        <w:autoSpaceDE/>
        <w:autoSpaceDN/>
        <w:bidi w:val="0"/>
        <w:adjustRightInd/>
        <w:snapToGrid/>
        <w:spacing w:line="360" w:lineRule="auto"/>
        <w:textAlignment w:val="auto"/>
        <w:rPr>
          <w:rFonts w:hint="eastAsia" w:ascii="宋体" w:hAnsi="宋体" w:eastAsia="宋体" w:cs="宋体"/>
          <w:b w:val="0"/>
          <w:bCs w:val="0"/>
          <w:color w:val="000000"/>
          <w:kern w:val="0"/>
          <w:sz w:val="24"/>
          <w:szCs w:val="24"/>
          <w:highlight w:val="none"/>
        </w:rPr>
      </w:pPr>
      <w:r>
        <w:rPr>
          <w:rFonts w:hint="eastAsia" w:ascii="宋体" w:hAnsi="宋体" w:eastAsia="宋体" w:cs="宋体"/>
          <w:b w:val="0"/>
          <w:bCs w:val="0"/>
          <w:color w:val="000000"/>
          <w:kern w:val="0"/>
          <w:sz w:val="24"/>
          <w:szCs w:val="24"/>
          <w:highlight w:val="none"/>
        </w:rPr>
        <w:t>《室内装饰材料装修材料  聚乙烯卷材地板中有害物质限量》GB18586</w:t>
      </w:r>
    </w:p>
    <w:p w14:paraId="63596298">
      <w:pPr>
        <w:keepNext w:val="0"/>
        <w:keepLines w:val="0"/>
        <w:pageBreakBefore w:val="0"/>
        <w:widowControl/>
        <w:numPr>
          <w:ilvl w:val="0"/>
          <w:numId w:val="0"/>
        </w:numPr>
        <w:kinsoku/>
        <w:wordWrap/>
        <w:overflowPunct/>
        <w:topLinePunct/>
        <w:autoSpaceDE/>
        <w:autoSpaceDN/>
        <w:bidi w:val="0"/>
        <w:adjustRightInd/>
        <w:snapToGrid/>
        <w:spacing w:line="360" w:lineRule="auto"/>
        <w:textAlignment w:val="auto"/>
        <w:rPr>
          <w:rFonts w:hint="eastAsia" w:ascii="宋体" w:hAnsi="宋体" w:eastAsia="宋体" w:cs="宋体"/>
          <w:b w:val="0"/>
          <w:bCs w:val="0"/>
          <w:color w:val="000000"/>
          <w:kern w:val="0"/>
          <w:sz w:val="24"/>
          <w:szCs w:val="24"/>
          <w:highlight w:val="none"/>
        </w:rPr>
      </w:pPr>
      <w:r>
        <w:rPr>
          <w:rFonts w:hint="eastAsia" w:ascii="宋体" w:hAnsi="宋体" w:eastAsia="宋体" w:cs="宋体"/>
          <w:b w:val="0"/>
          <w:bCs w:val="0"/>
          <w:color w:val="000000"/>
          <w:kern w:val="0"/>
          <w:sz w:val="24"/>
          <w:szCs w:val="24"/>
          <w:highlight w:val="none"/>
        </w:rPr>
        <w:t>《室内装饰材料装修材料  地毯、地毯衬垫及地毯用胶粘剂中有害物质释放限量》GB18587</w:t>
      </w:r>
    </w:p>
    <w:p w14:paraId="7F21E50C">
      <w:pPr>
        <w:keepNext w:val="0"/>
        <w:keepLines w:val="0"/>
        <w:pageBreakBefore w:val="0"/>
        <w:widowControl/>
        <w:numPr>
          <w:ilvl w:val="0"/>
          <w:numId w:val="0"/>
        </w:numPr>
        <w:kinsoku/>
        <w:wordWrap/>
        <w:overflowPunct/>
        <w:topLinePunct/>
        <w:autoSpaceDE/>
        <w:autoSpaceDN/>
        <w:bidi w:val="0"/>
        <w:adjustRightInd/>
        <w:snapToGrid/>
        <w:spacing w:line="360" w:lineRule="auto"/>
        <w:textAlignment w:val="auto"/>
        <w:rPr>
          <w:rFonts w:hint="eastAsia" w:ascii="宋体" w:hAnsi="宋体" w:eastAsia="宋体" w:cs="宋体"/>
          <w:b w:val="0"/>
          <w:bCs w:val="0"/>
          <w:color w:val="000000"/>
          <w:kern w:val="0"/>
          <w:sz w:val="24"/>
          <w:szCs w:val="24"/>
          <w:highlight w:val="none"/>
        </w:rPr>
      </w:pPr>
      <w:r>
        <w:rPr>
          <w:rFonts w:hint="eastAsia" w:ascii="宋体" w:hAnsi="宋体" w:eastAsia="宋体" w:cs="宋体"/>
          <w:b w:val="0"/>
          <w:bCs w:val="0"/>
          <w:color w:val="000000"/>
          <w:kern w:val="0"/>
          <w:sz w:val="24"/>
          <w:szCs w:val="24"/>
          <w:highlight w:val="none"/>
        </w:rPr>
        <w:t>《建筑涂饰工程施工及验收规程》JGJ／T29</w:t>
      </w:r>
    </w:p>
    <w:p w14:paraId="639F2CF8">
      <w:pPr>
        <w:keepNext w:val="0"/>
        <w:keepLines w:val="0"/>
        <w:pageBreakBefore w:val="0"/>
        <w:widowControl/>
        <w:numPr>
          <w:ilvl w:val="0"/>
          <w:numId w:val="0"/>
        </w:numPr>
        <w:kinsoku/>
        <w:wordWrap/>
        <w:overflowPunct/>
        <w:topLinePunct/>
        <w:autoSpaceDE/>
        <w:autoSpaceDN/>
        <w:bidi w:val="0"/>
        <w:adjustRightInd/>
        <w:snapToGrid/>
        <w:spacing w:line="360" w:lineRule="auto"/>
        <w:textAlignment w:val="auto"/>
        <w:rPr>
          <w:rFonts w:hint="eastAsia" w:ascii="宋体" w:hAnsi="宋体" w:eastAsia="宋体" w:cs="宋体"/>
          <w:b w:val="0"/>
          <w:bCs w:val="0"/>
          <w:color w:val="000000"/>
          <w:kern w:val="0"/>
          <w:sz w:val="24"/>
          <w:szCs w:val="24"/>
          <w:highlight w:val="none"/>
        </w:rPr>
      </w:pPr>
      <w:r>
        <w:rPr>
          <w:rFonts w:hint="eastAsia" w:ascii="宋体" w:hAnsi="宋体" w:eastAsia="宋体" w:cs="宋体"/>
          <w:b w:val="0"/>
          <w:bCs w:val="0"/>
          <w:color w:val="000000"/>
          <w:kern w:val="0"/>
          <w:sz w:val="24"/>
          <w:szCs w:val="24"/>
          <w:highlight w:val="none"/>
        </w:rPr>
        <w:t>《民用建筑工程室内环境污染控制规范》GB50235</w:t>
      </w:r>
    </w:p>
    <w:p w14:paraId="24CA57FA">
      <w:pPr>
        <w:keepNext w:val="0"/>
        <w:keepLines w:val="0"/>
        <w:pageBreakBefore w:val="0"/>
        <w:widowControl/>
        <w:numPr>
          <w:ilvl w:val="0"/>
          <w:numId w:val="0"/>
        </w:numPr>
        <w:kinsoku/>
        <w:wordWrap/>
        <w:overflowPunct/>
        <w:topLinePunct/>
        <w:autoSpaceDE/>
        <w:autoSpaceDN/>
        <w:bidi w:val="0"/>
        <w:adjustRightInd/>
        <w:snapToGrid/>
        <w:spacing w:line="360" w:lineRule="auto"/>
        <w:textAlignment w:val="auto"/>
        <w:rPr>
          <w:rFonts w:hint="eastAsia" w:ascii="宋体" w:hAnsi="宋体" w:eastAsia="宋体" w:cs="宋体"/>
          <w:b w:val="0"/>
          <w:bCs w:val="0"/>
          <w:color w:val="000000"/>
          <w:kern w:val="0"/>
          <w:sz w:val="24"/>
          <w:szCs w:val="24"/>
          <w:highlight w:val="none"/>
        </w:rPr>
      </w:pPr>
      <w:r>
        <w:rPr>
          <w:rFonts w:hint="eastAsia" w:ascii="宋体" w:hAnsi="宋体" w:eastAsia="宋体" w:cs="宋体"/>
          <w:b w:val="0"/>
          <w:bCs w:val="0"/>
          <w:color w:val="000000"/>
          <w:kern w:val="0"/>
          <w:sz w:val="24"/>
          <w:szCs w:val="24"/>
          <w:highlight w:val="none"/>
        </w:rPr>
        <w:t>《建筑用砌筑和抹灰干混砂浆》JG/T291</w:t>
      </w:r>
    </w:p>
    <w:p w14:paraId="1F67B23E">
      <w:pPr>
        <w:keepNext w:val="0"/>
        <w:keepLines w:val="0"/>
        <w:pageBreakBefore w:val="0"/>
        <w:widowControl/>
        <w:numPr>
          <w:ilvl w:val="0"/>
          <w:numId w:val="0"/>
        </w:numPr>
        <w:kinsoku/>
        <w:wordWrap/>
        <w:overflowPunct/>
        <w:topLinePunct/>
        <w:autoSpaceDE/>
        <w:autoSpaceDN/>
        <w:bidi w:val="0"/>
        <w:adjustRightInd/>
        <w:snapToGrid/>
        <w:spacing w:line="360" w:lineRule="auto"/>
        <w:textAlignment w:val="auto"/>
        <w:rPr>
          <w:rFonts w:hint="eastAsia" w:ascii="宋体" w:hAnsi="宋体" w:eastAsia="宋体" w:cs="宋体"/>
          <w:b w:val="0"/>
          <w:bCs w:val="0"/>
          <w:color w:val="000000"/>
          <w:kern w:val="0"/>
          <w:sz w:val="24"/>
          <w:szCs w:val="24"/>
          <w:highlight w:val="none"/>
        </w:rPr>
      </w:pPr>
      <w:r>
        <w:rPr>
          <w:rFonts w:hint="eastAsia" w:ascii="宋体" w:hAnsi="宋体" w:eastAsia="宋体" w:cs="宋体"/>
          <w:b w:val="0"/>
          <w:bCs w:val="0"/>
          <w:color w:val="000000"/>
          <w:kern w:val="0"/>
          <w:sz w:val="24"/>
          <w:szCs w:val="24"/>
          <w:highlight w:val="none"/>
        </w:rPr>
        <w:t>以上所开列的标准及规范并非全部标准，投标人可以使用其他或替代标准和规范，但此规范必须是国际公认的等同的或更高级的标准，否则招标人有权不予接受。如标准有变更，按最新标准执行。</w:t>
      </w:r>
    </w:p>
    <w:p w14:paraId="32A79D73">
      <w:pPr>
        <w:keepNext w:val="0"/>
        <w:keepLines w:val="0"/>
        <w:pageBreakBefore w:val="0"/>
        <w:widowControl/>
        <w:kinsoku/>
        <w:wordWrap/>
        <w:overflowPunct/>
        <w:topLinePunct/>
        <w:autoSpaceDE/>
        <w:autoSpaceDN/>
        <w:bidi w:val="0"/>
        <w:adjustRightInd/>
        <w:snapToGrid/>
        <w:spacing w:line="360" w:lineRule="auto"/>
        <w:ind w:left="0" w:leftChars="0" w:firstLine="0" w:firstLineChars="0"/>
        <w:textAlignment w:val="auto"/>
        <w:rPr>
          <w:rFonts w:hint="eastAsia" w:ascii="宋体" w:hAnsi="宋体" w:eastAsia="宋体" w:cs="宋体"/>
          <w:b/>
          <w:bCs/>
          <w:color w:val="000000"/>
          <w:kern w:val="0"/>
          <w:sz w:val="24"/>
          <w:szCs w:val="24"/>
          <w:highlight w:val="none"/>
        </w:rPr>
      </w:pPr>
      <w:r>
        <w:rPr>
          <w:rFonts w:hint="eastAsia" w:ascii="宋体" w:hAnsi="宋体" w:cs="宋体"/>
          <w:b/>
          <w:bCs/>
          <w:color w:val="000000"/>
          <w:kern w:val="0"/>
          <w:sz w:val="24"/>
          <w:szCs w:val="24"/>
          <w:highlight w:val="none"/>
          <w:lang w:val="en-US" w:eastAsia="zh-CN"/>
        </w:rPr>
        <w:t>六</w:t>
      </w:r>
      <w:r>
        <w:rPr>
          <w:rFonts w:hint="eastAsia" w:ascii="宋体" w:hAnsi="宋体" w:eastAsia="宋体" w:cs="宋体"/>
          <w:b/>
          <w:bCs/>
          <w:color w:val="000000"/>
          <w:kern w:val="0"/>
          <w:sz w:val="24"/>
          <w:szCs w:val="24"/>
          <w:highlight w:val="none"/>
        </w:rPr>
        <w:t>、付款方式：</w:t>
      </w:r>
    </w:p>
    <w:p w14:paraId="70AFD2A5">
      <w:pPr>
        <w:ind w:firstLine="480" w:firstLineChars="200"/>
        <w:rPr>
          <w:rFonts w:hint="eastAsia" w:asciiTheme="majorEastAsia" w:hAnsiTheme="majorEastAsia" w:eastAsiaTheme="majorEastAsia" w:cstheme="majorEastAsia"/>
          <w:b/>
          <w:bCs/>
          <w:sz w:val="24"/>
          <w:szCs w:val="24"/>
        </w:rPr>
      </w:pPr>
      <w:r>
        <w:rPr>
          <w:rFonts w:hint="eastAsia" w:ascii="宋体" w:hAnsi="宋体" w:eastAsia="宋体" w:cs="宋体"/>
          <w:color w:val="000000"/>
          <w:kern w:val="0"/>
          <w:sz w:val="24"/>
          <w:szCs w:val="24"/>
          <w:highlight w:val="none"/>
          <w:lang w:eastAsia="zh-CN"/>
        </w:rPr>
        <w:t>招标人</w:t>
      </w:r>
      <w:r>
        <w:rPr>
          <w:rFonts w:hint="eastAsia" w:ascii="宋体" w:hAnsi="宋体" w:eastAsia="宋体" w:cs="宋体"/>
          <w:color w:val="000000"/>
          <w:kern w:val="0"/>
          <w:sz w:val="24"/>
          <w:szCs w:val="24"/>
          <w:highlight w:val="none"/>
        </w:rPr>
        <w:t>按单个委托项目向</w:t>
      </w:r>
      <w:r>
        <w:rPr>
          <w:rFonts w:hint="eastAsia" w:ascii="宋体" w:hAnsi="宋体" w:eastAsia="宋体" w:cs="宋体"/>
          <w:color w:val="000000"/>
          <w:kern w:val="0"/>
          <w:sz w:val="24"/>
          <w:szCs w:val="24"/>
          <w:highlight w:val="none"/>
          <w:lang w:eastAsia="zh-CN"/>
        </w:rPr>
        <w:t>中标供应商</w:t>
      </w:r>
      <w:r>
        <w:rPr>
          <w:rFonts w:hint="eastAsia" w:ascii="宋体" w:hAnsi="宋体" w:eastAsia="宋体" w:cs="宋体"/>
          <w:color w:val="000000"/>
          <w:kern w:val="0"/>
          <w:sz w:val="24"/>
          <w:szCs w:val="24"/>
          <w:highlight w:val="none"/>
        </w:rPr>
        <w:t>支付工程费用；付款方式按双方合同约定执行。</w:t>
      </w:r>
      <w:bookmarkEnd w:id="650"/>
    </w:p>
    <w:p w14:paraId="6A5EAFC3">
      <w:pPr>
        <w:keepNext w:val="0"/>
        <w:keepLines w:val="0"/>
        <w:pageBreakBefore w:val="0"/>
        <w:widowControl/>
        <w:kinsoku/>
        <w:wordWrap/>
        <w:overflowPunct/>
        <w:topLinePunct/>
        <w:autoSpaceDE/>
        <w:autoSpaceDN/>
        <w:bidi w:val="0"/>
        <w:adjustRightInd/>
        <w:snapToGrid/>
        <w:spacing w:line="360" w:lineRule="auto"/>
        <w:ind w:left="0" w:leftChars="0" w:firstLine="0" w:firstLineChars="0"/>
        <w:textAlignment w:val="auto"/>
        <w:rPr>
          <w:rFonts w:hint="eastAsia" w:ascii="宋体" w:hAnsi="宋体" w:eastAsia="宋体" w:cs="宋体"/>
          <w:b/>
          <w:bCs/>
          <w:color w:val="000000"/>
          <w:kern w:val="0"/>
          <w:sz w:val="24"/>
          <w:szCs w:val="24"/>
          <w:highlight w:val="none"/>
        </w:rPr>
      </w:pPr>
      <w:r>
        <w:rPr>
          <w:rFonts w:hint="eastAsia" w:ascii="宋体" w:hAnsi="宋体" w:eastAsia="宋体" w:cs="宋体"/>
          <w:b/>
          <w:bCs/>
          <w:color w:val="000000"/>
          <w:kern w:val="0"/>
          <w:sz w:val="24"/>
          <w:szCs w:val="24"/>
          <w:highlight w:val="none"/>
          <w:lang w:val="en-US" w:eastAsia="zh-CN"/>
        </w:rPr>
        <w:t>七、</w:t>
      </w:r>
      <w:r>
        <w:rPr>
          <w:rFonts w:hint="eastAsia" w:ascii="宋体" w:hAnsi="宋体" w:eastAsia="宋体" w:cs="宋体"/>
          <w:b/>
          <w:bCs/>
          <w:color w:val="000000"/>
          <w:kern w:val="0"/>
          <w:sz w:val="24"/>
          <w:szCs w:val="24"/>
          <w:highlight w:val="none"/>
        </w:rPr>
        <w:t>工程量清单</w:t>
      </w:r>
    </w:p>
    <w:p w14:paraId="74F48255">
      <w:pPr>
        <w:ind w:firstLine="480" w:firstLineChars="200"/>
        <w:rPr>
          <w:rFonts w:hint="eastAsia" w:ascii="宋体" w:hAnsi="宋体" w:eastAsia="宋体" w:cs="宋体"/>
          <w:b/>
          <w:bCs/>
          <w:color w:val="000000"/>
          <w:kern w:val="0"/>
          <w:sz w:val="24"/>
          <w:szCs w:val="24"/>
          <w:highlight w:val="none"/>
        </w:rPr>
      </w:pPr>
      <w:r>
        <w:rPr>
          <w:rFonts w:hint="eastAsia" w:ascii="宋体" w:hAnsi="宋体" w:eastAsia="宋体" w:cs="宋体"/>
          <w:color w:val="000000"/>
          <w:kern w:val="0"/>
          <w:sz w:val="24"/>
          <w:szCs w:val="24"/>
          <w:highlight w:val="none"/>
        </w:rPr>
        <w:t>见附件。</w:t>
      </w:r>
      <w:r>
        <w:rPr>
          <w:rFonts w:hint="eastAsia" w:ascii="宋体" w:hAnsi="宋体" w:eastAsia="宋体" w:cs="宋体"/>
          <w:b/>
          <w:bCs/>
          <w:color w:val="000000"/>
          <w:kern w:val="0"/>
          <w:sz w:val="24"/>
          <w:szCs w:val="24"/>
          <w:highlight w:val="none"/>
        </w:rPr>
        <w:br w:type="page"/>
      </w:r>
    </w:p>
    <w:p w14:paraId="6306AD73">
      <w:pPr>
        <w:rPr>
          <w:rFonts w:hint="eastAsia" w:asciiTheme="majorEastAsia" w:hAnsiTheme="majorEastAsia" w:eastAsiaTheme="majorEastAsia" w:cstheme="majorEastAsia"/>
          <w:b/>
          <w:bCs/>
          <w:sz w:val="24"/>
          <w:szCs w:val="24"/>
          <w:lang w:val="en-US" w:eastAsia="zh-CN"/>
        </w:rPr>
      </w:pPr>
    </w:p>
    <w:bookmarkEnd w:id="646"/>
    <w:bookmarkEnd w:id="647"/>
    <w:p w14:paraId="7D21ED14">
      <w:pPr>
        <w:pStyle w:val="2"/>
        <w:numPr>
          <w:ilvl w:val="0"/>
          <w:numId w:val="0"/>
        </w:numPr>
        <w:spacing w:after="0"/>
        <w:ind w:left="0" w:leftChars="0" w:firstLine="0" w:firstLineChars="0"/>
        <w:jc w:val="center"/>
        <w:rPr>
          <w:rFonts w:hint="eastAsia" w:ascii="宋体" w:hAnsi="宋体" w:eastAsia="宋体" w:cs="宋体"/>
          <w:color w:val="000000"/>
          <w:szCs w:val="21"/>
          <w:highlight w:val="none"/>
        </w:rPr>
      </w:pPr>
      <w:bookmarkStart w:id="651" w:name="_Toc65683002"/>
      <w:bookmarkStart w:id="652" w:name="_Toc28744"/>
      <w:bookmarkStart w:id="653" w:name="_Toc109124314"/>
      <w:bookmarkStart w:id="654" w:name="_Toc15177"/>
      <w:bookmarkStart w:id="655" w:name="_Toc25988"/>
      <w:r>
        <w:rPr>
          <w:rFonts w:hint="eastAsia" w:ascii="宋体" w:hAnsi="宋体" w:eastAsia="宋体" w:cs="宋体"/>
          <w:color w:val="000000"/>
          <w:szCs w:val="21"/>
          <w:highlight w:val="none"/>
        </w:rPr>
        <w:t>第六章 投标文件格式</w:t>
      </w:r>
      <w:bookmarkEnd w:id="648"/>
      <w:bookmarkEnd w:id="651"/>
      <w:bookmarkEnd w:id="652"/>
      <w:bookmarkEnd w:id="653"/>
      <w:bookmarkEnd w:id="654"/>
      <w:bookmarkEnd w:id="655"/>
    </w:p>
    <w:p w14:paraId="433C5E1D">
      <w:pPr>
        <w:rPr>
          <w:rFonts w:hint="eastAsia"/>
        </w:rPr>
      </w:pPr>
    </w:p>
    <w:p w14:paraId="6D2D8B16">
      <w:pPr>
        <w:spacing w:line="360" w:lineRule="auto"/>
        <w:rPr>
          <w:rFonts w:hint="eastAsia" w:ascii="宋体" w:hAnsi="宋体" w:eastAsia="宋体" w:cs="宋体"/>
          <w:b/>
          <w:color w:val="000000"/>
          <w:highlight w:val="none"/>
        </w:rPr>
      </w:pPr>
      <w:r>
        <w:rPr>
          <w:rFonts w:hint="eastAsia" w:ascii="宋体" w:hAnsi="宋体" w:eastAsia="宋体" w:cs="宋体"/>
          <w:b/>
          <w:color w:val="000000"/>
          <w:sz w:val="24"/>
          <w:szCs w:val="24"/>
          <w:highlight w:val="none"/>
        </w:rPr>
        <w:t>纸质投标文件封面格式</w:t>
      </w:r>
    </w:p>
    <w:tbl>
      <w:tblPr>
        <w:tblStyle w:val="37"/>
        <w:tblW w:w="0" w:type="auto"/>
        <w:jc w:val="center"/>
        <w:tblLayout w:type="fixed"/>
        <w:tblCellMar>
          <w:top w:w="0" w:type="dxa"/>
          <w:left w:w="108" w:type="dxa"/>
          <w:bottom w:w="0" w:type="dxa"/>
          <w:right w:w="108" w:type="dxa"/>
        </w:tblCellMar>
      </w:tblPr>
      <w:tblGrid>
        <w:gridCol w:w="9854"/>
      </w:tblGrid>
      <w:tr w14:paraId="42437FF6">
        <w:tblPrEx>
          <w:tblCellMar>
            <w:top w:w="0" w:type="dxa"/>
            <w:left w:w="108" w:type="dxa"/>
            <w:bottom w:w="0" w:type="dxa"/>
            <w:right w:w="108" w:type="dxa"/>
          </w:tblCellMar>
        </w:tblPrEx>
        <w:trPr>
          <w:trHeight w:val="10007" w:hRule="atLeast"/>
          <w:jc w:val="center"/>
        </w:trPr>
        <w:tc>
          <w:tcPr>
            <w:tcW w:w="9854" w:type="dxa"/>
            <w:tcBorders>
              <w:top w:val="single" w:color="000000" w:sz="4" w:space="0"/>
              <w:left w:val="single" w:color="000000" w:sz="4" w:space="0"/>
              <w:bottom w:val="single" w:color="000000" w:sz="4" w:space="0"/>
              <w:right w:val="single" w:color="000000" w:sz="4" w:space="0"/>
            </w:tcBorders>
            <w:noWrap w:val="0"/>
            <w:vAlign w:val="top"/>
          </w:tcPr>
          <w:p w14:paraId="71D6F79D">
            <w:pPr>
              <w:pStyle w:val="118"/>
              <w:keepNext w:val="0"/>
              <w:keepLines w:val="0"/>
              <w:suppressLineNumbers w:val="0"/>
              <w:spacing w:before="156" w:beforeAutospacing="0" w:after="312" w:afterAutospacing="0"/>
              <w:ind w:left="0" w:right="508"/>
              <w:jc w:val="right"/>
              <w:rPr>
                <w:rFonts w:hint="eastAsia" w:ascii="宋体" w:hAnsi="宋体" w:eastAsia="宋体" w:cs="宋体"/>
                <w:color w:val="000000"/>
                <w:sz w:val="32"/>
                <w:szCs w:val="20"/>
                <w:highlight w:val="none"/>
              </w:rPr>
            </w:pPr>
            <w:r>
              <w:rPr>
                <w:rFonts w:hint="eastAsia" w:ascii="宋体" w:hAnsi="宋体" w:eastAsia="宋体" w:cs="宋体"/>
                <w:color w:val="000000"/>
                <w:sz w:val="32"/>
                <w:szCs w:val="20"/>
                <w:highlight w:val="none"/>
              </w:rPr>
              <w:t>正本/副本</w:t>
            </w:r>
          </w:p>
          <w:p w14:paraId="17120B7F">
            <w:pPr>
              <w:pStyle w:val="118"/>
              <w:keepNext w:val="0"/>
              <w:keepLines w:val="0"/>
              <w:suppressLineNumbers w:val="0"/>
              <w:spacing w:before="156" w:beforeAutospacing="0" w:after="312" w:afterAutospacing="0"/>
              <w:ind w:left="0" w:right="-284"/>
              <w:jc w:val="center"/>
              <w:rPr>
                <w:rFonts w:hint="eastAsia" w:ascii="宋体" w:hAnsi="宋体" w:eastAsia="宋体" w:cs="宋体"/>
                <w:color w:val="000000"/>
                <w:sz w:val="32"/>
                <w:szCs w:val="20"/>
                <w:highlight w:val="none"/>
              </w:rPr>
            </w:pPr>
            <w:r>
              <w:rPr>
                <w:rFonts w:hint="eastAsia" w:ascii="宋体" w:hAnsi="宋体" w:eastAsia="宋体" w:cs="宋体"/>
                <w:color w:val="000000"/>
                <w:sz w:val="32"/>
                <w:szCs w:val="20"/>
                <w:highlight w:val="none"/>
                <w:u w:val="single"/>
              </w:rPr>
              <w:t xml:space="preserve">     （项目名称）    </w:t>
            </w:r>
            <w:r>
              <w:rPr>
                <w:rFonts w:hint="eastAsia" w:ascii="宋体" w:hAnsi="宋体" w:eastAsia="宋体" w:cs="宋体"/>
                <w:color w:val="000000"/>
                <w:sz w:val="32"/>
                <w:szCs w:val="20"/>
                <w:highlight w:val="none"/>
              </w:rPr>
              <w:t>项目</w:t>
            </w:r>
          </w:p>
          <w:p w14:paraId="170FA4C3">
            <w:pPr>
              <w:pStyle w:val="118"/>
              <w:keepNext w:val="0"/>
              <w:keepLines w:val="0"/>
              <w:suppressLineNumbers w:val="0"/>
              <w:spacing w:before="624" w:beforeAutospacing="0" w:after="156" w:afterAutospacing="0" w:line="160" w:lineRule="atLeast"/>
              <w:ind w:left="0" w:right="-284"/>
              <w:jc w:val="center"/>
              <w:rPr>
                <w:rFonts w:hint="eastAsia" w:ascii="宋体" w:hAnsi="宋体" w:eastAsia="宋体" w:cs="宋体"/>
                <w:color w:val="000000"/>
                <w:sz w:val="52"/>
                <w:szCs w:val="20"/>
                <w:highlight w:val="none"/>
              </w:rPr>
            </w:pPr>
            <w:r>
              <w:rPr>
                <w:rFonts w:hint="eastAsia" w:ascii="宋体" w:hAnsi="宋体" w:eastAsia="宋体" w:cs="宋体"/>
                <w:color w:val="000000"/>
                <w:sz w:val="52"/>
                <w:szCs w:val="20"/>
                <w:highlight w:val="none"/>
              </w:rPr>
              <w:t>投标文件</w:t>
            </w:r>
          </w:p>
          <w:p w14:paraId="10DC5138">
            <w:pPr>
              <w:pStyle w:val="118"/>
              <w:keepNext w:val="0"/>
              <w:keepLines w:val="0"/>
              <w:suppressLineNumbers w:val="0"/>
              <w:spacing w:before="624" w:beforeAutospacing="0" w:after="156" w:afterAutospacing="0" w:line="240" w:lineRule="atLeast"/>
              <w:ind w:left="0" w:right="0"/>
              <w:jc w:val="center"/>
              <w:rPr>
                <w:rFonts w:hint="eastAsia" w:ascii="宋体" w:hAnsi="宋体" w:eastAsia="宋体" w:cs="宋体"/>
                <w:color w:val="000000"/>
                <w:sz w:val="40"/>
                <w:szCs w:val="20"/>
                <w:highlight w:val="none"/>
              </w:rPr>
            </w:pPr>
            <w:r>
              <w:rPr>
                <w:rFonts w:hint="eastAsia" w:ascii="宋体" w:hAnsi="宋体" w:eastAsia="宋体" w:cs="宋体"/>
                <w:color w:val="000000"/>
                <w:sz w:val="40"/>
                <w:szCs w:val="20"/>
                <w:highlight w:val="none"/>
              </w:rPr>
              <w:t>（商务文件/技术文件/报价文件）</w:t>
            </w:r>
          </w:p>
          <w:p w14:paraId="252E8901">
            <w:pPr>
              <w:pStyle w:val="118"/>
              <w:keepNext w:val="0"/>
              <w:keepLines w:val="0"/>
              <w:suppressLineNumbers w:val="0"/>
              <w:spacing w:before="1560" w:beforeAutospacing="0" w:after="0" w:afterAutospacing="0" w:line="480" w:lineRule="auto"/>
              <w:ind w:left="0" w:right="-284"/>
              <w:jc w:val="center"/>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投标人名称：</w:t>
            </w:r>
            <w:r>
              <w:rPr>
                <w:rFonts w:hint="eastAsia" w:ascii="宋体" w:hAnsi="宋体" w:eastAsia="宋体" w:cs="宋体"/>
                <w:color w:val="000000"/>
                <w:sz w:val="24"/>
                <w:szCs w:val="20"/>
                <w:highlight w:val="none"/>
                <w:u w:val="single"/>
              </w:rPr>
              <w:t xml:space="preserve">        （盖章） </w:t>
            </w:r>
          </w:p>
          <w:p w14:paraId="70B34C9A">
            <w:pPr>
              <w:pStyle w:val="118"/>
              <w:keepNext w:val="0"/>
              <w:keepLines w:val="0"/>
              <w:suppressLineNumbers w:val="0"/>
              <w:spacing w:before="0" w:beforeAutospacing="0" w:after="156" w:afterAutospacing="0" w:line="480" w:lineRule="auto"/>
              <w:ind w:left="0" w:right="-284"/>
              <w:jc w:val="center"/>
              <w:rPr>
                <w:rFonts w:hint="eastAsia" w:ascii="宋体" w:hAnsi="宋体" w:eastAsia="宋体" w:cs="宋体"/>
                <w:color w:val="000000"/>
                <w:sz w:val="24"/>
                <w:szCs w:val="20"/>
                <w:highlight w:val="none"/>
                <w:u w:val="single"/>
              </w:rPr>
            </w:pPr>
            <w:r>
              <w:rPr>
                <w:rFonts w:hint="eastAsia" w:ascii="宋体" w:hAnsi="宋体" w:eastAsia="宋体" w:cs="宋体"/>
                <w:color w:val="000000"/>
                <w:sz w:val="24"/>
                <w:szCs w:val="20"/>
                <w:highlight w:val="none"/>
              </w:rPr>
              <w:t>法定代表人（负责人）或其委托的代理人：</w:t>
            </w:r>
            <w:r>
              <w:rPr>
                <w:rFonts w:hint="eastAsia" w:ascii="宋体" w:hAnsi="宋体" w:eastAsia="宋体" w:cs="宋体"/>
                <w:color w:val="000000"/>
                <w:sz w:val="24"/>
                <w:szCs w:val="20"/>
                <w:highlight w:val="none"/>
                <w:u w:val="single"/>
              </w:rPr>
              <w:t>（签字或盖章）</w:t>
            </w:r>
          </w:p>
          <w:p w14:paraId="28A8A425">
            <w:pPr>
              <w:pStyle w:val="118"/>
              <w:keepNext w:val="0"/>
              <w:keepLines w:val="0"/>
              <w:suppressLineNumbers w:val="0"/>
              <w:spacing w:before="0" w:beforeAutospacing="0" w:after="156" w:afterAutospacing="0" w:line="480" w:lineRule="auto"/>
              <w:ind w:left="0" w:right="-284" w:firstLine="1920"/>
              <w:rPr>
                <w:rFonts w:hint="eastAsia" w:ascii="宋体" w:hAnsi="宋体" w:eastAsia="宋体" w:cs="宋体"/>
                <w:color w:val="000000"/>
                <w:sz w:val="24"/>
                <w:szCs w:val="20"/>
                <w:highlight w:val="none"/>
                <w:u w:val="single"/>
              </w:rPr>
            </w:pPr>
            <w:r>
              <w:rPr>
                <w:rFonts w:hint="eastAsia" w:ascii="宋体" w:hAnsi="宋体" w:eastAsia="宋体" w:cs="宋体"/>
                <w:color w:val="000000"/>
                <w:sz w:val="24"/>
                <w:szCs w:val="20"/>
                <w:highlight w:val="none"/>
              </w:rPr>
              <w:t>投标人地址：</w:t>
            </w:r>
            <w:r>
              <w:rPr>
                <w:rFonts w:hint="eastAsia" w:ascii="宋体" w:hAnsi="宋体" w:eastAsia="宋体" w:cs="宋体"/>
                <w:color w:val="000000"/>
                <w:sz w:val="24"/>
                <w:szCs w:val="20"/>
                <w:highlight w:val="none"/>
                <w:u w:val="single"/>
              </w:rPr>
              <w:t xml:space="preserve">                                 </w:t>
            </w:r>
          </w:p>
          <w:p w14:paraId="26764A3A">
            <w:pPr>
              <w:pStyle w:val="118"/>
              <w:keepNext w:val="0"/>
              <w:keepLines w:val="0"/>
              <w:suppressLineNumbers w:val="0"/>
              <w:spacing w:before="0" w:beforeAutospacing="0" w:after="624" w:afterAutospacing="0"/>
              <w:ind w:left="0" w:right="-284"/>
              <w:jc w:val="center"/>
              <w:rPr>
                <w:rFonts w:hint="eastAsia" w:ascii="宋体" w:hAnsi="宋体" w:eastAsia="宋体" w:cs="宋体"/>
                <w:color w:val="000000"/>
                <w:szCs w:val="20"/>
                <w:highlight w:val="none"/>
              </w:rPr>
            </w:pPr>
            <w:r>
              <w:rPr>
                <w:rFonts w:hint="eastAsia" w:ascii="宋体" w:hAnsi="宋体" w:eastAsia="宋体" w:cs="宋体"/>
                <w:color w:val="000000"/>
                <w:sz w:val="24"/>
                <w:szCs w:val="20"/>
                <w:highlight w:val="none"/>
              </w:rPr>
              <w:t>年     月     日</w:t>
            </w:r>
          </w:p>
        </w:tc>
      </w:tr>
    </w:tbl>
    <w:p w14:paraId="705AA682">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格式：封口</w:t>
      </w:r>
    </w:p>
    <w:tbl>
      <w:tblPr>
        <w:tblStyle w:val="37"/>
        <w:tblW w:w="0" w:type="auto"/>
        <w:tblInd w:w="0" w:type="dxa"/>
        <w:tblLayout w:type="fixed"/>
        <w:tblCellMar>
          <w:top w:w="0" w:type="dxa"/>
          <w:left w:w="108" w:type="dxa"/>
          <w:bottom w:w="0" w:type="dxa"/>
          <w:right w:w="108" w:type="dxa"/>
        </w:tblCellMar>
      </w:tblPr>
      <w:tblGrid>
        <w:gridCol w:w="9854"/>
      </w:tblGrid>
      <w:tr w14:paraId="42FBDB17">
        <w:tblPrEx>
          <w:tblCellMar>
            <w:top w:w="0" w:type="dxa"/>
            <w:left w:w="108" w:type="dxa"/>
            <w:bottom w:w="0" w:type="dxa"/>
            <w:right w:w="108" w:type="dxa"/>
          </w:tblCellMar>
        </w:tblPrEx>
        <w:trPr>
          <w:trHeight w:val="1503" w:hRule="atLeast"/>
        </w:trPr>
        <w:tc>
          <w:tcPr>
            <w:tcW w:w="9854" w:type="dxa"/>
            <w:tcBorders>
              <w:top w:val="single" w:color="000000" w:sz="4" w:space="0"/>
              <w:left w:val="single" w:color="000000" w:sz="4" w:space="0"/>
              <w:bottom w:val="single" w:color="000000" w:sz="4" w:space="0"/>
              <w:right w:val="single" w:color="000000" w:sz="4" w:space="0"/>
            </w:tcBorders>
            <w:noWrap w:val="0"/>
            <w:vAlign w:val="center"/>
          </w:tcPr>
          <w:p w14:paraId="433E91B7">
            <w:pPr>
              <w:pStyle w:val="118"/>
              <w:keepNext w:val="0"/>
              <w:keepLines w:val="0"/>
              <w:suppressLineNumbers w:val="0"/>
              <w:spacing w:before="0" w:beforeAutospacing="0" w:after="0" w:afterAutospacing="0"/>
              <w:ind w:left="0" w:right="-284"/>
              <w:jc w:val="center"/>
              <w:rPr>
                <w:rFonts w:hint="eastAsia" w:ascii="宋体" w:hAnsi="宋体" w:eastAsia="宋体" w:cs="宋体"/>
                <w:b/>
                <w:color w:val="000000"/>
                <w:szCs w:val="20"/>
                <w:highlight w:val="none"/>
              </w:rPr>
            </w:pPr>
            <w:r>
              <w:rPr>
                <w:rFonts w:hint="eastAsia" w:ascii="宋体" w:hAnsi="宋体" w:eastAsia="宋体" w:cs="宋体"/>
                <w:b/>
                <w:color w:val="000000"/>
                <w:szCs w:val="20"/>
                <w:highlight w:val="none"/>
              </w:rPr>
              <w:t>-------------于年月日时分之前不准启封（公章）------------</w:t>
            </w:r>
          </w:p>
        </w:tc>
      </w:tr>
    </w:tbl>
    <w:p w14:paraId="748D306D">
      <w:pPr>
        <w:pStyle w:val="4"/>
        <w:ind w:firstLine="0" w:firstLineChars="0"/>
        <w:jc w:val="center"/>
        <w:rPr>
          <w:rFonts w:hint="eastAsia" w:ascii="宋体" w:hAnsi="宋体" w:eastAsia="宋体" w:cs="宋体"/>
          <w:color w:val="000000"/>
          <w:highlight w:val="none"/>
        </w:rPr>
      </w:pPr>
      <w:bookmarkStart w:id="656" w:name="_Toc6505"/>
      <w:bookmarkStart w:id="657" w:name="_Toc112068405"/>
      <w:bookmarkStart w:id="658" w:name="_Toc13951"/>
      <w:bookmarkStart w:id="659" w:name="_Toc65683003"/>
      <w:r>
        <w:rPr>
          <w:rFonts w:hint="eastAsia" w:ascii="宋体" w:hAnsi="宋体" w:eastAsia="宋体" w:cs="宋体"/>
          <w:color w:val="000000"/>
          <w:highlight w:val="none"/>
        </w:rPr>
        <w:t>初步评审索引表</w:t>
      </w:r>
      <w:bookmarkEnd w:id="656"/>
      <w:bookmarkEnd w:id="657"/>
    </w:p>
    <w:tbl>
      <w:tblPr>
        <w:tblStyle w:val="37"/>
        <w:tblW w:w="0" w:type="auto"/>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fixed"/>
        <w:tblCellMar>
          <w:top w:w="0" w:type="dxa"/>
          <w:left w:w="108" w:type="dxa"/>
          <w:bottom w:w="0" w:type="dxa"/>
          <w:right w:w="108" w:type="dxa"/>
        </w:tblCellMar>
      </w:tblPr>
      <w:tblGrid>
        <w:gridCol w:w="912"/>
        <w:gridCol w:w="1277"/>
        <w:gridCol w:w="3825"/>
        <w:gridCol w:w="3460"/>
      </w:tblGrid>
      <w:tr w14:paraId="540416E1">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361" w:hRule="atLeast"/>
          <w:jc w:val="center"/>
        </w:trPr>
        <w:tc>
          <w:tcPr>
            <w:tcW w:w="2189" w:type="dxa"/>
            <w:gridSpan w:val="2"/>
            <w:noWrap w:val="0"/>
            <w:vAlign w:val="center"/>
          </w:tcPr>
          <w:p w14:paraId="233345F4">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b/>
                <w:color w:val="000000"/>
                <w:kern w:val="0"/>
                <w:szCs w:val="21"/>
                <w:highlight w:val="none"/>
              </w:rPr>
            </w:pPr>
            <w:r>
              <w:rPr>
                <w:rFonts w:hint="eastAsia" w:ascii="宋体" w:hAnsi="宋体" w:eastAsia="宋体" w:cs="宋体"/>
                <w:b/>
                <w:color w:val="000000"/>
                <w:kern w:val="0"/>
                <w:szCs w:val="21"/>
                <w:highlight w:val="none"/>
              </w:rPr>
              <w:t>条款号</w:t>
            </w:r>
          </w:p>
        </w:tc>
        <w:tc>
          <w:tcPr>
            <w:tcW w:w="3825" w:type="dxa"/>
            <w:noWrap w:val="0"/>
            <w:vAlign w:val="center"/>
          </w:tcPr>
          <w:p w14:paraId="2C2CB170">
            <w:pPr>
              <w:keepNext w:val="0"/>
              <w:keepLines w:val="0"/>
              <w:widowControl/>
              <w:suppressLineNumbers w:val="0"/>
              <w:spacing w:before="24" w:beforeAutospacing="0" w:after="24" w:afterAutospacing="0" w:line="240" w:lineRule="auto"/>
              <w:ind w:left="0" w:right="0"/>
              <w:jc w:val="center"/>
              <w:rPr>
                <w:rFonts w:hint="eastAsia" w:ascii="宋体" w:hAnsi="宋体" w:eastAsia="宋体" w:cs="宋体"/>
                <w:b/>
                <w:color w:val="000000"/>
                <w:kern w:val="0"/>
                <w:szCs w:val="21"/>
                <w:highlight w:val="none"/>
              </w:rPr>
            </w:pPr>
            <w:r>
              <w:rPr>
                <w:rFonts w:hint="eastAsia" w:ascii="宋体" w:hAnsi="宋体" w:eastAsia="宋体" w:cs="宋体"/>
                <w:b/>
                <w:color w:val="000000"/>
                <w:kern w:val="0"/>
                <w:szCs w:val="21"/>
                <w:highlight w:val="none"/>
              </w:rPr>
              <w:t>评审因素</w:t>
            </w:r>
          </w:p>
        </w:tc>
        <w:tc>
          <w:tcPr>
            <w:tcW w:w="3460" w:type="dxa"/>
            <w:noWrap w:val="0"/>
            <w:vAlign w:val="center"/>
          </w:tcPr>
          <w:p w14:paraId="7DE7A459">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b/>
                <w:color w:val="000000"/>
                <w:kern w:val="0"/>
                <w:szCs w:val="21"/>
                <w:highlight w:val="none"/>
              </w:rPr>
            </w:pPr>
            <w:r>
              <w:rPr>
                <w:rFonts w:hint="eastAsia" w:ascii="宋体" w:hAnsi="宋体" w:eastAsia="宋体" w:cs="宋体"/>
                <w:b/>
                <w:color w:val="000000"/>
                <w:kern w:val="0"/>
                <w:szCs w:val="21"/>
                <w:highlight w:val="none"/>
              </w:rPr>
              <w:t>页码范围及说明</w:t>
            </w:r>
          </w:p>
        </w:tc>
      </w:tr>
      <w:tr w14:paraId="284CF9B0">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17" w:hRule="atLeast"/>
          <w:jc w:val="center"/>
        </w:trPr>
        <w:tc>
          <w:tcPr>
            <w:tcW w:w="912" w:type="dxa"/>
            <w:vMerge w:val="restart"/>
            <w:noWrap w:val="0"/>
            <w:vAlign w:val="center"/>
          </w:tcPr>
          <w:p w14:paraId="71350F02">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1</w:t>
            </w:r>
          </w:p>
        </w:tc>
        <w:tc>
          <w:tcPr>
            <w:tcW w:w="1277" w:type="dxa"/>
            <w:vMerge w:val="restart"/>
            <w:noWrap w:val="0"/>
            <w:vAlign w:val="center"/>
          </w:tcPr>
          <w:p w14:paraId="29A263FE">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形式评审标准</w:t>
            </w:r>
          </w:p>
        </w:tc>
        <w:tc>
          <w:tcPr>
            <w:tcW w:w="3825" w:type="dxa"/>
            <w:noWrap w:val="0"/>
            <w:vAlign w:val="center"/>
          </w:tcPr>
          <w:p w14:paraId="71EDF360">
            <w:pPr>
              <w:keepNext w:val="0"/>
              <w:keepLines w:val="0"/>
              <w:suppressLineNumbers w:val="0"/>
              <w:spacing w:before="24" w:beforeAutospacing="0" w:after="24" w:afterAutospacing="0"/>
              <w:ind w:left="0" w:right="0"/>
              <w:jc w:val="center"/>
              <w:rPr>
                <w:rFonts w:hint="eastAsia" w:ascii="宋体" w:hAnsi="宋体" w:eastAsia="宋体" w:cs="宋体"/>
                <w:color w:val="000000"/>
                <w:kern w:val="0"/>
                <w:szCs w:val="21"/>
                <w:highlight w:val="none"/>
              </w:rPr>
            </w:pPr>
          </w:p>
        </w:tc>
        <w:tc>
          <w:tcPr>
            <w:tcW w:w="3460" w:type="dxa"/>
            <w:noWrap w:val="0"/>
            <w:vAlign w:val="center"/>
          </w:tcPr>
          <w:p w14:paraId="11956C6A">
            <w:pPr>
              <w:keepNext w:val="0"/>
              <w:keepLines w:val="0"/>
              <w:widowControl/>
              <w:suppressLineNumbers w:val="0"/>
              <w:adjustRightInd w:val="0"/>
              <w:snapToGrid w:val="0"/>
              <w:spacing w:before="0" w:beforeAutospacing="0" w:after="0" w:afterAutospacing="0" w:line="240" w:lineRule="auto"/>
              <w:ind w:left="0" w:right="0"/>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说明：XX</w:t>
            </w:r>
          </w:p>
          <w:p w14:paraId="12E59C3C">
            <w:pPr>
              <w:keepNext w:val="0"/>
              <w:keepLines w:val="0"/>
              <w:suppressLineNumbers w:val="0"/>
              <w:spacing w:before="24" w:beforeAutospacing="0" w:after="24" w:afterAutospacing="0"/>
              <w:ind w:left="0" w:right="0"/>
              <w:jc w:val="left"/>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详见N-M页</w:t>
            </w:r>
          </w:p>
        </w:tc>
      </w:tr>
      <w:tr w14:paraId="08C6F17B">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17" w:hRule="atLeast"/>
          <w:jc w:val="center"/>
        </w:trPr>
        <w:tc>
          <w:tcPr>
            <w:tcW w:w="912" w:type="dxa"/>
            <w:vMerge w:val="continue"/>
            <w:noWrap w:val="0"/>
            <w:vAlign w:val="center"/>
          </w:tcPr>
          <w:p w14:paraId="57E5F5C6">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000000"/>
                <w:kern w:val="0"/>
                <w:szCs w:val="21"/>
                <w:highlight w:val="none"/>
              </w:rPr>
            </w:pPr>
          </w:p>
        </w:tc>
        <w:tc>
          <w:tcPr>
            <w:tcW w:w="1277" w:type="dxa"/>
            <w:vMerge w:val="continue"/>
            <w:noWrap w:val="0"/>
            <w:vAlign w:val="center"/>
          </w:tcPr>
          <w:p w14:paraId="1685B971">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000000"/>
                <w:kern w:val="0"/>
                <w:szCs w:val="21"/>
                <w:highlight w:val="none"/>
              </w:rPr>
            </w:pPr>
          </w:p>
        </w:tc>
        <w:tc>
          <w:tcPr>
            <w:tcW w:w="3825" w:type="dxa"/>
            <w:noWrap w:val="0"/>
            <w:vAlign w:val="center"/>
          </w:tcPr>
          <w:p w14:paraId="0C759880">
            <w:pPr>
              <w:keepNext w:val="0"/>
              <w:keepLines w:val="0"/>
              <w:suppressLineNumbers w:val="0"/>
              <w:spacing w:before="24" w:beforeAutospacing="0" w:after="24" w:afterAutospacing="0"/>
              <w:ind w:left="0" w:right="0"/>
              <w:jc w:val="center"/>
              <w:rPr>
                <w:rFonts w:hint="eastAsia" w:ascii="宋体" w:hAnsi="宋体" w:eastAsia="宋体" w:cs="宋体"/>
                <w:color w:val="000000"/>
                <w:kern w:val="0"/>
                <w:szCs w:val="21"/>
                <w:highlight w:val="none"/>
              </w:rPr>
            </w:pPr>
          </w:p>
        </w:tc>
        <w:tc>
          <w:tcPr>
            <w:tcW w:w="3460" w:type="dxa"/>
            <w:noWrap w:val="0"/>
            <w:vAlign w:val="center"/>
          </w:tcPr>
          <w:p w14:paraId="29E9621F">
            <w:pPr>
              <w:keepNext w:val="0"/>
              <w:keepLines w:val="0"/>
              <w:suppressLineNumbers w:val="0"/>
              <w:spacing w:before="24" w:beforeAutospacing="0" w:after="24" w:afterAutospacing="0"/>
              <w:ind w:left="0" w:right="0"/>
              <w:jc w:val="left"/>
              <w:rPr>
                <w:rFonts w:hint="eastAsia" w:ascii="宋体" w:hAnsi="宋体" w:eastAsia="宋体" w:cs="宋体"/>
                <w:color w:val="000000"/>
                <w:kern w:val="0"/>
                <w:szCs w:val="21"/>
                <w:highlight w:val="none"/>
              </w:rPr>
            </w:pPr>
          </w:p>
        </w:tc>
      </w:tr>
      <w:tr w14:paraId="286ED3DF">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47" w:hRule="atLeast"/>
          <w:jc w:val="center"/>
        </w:trPr>
        <w:tc>
          <w:tcPr>
            <w:tcW w:w="912" w:type="dxa"/>
            <w:vMerge w:val="continue"/>
            <w:noWrap w:val="0"/>
            <w:vAlign w:val="center"/>
          </w:tcPr>
          <w:p w14:paraId="19C0368E">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000000"/>
                <w:kern w:val="0"/>
                <w:szCs w:val="21"/>
                <w:highlight w:val="none"/>
              </w:rPr>
            </w:pPr>
          </w:p>
        </w:tc>
        <w:tc>
          <w:tcPr>
            <w:tcW w:w="1277" w:type="dxa"/>
            <w:vMerge w:val="continue"/>
            <w:noWrap w:val="0"/>
            <w:vAlign w:val="center"/>
          </w:tcPr>
          <w:p w14:paraId="16D9EB1F">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000000"/>
                <w:kern w:val="0"/>
                <w:szCs w:val="21"/>
                <w:highlight w:val="none"/>
              </w:rPr>
            </w:pPr>
          </w:p>
        </w:tc>
        <w:tc>
          <w:tcPr>
            <w:tcW w:w="3825" w:type="dxa"/>
            <w:noWrap w:val="0"/>
            <w:vAlign w:val="center"/>
          </w:tcPr>
          <w:p w14:paraId="6D771ED4">
            <w:pPr>
              <w:keepNext w:val="0"/>
              <w:keepLines w:val="0"/>
              <w:suppressLineNumbers w:val="0"/>
              <w:spacing w:before="24" w:beforeAutospacing="0" w:after="24" w:afterAutospacing="0"/>
              <w:ind w:left="0" w:right="0"/>
              <w:jc w:val="center"/>
              <w:rPr>
                <w:rFonts w:hint="eastAsia" w:ascii="宋体" w:hAnsi="宋体" w:eastAsia="宋体" w:cs="宋体"/>
                <w:color w:val="000000"/>
                <w:spacing w:val="-4"/>
                <w:kern w:val="0"/>
                <w:szCs w:val="21"/>
                <w:highlight w:val="none"/>
              </w:rPr>
            </w:pPr>
          </w:p>
        </w:tc>
        <w:tc>
          <w:tcPr>
            <w:tcW w:w="3460" w:type="dxa"/>
            <w:noWrap w:val="0"/>
            <w:vAlign w:val="center"/>
          </w:tcPr>
          <w:p w14:paraId="1F2783AD">
            <w:pPr>
              <w:keepNext w:val="0"/>
              <w:keepLines w:val="0"/>
              <w:suppressLineNumbers w:val="0"/>
              <w:spacing w:before="24" w:beforeAutospacing="0" w:after="24" w:afterAutospacing="0"/>
              <w:ind w:left="0" w:right="0"/>
              <w:jc w:val="left"/>
              <w:rPr>
                <w:rFonts w:hint="eastAsia" w:ascii="宋体" w:hAnsi="宋体" w:eastAsia="宋体" w:cs="宋体"/>
                <w:color w:val="000000"/>
                <w:kern w:val="0"/>
                <w:szCs w:val="21"/>
                <w:highlight w:val="none"/>
              </w:rPr>
            </w:pPr>
          </w:p>
        </w:tc>
      </w:tr>
      <w:tr w14:paraId="2E0B4ACF">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47" w:hRule="atLeast"/>
          <w:jc w:val="center"/>
        </w:trPr>
        <w:tc>
          <w:tcPr>
            <w:tcW w:w="912" w:type="dxa"/>
            <w:vMerge w:val="continue"/>
            <w:noWrap w:val="0"/>
            <w:vAlign w:val="center"/>
          </w:tcPr>
          <w:p w14:paraId="482F6FE2">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000000"/>
                <w:kern w:val="0"/>
                <w:szCs w:val="21"/>
                <w:highlight w:val="none"/>
              </w:rPr>
            </w:pPr>
          </w:p>
        </w:tc>
        <w:tc>
          <w:tcPr>
            <w:tcW w:w="1277" w:type="dxa"/>
            <w:vMerge w:val="continue"/>
            <w:noWrap w:val="0"/>
            <w:vAlign w:val="center"/>
          </w:tcPr>
          <w:p w14:paraId="1973D59D">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000000"/>
                <w:kern w:val="0"/>
                <w:szCs w:val="21"/>
                <w:highlight w:val="none"/>
              </w:rPr>
            </w:pPr>
          </w:p>
        </w:tc>
        <w:tc>
          <w:tcPr>
            <w:tcW w:w="3825" w:type="dxa"/>
            <w:noWrap w:val="0"/>
            <w:vAlign w:val="center"/>
          </w:tcPr>
          <w:p w14:paraId="208D6DA4">
            <w:pPr>
              <w:keepNext w:val="0"/>
              <w:keepLines w:val="0"/>
              <w:suppressLineNumbers w:val="0"/>
              <w:spacing w:before="24" w:beforeAutospacing="0" w:after="24" w:afterAutospacing="0"/>
              <w:ind w:left="0" w:right="0"/>
              <w:jc w:val="center"/>
              <w:rPr>
                <w:rFonts w:hint="eastAsia" w:ascii="宋体" w:hAnsi="宋体" w:eastAsia="宋体" w:cs="宋体"/>
                <w:color w:val="000000"/>
                <w:kern w:val="0"/>
                <w:szCs w:val="21"/>
                <w:highlight w:val="none"/>
              </w:rPr>
            </w:pPr>
          </w:p>
        </w:tc>
        <w:tc>
          <w:tcPr>
            <w:tcW w:w="3460" w:type="dxa"/>
            <w:noWrap w:val="0"/>
            <w:vAlign w:val="center"/>
          </w:tcPr>
          <w:p w14:paraId="344DA440">
            <w:pPr>
              <w:keepNext w:val="0"/>
              <w:keepLines w:val="0"/>
              <w:suppressLineNumbers w:val="0"/>
              <w:spacing w:before="24" w:beforeAutospacing="0" w:after="24" w:afterAutospacing="0"/>
              <w:ind w:left="0" w:right="0"/>
              <w:jc w:val="left"/>
              <w:rPr>
                <w:rFonts w:hint="eastAsia" w:ascii="宋体" w:hAnsi="宋体" w:eastAsia="宋体" w:cs="宋体"/>
                <w:color w:val="000000"/>
                <w:kern w:val="0"/>
                <w:szCs w:val="21"/>
                <w:highlight w:val="none"/>
              </w:rPr>
            </w:pPr>
          </w:p>
        </w:tc>
      </w:tr>
      <w:tr w14:paraId="77726ECD">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361" w:hRule="atLeast"/>
          <w:jc w:val="center"/>
        </w:trPr>
        <w:tc>
          <w:tcPr>
            <w:tcW w:w="912" w:type="dxa"/>
            <w:vMerge w:val="restart"/>
            <w:noWrap w:val="0"/>
            <w:vAlign w:val="center"/>
          </w:tcPr>
          <w:p w14:paraId="296967D1">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2</w:t>
            </w:r>
          </w:p>
        </w:tc>
        <w:tc>
          <w:tcPr>
            <w:tcW w:w="1277" w:type="dxa"/>
            <w:vMerge w:val="restart"/>
            <w:noWrap w:val="0"/>
            <w:vAlign w:val="center"/>
          </w:tcPr>
          <w:p w14:paraId="49D7E4A3">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资格评审标准</w:t>
            </w:r>
          </w:p>
        </w:tc>
        <w:tc>
          <w:tcPr>
            <w:tcW w:w="3825" w:type="dxa"/>
            <w:noWrap w:val="0"/>
            <w:vAlign w:val="center"/>
          </w:tcPr>
          <w:p w14:paraId="1C92BA5F">
            <w:pPr>
              <w:keepNext w:val="0"/>
              <w:keepLines w:val="0"/>
              <w:suppressLineNumbers w:val="0"/>
              <w:spacing w:before="24" w:beforeAutospacing="0" w:after="24" w:afterAutospacing="0"/>
              <w:ind w:left="0" w:leftChars="0" w:right="0" w:rightChars="0"/>
              <w:jc w:val="center"/>
              <w:rPr>
                <w:rFonts w:hint="eastAsia" w:ascii="宋体" w:hAnsi="宋体" w:eastAsia="宋体" w:cs="宋体"/>
                <w:color w:val="000000"/>
                <w:kern w:val="0"/>
                <w:szCs w:val="21"/>
                <w:highlight w:val="none"/>
              </w:rPr>
            </w:pPr>
          </w:p>
        </w:tc>
        <w:tc>
          <w:tcPr>
            <w:tcW w:w="3460" w:type="dxa"/>
            <w:noWrap w:val="0"/>
            <w:vAlign w:val="top"/>
          </w:tcPr>
          <w:p w14:paraId="4C0DE04D">
            <w:pPr>
              <w:keepNext w:val="0"/>
              <w:keepLines w:val="0"/>
              <w:suppressLineNumbers w:val="0"/>
              <w:spacing w:before="24" w:beforeAutospacing="0" w:after="24" w:afterAutospacing="0"/>
              <w:ind w:left="0" w:leftChars="0" w:right="0" w:rightChars="0"/>
              <w:jc w:val="left"/>
              <w:rPr>
                <w:rFonts w:hint="eastAsia" w:ascii="宋体" w:hAnsi="宋体" w:eastAsia="宋体" w:cs="宋体"/>
                <w:color w:val="000000"/>
                <w:szCs w:val="21"/>
                <w:highlight w:val="none"/>
              </w:rPr>
            </w:pPr>
          </w:p>
        </w:tc>
      </w:tr>
      <w:tr w14:paraId="0FAB0BD0">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361" w:hRule="atLeast"/>
          <w:jc w:val="center"/>
        </w:trPr>
        <w:tc>
          <w:tcPr>
            <w:tcW w:w="912" w:type="dxa"/>
            <w:vMerge w:val="continue"/>
            <w:noWrap w:val="0"/>
            <w:vAlign w:val="center"/>
          </w:tcPr>
          <w:p w14:paraId="7F457BCD">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000000"/>
                <w:kern w:val="0"/>
                <w:szCs w:val="21"/>
                <w:highlight w:val="none"/>
              </w:rPr>
            </w:pPr>
          </w:p>
        </w:tc>
        <w:tc>
          <w:tcPr>
            <w:tcW w:w="1277" w:type="dxa"/>
            <w:vMerge w:val="continue"/>
            <w:noWrap w:val="0"/>
            <w:vAlign w:val="center"/>
          </w:tcPr>
          <w:p w14:paraId="3574D9D9">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000000"/>
                <w:kern w:val="0"/>
                <w:szCs w:val="21"/>
                <w:highlight w:val="none"/>
              </w:rPr>
            </w:pPr>
          </w:p>
        </w:tc>
        <w:tc>
          <w:tcPr>
            <w:tcW w:w="3825" w:type="dxa"/>
            <w:noWrap w:val="0"/>
            <w:vAlign w:val="center"/>
          </w:tcPr>
          <w:p w14:paraId="5FC59939">
            <w:pPr>
              <w:keepNext w:val="0"/>
              <w:keepLines w:val="0"/>
              <w:suppressLineNumbers w:val="0"/>
              <w:spacing w:before="24" w:beforeAutospacing="0" w:after="24" w:afterAutospacing="0"/>
              <w:ind w:left="0" w:leftChars="0" w:right="0" w:rightChars="0"/>
              <w:jc w:val="center"/>
              <w:rPr>
                <w:rFonts w:hint="eastAsia" w:ascii="宋体" w:hAnsi="宋体" w:eastAsia="宋体" w:cs="宋体"/>
                <w:color w:val="000000"/>
                <w:szCs w:val="21"/>
                <w:highlight w:val="none"/>
              </w:rPr>
            </w:pPr>
          </w:p>
        </w:tc>
        <w:tc>
          <w:tcPr>
            <w:tcW w:w="3460" w:type="dxa"/>
            <w:noWrap w:val="0"/>
            <w:vAlign w:val="top"/>
          </w:tcPr>
          <w:p w14:paraId="6D5DC812">
            <w:pPr>
              <w:keepNext w:val="0"/>
              <w:keepLines w:val="0"/>
              <w:suppressLineNumbers w:val="0"/>
              <w:spacing w:before="0" w:beforeAutospacing="0" w:after="0" w:afterAutospacing="0"/>
              <w:ind w:left="0" w:leftChars="0" w:right="0" w:rightChars="0"/>
              <w:rPr>
                <w:rFonts w:hint="eastAsia" w:ascii="宋体" w:hAnsi="宋体" w:eastAsia="宋体" w:cs="宋体"/>
                <w:color w:val="000000"/>
                <w:szCs w:val="21"/>
                <w:highlight w:val="none"/>
              </w:rPr>
            </w:pPr>
          </w:p>
        </w:tc>
      </w:tr>
      <w:tr w14:paraId="30D22BC0">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376" w:hRule="atLeast"/>
          <w:jc w:val="center"/>
        </w:trPr>
        <w:tc>
          <w:tcPr>
            <w:tcW w:w="912" w:type="dxa"/>
            <w:vMerge w:val="continue"/>
            <w:noWrap w:val="0"/>
            <w:vAlign w:val="center"/>
          </w:tcPr>
          <w:p w14:paraId="1EB3931E">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000000"/>
                <w:kern w:val="0"/>
                <w:szCs w:val="21"/>
                <w:highlight w:val="none"/>
              </w:rPr>
            </w:pPr>
          </w:p>
        </w:tc>
        <w:tc>
          <w:tcPr>
            <w:tcW w:w="1277" w:type="dxa"/>
            <w:vMerge w:val="continue"/>
            <w:noWrap w:val="0"/>
            <w:vAlign w:val="center"/>
          </w:tcPr>
          <w:p w14:paraId="6A5B031D">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000000"/>
                <w:kern w:val="0"/>
                <w:szCs w:val="21"/>
                <w:highlight w:val="none"/>
              </w:rPr>
            </w:pPr>
          </w:p>
        </w:tc>
        <w:tc>
          <w:tcPr>
            <w:tcW w:w="3825" w:type="dxa"/>
            <w:noWrap w:val="0"/>
            <w:vAlign w:val="center"/>
          </w:tcPr>
          <w:p w14:paraId="4B1658F3">
            <w:pPr>
              <w:keepNext w:val="0"/>
              <w:keepLines w:val="0"/>
              <w:suppressLineNumbers w:val="0"/>
              <w:spacing w:before="24" w:beforeAutospacing="0" w:after="24" w:afterAutospacing="0"/>
              <w:ind w:left="0" w:leftChars="0" w:right="0" w:rightChars="0"/>
              <w:jc w:val="center"/>
              <w:rPr>
                <w:rFonts w:hint="eastAsia" w:ascii="宋体" w:hAnsi="宋体" w:eastAsia="宋体" w:cs="宋体"/>
                <w:color w:val="000000"/>
                <w:szCs w:val="21"/>
                <w:highlight w:val="none"/>
              </w:rPr>
            </w:pPr>
          </w:p>
        </w:tc>
        <w:tc>
          <w:tcPr>
            <w:tcW w:w="3460" w:type="dxa"/>
            <w:noWrap w:val="0"/>
            <w:vAlign w:val="center"/>
          </w:tcPr>
          <w:p w14:paraId="039BA6BC">
            <w:pPr>
              <w:keepNext w:val="0"/>
              <w:keepLines w:val="0"/>
              <w:suppressLineNumbers w:val="0"/>
              <w:spacing w:before="24" w:beforeAutospacing="0" w:after="24" w:afterAutospacing="0"/>
              <w:ind w:left="0" w:leftChars="0" w:right="0" w:rightChars="0"/>
              <w:jc w:val="left"/>
              <w:rPr>
                <w:rFonts w:hint="eastAsia" w:ascii="宋体" w:hAnsi="宋体" w:eastAsia="宋体" w:cs="宋体"/>
                <w:color w:val="000000"/>
                <w:szCs w:val="21"/>
                <w:highlight w:val="none"/>
              </w:rPr>
            </w:pPr>
          </w:p>
        </w:tc>
      </w:tr>
      <w:tr w14:paraId="68BA06D8">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376" w:hRule="atLeast"/>
          <w:jc w:val="center"/>
        </w:trPr>
        <w:tc>
          <w:tcPr>
            <w:tcW w:w="912" w:type="dxa"/>
            <w:vMerge w:val="continue"/>
            <w:noWrap w:val="0"/>
            <w:vAlign w:val="center"/>
          </w:tcPr>
          <w:p w14:paraId="47DE4DD9">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000000"/>
                <w:kern w:val="0"/>
                <w:szCs w:val="21"/>
                <w:highlight w:val="none"/>
              </w:rPr>
            </w:pPr>
          </w:p>
        </w:tc>
        <w:tc>
          <w:tcPr>
            <w:tcW w:w="1277" w:type="dxa"/>
            <w:vMerge w:val="continue"/>
            <w:noWrap w:val="0"/>
            <w:vAlign w:val="center"/>
          </w:tcPr>
          <w:p w14:paraId="5251A5E0">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000000"/>
                <w:kern w:val="0"/>
                <w:szCs w:val="21"/>
                <w:highlight w:val="none"/>
              </w:rPr>
            </w:pPr>
          </w:p>
        </w:tc>
        <w:tc>
          <w:tcPr>
            <w:tcW w:w="3825" w:type="dxa"/>
            <w:noWrap w:val="0"/>
            <w:vAlign w:val="center"/>
          </w:tcPr>
          <w:p w14:paraId="66894A0A">
            <w:pPr>
              <w:keepNext w:val="0"/>
              <w:keepLines w:val="0"/>
              <w:suppressLineNumbers w:val="0"/>
              <w:spacing w:before="24" w:beforeAutospacing="0" w:after="24" w:afterAutospacing="0"/>
              <w:ind w:left="0" w:leftChars="0" w:right="0" w:rightChars="0"/>
              <w:jc w:val="center"/>
              <w:rPr>
                <w:rFonts w:hint="eastAsia" w:ascii="宋体" w:hAnsi="宋体" w:eastAsia="宋体" w:cs="宋体"/>
                <w:color w:val="000000"/>
                <w:szCs w:val="21"/>
                <w:highlight w:val="none"/>
              </w:rPr>
            </w:pPr>
          </w:p>
        </w:tc>
        <w:tc>
          <w:tcPr>
            <w:tcW w:w="3460" w:type="dxa"/>
            <w:noWrap w:val="0"/>
            <w:vAlign w:val="center"/>
          </w:tcPr>
          <w:p w14:paraId="56A33E61">
            <w:pPr>
              <w:keepNext w:val="0"/>
              <w:keepLines w:val="0"/>
              <w:suppressLineNumbers w:val="0"/>
              <w:spacing w:before="24" w:beforeAutospacing="0" w:after="24" w:afterAutospacing="0"/>
              <w:ind w:left="0" w:leftChars="0" w:right="0" w:rightChars="0"/>
              <w:jc w:val="left"/>
              <w:rPr>
                <w:rFonts w:hint="eastAsia" w:ascii="宋体" w:hAnsi="宋体" w:eastAsia="宋体" w:cs="宋体"/>
                <w:color w:val="000000"/>
                <w:kern w:val="0"/>
                <w:szCs w:val="21"/>
                <w:highlight w:val="none"/>
              </w:rPr>
            </w:pPr>
          </w:p>
        </w:tc>
      </w:tr>
      <w:tr w14:paraId="64C9B207">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376" w:hRule="atLeast"/>
          <w:jc w:val="center"/>
        </w:trPr>
        <w:tc>
          <w:tcPr>
            <w:tcW w:w="912" w:type="dxa"/>
            <w:vMerge w:val="continue"/>
            <w:noWrap w:val="0"/>
            <w:vAlign w:val="center"/>
          </w:tcPr>
          <w:p w14:paraId="0DB29626">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000000"/>
                <w:kern w:val="0"/>
                <w:szCs w:val="21"/>
                <w:highlight w:val="none"/>
              </w:rPr>
            </w:pPr>
          </w:p>
        </w:tc>
        <w:tc>
          <w:tcPr>
            <w:tcW w:w="1277" w:type="dxa"/>
            <w:vMerge w:val="continue"/>
            <w:noWrap w:val="0"/>
            <w:vAlign w:val="center"/>
          </w:tcPr>
          <w:p w14:paraId="586FCF51">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000000"/>
                <w:kern w:val="0"/>
                <w:szCs w:val="21"/>
                <w:highlight w:val="none"/>
              </w:rPr>
            </w:pPr>
          </w:p>
        </w:tc>
        <w:tc>
          <w:tcPr>
            <w:tcW w:w="3825" w:type="dxa"/>
            <w:noWrap w:val="0"/>
            <w:vAlign w:val="center"/>
          </w:tcPr>
          <w:p w14:paraId="36F84C93">
            <w:pPr>
              <w:keepNext w:val="0"/>
              <w:keepLines w:val="0"/>
              <w:suppressLineNumbers w:val="0"/>
              <w:spacing w:before="24" w:beforeAutospacing="0" w:after="24" w:afterAutospacing="0"/>
              <w:ind w:left="0" w:leftChars="0" w:right="0" w:rightChars="0" w:firstLine="0" w:firstLineChars="0"/>
              <w:jc w:val="center"/>
              <w:rPr>
                <w:rFonts w:hint="eastAsia" w:ascii="宋体" w:hAnsi="宋体" w:eastAsia="宋体" w:cs="宋体"/>
                <w:color w:val="FF0000"/>
                <w:szCs w:val="21"/>
                <w:highlight w:val="none"/>
                <w:lang w:val="en-US" w:eastAsia="zh-CN"/>
              </w:rPr>
            </w:pPr>
          </w:p>
        </w:tc>
        <w:tc>
          <w:tcPr>
            <w:tcW w:w="3460" w:type="dxa"/>
            <w:noWrap w:val="0"/>
            <w:vAlign w:val="center"/>
          </w:tcPr>
          <w:p w14:paraId="79DFED55">
            <w:pPr>
              <w:keepNext w:val="0"/>
              <w:keepLines w:val="0"/>
              <w:suppressLineNumbers w:val="0"/>
              <w:spacing w:before="24" w:beforeAutospacing="0" w:after="24" w:afterAutospacing="0"/>
              <w:ind w:left="0" w:leftChars="0" w:right="0" w:rightChars="0"/>
              <w:jc w:val="left"/>
              <w:rPr>
                <w:rFonts w:hint="eastAsia" w:ascii="宋体" w:hAnsi="宋体" w:eastAsia="宋体" w:cs="宋体"/>
                <w:color w:val="000000"/>
                <w:kern w:val="0"/>
                <w:szCs w:val="21"/>
                <w:highlight w:val="none"/>
              </w:rPr>
            </w:pPr>
          </w:p>
        </w:tc>
      </w:tr>
      <w:tr w14:paraId="693ED808">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376" w:hRule="atLeast"/>
          <w:jc w:val="center"/>
        </w:trPr>
        <w:tc>
          <w:tcPr>
            <w:tcW w:w="912" w:type="dxa"/>
            <w:vMerge w:val="continue"/>
            <w:noWrap w:val="0"/>
            <w:vAlign w:val="center"/>
          </w:tcPr>
          <w:p w14:paraId="41979293">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000000"/>
                <w:kern w:val="0"/>
                <w:szCs w:val="21"/>
                <w:highlight w:val="none"/>
              </w:rPr>
            </w:pPr>
          </w:p>
        </w:tc>
        <w:tc>
          <w:tcPr>
            <w:tcW w:w="1277" w:type="dxa"/>
            <w:vMerge w:val="continue"/>
            <w:noWrap w:val="0"/>
            <w:vAlign w:val="center"/>
          </w:tcPr>
          <w:p w14:paraId="462E7A3B">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000000"/>
                <w:kern w:val="0"/>
                <w:szCs w:val="21"/>
                <w:highlight w:val="none"/>
              </w:rPr>
            </w:pPr>
          </w:p>
        </w:tc>
        <w:tc>
          <w:tcPr>
            <w:tcW w:w="3825" w:type="dxa"/>
            <w:noWrap w:val="0"/>
            <w:vAlign w:val="center"/>
          </w:tcPr>
          <w:p w14:paraId="6FB5C063">
            <w:pPr>
              <w:keepNext w:val="0"/>
              <w:keepLines w:val="0"/>
              <w:suppressLineNumbers w:val="0"/>
              <w:spacing w:before="24" w:beforeAutospacing="0" w:after="24" w:afterAutospacing="0"/>
              <w:ind w:left="0" w:leftChars="0" w:right="0" w:rightChars="0"/>
              <w:jc w:val="center"/>
              <w:rPr>
                <w:rFonts w:hint="eastAsia" w:ascii="宋体" w:hAnsi="宋体" w:eastAsia="宋体" w:cs="宋体"/>
                <w:color w:val="FF0000"/>
                <w:szCs w:val="21"/>
                <w:highlight w:val="none"/>
                <w:lang w:val="en-US" w:eastAsia="zh-CN"/>
              </w:rPr>
            </w:pPr>
          </w:p>
        </w:tc>
        <w:tc>
          <w:tcPr>
            <w:tcW w:w="3460" w:type="dxa"/>
            <w:noWrap w:val="0"/>
            <w:vAlign w:val="center"/>
          </w:tcPr>
          <w:p w14:paraId="201E0246">
            <w:pPr>
              <w:keepNext w:val="0"/>
              <w:keepLines w:val="0"/>
              <w:suppressLineNumbers w:val="0"/>
              <w:spacing w:before="24" w:beforeAutospacing="0" w:after="24" w:afterAutospacing="0"/>
              <w:ind w:left="0" w:leftChars="0" w:right="0" w:rightChars="0"/>
              <w:jc w:val="left"/>
              <w:rPr>
                <w:rFonts w:hint="eastAsia" w:ascii="宋体" w:hAnsi="宋体" w:eastAsia="宋体" w:cs="宋体"/>
                <w:color w:val="000000"/>
                <w:kern w:val="0"/>
                <w:szCs w:val="21"/>
                <w:highlight w:val="none"/>
              </w:rPr>
            </w:pPr>
          </w:p>
        </w:tc>
      </w:tr>
      <w:tr w14:paraId="215210A7">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376" w:hRule="atLeast"/>
          <w:jc w:val="center"/>
        </w:trPr>
        <w:tc>
          <w:tcPr>
            <w:tcW w:w="912" w:type="dxa"/>
            <w:vMerge w:val="continue"/>
            <w:noWrap w:val="0"/>
            <w:vAlign w:val="center"/>
          </w:tcPr>
          <w:p w14:paraId="06ADCA4B">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000000"/>
                <w:kern w:val="0"/>
                <w:szCs w:val="21"/>
                <w:highlight w:val="none"/>
              </w:rPr>
            </w:pPr>
          </w:p>
        </w:tc>
        <w:tc>
          <w:tcPr>
            <w:tcW w:w="1277" w:type="dxa"/>
            <w:vMerge w:val="continue"/>
            <w:noWrap w:val="0"/>
            <w:vAlign w:val="center"/>
          </w:tcPr>
          <w:p w14:paraId="27C652E0">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000000"/>
                <w:kern w:val="0"/>
                <w:szCs w:val="21"/>
                <w:highlight w:val="none"/>
              </w:rPr>
            </w:pPr>
          </w:p>
        </w:tc>
        <w:tc>
          <w:tcPr>
            <w:tcW w:w="3825" w:type="dxa"/>
            <w:noWrap w:val="0"/>
            <w:vAlign w:val="center"/>
          </w:tcPr>
          <w:p w14:paraId="02E68C5A">
            <w:pPr>
              <w:keepNext w:val="0"/>
              <w:keepLines w:val="0"/>
              <w:suppressLineNumbers w:val="0"/>
              <w:spacing w:before="24" w:beforeAutospacing="0" w:after="24" w:afterAutospacing="0"/>
              <w:ind w:left="0" w:leftChars="0" w:right="0" w:rightChars="0"/>
              <w:jc w:val="center"/>
              <w:rPr>
                <w:rFonts w:hint="eastAsia" w:ascii="宋体" w:hAnsi="宋体" w:eastAsia="宋体" w:cs="宋体"/>
                <w:color w:val="FF0000"/>
                <w:szCs w:val="21"/>
                <w:highlight w:val="none"/>
                <w:lang w:val="en-US" w:eastAsia="zh-CN"/>
              </w:rPr>
            </w:pPr>
          </w:p>
        </w:tc>
        <w:tc>
          <w:tcPr>
            <w:tcW w:w="3460" w:type="dxa"/>
            <w:noWrap w:val="0"/>
            <w:vAlign w:val="center"/>
          </w:tcPr>
          <w:p w14:paraId="3CAD55B3">
            <w:pPr>
              <w:keepNext w:val="0"/>
              <w:keepLines w:val="0"/>
              <w:suppressLineNumbers w:val="0"/>
              <w:spacing w:before="24" w:beforeAutospacing="0" w:after="24" w:afterAutospacing="0"/>
              <w:ind w:left="0" w:leftChars="0" w:right="0" w:rightChars="0"/>
              <w:jc w:val="left"/>
              <w:rPr>
                <w:rFonts w:hint="eastAsia" w:ascii="宋体" w:hAnsi="宋体" w:eastAsia="宋体" w:cs="宋体"/>
                <w:color w:val="000000"/>
                <w:kern w:val="0"/>
                <w:szCs w:val="21"/>
                <w:highlight w:val="none"/>
              </w:rPr>
            </w:pPr>
          </w:p>
        </w:tc>
      </w:tr>
      <w:tr w14:paraId="4DAF0459">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376" w:hRule="atLeast"/>
          <w:jc w:val="center"/>
        </w:trPr>
        <w:tc>
          <w:tcPr>
            <w:tcW w:w="912" w:type="dxa"/>
            <w:vMerge w:val="continue"/>
            <w:noWrap w:val="0"/>
            <w:vAlign w:val="center"/>
          </w:tcPr>
          <w:p w14:paraId="19F4A781">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000000"/>
                <w:kern w:val="0"/>
                <w:szCs w:val="21"/>
                <w:highlight w:val="none"/>
              </w:rPr>
            </w:pPr>
          </w:p>
        </w:tc>
        <w:tc>
          <w:tcPr>
            <w:tcW w:w="1277" w:type="dxa"/>
            <w:vMerge w:val="continue"/>
            <w:noWrap w:val="0"/>
            <w:vAlign w:val="center"/>
          </w:tcPr>
          <w:p w14:paraId="506E93EB">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000000"/>
                <w:kern w:val="0"/>
                <w:szCs w:val="21"/>
                <w:highlight w:val="none"/>
              </w:rPr>
            </w:pPr>
          </w:p>
        </w:tc>
        <w:tc>
          <w:tcPr>
            <w:tcW w:w="3825" w:type="dxa"/>
            <w:noWrap w:val="0"/>
            <w:vAlign w:val="center"/>
          </w:tcPr>
          <w:p w14:paraId="3EF04B8C">
            <w:pPr>
              <w:keepNext w:val="0"/>
              <w:keepLines w:val="0"/>
              <w:suppressLineNumbers w:val="0"/>
              <w:spacing w:before="24" w:beforeAutospacing="0" w:after="24" w:afterAutospacing="0"/>
              <w:ind w:left="0" w:leftChars="0" w:right="0" w:rightChars="0"/>
              <w:jc w:val="center"/>
              <w:rPr>
                <w:rFonts w:hint="eastAsia" w:ascii="宋体" w:hAnsi="宋体" w:eastAsia="宋体" w:cs="宋体"/>
                <w:color w:val="FF0000"/>
                <w:szCs w:val="21"/>
                <w:highlight w:val="none"/>
                <w:lang w:val="en-US" w:eastAsia="zh-CN"/>
              </w:rPr>
            </w:pPr>
          </w:p>
        </w:tc>
        <w:tc>
          <w:tcPr>
            <w:tcW w:w="3460" w:type="dxa"/>
            <w:noWrap w:val="0"/>
            <w:vAlign w:val="top"/>
          </w:tcPr>
          <w:p w14:paraId="45446772">
            <w:pPr>
              <w:keepNext w:val="0"/>
              <w:keepLines w:val="0"/>
              <w:suppressLineNumbers w:val="0"/>
              <w:spacing w:before="24" w:beforeAutospacing="0" w:after="24" w:afterAutospacing="0"/>
              <w:ind w:left="0" w:leftChars="0" w:right="0" w:rightChars="0"/>
              <w:jc w:val="left"/>
              <w:rPr>
                <w:rFonts w:hint="eastAsia" w:ascii="宋体" w:hAnsi="宋体" w:eastAsia="宋体" w:cs="宋体"/>
                <w:color w:val="000000"/>
                <w:szCs w:val="21"/>
                <w:highlight w:val="none"/>
              </w:rPr>
            </w:pPr>
          </w:p>
        </w:tc>
      </w:tr>
      <w:tr w14:paraId="211F864B">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361" w:hRule="atLeast"/>
          <w:jc w:val="center"/>
        </w:trPr>
        <w:tc>
          <w:tcPr>
            <w:tcW w:w="912" w:type="dxa"/>
            <w:vMerge w:val="restart"/>
            <w:noWrap w:val="0"/>
            <w:vAlign w:val="center"/>
          </w:tcPr>
          <w:p w14:paraId="16EF023D">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3</w:t>
            </w:r>
          </w:p>
        </w:tc>
        <w:tc>
          <w:tcPr>
            <w:tcW w:w="1277" w:type="dxa"/>
            <w:vMerge w:val="restart"/>
            <w:noWrap w:val="0"/>
            <w:vAlign w:val="center"/>
          </w:tcPr>
          <w:p w14:paraId="59BEAD28">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响应性评审标准</w:t>
            </w:r>
          </w:p>
        </w:tc>
        <w:tc>
          <w:tcPr>
            <w:tcW w:w="3825" w:type="dxa"/>
            <w:noWrap w:val="0"/>
            <w:vAlign w:val="center"/>
          </w:tcPr>
          <w:p w14:paraId="7E37F772">
            <w:pPr>
              <w:keepNext w:val="0"/>
              <w:keepLines w:val="0"/>
              <w:suppressLineNumbers w:val="0"/>
              <w:spacing w:before="24" w:beforeAutospacing="0" w:after="24" w:afterAutospacing="0"/>
              <w:ind w:left="0" w:right="0"/>
              <w:jc w:val="center"/>
              <w:rPr>
                <w:rFonts w:hint="eastAsia" w:ascii="宋体" w:hAnsi="宋体" w:eastAsia="宋体" w:cs="宋体"/>
                <w:color w:val="000000"/>
                <w:kern w:val="0"/>
                <w:szCs w:val="21"/>
                <w:highlight w:val="none"/>
                <w:lang w:val="en-US" w:eastAsia="zh-CN"/>
              </w:rPr>
            </w:pPr>
          </w:p>
        </w:tc>
        <w:tc>
          <w:tcPr>
            <w:tcW w:w="3460" w:type="dxa"/>
            <w:noWrap w:val="0"/>
            <w:vAlign w:val="center"/>
          </w:tcPr>
          <w:p w14:paraId="59BCA39C">
            <w:pPr>
              <w:keepNext w:val="0"/>
              <w:keepLines w:val="0"/>
              <w:suppressLineNumbers w:val="0"/>
              <w:spacing w:before="0" w:beforeAutospacing="0" w:after="0" w:afterAutospacing="0"/>
              <w:ind w:left="0" w:right="0"/>
              <w:rPr>
                <w:rFonts w:hint="eastAsia" w:ascii="宋体" w:hAnsi="宋体" w:eastAsia="宋体" w:cs="宋体"/>
                <w:color w:val="000000"/>
                <w:kern w:val="0"/>
                <w:szCs w:val="21"/>
                <w:highlight w:val="none"/>
              </w:rPr>
            </w:pPr>
          </w:p>
        </w:tc>
      </w:tr>
      <w:tr w14:paraId="0695A146">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23" w:hRule="atLeast"/>
          <w:jc w:val="center"/>
        </w:trPr>
        <w:tc>
          <w:tcPr>
            <w:tcW w:w="912" w:type="dxa"/>
            <w:vMerge w:val="continue"/>
            <w:noWrap w:val="0"/>
            <w:vAlign w:val="center"/>
          </w:tcPr>
          <w:p w14:paraId="7F28BBC5">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000000"/>
                <w:kern w:val="0"/>
                <w:szCs w:val="21"/>
                <w:highlight w:val="none"/>
              </w:rPr>
            </w:pPr>
          </w:p>
        </w:tc>
        <w:tc>
          <w:tcPr>
            <w:tcW w:w="1277" w:type="dxa"/>
            <w:vMerge w:val="continue"/>
            <w:noWrap w:val="0"/>
            <w:vAlign w:val="center"/>
          </w:tcPr>
          <w:p w14:paraId="3D8A6B25">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000000"/>
                <w:kern w:val="0"/>
                <w:szCs w:val="21"/>
                <w:highlight w:val="none"/>
              </w:rPr>
            </w:pPr>
          </w:p>
        </w:tc>
        <w:tc>
          <w:tcPr>
            <w:tcW w:w="3825" w:type="dxa"/>
            <w:noWrap w:val="0"/>
            <w:vAlign w:val="center"/>
          </w:tcPr>
          <w:p w14:paraId="3C3AC26D">
            <w:pPr>
              <w:keepNext w:val="0"/>
              <w:keepLines w:val="0"/>
              <w:suppressLineNumbers w:val="0"/>
              <w:spacing w:before="24" w:beforeAutospacing="0" w:after="24" w:afterAutospacing="0"/>
              <w:ind w:left="0" w:right="0"/>
              <w:jc w:val="center"/>
              <w:rPr>
                <w:rFonts w:hint="eastAsia" w:ascii="宋体" w:hAnsi="宋体" w:eastAsia="宋体" w:cs="宋体"/>
                <w:color w:val="000000"/>
                <w:kern w:val="0"/>
                <w:szCs w:val="21"/>
                <w:highlight w:val="none"/>
              </w:rPr>
            </w:pPr>
          </w:p>
        </w:tc>
        <w:tc>
          <w:tcPr>
            <w:tcW w:w="3460" w:type="dxa"/>
            <w:noWrap w:val="0"/>
            <w:vAlign w:val="center"/>
          </w:tcPr>
          <w:p w14:paraId="24784DB6">
            <w:pPr>
              <w:keepNext w:val="0"/>
              <w:keepLines w:val="0"/>
              <w:suppressLineNumbers w:val="0"/>
              <w:spacing w:before="0" w:beforeAutospacing="0" w:after="0" w:afterAutospacing="0"/>
              <w:ind w:left="0" w:right="0"/>
              <w:rPr>
                <w:rFonts w:hint="eastAsia" w:ascii="宋体" w:hAnsi="宋体" w:eastAsia="宋体" w:cs="宋体"/>
                <w:color w:val="000000"/>
                <w:kern w:val="0"/>
                <w:szCs w:val="21"/>
                <w:highlight w:val="none"/>
              </w:rPr>
            </w:pPr>
          </w:p>
        </w:tc>
      </w:tr>
      <w:tr w14:paraId="35B88FB2">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23" w:hRule="atLeast"/>
          <w:jc w:val="center"/>
        </w:trPr>
        <w:tc>
          <w:tcPr>
            <w:tcW w:w="912" w:type="dxa"/>
            <w:vMerge w:val="continue"/>
            <w:noWrap w:val="0"/>
            <w:vAlign w:val="center"/>
          </w:tcPr>
          <w:p w14:paraId="7DFA37DA">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000000"/>
                <w:kern w:val="0"/>
                <w:szCs w:val="21"/>
                <w:highlight w:val="none"/>
              </w:rPr>
            </w:pPr>
          </w:p>
        </w:tc>
        <w:tc>
          <w:tcPr>
            <w:tcW w:w="1277" w:type="dxa"/>
            <w:vMerge w:val="continue"/>
            <w:noWrap w:val="0"/>
            <w:vAlign w:val="center"/>
          </w:tcPr>
          <w:p w14:paraId="1688A597">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000000"/>
                <w:kern w:val="0"/>
                <w:szCs w:val="21"/>
                <w:highlight w:val="none"/>
              </w:rPr>
            </w:pPr>
          </w:p>
        </w:tc>
        <w:tc>
          <w:tcPr>
            <w:tcW w:w="3825" w:type="dxa"/>
            <w:noWrap w:val="0"/>
            <w:vAlign w:val="center"/>
          </w:tcPr>
          <w:p w14:paraId="2083CF16">
            <w:pPr>
              <w:keepNext w:val="0"/>
              <w:keepLines w:val="0"/>
              <w:suppressLineNumbers w:val="0"/>
              <w:spacing w:before="24" w:beforeAutospacing="0" w:after="24" w:afterAutospacing="0"/>
              <w:ind w:left="0" w:right="0"/>
              <w:jc w:val="center"/>
              <w:rPr>
                <w:rFonts w:hint="eastAsia" w:ascii="宋体" w:hAnsi="宋体" w:eastAsia="宋体" w:cs="宋体"/>
                <w:color w:val="000000"/>
                <w:szCs w:val="21"/>
                <w:highlight w:val="none"/>
              </w:rPr>
            </w:pPr>
          </w:p>
        </w:tc>
        <w:tc>
          <w:tcPr>
            <w:tcW w:w="3460" w:type="dxa"/>
            <w:noWrap w:val="0"/>
            <w:vAlign w:val="center"/>
          </w:tcPr>
          <w:p w14:paraId="3D1A5719">
            <w:pPr>
              <w:keepNext w:val="0"/>
              <w:keepLines w:val="0"/>
              <w:suppressLineNumbers w:val="0"/>
              <w:spacing w:before="0" w:beforeAutospacing="0" w:after="0" w:afterAutospacing="0"/>
              <w:ind w:left="0" w:right="0"/>
              <w:rPr>
                <w:rFonts w:hint="eastAsia" w:ascii="宋体" w:hAnsi="宋体" w:eastAsia="宋体" w:cs="宋体"/>
                <w:color w:val="000000"/>
                <w:kern w:val="0"/>
                <w:szCs w:val="21"/>
                <w:highlight w:val="none"/>
              </w:rPr>
            </w:pPr>
          </w:p>
        </w:tc>
      </w:tr>
      <w:tr w14:paraId="24A1650F">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23" w:hRule="atLeast"/>
          <w:jc w:val="center"/>
        </w:trPr>
        <w:tc>
          <w:tcPr>
            <w:tcW w:w="912" w:type="dxa"/>
            <w:vMerge w:val="continue"/>
            <w:noWrap w:val="0"/>
            <w:vAlign w:val="center"/>
          </w:tcPr>
          <w:p w14:paraId="20E28708">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000000"/>
                <w:kern w:val="0"/>
                <w:szCs w:val="21"/>
                <w:highlight w:val="none"/>
              </w:rPr>
            </w:pPr>
          </w:p>
        </w:tc>
        <w:tc>
          <w:tcPr>
            <w:tcW w:w="1277" w:type="dxa"/>
            <w:vMerge w:val="continue"/>
            <w:noWrap w:val="0"/>
            <w:vAlign w:val="center"/>
          </w:tcPr>
          <w:p w14:paraId="6A0DA185">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000000"/>
                <w:kern w:val="0"/>
                <w:szCs w:val="21"/>
                <w:highlight w:val="none"/>
              </w:rPr>
            </w:pPr>
          </w:p>
        </w:tc>
        <w:tc>
          <w:tcPr>
            <w:tcW w:w="3825" w:type="dxa"/>
            <w:noWrap w:val="0"/>
            <w:vAlign w:val="center"/>
          </w:tcPr>
          <w:p w14:paraId="3A37BA58">
            <w:pPr>
              <w:keepNext w:val="0"/>
              <w:keepLines w:val="0"/>
              <w:suppressLineNumbers w:val="0"/>
              <w:spacing w:before="24" w:beforeAutospacing="0" w:after="24" w:afterAutospacing="0"/>
              <w:ind w:left="0" w:right="0"/>
              <w:jc w:val="center"/>
              <w:rPr>
                <w:rFonts w:hint="eastAsia" w:ascii="宋体" w:hAnsi="宋体" w:eastAsia="宋体" w:cs="宋体"/>
                <w:color w:val="000000"/>
                <w:szCs w:val="21"/>
                <w:highlight w:val="none"/>
              </w:rPr>
            </w:pPr>
          </w:p>
        </w:tc>
        <w:tc>
          <w:tcPr>
            <w:tcW w:w="3460" w:type="dxa"/>
            <w:noWrap w:val="0"/>
            <w:vAlign w:val="center"/>
          </w:tcPr>
          <w:p w14:paraId="301617A1">
            <w:pPr>
              <w:keepNext w:val="0"/>
              <w:keepLines w:val="0"/>
              <w:suppressLineNumbers w:val="0"/>
              <w:spacing w:before="0" w:beforeAutospacing="0" w:after="0" w:afterAutospacing="0"/>
              <w:ind w:left="0" w:right="0"/>
              <w:rPr>
                <w:rFonts w:hint="eastAsia" w:ascii="宋体" w:hAnsi="宋体" w:eastAsia="宋体" w:cs="宋体"/>
                <w:color w:val="000000"/>
                <w:kern w:val="0"/>
                <w:szCs w:val="21"/>
                <w:highlight w:val="none"/>
              </w:rPr>
            </w:pPr>
          </w:p>
        </w:tc>
      </w:tr>
      <w:tr w14:paraId="3798D41F">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23" w:hRule="atLeast"/>
          <w:jc w:val="center"/>
        </w:trPr>
        <w:tc>
          <w:tcPr>
            <w:tcW w:w="912" w:type="dxa"/>
            <w:vMerge w:val="continue"/>
            <w:noWrap w:val="0"/>
            <w:vAlign w:val="center"/>
          </w:tcPr>
          <w:p w14:paraId="1C110170">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000000"/>
                <w:kern w:val="0"/>
                <w:szCs w:val="21"/>
                <w:highlight w:val="none"/>
              </w:rPr>
            </w:pPr>
          </w:p>
        </w:tc>
        <w:tc>
          <w:tcPr>
            <w:tcW w:w="1277" w:type="dxa"/>
            <w:vMerge w:val="continue"/>
            <w:noWrap w:val="0"/>
            <w:vAlign w:val="center"/>
          </w:tcPr>
          <w:p w14:paraId="5DDBA5E3">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000000"/>
                <w:kern w:val="0"/>
                <w:szCs w:val="21"/>
                <w:highlight w:val="none"/>
              </w:rPr>
            </w:pPr>
          </w:p>
        </w:tc>
        <w:tc>
          <w:tcPr>
            <w:tcW w:w="3825" w:type="dxa"/>
            <w:noWrap w:val="0"/>
            <w:vAlign w:val="center"/>
          </w:tcPr>
          <w:p w14:paraId="0709BB11">
            <w:pPr>
              <w:keepNext w:val="0"/>
              <w:keepLines w:val="0"/>
              <w:suppressLineNumbers w:val="0"/>
              <w:spacing w:before="24" w:beforeAutospacing="0" w:after="24" w:afterAutospacing="0"/>
              <w:ind w:left="0" w:right="0"/>
              <w:jc w:val="center"/>
              <w:rPr>
                <w:rFonts w:hint="eastAsia" w:ascii="宋体" w:hAnsi="宋体" w:eastAsia="宋体" w:cs="宋体"/>
                <w:color w:val="000000"/>
                <w:kern w:val="0"/>
                <w:szCs w:val="21"/>
                <w:highlight w:val="none"/>
              </w:rPr>
            </w:pPr>
          </w:p>
        </w:tc>
        <w:tc>
          <w:tcPr>
            <w:tcW w:w="3460" w:type="dxa"/>
            <w:noWrap w:val="0"/>
            <w:vAlign w:val="center"/>
          </w:tcPr>
          <w:p w14:paraId="5E286369">
            <w:pPr>
              <w:keepNext w:val="0"/>
              <w:keepLines w:val="0"/>
              <w:suppressLineNumbers w:val="0"/>
              <w:spacing w:before="0" w:beforeAutospacing="0" w:after="0" w:afterAutospacing="0"/>
              <w:ind w:left="0" w:right="0"/>
              <w:rPr>
                <w:rFonts w:hint="eastAsia" w:ascii="宋体" w:hAnsi="宋体" w:eastAsia="宋体" w:cs="宋体"/>
                <w:color w:val="000000"/>
                <w:kern w:val="0"/>
                <w:szCs w:val="21"/>
                <w:highlight w:val="none"/>
              </w:rPr>
            </w:pPr>
          </w:p>
        </w:tc>
      </w:tr>
      <w:tr w14:paraId="3ABC2B53">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23" w:hRule="atLeast"/>
          <w:jc w:val="center"/>
        </w:trPr>
        <w:tc>
          <w:tcPr>
            <w:tcW w:w="912" w:type="dxa"/>
            <w:vMerge w:val="continue"/>
            <w:noWrap w:val="0"/>
            <w:vAlign w:val="center"/>
          </w:tcPr>
          <w:p w14:paraId="3F867986">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000000"/>
                <w:kern w:val="0"/>
                <w:szCs w:val="21"/>
                <w:highlight w:val="none"/>
              </w:rPr>
            </w:pPr>
          </w:p>
        </w:tc>
        <w:tc>
          <w:tcPr>
            <w:tcW w:w="1277" w:type="dxa"/>
            <w:vMerge w:val="continue"/>
            <w:noWrap w:val="0"/>
            <w:vAlign w:val="center"/>
          </w:tcPr>
          <w:p w14:paraId="44C51FB3">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000000"/>
                <w:kern w:val="0"/>
                <w:szCs w:val="21"/>
                <w:highlight w:val="none"/>
              </w:rPr>
            </w:pPr>
          </w:p>
        </w:tc>
        <w:tc>
          <w:tcPr>
            <w:tcW w:w="3825" w:type="dxa"/>
            <w:noWrap w:val="0"/>
            <w:vAlign w:val="center"/>
          </w:tcPr>
          <w:p w14:paraId="3F6B85CC">
            <w:pPr>
              <w:keepNext w:val="0"/>
              <w:keepLines w:val="0"/>
              <w:suppressLineNumbers w:val="0"/>
              <w:spacing w:before="24" w:beforeAutospacing="0" w:after="24" w:afterAutospacing="0"/>
              <w:ind w:left="0" w:right="0"/>
              <w:jc w:val="center"/>
              <w:rPr>
                <w:rFonts w:hint="eastAsia" w:ascii="宋体" w:hAnsi="宋体" w:eastAsia="宋体" w:cs="宋体"/>
                <w:color w:val="000000"/>
                <w:kern w:val="0"/>
                <w:szCs w:val="21"/>
                <w:highlight w:val="none"/>
              </w:rPr>
            </w:pPr>
          </w:p>
        </w:tc>
        <w:tc>
          <w:tcPr>
            <w:tcW w:w="3460" w:type="dxa"/>
            <w:noWrap w:val="0"/>
            <w:vAlign w:val="center"/>
          </w:tcPr>
          <w:p w14:paraId="7D754CE4">
            <w:pPr>
              <w:keepNext w:val="0"/>
              <w:keepLines w:val="0"/>
              <w:suppressLineNumbers w:val="0"/>
              <w:spacing w:before="0" w:beforeAutospacing="0" w:after="0" w:afterAutospacing="0"/>
              <w:ind w:left="0" w:right="0"/>
              <w:rPr>
                <w:rFonts w:hint="eastAsia" w:ascii="宋体" w:hAnsi="宋体" w:eastAsia="宋体" w:cs="宋体"/>
                <w:color w:val="000000"/>
                <w:kern w:val="0"/>
                <w:szCs w:val="21"/>
                <w:highlight w:val="none"/>
              </w:rPr>
            </w:pPr>
          </w:p>
        </w:tc>
      </w:tr>
      <w:tr w14:paraId="3D378756">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459" w:hRule="atLeast"/>
          <w:jc w:val="center"/>
        </w:trPr>
        <w:tc>
          <w:tcPr>
            <w:tcW w:w="912" w:type="dxa"/>
            <w:vMerge w:val="continue"/>
            <w:noWrap w:val="0"/>
            <w:vAlign w:val="center"/>
          </w:tcPr>
          <w:p w14:paraId="6226E1A7">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000000"/>
                <w:kern w:val="0"/>
                <w:szCs w:val="21"/>
                <w:highlight w:val="none"/>
              </w:rPr>
            </w:pPr>
          </w:p>
        </w:tc>
        <w:tc>
          <w:tcPr>
            <w:tcW w:w="1277" w:type="dxa"/>
            <w:vMerge w:val="continue"/>
            <w:noWrap w:val="0"/>
            <w:vAlign w:val="center"/>
          </w:tcPr>
          <w:p w14:paraId="4DBFF618">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000000"/>
                <w:kern w:val="0"/>
                <w:szCs w:val="21"/>
                <w:highlight w:val="none"/>
              </w:rPr>
            </w:pPr>
          </w:p>
        </w:tc>
        <w:tc>
          <w:tcPr>
            <w:tcW w:w="3825" w:type="dxa"/>
            <w:noWrap w:val="0"/>
            <w:vAlign w:val="center"/>
          </w:tcPr>
          <w:p w14:paraId="40BAE027">
            <w:pPr>
              <w:keepNext w:val="0"/>
              <w:keepLines w:val="0"/>
              <w:suppressLineNumbers w:val="0"/>
              <w:spacing w:before="24" w:beforeAutospacing="0" w:after="24" w:afterAutospacing="0"/>
              <w:ind w:left="0" w:right="0"/>
              <w:jc w:val="center"/>
              <w:rPr>
                <w:rFonts w:hint="eastAsia" w:ascii="宋体" w:hAnsi="宋体" w:eastAsia="宋体" w:cs="宋体"/>
                <w:color w:val="000000"/>
                <w:kern w:val="0"/>
                <w:szCs w:val="21"/>
                <w:highlight w:val="none"/>
              </w:rPr>
            </w:pPr>
          </w:p>
        </w:tc>
        <w:tc>
          <w:tcPr>
            <w:tcW w:w="3460" w:type="dxa"/>
            <w:noWrap w:val="0"/>
            <w:vAlign w:val="center"/>
          </w:tcPr>
          <w:p w14:paraId="7736BDFC">
            <w:pPr>
              <w:keepNext w:val="0"/>
              <w:keepLines w:val="0"/>
              <w:suppressLineNumbers w:val="0"/>
              <w:spacing w:before="0" w:beforeAutospacing="0" w:after="0" w:afterAutospacing="0"/>
              <w:ind w:left="0" w:right="0"/>
              <w:rPr>
                <w:rFonts w:hint="eastAsia" w:ascii="宋体" w:hAnsi="宋体" w:eastAsia="宋体" w:cs="宋体"/>
                <w:color w:val="000000"/>
                <w:kern w:val="0"/>
                <w:szCs w:val="21"/>
                <w:highlight w:val="none"/>
              </w:rPr>
            </w:pPr>
          </w:p>
        </w:tc>
      </w:tr>
    </w:tbl>
    <w:p w14:paraId="6B6BB878">
      <w:pPr>
        <w:rPr>
          <w:rFonts w:hint="eastAsia" w:ascii="宋体" w:hAnsi="宋体" w:eastAsia="宋体" w:cs="宋体"/>
          <w:color w:val="000000"/>
          <w:highlight w:val="none"/>
        </w:rPr>
      </w:pPr>
    </w:p>
    <w:p w14:paraId="2D28E1C7">
      <w:pPr>
        <w:rPr>
          <w:rFonts w:hint="eastAsia" w:ascii="宋体" w:hAnsi="宋体" w:eastAsia="宋体" w:cs="宋体"/>
          <w:color w:val="000000"/>
          <w:highlight w:val="none"/>
        </w:rPr>
      </w:pPr>
    </w:p>
    <w:p w14:paraId="7A36DEC6">
      <w:pPr>
        <w:pStyle w:val="10"/>
        <w:ind w:firstLine="0"/>
        <w:rPr>
          <w:rFonts w:hint="eastAsia" w:ascii="宋体" w:hAnsi="宋体" w:eastAsia="宋体" w:cs="宋体"/>
          <w:b/>
          <w:color w:val="000000"/>
          <w:highlight w:val="none"/>
        </w:rPr>
      </w:pPr>
      <w:r>
        <w:rPr>
          <w:rFonts w:hint="eastAsia" w:ascii="宋体" w:hAnsi="宋体" w:eastAsia="宋体" w:cs="宋体"/>
          <w:color w:val="000000"/>
          <w:highlight w:val="none"/>
        </w:rPr>
        <w:br w:type="page"/>
      </w:r>
    </w:p>
    <w:p w14:paraId="4C443C81">
      <w:pPr>
        <w:pStyle w:val="4"/>
        <w:ind w:firstLine="482"/>
        <w:jc w:val="center"/>
        <w:rPr>
          <w:rFonts w:hint="eastAsia" w:ascii="宋体" w:hAnsi="宋体" w:eastAsia="宋体" w:cs="宋体"/>
          <w:b w:val="0"/>
          <w:color w:val="000000"/>
          <w:highlight w:val="none"/>
        </w:rPr>
      </w:pPr>
      <w:bookmarkStart w:id="660" w:name="_Toc16210"/>
      <w:r>
        <w:rPr>
          <w:rFonts w:hint="eastAsia" w:ascii="宋体" w:hAnsi="宋体" w:eastAsia="宋体" w:cs="宋体"/>
          <w:color w:val="000000"/>
          <w:highlight w:val="none"/>
        </w:rPr>
        <w:t>详细评审索引表</w:t>
      </w:r>
      <w:bookmarkEnd w:id="660"/>
    </w:p>
    <w:tbl>
      <w:tblPr>
        <w:tblStyle w:val="37"/>
        <w:tblW w:w="95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29"/>
        <w:gridCol w:w="1696"/>
        <w:gridCol w:w="2268"/>
        <w:gridCol w:w="4820"/>
      </w:tblGrid>
      <w:tr w14:paraId="3BEC30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 w:hRule="atLeast"/>
          <w:jc w:val="center"/>
        </w:trPr>
        <w:tc>
          <w:tcPr>
            <w:tcW w:w="729" w:type="dxa"/>
            <w:noWrap w:val="0"/>
            <w:tcMar>
              <w:top w:w="15" w:type="dxa"/>
              <w:left w:w="15" w:type="dxa"/>
              <w:right w:w="15" w:type="dxa"/>
            </w:tcMar>
            <w:vAlign w:val="center"/>
          </w:tcPr>
          <w:p w14:paraId="4EAE94A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color w:val="000000"/>
                <w:szCs w:val="21"/>
                <w:highlight w:val="none"/>
              </w:rPr>
            </w:pPr>
            <w:r>
              <w:rPr>
                <w:rFonts w:hint="eastAsia" w:ascii="宋体" w:hAnsi="宋体" w:eastAsia="宋体" w:cs="宋体"/>
                <w:b/>
                <w:color w:val="000000"/>
                <w:kern w:val="0"/>
                <w:szCs w:val="21"/>
                <w:highlight w:val="none"/>
                <w:lang w:bidi="ar"/>
              </w:rPr>
              <w:t>序号</w:t>
            </w:r>
          </w:p>
        </w:tc>
        <w:tc>
          <w:tcPr>
            <w:tcW w:w="1696" w:type="dxa"/>
            <w:noWrap w:val="0"/>
            <w:tcMar>
              <w:top w:w="15" w:type="dxa"/>
              <w:left w:w="15" w:type="dxa"/>
              <w:right w:w="15" w:type="dxa"/>
            </w:tcMar>
            <w:vAlign w:val="center"/>
          </w:tcPr>
          <w:p w14:paraId="58268C2B">
            <w:pPr>
              <w:keepNext w:val="0"/>
              <w:keepLines w:val="0"/>
              <w:suppressLineNumbers w:val="0"/>
              <w:spacing w:before="0" w:beforeAutospacing="0" w:after="0" w:afterAutospacing="0"/>
              <w:ind w:left="0" w:right="0"/>
              <w:jc w:val="center"/>
              <w:rPr>
                <w:rFonts w:hint="eastAsia" w:ascii="宋体" w:hAnsi="宋体" w:eastAsia="宋体" w:cs="宋体"/>
                <w:b/>
                <w:color w:val="000000"/>
                <w:kern w:val="0"/>
                <w:szCs w:val="21"/>
                <w:highlight w:val="none"/>
                <w:lang w:bidi="ar"/>
              </w:rPr>
            </w:pPr>
            <w:r>
              <w:rPr>
                <w:rFonts w:hint="eastAsia" w:ascii="宋体" w:hAnsi="宋体" w:eastAsia="宋体" w:cs="宋体"/>
                <w:b/>
                <w:bCs/>
                <w:color w:val="000000"/>
                <w:szCs w:val="21"/>
                <w:highlight w:val="none"/>
              </w:rPr>
              <w:t>评审项</w:t>
            </w:r>
          </w:p>
        </w:tc>
        <w:tc>
          <w:tcPr>
            <w:tcW w:w="2268" w:type="dxa"/>
            <w:noWrap w:val="0"/>
            <w:vAlign w:val="top"/>
          </w:tcPr>
          <w:p w14:paraId="79F4CF48">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b/>
                <w:color w:val="000000"/>
                <w:kern w:val="0"/>
                <w:szCs w:val="21"/>
                <w:highlight w:val="none"/>
              </w:rPr>
            </w:pPr>
            <w:r>
              <w:rPr>
                <w:rFonts w:hint="eastAsia" w:ascii="宋体" w:hAnsi="宋体" w:eastAsia="宋体" w:cs="宋体"/>
                <w:b/>
                <w:color w:val="000000"/>
                <w:kern w:val="0"/>
                <w:szCs w:val="21"/>
                <w:highlight w:val="none"/>
                <w:lang w:bidi="ar"/>
              </w:rPr>
              <w:t>评审因素</w:t>
            </w:r>
          </w:p>
        </w:tc>
        <w:tc>
          <w:tcPr>
            <w:tcW w:w="4820" w:type="dxa"/>
            <w:noWrap w:val="0"/>
            <w:tcMar>
              <w:top w:w="15" w:type="dxa"/>
              <w:left w:w="15" w:type="dxa"/>
              <w:right w:w="15" w:type="dxa"/>
            </w:tcMar>
            <w:vAlign w:val="center"/>
          </w:tcPr>
          <w:p w14:paraId="7F56CC69">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b/>
                <w:color w:val="000000"/>
                <w:kern w:val="0"/>
                <w:szCs w:val="21"/>
                <w:highlight w:val="none"/>
              </w:rPr>
            </w:pPr>
            <w:r>
              <w:rPr>
                <w:rFonts w:hint="eastAsia" w:ascii="宋体" w:hAnsi="宋体" w:eastAsia="宋体" w:cs="宋体"/>
                <w:b/>
                <w:color w:val="000000"/>
                <w:kern w:val="0"/>
                <w:szCs w:val="21"/>
                <w:highlight w:val="none"/>
              </w:rPr>
              <w:t>页码范围及说明</w:t>
            </w:r>
          </w:p>
        </w:tc>
      </w:tr>
      <w:tr w14:paraId="4A5CB7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1" w:hRule="atLeast"/>
          <w:jc w:val="center"/>
        </w:trPr>
        <w:tc>
          <w:tcPr>
            <w:tcW w:w="729" w:type="dxa"/>
            <w:noWrap w:val="0"/>
            <w:tcMar>
              <w:top w:w="15" w:type="dxa"/>
              <w:left w:w="15" w:type="dxa"/>
              <w:right w:w="15" w:type="dxa"/>
            </w:tcMar>
            <w:vAlign w:val="center"/>
          </w:tcPr>
          <w:p w14:paraId="64C78EA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Cs w:val="21"/>
                <w:highlight w:val="none"/>
                <w:lang w:bidi="ar"/>
              </w:rPr>
            </w:pPr>
            <w:r>
              <w:rPr>
                <w:rFonts w:hint="eastAsia" w:ascii="宋体" w:hAnsi="宋体" w:eastAsia="宋体" w:cs="宋体"/>
                <w:color w:val="000000"/>
                <w:kern w:val="0"/>
                <w:szCs w:val="21"/>
                <w:highlight w:val="none"/>
                <w:lang w:bidi="ar"/>
              </w:rPr>
              <w:t>1</w:t>
            </w:r>
          </w:p>
        </w:tc>
        <w:tc>
          <w:tcPr>
            <w:tcW w:w="1696" w:type="dxa"/>
            <w:vMerge w:val="restart"/>
            <w:noWrap w:val="0"/>
            <w:tcMar>
              <w:top w:w="15" w:type="dxa"/>
              <w:left w:w="15" w:type="dxa"/>
              <w:right w:w="15" w:type="dxa"/>
            </w:tcMar>
            <w:vAlign w:val="center"/>
          </w:tcPr>
          <w:p w14:paraId="3F681DC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Cs w:val="21"/>
                <w:highlight w:val="none"/>
                <w:lang w:bidi="ar"/>
              </w:rPr>
            </w:pPr>
            <w:r>
              <w:rPr>
                <w:rFonts w:hint="eastAsia" w:ascii="宋体" w:hAnsi="宋体" w:eastAsia="宋体" w:cs="宋体"/>
                <w:color w:val="000000"/>
                <w:kern w:val="0"/>
                <w:szCs w:val="21"/>
                <w:highlight w:val="none"/>
                <w:lang w:bidi="ar"/>
              </w:rPr>
              <w:t>商务得分</w:t>
            </w:r>
          </w:p>
          <w:p w14:paraId="152127B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Cs w:val="21"/>
                <w:highlight w:val="none"/>
                <w:lang w:bidi="ar"/>
              </w:rPr>
            </w:pPr>
            <w:r>
              <w:rPr>
                <w:rFonts w:hint="eastAsia" w:ascii="宋体" w:hAnsi="宋体" w:eastAsia="宋体" w:cs="宋体"/>
                <w:color w:val="000000"/>
                <w:kern w:val="0"/>
                <w:szCs w:val="21"/>
                <w:highlight w:val="none"/>
                <w:lang w:bidi="ar"/>
              </w:rPr>
              <w:t>（XX分）</w:t>
            </w:r>
          </w:p>
        </w:tc>
        <w:tc>
          <w:tcPr>
            <w:tcW w:w="2268" w:type="dxa"/>
            <w:noWrap w:val="0"/>
            <w:vAlign w:val="center"/>
          </w:tcPr>
          <w:p w14:paraId="46BC76C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Cs w:val="21"/>
                <w:highlight w:val="none"/>
                <w:lang w:bidi="ar"/>
              </w:rPr>
            </w:pPr>
          </w:p>
        </w:tc>
        <w:tc>
          <w:tcPr>
            <w:tcW w:w="4820" w:type="dxa"/>
            <w:noWrap w:val="0"/>
            <w:tcMar>
              <w:top w:w="15" w:type="dxa"/>
              <w:left w:w="15" w:type="dxa"/>
              <w:right w:w="15" w:type="dxa"/>
            </w:tcMar>
            <w:vAlign w:val="center"/>
          </w:tcPr>
          <w:p w14:paraId="552F26DE">
            <w:pPr>
              <w:keepNext w:val="0"/>
              <w:keepLines w:val="0"/>
              <w:widowControl/>
              <w:suppressLineNumbers w:val="0"/>
              <w:adjustRightInd w:val="0"/>
              <w:snapToGrid w:val="0"/>
              <w:spacing w:before="0" w:beforeAutospacing="0" w:after="0" w:afterAutospacing="0" w:line="240" w:lineRule="auto"/>
              <w:ind w:left="0" w:right="0"/>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说明：XX</w:t>
            </w:r>
          </w:p>
          <w:p w14:paraId="4D5665C2">
            <w:pPr>
              <w:keepNext w:val="0"/>
              <w:keepLines w:val="0"/>
              <w:suppressLineNumbers w:val="0"/>
              <w:spacing w:before="0" w:beforeAutospacing="0" w:after="0" w:afterAutospacing="0" w:line="240" w:lineRule="auto"/>
              <w:ind w:left="0" w:right="0"/>
              <w:rPr>
                <w:rStyle w:val="106"/>
                <w:rFonts w:hint="eastAsia" w:ascii="宋体" w:hAnsi="宋体" w:eastAsia="宋体" w:cs="宋体"/>
                <w:color w:val="000000"/>
                <w:highlight w:val="none"/>
                <w:lang w:bidi="ar"/>
              </w:rPr>
            </w:pPr>
            <w:r>
              <w:rPr>
                <w:rFonts w:hint="eastAsia" w:ascii="宋体" w:hAnsi="宋体" w:eastAsia="宋体" w:cs="宋体"/>
                <w:color w:val="000000"/>
                <w:kern w:val="0"/>
                <w:szCs w:val="21"/>
                <w:highlight w:val="none"/>
              </w:rPr>
              <w:t>详见N-M页</w:t>
            </w:r>
          </w:p>
        </w:tc>
      </w:tr>
      <w:tr w14:paraId="78A298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0" w:hRule="atLeast"/>
          <w:jc w:val="center"/>
        </w:trPr>
        <w:tc>
          <w:tcPr>
            <w:tcW w:w="729" w:type="dxa"/>
            <w:noWrap w:val="0"/>
            <w:tcMar>
              <w:top w:w="15" w:type="dxa"/>
              <w:left w:w="15" w:type="dxa"/>
              <w:right w:w="15" w:type="dxa"/>
            </w:tcMar>
            <w:vAlign w:val="center"/>
          </w:tcPr>
          <w:p w14:paraId="728C0D4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Cs w:val="21"/>
                <w:highlight w:val="none"/>
                <w:lang w:bidi="ar"/>
              </w:rPr>
            </w:pPr>
            <w:r>
              <w:rPr>
                <w:rFonts w:hint="eastAsia" w:ascii="宋体" w:hAnsi="宋体" w:eastAsia="宋体" w:cs="宋体"/>
                <w:color w:val="000000"/>
                <w:kern w:val="0"/>
                <w:szCs w:val="21"/>
                <w:highlight w:val="none"/>
                <w:lang w:bidi="ar"/>
              </w:rPr>
              <w:t>2</w:t>
            </w:r>
          </w:p>
        </w:tc>
        <w:tc>
          <w:tcPr>
            <w:tcW w:w="1696" w:type="dxa"/>
            <w:vMerge w:val="continue"/>
            <w:noWrap w:val="0"/>
            <w:tcMar>
              <w:top w:w="15" w:type="dxa"/>
              <w:left w:w="15" w:type="dxa"/>
              <w:right w:w="15" w:type="dxa"/>
            </w:tcMar>
            <w:vAlign w:val="center"/>
          </w:tcPr>
          <w:p w14:paraId="3D0A7A0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Cs w:val="21"/>
                <w:highlight w:val="none"/>
                <w:lang w:bidi="ar"/>
              </w:rPr>
            </w:pPr>
          </w:p>
        </w:tc>
        <w:tc>
          <w:tcPr>
            <w:tcW w:w="2268" w:type="dxa"/>
            <w:noWrap w:val="0"/>
            <w:vAlign w:val="center"/>
          </w:tcPr>
          <w:p w14:paraId="5F4D695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Cs w:val="21"/>
                <w:highlight w:val="none"/>
                <w:lang w:bidi="ar"/>
              </w:rPr>
            </w:pPr>
          </w:p>
        </w:tc>
        <w:tc>
          <w:tcPr>
            <w:tcW w:w="4820" w:type="dxa"/>
            <w:noWrap w:val="0"/>
            <w:tcMar>
              <w:top w:w="15" w:type="dxa"/>
              <w:left w:w="15" w:type="dxa"/>
              <w:right w:w="15" w:type="dxa"/>
            </w:tcMar>
            <w:vAlign w:val="center"/>
          </w:tcPr>
          <w:p w14:paraId="6A0796EC">
            <w:pPr>
              <w:keepNext w:val="0"/>
              <w:keepLines w:val="0"/>
              <w:suppressLineNumbers w:val="0"/>
              <w:spacing w:before="0" w:beforeAutospacing="0" w:after="0" w:afterAutospacing="0" w:line="240" w:lineRule="auto"/>
              <w:ind w:left="0" w:right="0"/>
              <w:rPr>
                <w:rStyle w:val="106"/>
                <w:rFonts w:hint="eastAsia" w:ascii="宋体" w:hAnsi="宋体" w:eastAsia="宋体" w:cs="宋体"/>
                <w:color w:val="000000"/>
                <w:highlight w:val="none"/>
                <w:lang w:bidi="ar"/>
              </w:rPr>
            </w:pPr>
          </w:p>
        </w:tc>
      </w:tr>
      <w:tr w14:paraId="5A6CEB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0" w:hRule="atLeast"/>
          <w:jc w:val="center"/>
        </w:trPr>
        <w:tc>
          <w:tcPr>
            <w:tcW w:w="729" w:type="dxa"/>
            <w:noWrap w:val="0"/>
            <w:tcMar>
              <w:top w:w="15" w:type="dxa"/>
              <w:left w:w="15" w:type="dxa"/>
              <w:right w:w="15" w:type="dxa"/>
            </w:tcMar>
            <w:vAlign w:val="center"/>
          </w:tcPr>
          <w:p w14:paraId="62886BD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Cs w:val="21"/>
                <w:highlight w:val="none"/>
                <w:lang w:val="en-US" w:eastAsia="zh-CN" w:bidi="ar"/>
              </w:rPr>
            </w:pPr>
            <w:r>
              <w:rPr>
                <w:rFonts w:hint="eastAsia" w:ascii="宋体" w:hAnsi="宋体" w:cs="宋体"/>
                <w:color w:val="000000"/>
                <w:kern w:val="0"/>
                <w:szCs w:val="21"/>
                <w:highlight w:val="none"/>
                <w:lang w:val="en-US" w:eastAsia="zh-CN" w:bidi="ar"/>
              </w:rPr>
              <w:t>3</w:t>
            </w:r>
          </w:p>
        </w:tc>
        <w:tc>
          <w:tcPr>
            <w:tcW w:w="1696" w:type="dxa"/>
            <w:vMerge w:val="restart"/>
            <w:noWrap w:val="0"/>
            <w:tcMar>
              <w:top w:w="15" w:type="dxa"/>
              <w:left w:w="15" w:type="dxa"/>
              <w:right w:w="15" w:type="dxa"/>
            </w:tcMar>
            <w:vAlign w:val="center"/>
          </w:tcPr>
          <w:p w14:paraId="7EF311C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技术得分</w:t>
            </w:r>
          </w:p>
          <w:p w14:paraId="445D8CA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Cs w:val="21"/>
                <w:highlight w:val="none"/>
                <w:lang w:bidi="ar"/>
              </w:rPr>
            </w:pPr>
            <w:r>
              <w:rPr>
                <w:rFonts w:hint="eastAsia" w:ascii="宋体" w:hAnsi="宋体" w:eastAsia="宋体" w:cs="宋体"/>
                <w:color w:val="000000"/>
                <w:szCs w:val="21"/>
                <w:highlight w:val="none"/>
              </w:rPr>
              <w:t>（XX分）</w:t>
            </w:r>
          </w:p>
        </w:tc>
        <w:tc>
          <w:tcPr>
            <w:tcW w:w="2268" w:type="dxa"/>
            <w:noWrap w:val="0"/>
            <w:vAlign w:val="center"/>
          </w:tcPr>
          <w:p w14:paraId="5970889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Cs w:val="21"/>
                <w:highlight w:val="none"/>
                <w:lang w:bidi="ar"/>
              </w:rPr>
            </w:pPr>
          </w:p>
        </w:tc>
        <w:tc>
          <w:tcPr>
            <w:tcW w:w="4820" w:type="dxa"/>
            <w:noWrap w:val="0"/>
            <w:tcMar>
              <w:top w:w="15" w:type="dxa"/>
              <w:left w:w="15" w:type="dxa"/>
              <w:right w:w="15" w:type="dxa"/>
            </w:tcMar>
            <w:vAlign w:val="center"/>
          </w:tcPr>
          <w:p w14:paraId="0DC1FB33">
            <w:pPr>
              <w:keepNext w:val="0"/>
              <w:keepLines w:val="0"/>
              <w:suppressLineNumbers w:val="0"/>
              <w:spacing w:before="0" w:beforeAutospacing="0" w:after="0" w:afterAutospacing="0" w:line="240" w:lineRule="auto"/>
              <w:ind w:left="0" w:right="0"/>
              <w:rPr>
                <w:rStyle w:val="106"/>
                <w:rFonts w:hint="eastAsia" w:ascii="宋体" w:hAnsi="宋体" w:eastAsia="宋体" w:cs="宋体"/>
                <w:color w:val="000000"/>
                <w:highlight w:val="none"/>
                <w:lang w:bidi="ar"/>
              </w:rPr>
            </w:pPr>
          </w:p>
        </w:tc>
      </w:tr>
      <w:tr w14:paraId="60CC2F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0" w:hRule="atLeast"/>
          <w:jc w:val="center"/>
        </w:trPr>
        <w:tc>
          <w:tcPr>
            <w:tcW w:w="729" w:type="dxa"/>
            <w:noWrap w:val="0"/>
            <w:tcMar>
              <w:top w:w="15" w:type="dxa"/>
              <w:left w:w="15" w:type="dxa"/>
              <w:right w:w="15" w:type="dxa"/>
            </w:tcMar>
            <w:vAlign w:val="center"/>
          </w:tcPr>
          <w:p w14:paraId="2319362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Cs w:val="21"/>
                <w:highlight w:val="none"/>
                <w:lang w:val="en-US" w:eastAsia="zh-CN" w:bidi="ar"/>
              </w:rPr>
            </w:pPr>
            <w:r>
              <w:rPr>
                <w:rFonts w:hint="eastAsia" w:ascii="宋体" w:hAnsi="宋体" w:cs="宋体"/>
                <w:color w:val="000000"/>
                <w:kern w:val="0"/>
                <w:szCs w:val="21"/>
                <w:highlight w:val="none"/>
                <w:lang w:val="en-US" w:eastAsia="zh-CN" w:bidi="ar"/>
              </w:rPr>
              <w:t>4</w:t>
            </w:r>
          </w:p>
        </w:tc>
        <w:tc>
          <w:tcPr>
            <w:tcW w:w="1696" w:type="dxa"/>
            <w:vMerge w:val="continue"/>
            <w:noWrap w:val="0"/>
            <w:tcMar>
              <w:top w:w="15" w:type="dxa"/>
              <w:left w:w="15" w:type="dxa"/>
              <w:right w:w="15" w:type="dxa"/>
            </w:tcMar>
            <w:vAlign w:val="center"/>
          </w:tcPr>
          <w:p w14:paraId="60A030E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Cs w:val="21"/>
                <w:highlight w:val="none"/>
                <w:lang w:bidi="ar"/>
              </w:rPr>
            </w:pPr>
          </w:p>
        </w:tc>
        <w:tc>
          <w:tcPr>
            <w:tcW w:w="2268" w:type="dxa"/>
            <w:noWrap w:val="0"/>
            <w:vAlign w:val="center"/>
          </w:tcPr>
          <w:p w14:paraId="15AA1E5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Cs w:val="21"/>
                <w:highlight w:val="none"/>
                <w:lang w:bidi="ar"/>
              </w:rPr>
            </w:pPr>
          </w:p>
        </w:tc>
        <w:tc>
          <w:tcPr>
            <w:tcW w:w="4820" w:type="dxa"/>
            <w:noWrap w:val="0"/>
            <w:tcMar>
              <w:top w:w="15" w:type="dxa"/>
              <w:left w:w="15" w:type="dxa"/>
              <w:right w:w="15" w:type="dxa"/>
            </w:tcMar>
            <w:vAlign w:val="center"/>
          </w:tcPr>
          <w:p w14:paraId="584D1C6D">
            <w:pPr>
              <w:keepNext w:val="0"/>
              <w:keepLines w:val="0"/>
              <w:suppressLineNumbers w:val="0"/>
              <w:spacing w:before="0" w:beforeAutospacing="0" w:after="0" w:afterAutospacing="0" w:line="240" w:lineRule="auto"/>
              <w:ind w:left="0" w:right="0"/>
              <w:rPr>
                <w:rStyle w:val="106"/>
                <w:rFonts w:hint="eastAsia" w:ascii="宋体" w:hAnsi="宋体" w:eastAsia="宋体" w:cs="宋体"/>
                <w:color w:val="000000"/>
                <w:highlight w:val="none"/>
                <w:lang w:bidi="ar"/>
              </w:rPr>
            </w:pPr>
          </w:p>
        </w:tc>
      </w:tr>
    </w:tbl>
    <w:p w14:paraId="0E5F775E">
      <w:pPr>
        <w:pStyle w:val="118"/>
        <w:spacing w:line="360" w:lineRule="auto"/>
        <w:jc w:val="center"/>
        <w:outlineLvl w:val="1"/>
        <w:rPr>
          <w:rFonts w:hint="eastAsia" w:ascii="宋体" w:hAnsi="宋体" w:eastAsia="宋体" w:cs="宋体"/>
          <w:color w:val="000000"/>
          <w:highlight w:val="none"/>
          <w:lang w:eastAsia="zh-CN"/>
        </w:rPr>
      </w:pPr>
      <w:r>
        <w:rPr>
          <w:rFonts w:hint="eastAsia" w:ascii="宋体" w:hAnsi="宋体" w:eastAsia="宋体" w:cs="宋体"/>
          <w:b/>
          <w:bCs/>
          <w:color w:val="000000"/>
          <w:sz w:val="24"/>
          <w:szCs w:val="24"/>
          <w:highlight w:val="none"/>
        </w:rPr>
        <w:br w:type="page"/>
      </w:r>
      <w:bookmarkStart w:id="661" w:name="_Toc109124315"/>
      <w:bookmarkStart w:id="662" w:name="_Toc18811"/>
      <w:r>
        <w:rPr>
          <w:rFonts w:hint="eastAsia" w:ascii="宋体" w:hAnsi="宋体" w:eastAsia="宋体" w:cs="宋体"/>
          <w:b/>
          <w:color w:val="000000"/>
          <w:sz w:val="24"/>
          <w:szCs w:val="24"/>
          <w:highlight w:val="none"/>
        </w:rPr>
        <w:t>一、商务</w:t>
      </w:r>
      <w:bookmarkEnd w:id="658"/>
      <w:bookmarkEnd w:id="659"/>
      <w:bookmarkEnd w:id="661"/>
      <w:r>
        <w:rPr>
          <w:rFonts w:hint="eastAsia" w:ascii="宋体" w:hAnsi="宋体" w:eastAsia="宋体" w:cs="宋体"/>
          <w:b/>
          <w:color w:val="000000"/>
          <w:sz w:val="24"/>
          <w:szCs w:val="24"/>
          <w:highlight w:val="none"/>
          <w:lang w:val="en-US" w:eastAsia="zh-CN"/>
        </w:rPr>
        <w:t>部分</w:t>
      </w:r>
      <w:bookmarkEnd w:id="662"/>
    </w:p>
    <w:p w14:paraId="0DF2AE3A">
      <w:pPr>
        <w:pStyle w:val="10"/>
        <w:ind w:left="0" w:leftChars="0" w:firstLine="0" w:firstLineChars="0"/>
        <w:outlineLvl w:val="2"/>
        <w:rPr>
          <w:rFonts w:hint="eastAsia" w:ascii="宋体" w:hAnsi="宋体" w:eastAsia="宋体" w:cs="宋体"/>
          <w:b/>
          <w:bCs/>
          <w:color w:val="000000"/>
          <w:sz w:val="24"/>
          <w:szCs w:val="24"/>
          <w:highlight w:val="none"/>
        </w:rPr>
      </w:pPr>
      <w:bookmarkStart w:id="663" w:name="_Toc109124317"/>
      <w:bookmarkStart w:id="664" w:name="_Toc13629"/>
      <w:bookmarkStart w:id="665" w:name="_Toc6993"/>
      <w:bookmarkStart w:id="666" w:name="_Toc65683005"/>
      <w:r>
        <w:rPr>
          <w:rFonts w:hint="eastAsia" w:ascii="宋体" w:hAnsi="宋体" w:eastAsia="宋体" w:cs="宋体"/>
          <w:b/>
          <w:bCs/>
          <w:color w:val="000000"/>
          <w:sz w:val="24"/>
          <w:szCs w:val="24"/>
          <w:highlight w:val="none"/>
        </w:rPr>
        <w:t>（一）投标函</w:t>
      </w:r>
      <w:bookmarkEnd w:id="663"/>
      <w:bookmarkEnd w:id="664"/>
      <w:bookmarkEnd w:id="665"/>
      <w:bookmarkEnd w:id="666"/>
    </w:p>
    <w:p w14:paraId="3ADC1B56">
      <w:pPr>
        <w:pStyle w:val="118"/>
        <w:spacing w:line="360" w:lineRule="auto"/>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投标函</w:t>
      </w:r>
    </w:p>
    <w:p w14:paraId="26B2558C">
      <w:pPr>
        <w:pStyle w:val="11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致：（招标人</w:t>
      </w:r>
      <w:r>
        <w:rPr>
          <w:rFonts w:hint="eastAsia" w:ascii="宋体" w:hAnsi="宋体" w:eastAsia="宋体" w:cs="宋体"/>
          <w:color w:val="000000"/>
          <w:sz w:val="24"/>
          <w:szCs w:val="24"/>
          <w:highlight w:val="none"/>
          <w:u w:val="single"/>
          <w:lang w:val="en-US" w:eastAsia="zh-CN"/>
        </w:rPr>
        <w:t>名称</w:t>
      </w:r>
      <w:r>
        <w:rPr>
          <w:rFonts w:hint="eastAsia" w:ascii="宋体" w:hAnsi="宋体" w:eastAsia="宋体" w:cs="宋体"/>
          <w:color w:val="000000"/>
          <w:sz w:val="24"/>
          <w:szCs w:val="24"/>
          <w:highlight w:val="none"/>
          <w:u w:val="single"/>
        </w:rPr>
        <w:t xml:space="preserve">）   </w:t>
      </w:r>
    </w:p>
    <w:p w14:paraId="0C055948">
      <w:pPr>
        <w:widowControl/>
        <w:spacing w:line="360" w:lineRule="auto"/>
        <w:ind w:firstLine="42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u w:val="single"/>
        </w:rPr>
        <w:t xml:space="preserve">   （投标人名称）   </w:t>
      </w:r>
      <w:r>
        <w:rPr>
          <w:rFonts w:hint="eastAsia" w:ascii="宋体" w:hAnsi="宋体" w:eastAsia="宋体" w:cs="宋体"/>
          <w:color w:val="000000"/>
          <w:kern w:val="0"/>
          <w:sz w:val="24"/>
          <w:szCs w:val="24"/>
          <w:highlight w:val="none"/>
        </w:rPr>
        <w:t>（以下称“我方”）已仔细研究了</w:t>
      </w:r>
      <w:r>
        <w:rPr>
          <w:rFonts w:hint="eastAsia" w:ascii="宋体" w:hAnsi="宋体" w:eastAsia="宋体" w:cs="宋体"/>
          <w:color w:val="000000"/>
          <w:kern w:val="0"/>
          <w:sz w:val="24"/>
          <w:szCs w:val="24"/>
          <w:highlight w:val="none"/>
          <w:u w:val="single"/>
        </w:rPr>
        <w:t xml:space="preserve">    （项目名称）   </w:t>
      </w:r>
      <w:r>
        <w:rPr>
          <w:rFonts w:hint="eastAsia" w:ascii="宋体" w:hAnsi="宋体" w:eastAsia="宋体" w:cs="宋体"/>
          <w:color w:val="000000"/>
          <w:kern w:val="0"/>
          <w:sz w:val="24"/>
          <w:szCs w:val="24"/>
          <w:highlight w:val="none"/>
        </w:rPr>
        <w:t>招标文件的全部内容，包括澄清或者修改文件以及有关附件，我方将严格按照招标文件要求递交符合要求的全部投标文件。</w:t>
      </w:r>
    </w:p>
    <w:p w14:paraId="5A02798E">
      <w:pPr>
        <w:widowControl/>
        <w:spacing w:line="360" w:lineRule="auto"/>
        <w:ind w:firstLine="42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现我方承诺如下内容：</w:t>
      </w:r>
    </w:p>
    <w:p w14:paraId="534EEC40">
      <w:pPr>
        <w:keepNext w:val="0"/>
        <w:keepLines w:val="0"/>
        <w:pageBreakBefore w:val="0"/>
        <w:widowControl/>
        <w:numPr>
          <w:ilvl w:val="0"/>
          <w:numId w:val="9"/>
        </w:numPr>
        <w:kinsoku/>
        <w:wordWrap/>
        <w:overflowPunct/>
        <w:topLinePunct w:val="0"/>
        <w:autoSpaceDE/>
        <w:autoSpaceDN/>
        <w:bidi w:val="0"/>
        <w:adjustRightInd/>
        <w:snapToGrid/>
        <w:spacing w:line="360" w:lineRule="auto"/>
        <w:ind w:left="0" w:leftChars="0" w:firstLine="283" w:firstLineChars="0"/>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本投标函及投标文件自投标文件提交截止日起</w:t>
      </w:r>
      <w:r>
        <w:rPr>
          <w:rFonts w:hint="eastAsia" w:ascii="宋体" w:hAnsi="宋体" w:eastAsia="宋体" w:cs="宋体"/>
          <w:color w:val="000000"/>
          <w:kern w:val="0"/>
          <w:sz w:val="24"/>
          <w:szCs w:val="24"/>
          <w:highlight w:val="none"/>
          <w:u w:val="single"/>
        </w:rPr>
        <w:t>有效期为</w:t>
      </w:r>
      <w:r>
        <w:rPr>
          <w:rFonts w:hint="eastAsia" w:ascii="宋体" w:hAnsi="宋体" w:cs="宋体"/>
          <w:color w:val="000000"/>
          <w:kern w:val="0"/>
          <w:sz w:val="24"/>
          <w:szCs w:val="24"/>
          <w:highlight w:val="none"/>
          <w:u w:val="single"/>
          <w:lang w:val="en-US" w:eastAsia="zh-CN"/>
        </w:rPr>
        <w:t>120</w:t>
      </w:r>
      <w:r>
        <w:rPr>
          <w:rFonts w:hint="eastAsia" w:ascii="宋体" w:hAnsi="宋体" w:eastAsia="宋体" w:cs="宋体"/>
          <w:color w:val="000000"/>
          <w:kern w:val="0"/>
          <w:sz w:val="24"/>
          <w:szCs w:val="24"/>
          <w:highlight w:val="none"/>
          <w:u w:val="single"/>
        </w:rPr>
        <w:t>天</w:t>
      </w:r>
      <w:r>
        <w:rPr>
          <w:rFonts w:hint="eastAsia" w:ascii="宋体" w:hAnsi="宋体" w:eastAsia="宋体" w:cs="宋体"/>
          <w:color w:val="000000"/>
          <w:kern w:val="0"/>
          <w:sz w:val="24"/>
          <w:szCs w:val="24"/>
          <w:highlight w:val="none"/>
        </w:rPr>
        <w:t>，我方承诺在投标有效期内不修改、撤销投标文件。</w:t>
      </w:r>
    </w:p>
    <w:p w14:paraId="5024925C">
      <w:pPr>
        <w:keepNext w:val="0"/>
        <w:keepLines w:val="0"/>
        <w:pageBreakBefore w:val="0"/>
        <w:widowControl/>
        <w:numPr>
          <w:ilvl w:val="0"/>
          <w:numId w:val="9"/>
        </w:numPr>
        <w:kinsoku/>
        <w:wordWrap/>
        <w:overflowPunct/>
        <w:topLinePunct w:val="0"/>
        <w:autoSpaceDE/>
        <w:autoSpaceDN/>
        <w:bidi w:val="0"/>
        <w:adjustRightInd/>
        <w:snapToGrid/>
        <w:spacing w:line="360" w:lineRule="auto"/>
        <w:ind w:left="0" w:leftChars="0" w:firstLine="283" w:firstLineChars="0"/>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随同本投标函提交投标保证</w:t>
      </w:r>
      <w:r>
        <w:rPr>
          <w:rFonts w:hint="eastAsia" w:ascii="宋体" w:hAnsi="宋体" w:eastAsia="宋体" w:cs="宋体"/>
          <w:color w:val="000000"/>
          <w:kern w:val="0"/>
          <w:sz w:val="24"/>
          <w:szCs w:val="24"/>
          <w:highlight w:val="none"/>
          <w:lang w:val="en-US" w:eastAsia="zh-CN"/>
        </w:rPr>
        <w:t>金</w:t>
      </w:r>
      <w:r>
        <w:rPr>
          <w:rFonts w:hint="eastAsia" w:ascii="宋体" w:hAnsi="宋体" w:eastAsia="宋体" w:cs="宋体"/>
          <w:color w:val="000000"/>
          <w:kern w:val="0"/>
          <w:sz w:val="24"/>
          <w:szCs w:val="24"/>
          <w:highlight w:val="none"/>
        </w:rPr>
        <w:t>一份。</w:t>
      </w:r>
    </w:p>
    <w:p w14:paraId="38655699">
      <w:pPr>
        <w:keepNext w:val="0"/>
        <w:keepLines w:val="0"/>
        <w:pageBreakBefore w:val="0"/>
        <w:widowControl/>
        <w:numPr>
          <w:ilvl w:val="0"/>
          <w:numId w:val="9"/>
        </w:numPr>
        <w:kinsoku/>
        <w:wordWrap/>
        <w:overflowPunct/>
        <w:topLinePunct w:val="0"/>
        <w:autoSpaceDE/>
        <w:autoSpaceDN/>
        <w:bidi w:val="0"/>
        <w:adjustRightInd/>
        <w:snapToGrid/>
        <w:spacing w:line="360" w:lineRule="auto"/>
        <w:ind w:left="0" w:leftChars="0" w:firstLine="283" w:firstLineChars="0"/>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我方承诺提供评标过程中可能要求的澄清、说明、补正或者算术性错误修正确认，并同意我方提供的以上材料构成我方投标文件的组成部分。</w:t>
      </w:r>
    </w:p>
    <w:p w14:paraId="0D973CA4">
      <w:pPr>
        <w:keepNext w:val="0"/>
        <w:keepLines w:val="0"/>
        <w:pageBreakBefore w:val="0"/>
        <w:widowControl/>
        <w:numPr>
          <w:ilvl w:val="0"/>
          <w:numId w:val="9"/>
        </w:numPr>
        <w:kinsoku/>
        <w:wordWrap/>
        <w:overflowPunct/>
        <w:topLinePunct w:val="0"/>
        <w:autoSpaceDE/>
        <w:autoSpaceDN/>
        <w:bidi w:val="0"/>
        <w:adjustRightInd/>
        <w:snapToGrid/>
        <w:spacing w:line="360" w:lineRule="auto"/>
        <w:ind w:left="0" w:leftChars="0" w:firstLine="283" w:firstLineChars="0"/>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我方同意提供贵方可能要求的与我方投标文件有关的一切数据、资料、证明原件、证件原件，并完全理解贵方不一定接受最低价的投标。</w:t>
      </w:r>
    </w:p>
    <w:p w14:paraId="5474E831">
      <w:pPr>
        <w:keepNext w:val="0"/>
        <w:keepLines w:val="0"/>
        <w:pageBreakBefore w:val="0"/>
        <w:widowControl/>
        <w:numPr>
          <w:ilvl w:val="0"/>
          <w:numId w:val="9"/>
        </w:numPr>
        <w:kinsoku/>
        <w:wordWrap/>
        <w:overflowPunct/>
        <w:topLinePunct w:val="0"/>
        <w:autoSpaceDE/>
        <w:autoSpaceDN/>
        <w:bidi w:val="0"/>
        <w:adjustRightInd/>
        <w:snapToGrid/>
        <w:spacing w:line="360" w:lineRule="auto"/>
        <w:ind w:left="0" w:leftChars="0" w:firstLine="283" w:firstLineChars="0"/>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我方承诺对在本次招标活动过程中所获知贵方一切商业秘密保密，不会向任何第三方泄露，不会用于本次招标活动之外的任何其他目的。</w:t>
      </w:r>
    </w:p>
    <w:p w14:paraId="53382D3F">
      <w:pPr>
        <w:keepNext w:val="0"/>
        <w:keepLines w:val="0"/>
        <w:pageBreakBefore w:val="0"/>
        <w:widowControl/>
        <w:numPr>
          <w:ilvl w:val="0"/>
          <w:numId w:val="9"/>
        </w:numPr>
        <w:kinsoku/>
        <w:wordWrap/>
        <w:overflowPunct/>
        <w:topLinePunct w:val="0"/>
        <w:autoSpaceDE/>
        <w:autoSpaceDN/>
        <w:bidi w:val="0"/>
        <w:adjustRightInd/>
        <w:snapToGrid/>
        <w:spacing w:line="360" w:lineRule="auto"/>
        <w:ind w:left="0" w:leftChars="0" w:firstLine="283" w:firstLineChars="0"/>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我方承诺对所递交的投标文件及有关材料的真实性、合法性、完整性、准确性承担法律责任。如有弄虚作假、串通投标、行贿等违法违规行为，将承担相应的法律责任，并赔偿由此给贵方造成的一切损失。</w:t>
      </w:r>
    </w:p>
    <w:p w14:paraId="66105106">
      <w:pPr>
        <w:keepNext w:val="0"/>
        <w:keepLines w:val="0"/>
        <w:pageBreakBefore w:val="0"/>
        <w:widowControl/>
        <w:numPr>
          <w:ilvl w:val="0"/>
          <w:numId w:val="9"/>
        </w:numPr>
        <w:kinsoku/>
        <w:wordWrap/>
        <w:overflowPunct/>
        <w:topLinePunct w:val="0"/>
        <w:autoSpaceDE/>
        <w:autoSpaceDN/>
        <w:bidi w:val="0"/>
        <w:adjustRightInd/>
        <w:snapToGrid/>
        <w:spacing w:line="360" w:lineRule="auto"/>
        <w:ind w:left="0" w:leftChars="0" w:firstLine="283" w:firstLineChars="0"/>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我方具有履行合同所必需的设备和专业技术能力。</w:t>
      </w:r>
    </w:p>
    <w:p w14:paraId="401A1614">
      <w:pPr>
        <w:keepNext w:val="0"/>
        <w:keepLines w:val="0"/>
        <w:pageBreakBefore w:val="0"/>
        <w:widowControl/>
        <w:numPr>
          <w:ilvl w:val="0"/>
          <w:numId w:val="9"/>
        </w:numPr>
        <w:kinsoku/>
        <w:wordWrap/>
        <w:overflowPunct/>
        <w:topLinePunct w:val="0"/>
        <w:autoSpaceDE/>
        <w:autoSpaceDN/>
        <w:bidi w:val="0"/>
        <w:adjustRightInd/>
        <w:snapToGrid/>
        <w:spacing w:line="360" w:lineRule="auto"/>
        <w:ind w:left="0" w:leftChars="0" w:firstLine="283" w:firstLineChars="0"/>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如我方中标：</w:t>
      </w:r>
    </w:p>
    <w:p w14:paraId="7E096FF7">
      <w:pPr>
        <w:widowControl/>
        <w:spacing w:line="360" w:lineRule="auto"/>
        <w:ind w:firstLine="42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（1）我方承诺在收到中标通知书后，在中标通知书规定的期限内与贵方签订合同。</w:t>
      </w:r>
    </w:p>
    <w:p w14:paraId="68776EDE">
      <w:pPr>
        <w:widowControl/>
        <w:spacing w:line="360" w:lineRule="auto"/>
        <w:ind w:firstLine="42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（2）我方承诺按照招标文件规定递交履约保证金、支付招标代理服务费。</w:t>
      </w:r>
    </w:p>
    <w:p w14:paraId="219CDEFF">
      <w:pPr>
        <w:widowControl/>
        <w:spacing w:line="360" w:lineRule="auto"/>
        <w:ind w:firstLine="42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（3）我方承诺按照招标文件的规定及合同约定履行相关责任和义务。</w:t>
      </w:r>
    </w:p>
    <w:p w14:paraId="00226750">
      <w:pPr>
        <w:widowControl/>
        <w:spacing w:line="360" w:lineRule="auto"/>
        <w:ind w:firstLine="42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（4）我方承诺双方合作后，我方可开具增值税发票。</w:t>
      </w:r>
    </w:p>
    <w:p w14:paraId="55BE3D6F">
      <w:pPr>
        <w:pStyle w:val="118"/>
        <w:spacing w:line="360" w:lineRule="auto"/>
        <w:rPr>
          <w:rFonts w:hint="eastAsia" w:ascii="宋体" w:hAnsi="宋体" w:eastAsia="宋体" w:cs="宋体"/>
          <w:color w:val="000000"/>
          <w:sz w:val="24"/>
          <w:szCs w:val="24"/>
          <w:highlight w:val="none"/>
        </w:rPr>
      </w:pPr>
    </w:p>
    <w:p w14:paraId="21A001A9">
      <w:pPr>
        <w:spacing w:line="360" w:lineRule="auto"/>
        <w:ind w:firstLine="4080" w:firstLineChars="1700"/>
        <w:jc w:val="righ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投标人名称：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（盖章）</w:t>
      </w:r>
    </w:p>
    <w:p w14:paraId="43CF84D1">
      <w:pPr>
        <w:spacing w:line="360" w:lineRule="auto"/>
        <w:jc w:val="righ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日期：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日</w:t>
      </w:r>
    </w:p>
    <w:p w14:paraId="48FC7012">
      <w:pPr>
        <w:tabs>
          <w:tab w:val="left" w:pos="338"/>
        </w:tabs>
        <w:spacing w:line="360" w:lineRule="auto"/>
        <w:ind w:right="120"/>
        <w:jc w:val="right"/>
        <w:rPr>
          <w:rFonts w:hint="eastAsia" w:ascii="宋体" w:hAnsi="宋体" w:eastAsia="宋体" w:cs="宋体"/>
          <w:color w:val="000000"/>
          <w:szCs w:val="24"/>
          <w:highlight w:val="none"/>
        </w:rPr>
      </w:pPr>
      <w:r>
        <w:rPr>
          <w:rFonts w:hint="eastAsia" w:ascii="宋体" w:hAnsi="宋体" w:eastAsia="宋体" w:cs="宋体"/>
          <w:color w:val="000000"/>
          <w:sz w:val="24"/>
          <w:szCs w:val="24"/>
          <w:highlight w:val="none"/>
        </w:rPr>
        <w:tab/>
      </w:r>
      <w:bookmarkStart w:id="667" w:name="_Toc109124318"/>
      <w:bookmarkStart w:id="668" w:name="_Toc2403"/>
      <w:bookmarkStart w:id="669" w:name="_Toc65683006"/>
    </w:p>
    <w:p w14:paraId="1E677DDB">
      <w:pPr>
        <w:rPr>
          <w:rFonts w:hint="eastAsia" w:ascii="宋体" w:hAnsi="宋体" w:eastAsia="宋体" w:cs="宋体"/>
          <w:b/>
          <w:bCs/>
          <w:color w:val="000000"/>
          <w:kern w:val="2"/>
          <w:sz w:val="24"/>
          <w:szCs w:val="24"/>
          <w:highlight w:val="none"/>
          <w:lang w:val="en-US" w:eastAsia="zh-CN" w:bidi="ar-SA"/>
        </w:rPr>
      </w:pPr>
      <w:r>
        <w:rPr>
          <w:rFonts w:hint="eastAsia" w:ascii="宋体" w:hAnsi="宋体" w:eastAsia="宋体" w:cs="宋体"/>
          <w:b/>
          <w:bCs/>
          <w:color w:val="000000"/>
          <w:kern w:val="2"/>
          <w:sz w:val="24"/>
          <w:szCs w:val="24"/>
          <w:highlight w:val="none"/>
          <w:lang w:val="en-US" w:eastAsia="zh-CN" w:bidi="ar-SA"/>
        </w:rPr>
        <w:t>（二）法定代表人（负责人）身份证明</w:t>
      </w:r>
      <w:bookmarkEnd w:id="667"/>
      <w:bookmarkEnd w:id="668"/>
      <w:bookmarkEnd w:id="669"/>
    </w:p>
    <w:p w14:paraId="0B4201B0">
      <w:pPr>
        <w:pStyle w:val="118"/>
        <w:spacing w:line="360" w:lineRule="auto"/>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法定代表人（负责人）身份证明</w:t>
      </w:r>
    </w:p>
    <w:p w14:paraId="6C35C559">
      <w:pPr>
        <w:widowControl/>
        <w:topLinePunct/>
        <w:spacing w:line="360" w:lineRule="auto"/>
        <w:rPr>
          <w:rFonts w:hint="eastAsia" w:ascii="宋体" w:hAnsi="宋体" w:eastAsia="宋体" w:cs="宋体"/>
          <w:color w:val="000000"/>
          <w:kern w:val="0"/>
          <w:sz w:val="24"/>
          <w:szCs w:val="24"/>
          <w:highlight w:val="none"/>
          <w:u w:val="single"/>
        </w:rPr>
      </w:pPr>
      <w:r>
        <w:rPr>
          <w:rFonts w:hint="eastAsia" w:ascii="宋体" w:hAnsi="宋体" w:eastAsia="宋体" w:cs="宋体"/>
          <w:color w:val="000000"/>
          <w:kern w:val="0"/>
          <w:sz w:val="24"/>
          <w:szCs w:val="24"/>
          <w:highlight w:val="none"/>
        </w:rPr>
        <w:t>投标人名称：</w:t>
      </w:r>
      <w:r>
        <w:rPr>
          <w:rFonts w:hint="eastAsia" w:ascii="宋体" w:hAnsi="宋体" w:eastAsia="宋体" w:cs="宋体"/>
          <w:color w:val="000000"/>
          <w:kern w:val="0"/>
          <w:sz w:val="24"/>
          <w:szCs w:val="24"/>
          <w:highlight w:val="none"/>
          <w:u w:val="single"/>
        </w:rPr>
        <w:t xml:space="preserve">                         </w:t>
      </w:r>
    </w:p>
    <w:p w14:paraId="4E3D92CF">
      <w:pPr>
        <w:widowControl/>
        <w:topLinePunct/>
        <w:spacing w:line="360" w:lineRule="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成立时间：</w:t>
      </w:r>
      <w:r>
        <w:rPr>
          <w:rFonts w:hint="eastAsia" w:ascii="宋体" w:hAnsi="宋体" w:eastAsia="宋体" w:cs="宋体"/>
          <w:color w:val="000000"/>
          <w:kern w:val="0"/>
          <w:sz w:val="24"/>
          <w:szCs w:val="24"/>
          <w:highlight w:val="none"/>
          <w:u w:val="single"/>
        </w:rPr>
        <w:t xml:space="preserve">    </w:t>
      </w:r>
      <w:r>
        <w:rPr>
          <w:rFonts w:hint="eastAsia" w:ascii="宋体" w:hAnsi="宋体" w:eastAsia="宋体" w:cs="宋体"/>
          <w:color w:val="000000"/>
          <w:kern w:val="0"/>
          <w:sz w:val="24"/>
          <w:szCs w:val="24"/>
          <w:highlight w:val="none"/>
        </w:rPr>
        <w:t>年</w:t>
      </w:r>
      <w:r>
        <w:rPr>
          <w:rFonts w:hint="eastAsia" w:ascii="宋体" w:hAnsi="宋体" w:eastAsia="宋体" w:cs="宋体"/>
          <w:color w:val="000000"/>
          <w:kern w:val="0"/>
          <w:sz w:val="24"/>
          <w:szCs w:val="24"/>
          <w:highlight w:val="none"/>
          <w:u w:val="single"/>
        </w:rPr>
        <w:t xml:space="preserve">    </w:t>
      </w:r>
      <w:r>
        <w:rPr>
          <w:rFonts w:hint="eastAsia" w:ascii="宋体" w:hAnsi="宋体" w:eastAsia="宋体" w:cs="宋体"/>
          <w:color w:val="000000"/>
          <w:kern w:val="0"/>
          <w:sz w:val="24"/>
          <w:szCs w:val="24"/>
          <w:highlight w:val="none"/>
        </w:rPr>
        <w:t>月</w:t>
      </w:r>
      <w:r>
        <w:rPr>
          <w:rFonts w:hint="eastAsia" w:ascii="宋体" w:hAnsi="宋体" w:eastAsia="宋体" w:cs="宋体"/>
          <w:color w:val="000000"/>
          <w:kern w:val="0"/>
          <w:sz w:val="24"/>
          <w:szCs w:val="24"/>
          <w:highlight w:val="none"/>
          <w:u w:val="single"/>
        </w:rPr>
        <w:t xml:space="preserve">    </w:t>
      </w:r>
      <w:r>
        <w:rPr>
          <w:rFonts w:hint="eastAsia" w:ascii="宋体" w:hAnsi="宋体" w:eastAsia="宋体" w:cs="宋体"/>
          <w:color w:val="000000"/>
          <w:kern w:val="0"/>
          <w:sz w:val="24"/>
          <w:szCs w:val="24"/>
          <w:highlight w:val="none"/>
        </w:rPr>
        <w:t>日</w:t>
      </w:r>
    </w:p>
    <w:p w14:paraId="04169D4A">
      <w:pPr>
        <w:widowControl/>
        <w:topLinePunct/>
        <w:spacing w:line="360" w:lineRule="auto"/>
        <w:rPr>
          <w:rFonts w:hint="eastAsia" w:ascii="宋体" w:hAnsi="宋体" w:eastAsia="宋体" w:cs="宋体"/>
          <w:color w:val="000000"/>
          <w:kern w:val="0"/>
          <w:sz w:val="24"/>
          <w:szCs w:val="24"/>
          <w:highlight w:val="none"/>
          <w:u w:val="single"/>
        </w:rPr>
      </w:pPr>
      <w:r>
        <w:rPr>
          <w:rFonts w:hint="eastAsia" w:ascii="宋体" w:hAnsi="宋体" w:eastAsia="宋体" w:cs="宋体"/>
          <w:color w:val="000000"/>
          <w:kern w:val="0"/>
          <w:sz w:val="24"/>
          <w:szCs w:val="24"/>
          <w:highlight w:val="none"/>
        </w:rPr>
        <w:t>姓名：</w:t>
      </w:r>
      <w:r>
        <w:rPr>
          <w:rFonts w:hint="eastAsia" w:ascii="宋体" w:hAnsi="宋体" w:eastAsia="宋体" w:cs="宋体"/>
          <w:color w:val="000000"/>
          <w:kern w:val="0"/>
          <w:sz w:val="24"/>
          <w:szCs w:val="24"/>
          <w:highlight w:val="none"/>
          <w:u w:val="single"/>
        </w:rPr>
        <w:t xml:space="preserve">         </w:t>
      </w:r>
      <w:r>
        <w:rPr>
          <w:rFonts w:hint="eastAsia" w:ascii="宋体" w:hAnsi="宋体" w:eastAsia="宋体" w:cs="宋体"/>
          <w:color w:val="000000"/>
          <w:kern w:val="0"/>
          <w:sz w:val="24"/>
          <w:szCs w:val="24"/>
          <w:highlight w:val="none"/>
        </w:rPr>
        <w:t>性别：</w:t>
      </w:r>
      <w:r>
        <w:rPr>
          <w:rFonts w:hint="eastAsia" w:ascii="宋体" w:hAnsi="宋体" w:eastAsia="宋体" w:cs="宋体"/>
          <w:color w:val="000000"/>
          <w:kern w:val="0"/>
          <w:sz w:val="24"/>
          <w:szCs w:val="24"/>
          <w:highlight w:val="none"/>
          <w:u w:val="single"/>
        </w:rPr>
        <w:t xml:space="preserve">          </w:t>
      </w:r>
      <w:r>
        <w:rPr>
          <w:rFonts w:hint="eastAsia" w:ascii="宋体" w:hAnsi="宋体" w:eastAsia="宋体" w:cs="宋体"/>
          <w:color w:val="000000"/>
          <w:kern w:val="0"/>
          <w:sz w:val="24"/>
          <w:szCs w:val="24"/>
          <w:highlight w:val="none"/>
        </w:rPr>
        <w:t>年龄：</w:t>
      </w:r>
      <w:r>
        <w:rPr>
          <w:rFonts w:hint="eastAsia" w:ascii="宋体" w:hAnsi="宋体" w:eastAsia="宋体" w:cs="宋体"/>
          <w:color w:val="000000"/>
          <w:kern w:val="0"/>
          <w:sz w:val="24"/>
          <w:szCs w:val="24"/>
          <w:highlight w:val="none"/>
          <w:u w:val="single"/>
        </w:rPr>
        <w:t xml:space="preserve">         </w:t>
      </w:r>
      <w:r>
        <w:rPr>
          <w:rFonts w:hint="eastAsia" w:ascii="宋体" w:hAnsi="宋体" w:eastAsia="宋体" w:cs="宋体"/>
          <w:color w:val="000000"/>
          <w:kern w:val="0"/>
          <w:sz w:val="24"/>
          <w:szCs w:val="24"/>
          <w:highlight w:val="none"/>
        </w:rPr>
        <w:t>职务：</w:t>
      </w:r>
      <w:r>
        <w:rPr>
          <w:rFonts w:hint="eastAsia" w:ascii="宋体" w:hAnsi="宋体" w:eastAsia="宋体" w:cs="宋体"/>
          <w:color w:val="000000"/>
          <w:kern w:val="0"/>
          <w:sz w:val="24"/>
          <w:szCs w:val="24"/>
          <w:highlight w:val="none"/>
          <w:u w:val="single"/>
        </w:rPr>
        <w:t xml:space="preserve">         </w:t>
      </w:r>
    </w:p>
    <w:p w14:paraId="53B1122F">
      <w:pPr>
        <w:widowControl/>
        <w:topLinePunct/>
        <w:spacing w:line="360" w:lineRule="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系</w:t>
      </w:r>
      <w:r>
        <w:rPr>
          <w:rFonts w:hint="eastAsia" w:ascii="宋体" w:hAnsi="宋体" w:eastAsia="宋体" w:cs="宋体"/>
          <w:color w:val="000000"/>
          <w:kern w:val="0"/>
          <w:sz w:val="24"/>
          <w:szCs w:val="24"/>
          <w:highlight w:val="none"/>
          <w:u w:val="single"/>
        </w:rPr>
        <w:t xml:space="preserve">                   </w:t>
      </w:r>
      <w:r>
        <w:rPr>
          <w:rFonts w:hint="eastAsia" w:ascii="宋体" w:hAnsi="宋体" w:eastAsia="宋体" w:cs="宋体"/>
          <w:color w:val="000000"/>
          <w:kern w:val="0"/>
          <w:sz w:val="24"/>
          <w:szCs w:val="24"/>
          <w:highlight w:val="none"/>
        </w:rPr>
        <w:t>（投标人名称）的法定代表人（负责人）。</w:t>
      </w:r>
    </w:p>
    <w:p w14:paraId="6DB0C5D0">
      <w:pPr>
        <w:widowControl/>
        <w:topLinePunct/>
        <w:spacing w:line="360" w:lineRule="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特此证明。</w:t>
      </w:r>
    </w:p>
    <w:p w14:paraId="012BB9CD">
      <w:pPr>
        <w:pStyle w:val="13"/>
        <w:rPr>
          <w:rFonts w:hint="eastAsia" w:ascii="宋体" w:hAnsi="宋体" w:eastAsia="宋体" w:cs="宋体"/>
          <w:szCs w:val="21"/>
          <w:highlight w:val="none"/>
        </w:rPr>
      </w:pPr>
    </w:p>
    <w:p w14:paraId="37FF99E0">
      <w:pPr>
        <w:widowControl/>
        <w:spacing w:line="360" w:lineRule="auto"/>
        <w:rPr>
          <w:rFonts w:hint="eastAsia" w:ascii="宋体" w:hAnsi="宋体" w:eastAsia="宋体" w:cs="宋体"/>
          <w:color w:val="000000"/>
          <w:kern w:val="0"/>
          <w:sz w:val="24"/>
          <w:szCs w:val="24"/>
          <w:highlight w:val="none"/>
        </w:rPr>
      </w:pPr>
      <w:r>
        <w:rPr>
          <w:rFonts w:hint="eastAsia" w:ascii="宋体" w:hAnsi="宋体" w:eastAsia="宋体" w:cs="宋体"/>
          <w:b/>
          <w:bCs/>
          <w:color w:val="000000"/>
          <w:kern w:val="0"/>
          <w:sz w:val="24"/>
          <w:szCs w:val="24"/>
          <w:highlight w:val="none"/>
        </w:rPr>
        <w:t>附：法定代表人（负责人）身份证复印件（需同时提供正面及背面）</w:t>
      </w:r>
      <w:r>
        <w:rPr>
          <w:rFonts w:hint="eastAsia" w:ascii="宋体" w:hAnsi="宋体" w:eastAsia="宋体" w:cs="宋体"/>
          <w:color w:val="000000"/>
          <w:kern w:val="0"/>
          <w:sz w:val="24"/>
          <w:szCs w:val="24"/>
          <w:highlight w:val="none"/>
        </w:rPr>
        <w:t>。</w:t>
      </w:r>
    </w:p>
    <w:tbl>
      <w:tblPr>
        <w:tblStyle w:val="3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DD6EE"/>
        <w:tblLayout w:type="autofit"/>
        <w:tblCellMar>
          <w:top w:w="0" w:type="dxa"/>
          <w:left w:w="108" w:type="dxa"/>
          <w:bottom w:w="0" w:type="dxa"/>
          <w:right w:w="108" w:type="dxa"/>
        </w:tblCellMar>
      </w:tblPr>
      <w:tblGrid>
        <w:gridCol w:w="4927"/>
        <w:gridCol w:w="4927"/>
      </w:tblGrid>
      <w:tr w14:paraId="7CD53E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DD6EE"/>
          <w:tblCellMar>
            <w:top w:w="0" w:type="dxa"/>
            <w:left w:w="108" w:type="dxa"/>
            <w:bottom w:w="0" w:type="dxa"/>
            <w:right w:w="108" w:type="dxa"/>
          </w:tblCellMar>
        </w:tblPrEx>
        <w:trPr>
          <w:trHeight w:val="3432" w:hRule="atLeast"/>
        </w:trPr>
        <w:tc>
          <w:tcPr>
            <w:tcW w:w="4927" w:type="dxa"/>
            <w:shd w:val="clear" w:color="auto" w:fill="A8D08D"/>
            <w:noWrap w:val="0"/>
            <w:vAlign w:val="top"/>
          </w:tcPr>
          <w:p w14:paraId="7D6A592D">
            <w:pPr>
              <w:keepNext w:val="0"/>
              <w:keepLines w:val="0"/>
              <w:widowControl/>
              <w:suppressLineNumbers w:val="0"/>
              <w:spacing w:before="0" w:beforeAutospacing="0" w:after="0" w:afterAutospacing="0" w:line="360" w:lineRule="auto"/>
              <w:ind w:left="0" w:right="0"/>
              <w:rPr>
                <w:rFonts w:hint="eastAsia" w:ascii="宋体" w:hAnsi="宋体" w:eastAsia="宋体" w:cs="宋体"/>
                <w:color w:val="000000"/>
                <w:kern w:val="0"/>
                <w:szCs w:val="20"/>
                <w:highlight w:val="none"/>
              </w:rPr>
            </w:pPr>
          </w:p>
        </w:tc>
        <w:tc>
          <w:tcPr>
            <w:tcW w:w="4927" w:type="dxa"/>
            <w:shd w:val="clear" w:color="auto" w:fill="A8D08D"/>
            <w:noWrap w:val="0"/>
            <w:vAlign w:val="top"/>
          </w:tcPr>
          <w:p w14:paraId="05F015AF">
            <w:pPr>
              <w:keepNext w:val="0"/>
              <w:keepLines w:val="0"/>
              <w:widowControl/>
              <w:suppressLineNumbers w:val="0"/>
              <w:spacing w:before="0" w:beforeAutospacing="0" w:after="0" w:afterAutospacing="0" w:line="360" w:lineRule="auto"/>
              <w:ind w:left="0" w:right="0"/>
              <w:rPr>
                <w:rFonts w:hint="eastAsia" w:ascii="宋体" w:hAnsi="宋体" w:eastAsia="宋体" w:cs="宋体"/>
                <w:color w:val="000000"/>
                <w:kern w:val="0"/>
                <w:szCs w:val="20"/>
                <w:highlight w:val="none"/>
              </w:rPr>
            </w:pPr>
          </w:p>
        </w:tc>
      </w:tr>
    </w:tbl>
    <w:p w14:paraId="4A8AB8B3">
      <w:pPr>
        <w:widowControl/>
        <w:spacing w:line="360" w:lineRule="auto"/>
        <w:rPr>
          <w:rFonts w:hint="eastAsia" w:ascii="宋体" w:hAnsi="宋体" w:eastAsia="宋体" w:cs="宋体"/>
          <w:color w:val="000000"/>
          <w:kern w:val="0"/>
          <w:highlight w:val="none"/>
        </w:rPr>
      </w:pPr>
    </w:p>
    <w:p w14:paraId="4E51A57F">
      <w:pPr>
        <w:pStyle w:val="118"/>
        <w:spacing w:line="440" w:lineRule="atLeast"/>
        <w:jc w:val="center"/>
        <w:rPr>
          <w:rFonts w:hint="eastAsia" w:ascii="宋体" w:hAnsi="宋体" w:eastAsia="宋体" w:cs="宋体"/>
          <w:color w:val="000000"/>
          <w:highlight w:val="none"/>
        </w:rPr>
      </w:pPr>
    </w:p>
    <w:p w14:paraId="65CB8E69">
      <w:pPr>
        <w:pStyle w:val="118"/>
        <w:spacing w:line="440" w:lineRule="atLeast"/>
        <w:jc w:val="center"/>
        <w:rPr>
          <w:rFonts w:hint="eastAsia" w:ascii="宋体" w:hAnsi="宋体" w:eastAsia="宋体" w:cs="宋体"/>
          <w:color w:val="000000"/>
          <w:highlight w:val="none"/>
        </w:rPr>
      </w:pPr>
    </w:p>
    <w:p w14:paraId="6E22656A">
      <w:pPr>
        <w:spacing w:line="440" w:lineRule="exact"/>
        <w:ind w:firstLine="4080" w:firstLineChars="1700"/>
        <w:jc w:val="righ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投标人名称：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（盖章）</w:t>
      </w:r>
    </w:p>
    <w:p w14:paraId="01240590">
      <w:pPr>
        <w:spacing w:line="440" w:lineRule="exact"/>
        <w:jc w:val="right"/>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日期：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日</w:t>
      </w:r>
    </w:p>
    <w:p w14:paraId="27516DA0">
      <w:pPr>
        <w:pStyle w:val="118"/>
        <w:spacing w:line="440" w:lineRule="atLeast"/>
        <w:jc w:val="center"/>
        <w:rPr>
          <w:rFonts w:hint="eastAsia" w:ascii="宋体" w:hAnsi="宋体" w:eastAsia="宋体" w:cs="宋体"/>
          <w:color w:val="000000"/>
          <w:sz w:val="24"/>
          <w:szCs w:val="24"/>
          <w:highlight w:val="none"/>
        </w:rPr>
      </w:pPr>
    </w:p>
    <w:p w14:paraId="055B3C98">
      <w:pPr>
        <w:spacing w:line="360" w:lineRule="auto"/>
        <w:ind w:firstLine="0" w:firstLineChars="0"/>
        <w:outlineLvl w:val="2"/>
        <w:rPr>
          <w:rFonts w:hint="eastAsia" w:ascii="宋体" w:hAnsi="宋体" w:eastAsia="宋体" w:cs="宋体"/>
          <w:color w:val="000000"/>
          <w:szCs w:val="24"/>
          <w:highlight w:val="none"/>
        </w:rPr>
      </w:pPr>
      <w:r>
        <w:rPr>
          <w:rFonts w:hint="eastAsia" w:ascii="宋体" w:hAnsi="宋体" w:eastAsia="宋体" w:cs="宋体"/>
          <w:color w:val="000000"/>
          <w:highlight w:val="none"/>
        </w:rPr>
        <w:br w:type="page"/>
      </w:r>
      <w:bookmarkStart w:id="670" w:name="_Toc109124319"/>
      <w:bookmarkStart w:id="671" w:name="_Toc65683007"/>
      <w:bookmarkStart w:id="672" w:name="_Toc6518"/>
      <w:bookmarkStart w:id="673" w:name="_Toc6523"/>
      <w:r>
        <w:rPr>
          <w:rFonts w:hint="eastAsia" w:ascii="宋体" w:hAnsi="宋体" w:eastAsia="宋体" w:cs="宋体"/>
          <w:b/>
          <w:bCs/>
          <w:color w:val="000000"/>
          <w:kern w:val="2"/>
          <w:sz w:val="24"/>
          <w:szCs w:val="24"/>
          <w:highlight w:val="none"/>
          <w:lang w:val="en-US" w:eastAsia="zh-CN" w:bidi="ar-SA"/>
        </w:rPr>
        <w:t>（三）法定代表人（负责人）授权委托书</w:t>
      </w:r>
      <w:bookmarkEnd w:id="670"/>
      <w:bookmarkEnd w:id="671"/>
      <w:bookmarkEnd w:id="672"/>
      <w:bookmarkEnd w:id="673"/>
    </w:p>
    <w:p w14:paraId="45BA80B4">
      <w:pPr>
        <w:pStyle w:val="118"/>
        <w:spacing w:line="360" w:lineRule="auto"/>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法定代表人（负责人）授权委托书</w:t>
      </w:r>
    </w:p>
    <w:p w14:paraId="73D10BEF">
      <w:pPr>
        <w:pStyle w:val="118"/>
        <w:topLinePunct/>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本人</w:t>
      </w:r>
      <w:r>
        <w:rPr>
          <w:rFonts w:hint="eastAsia" w:ascii="宋体" w:hAnsi="宋体" w:eastAsia="宋体" w:cs="宋体"/>
          <w:color w:val="000000"/>
          <w:sz w:val="24"/>
          <w:szCs w:val="24"/>
          <w:highlight w:val="none"/>
          <w:u w:val="single"/>
        </w:rPr>
        <w:t>（姓名）</w:t>
      </w:r>
      <w:r>
        <w:rPr>
          <w:rFonts w:hint="eastAsia" w:ascii="宋体" w:hAnsi="宋体" w:eastAsia="宋体" w:cs="宋体"/>
          <w:color w:val="000000"/>
          <w:sz w:val="24"/>
          <w:szCs w:val="24"/>
          <w:highlight w:val="none"/>
        </w:rPr>
        <w:t>系</w:t>
      </w:r>
      <w:r>
        <w:rPr>
          <w:rFonts w:hint="eastAsia" w:ascii="宋体" w:hAnsi="宋体" w:eastAsia="宋体" w:cs="宋体"/>
          <w:color w:val="000000"/>
          <w:sz w:val="24"/>
          <w:szCs w:val="24"/>
          <w:highlight w:val="none"/>
          <w:u w:val="single"/>
        </w:rPr>
        <w:t>（投标人名称）</w:t>
      </w:r>
      <w:r>
        <w:rPr>
          <w:rFonts w:hint="eastAsia" w:ascii="宋体" w:hAnsi="宋体" w:eastAsia="宋体" w:cs="宋体"/>
          <w:color w:val="000000"/>
          <w:sz w:val="24"/>
          <w:szCs w:val="24"/>
          <w:highlight w:val="none"/>
        </w:rPr>
        <w:t>的法定代表人（负责人），现委托</w:t>
      </w:r>
      <w:r>
        <w:rPr>
          <w:rFonts w:hint="eastAsia" w:ascii="宋体" w:hAnsi="宋体" w:eastAsia="宋体" w:cs="宋体"/>
          <w:color w:val="000000"/>
          <w:sz w:val="24"/>
          <w:szCs w:val="24"/>
          <w:highlight w:val="none"/>
          <w:u w:val="single"/>
        </w:rPr>
        <w:t>（姓名）</w:t>
      </w:r>
      <w:r>
        <w:rPr>
          <w:rFonts w:hint="eastAsia" w:ascii="宋体" w:hAnsi="宋体" w:eastAsia="宋体" w:cs="宋体"/>
          <w:color w:val="000000"/>
          <w:sz w:val="24"/>
          <w:szCs w:val="24"/>
          <w:highlight w:val="none"/>
        </w:rPr>
        <w:t>为我方代理人。代理人根据授权，以我方名义签署、澄清、说明、补正、递交、撤回、修改</w:t>
      </w:r>
      <w:r>
        <w:rPr>
          <w:rFonts w:hint="eastAsia" w:ascii="宋体" w:hAnsi="宋体" w:eastAsia="宋体" w:cs="宋体"/>
          <w:color w:val="000000"/>
          <w:sz w:val="24"/>
          <w:szCs w:val="24"/>
          <w:highlight w:val="none"/>
          <w:u w:val="single"/>
        </w:rPr>
        <w:t>（项目名称）</w:t>
      </w:r>
      <w:r>
        <w:rPr>
          <w:rFonts w:hint="eastAsia" w:ascii="宋体" w:hAnsi="宋体" w:eastAsia="宋体" w:cs="宋体"/>
          <w:color w:val="000000"/>
          <w:sz w:val="24"/>
          <w:szCs w:val="24"/>
          <w:highlight w:val="none"/>
        </w:rPr>
        <w:t>投标文件、签订合同和处理有关事宜，其法律后果由我方承担。</w:t>
      </w:r>
    </w:p>
    <w:p w14:paraId="44A62577">
      <w:pPr>
        <w:widowControl/>
        <w:spacing w:line="360" w:lineRule="auto"/>
        <w:ind w:firstLine="480" w:firstLineChars="200"/>
        <w:jc w:val="left"/>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委托期限：</w:t>
      </w:r>
      <w:r>
        <w:rPr>
          <w:rFonts w:hint="eastAsia" w:ascii="宋体" w:hAnsi="宋体" w:eastAsia="宋体" w:cs="宋体"/>
          <w:color w:val="000000"/>
          <w:kern w:val="0"/>
          <w:sz w:val="24"/>
          <w:szCs w:val="24"/>
          <w:highlight w:val="none"/>
          <w:u w:val="single"/>
        </w:rPr>
        <w:t>自本委托书签字盖章生效之日起至投标有效期到期之日为止</w:t>
      </w:r>
      <w:r>
        <w:rPr>
          <w:rFonts w:hint="eastAsia" w:ascii="宋体" w:hAnsi="宋体" w:eastAsia="宋体" w:cs="宋体"/>
          <w:color w:val="000000"/>
          <w:kern w:val="0"/>
          <w:sz w:val="24"/>
          <w:szCs w:val="24"/>
          <w:highlight w:val="none"/>
        </w:rPr>
        <w:t>。</w:t>
      </w:r>
    </w:p>
    <w:p w14:paraId="4DC1965F">
      <w:pPr>
        <w:pStyle w:val="118"/>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代理人无转委托权。</w:t>
      </w:r>
    </w:p>
    <w:p w14:paraId="5A6D2258">
      <w:pPr>
        <w:pStyle w:val="118"/>
        <w:spacing w:line="360" w:lineRule="auto"/>
        <w:ind w:firstLine="480" w:firstLineChars="200"/>
        <w:rPr>
          <w:rFonts w:hint="eastAsia" w:ascii="宋体" w:hAnsi="宋体" w:eastAsia="宋体" w:cs="宋体"/>
          <w:color w:val="000000"/>
          <w:sz w:val="24"/>
          <w:szCs w:val="24"/>
          <w:highlight w:val="none"/>
        </w:rPr>
      </w:pPr>
    </w:p>
    <w:p w14:paraId="744EEE7D">
      <w:pPr>
        <w:pStyle w:val="118"/>
        <w:spacing w:line="360" w:lineRule="auto"/>
        <w:ind w:firstLine="200"/>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附：委托代理人身份证复印件（需同时提供正面及背面）</w:t>
      </w:r>
      <w:r>
        <w:rPr>
          <w:rFonts w:hint="eastAsia" w:ascii="宋体" w:hAnsi="宋体" w:eastAsia="宋体" w:cs="宋体"/>
          <w:color w:val="000000"/>
          <w:sz w:val="24"/>
          <w:szCs w:val="24"/>
          <w:highlight w:val="none"/>
        </w:rPr>
        <w:t>。</w:t>
      </w:r>
    </w:p>
    <w:tbl>
      <w:tblPr>
        <w:tblStyle w:val="3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DD6EE"/>
        <w:tblLayout w:type="autofit"/>
        <w:tblCellMar>
          <w:top w:w="0" w:type="dxa"/>
          <w:left w:w="108" w:type="dxa"/>
          <w:bottom w:w="0" w:type="dxa"/>
          <w:right w:w="108" w:type="dxa"/>
        </w:tblCellMar>
      </w:tblPr>
      <w:tblGrid>
        <w:gridCol w:w="4927"/>
        <w:gridCol w:w="4927"/>
      </w:tblGrid>
      <w:tr w14:paraId="2ABFB6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2" w:hRule="atLeast"/>
        </w:trPr>
        <w:tc>
          <w:tcPr>
            <w:tcW w:w="4927" w:type="dxa"/>
            <w:shd w:val="clear" w:color="auto" w:fill="A8D08D"/>
            <w:noWrap w:val="0"/>
            <w:vAlign w:val="top"/>
          </w:tcPr>
          <w:p w14:paraId="0F2DF784">
            <w:pPr>
              <w:keepNext w:val="0"/>
              <w:keepLines w:val="0"/>
              <w:widowControl/>
              <w:suppressLineNumbers w:val="0"/>
              <w:spacing w:before="0" w:beforeAutospacing="0" w:after="0" w:afterAutospacing="0" w:line="360" w:lineRule="auto"/>
              <w:ind w:left="0" w:right="0"/>
              <w:rPr>
                <w:rFonts w:hint="eastAsia" w:ascii="宋体" w:hAnsi="宋体" w:eastAsia="宋体" w:cs="宋体"/>
                <w:color w:val="000000"/>
                <w:kern w:val="0"/>
                <w:szCs w:val="20"/>
                <w:highlight w:val="none"/>
              </w:rPr>
            </w:pPr>
          </w:p>
        </w:tc>
        <w:tc>
          <w:tcPr>
            <w:tcW w:w="4927" w:type="dxa"/>
            <w:shd w:val="clear" w:color="auto" w:fill="A8D08D"/>
            <w:noWrap w:val="0"/>
            <w:vAlign w:val="top"/>
          </w:tcPr>
          <w:p w14:paraId="3ACB650E">
            <w:pPr>
              <w:keepNext w:val="0"/>
              <w:keepLines w:val="0"/>
              <w:widowControl/>
              <w:suppressLineNumbers w:val="0"/>
              <w:spacing w:before="0" w:beforeAutospacing="0" w:after="0" w:afterAutospacing="0" w:line="360" w:lineRule="auto"/>
              <w:ind w:left="0" w:right="0"/>
              <w:rPr>
                <w:rFonts w:hint="eastAsia" w:ascii="宋体" w:hAnsi="宋体" w:eastAsia="宋体" w:cs="宋体"/>
                <w:color w:val="000000"/>
                <w:kern w:val="0"/>
                <w:szCs w:val="20"/>
                <w:highlight w:val="none"/>
              </w:rPr>
            </w:pPr>
          </w:p>
        </w:tc>
      </w:tr>
    </w:tbl>
    <w:p w14:paraId="493CCFA0">
      <w:pPr>
        <w:pStyle w:val="118"/>
        <w:spacing w:line="360" w:lineRule="auto"/>
        <w:jc w:val="center"/>
        <w:rPr>
          <w:rFonts w:hint="eastAsia" w:ascii="宋体" w:hAnsi="宋体" w:eastAsia="宋体" w:cs="宋体"/>
          <w:color w:val="000000"/>
          <w:sz w:val="24"/>
          <w:szCs w:val="24"/>
          <w:highlight w:val="none"/>
        </w:rPr>
      </w:pPr>
    </w:p>
    <w:p w14:paraId="09E18496">
      <w:pPr>
        <w:spacing w:line="360" w:lineRule="auto"/>
        <w:ind w:right="420"/>
        <w:jc w:val="righ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投标人名称：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（盖章）</w:t>
      </w:r>
    </w:p>
    <w:p w14:paraId="3644095F">
      <w:pPr>
        <w:spacing w:line="360" w:lineRule="auto"/>
        <w:ind w:right="420"/>
        <w:jc w:val="righ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法定代表人（负责人）：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（签字或盖章）</w:t>
      </w:r>
    </w:p>
    <w:p w14:paraId="29BA533A">
      <w:pPr>
        <w:pStyle w:val="118"/>
        <w:wordWrap w:val="0"/>
        <w:spacing w:line="360" w:lineRule="auto"/>
        <w:ind w:right="105"/>
        <w:jc w:val="righ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委托代理人：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（签字或盖章） </w:t>
      </w:r>
    </w:p>
    <w:p w14:paraId="3A386EDA">
      <w:pPr>
        <w:wordWrap w:val="0"/>
        <w:spacing w:line="360" w:lineRule="auto"/>
        <w:jc w:val="right"/>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日期：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日</w:t>
      </w:r>
    </w:p>
    <w:p w14:paraId="53827398">
      <w:pPr>
        <w:pStyle w:val="118"/>
        <w:jc w:val="center"/>
        <w:rPr>
          <w:rFonts w:hint="eastAsia" w:ascii="宋体" w:hAnsi="宋体" w:eastAsia="宋体" w:cs="宋体"/>
          <w:color w:val="000000"/>
          <w:sz w:val="20"/>
          <w:highlight w:val="none"/>
        </w:rPr>
        <w:sectPr>
          <w:headerReference r:id="rId11" w:type="default"/>
          <w:footerReference r:id="rId12" w:type="default"/>
          <w:pgSz w:w="11906" w:h="16838"/>
          <w:pgMar w:top="1417" w:right="1134" w:bottom="1134" w:left="1134" w:header="851" w:footer="992" w:gutter="0"/>
          <w:cols w:space="720" w:num="1"/>
          <w:titlePg/>
          <w:docGrid w:type="lines" w:linePitch="312" w:charSpace="0"/>
        </w:sectPr>
      </w:pPr>
    </w:p>
    <w:p w14:paraId="7E8F0A1D">
      <w:pPr>
        <w:pStyle w:val="4"/>
        <w:spacing w:line="360" w:lineRule="auto"/>
        <w:ind w:firstLine="0" w:firstLineChars="0"/>
        <w:rPr>
          <w:rFonts w:hint="eastAsia" w:ascii="宋体" w:hAnsi="宋体" w:eastAsia="宋体" w:cs="宋体"/>
          <w:color w:val="000000"/>
          <w:szCs w:val="24"/>
          <w:highlight w:val="none"/>
        </w:rPr>
      </w:pPr>
      <w:bookmarkStart w:id="674" w:name="_Toc65683008"/>
      <w:bookmarkStart w:id="675" w:name="_Toc109124320"/>
      <w:bookmarkStart w:id="676" w:name="_Toc25540"/>
      <w:bookmarkStart w:id="677" w:name="_Toc8696"/>
      <w:r>
        <w:rPr>
          <w:rFonts w:hint="eastAsia" w:ascii="宋体" w:hAnsi="宋体" w:eastAsia="宋体" w:cs="宋体"/>
          <w:color w:val="000000"/>
          <w:szCs w:val="24"/>
          <w:highlight w:val="none"/>
        </w:rPr>
        <w:t>（四）资格证明文件</w:t>
      </w:r>
      <w:bookmarkEnd w:id="674"/>
      <w:bookmarkEnd w:id="675"/>
      <w:bookmarkEnd w:id="676"/>
      <w:bookmarkEnd w:id="677"/>
    </w:p>
    <w:p w14:paraId="6168D2D2">
      <w:pPr>
        <w:pStyle w:val="5"/>
        <w:keepNext/>
        <w:keepLines/>
        <w:pageBreakBefore w:val="0"/>
        <w:widowControl w:val="0"/>
        <w:numPr>
          <w:ilvl w:val="0"/>
          <w:numId w:val="10"/>
        </w:numPr>
        <w:kinsoku/>
        <w:wordWrap/>
        <w:overflowPunct/>
        <w:topLinePunct w:val="0"/>
        <w:autoSpaceDE/>
        <w:autoSpaceDN/>
        <w:bidi w:val="0"/>
        <w:adjustRightInd/>
        <w:snapToGrid/>
        <w:spacing w:line="377" w:lineRule="auto"/>
        <w:ind w:left="283" w:leftChars="0" w:hanging="283" w:firstLineChars="0"/>
        <w:textAlignment w:val="auto"/>
        <w:rPr>
          <w:rFonts w:hint="eastAsia" w:ascii="宋体" w:hAnsi="宋体" w:eastAsia="宋体" w:cs="宋体"/>
          <w:color w:val="000000"/>
          <w:highlight w:val="none"/>
        </w:rPr>
      </w:pPr>
      <w:r>
        <w:rPr>
          <w:rFonts w:hint="eastAsia" w:ascii="宋体" w:hAnsi="宋体" w:eastAsia="宋体" w:cs="宋体"/>
          <w:color w:val="000000"/>
          <w:highlight w:val="none"/>
        </w:rPr>
        <w:t>投标人基本情况信息表</w:t>
      </w:r>
    </w:p>
    <w:p w14:paraId="2034AFD9">
      <w:pPr>
        <w:pStyle w:val="118"/>
        <w:spacing w:line="360" w:lineRule="auto"/>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投标人基本情况信息表</w:t>
      </w:r>
    </w:p>
    <w:tbl>
      <w:tblPr>
        <w:tblStyle w:val="37"/>
        <w:tblW w:w="0" w:type="auto"/>
        <w:tblInd w:w="0" w:type="dxa"/>
        <w:tblLayout w:type="fixed"/>
        <w:tblCellMar>
          <w:top w:w="0" w:type="dxa"/>
          <w:left w:w="108" w:type="dxa"/>
          <w:bottom w:w="0" w:type="dxa"/>
          <w:right w:w="108" w:type="dxa"/>
        </w:tblCellMar>
      </w:tblPr>
      <w:tblGrid>
        <w:gridCol w:w="2243"/>
        <w:gridCol w:w="775"/>
        <w:gridCol w:w="366"/>
        <w:gridCol w:w="979"/>
        <w:gridCol w:w="713"/>
        <w:gridCol w:w="755"/>
        <w:gridCol w:w="1789"/>
        <w:gridCol w:w="102"/>
        <w:gridCol w:w="985"/>
        <w:gridCol w:w="1145"/>
      </w:tblGrid>
      <w:tr w14:paraId="0363B633">
        <w:tblPrEx>
          <w:tblCellMar>
            <w:top w:w="0" w:type="dxa"/>
            <w:left w:w="108" w:type="dxa"/>
            <w:bottom w:w="0" w:type="dxa"/>
            <w:right w:w="108" w:type="dxa"/>
          </w:tblCellMar>
        </w:tblPrEx>
        <w:trPr>
          <w:trHeight w:val="283" w:hRule="atLeast"/>
        </w:trPr>
        <w:tc>
          <w:tcPr>
            <w:tcW w:w="2243" w:type="dxa"/>
            <w:tcBorders>
              <w:top w:val="single" w:color="000000" w:sz="4" w:space="0"/>
              <w:left w:val="single" w:color="000000" w:sz="4" w:space="0"/>
              <w:bottom w:val="single" w:color="000000" w:sz="4" w:space="0"/>
              <w:right w:val="single" w:color="000000" w:sz="4" w:space="0"/>
            </w:tcBorders>
            <w:noWrap w:val="0"/>
            <w:vAlign w:val="center"/>
          </w:tcPr>
          <w:p w14:paraId="1F349440">
            <w:pPr>
              <w:pStyle w:val="118"/>
              <w:keepNext w:val="0"/>
              <w:keepLines w:val="0"/>
              <w:suppressLineNumbers w:val="0"/>
              <w:topLinePunct/>
              <w:spacing w:before="0" w:beforeAutospacing="0" w:after="0" w:afterAutospacing="0"/>
              <w:ind w:left="0" w:right="0"/>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投标人名称</w:t>
            </w:r>
          </w:p>
        </w:tc>
        <w:tc>
          <w:tcPr>
            <w:tcW w:w="7609" w:type="dxa"/>
            <w:gridSpan w:val="9"/>
            <w:tcBorders>
              <w:top w:val="single" w:color="000000" w:sz="4" w:space="0"/>
              <w:left w:val="nil"/>
              <w:bottom w:val="single" w:color="000000" w:sz="4" w:space="0"/>
              <w:right w:val="single" w:color="000000" w:sz="4" w:space="0"/>
            </w:tcBorders>
            <w:noWrap w:val="0"/>
            <w:vAlign w:val="center"/>
          </w:tcPr>
          <w:p w14:paraId="4DFD1F67">
            <w:pPr>
              <w:pStyle w:val="118"/>
              <w:keepNext w:val="0"/>
              <w:keepLines w:val="0"/>
              <w:suppressLineNumbers w:val="0"/>
              <w:topLinePunct/>
              <w:spacing w:before="0" w:beforeAutospacing="0" w:after="0" w:afterAutospacing="0"/>
              <w:ind w:left="0" w:right="0"/>
              <w:jc w:val="center"/>
              <w:rPr>
                <w:rFonts w:hint="eastAsia" w:ascii="宋体" w:hAnsi="宋体" w:eastAsia="宋体" w:cs="宋体"/>
                <w:color w:val="000000"/>
                <w:szCs w:val="21"/>
                <w:highlight w:val="none"/>
              </w:rPr>
            </w:pPr>
          </w:p>
        </w:tc>
      </w:tr>
      <w:tr w14:paraId="157E3553">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14:paraId="444A8DE1">
            <w:pPr>
              <w:pStyle w:val="118"/>
              <w:keepNext w:val="0"/>
              <w:keepLines w:val="0"/>
              <w:suppressLineNumbers w:val="0"/>
              <w:topLinePunct/>
              <w:spacing w:before="0" w:beforeAutospacing="0" w:after="0" w:afterAutospacing="0"/>
              <w:ind w:left="0" w:right="0"/>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注册地址</w:t>
            </w:r>
          </w:p>
        </w:tc>
        <w:tc>
          <w:tcPr>
            <w:tcW w:w="3588" w:type="dxa"/>
            <w:gridSpan w:val="5"/>
            <w:tcBorders>
              <w:top w:val="nil"/>
              <w:left w:val="nil"/>
              <w:bottom w:val="single" w:color="000000" w:sz="4" w:space="0"/>
              <w:right w:val="single" w:color="000000" w:sz="4" w:space="0"/>
            </w:tcBorders>
            <w:noWrap w:val="0"/>
            <w:vAlign w:val="center"/>
          </w:tcPr>
          <w:p w14:paraId="613EF399">
            <w:pPr>
              <w:pStyle w:val="118"/>
              <w:keepNext w:val="0"/>
              <w:keepLines w:val="0"/>
              <w:suppressLineNumbers w:val="0"/>
              <w:topLinePunct/>
              <w:spacing w:before="0" w:beforeAutospacing="0" w:after="0" w:afterAutospacing="0"/>
              <w:ind w:left="0" w:right="0"/>
              <w:jc w:val="center"/>
              <w:rPr>
                <w:rFonts w:hint="eastAsia" w:ascii="宋体" w:hAnsi="宋体" w:eastAsia="宋体" w:cs="宋体"/>
                <w:color w:val="000000"/>
                <w:szCs w:val="21"/>
                <w:highlight w:val="none"/>
              </w:rPr>
            </w:pPr>
          </w:p>
        </w:tc>
        <w:tc>
          <w:tcPr>
            <w:tcW w:w="1789" w:type="dxa"/>
            <w:tcBorders>
              <w:top w:val="single" w:color="000000" w:sz="4" w:space="0"/>
              <w:left w:val="nil"/>
              <w:bottom w:val="single" w:color="000000" w:sz="4" w:space="0"/>
              <w:right w:val="single" w:color="000000" w:sz="4" w:space="0"/>
            </w:tcBorders>
            <w:noWrap w:val="0"/>
            <w:vAlign w:val="center"/>
          </w:tcPr>
          <w:p w14:paraId="33C40AAF">
            <w:pPr>
              <w:pStyle w:val="118"/>
              <w:keepNext w:val="0"/>
              <w:keepLines w:val="0"/>
              <w:suppressLineNumbers w:val="0"/>
              <w:topLinePunct/>
              <w:spacing w:before="0" w:beforeAutospacing="0" w:after="0" w:afterAutospacing="0"/>
              <w:ind w:left="0" w:right="0"/>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邮政编码</w:t>
            </w:r>
          </w:p>
        </w:tc>
        <w:tc>
          <w:tcPr>
            <w:tcW w:w="2232" w:type="dxa"/>
            <w:gridSpan w:val="3"/>
            <w:tcBorders>
              <w:top w:val="single" w:color="000000" w:sz="4" w:space="0"/>
              <w:left w:val="nil"/>
              <w:bottom w:val="single" w:color="000000" w:sz="4" w:space="0"/>
              <w:right w:val="single" w:color="000000" w:sz="4" w:space="0"/>
            </w:tcBorders>
            <w:noWrap w:val="0"/>
            <w:vAlign w:val="center"/>
          </w:tcPr>
          <w:p w14:paraId="4071DDAC">
            <w:pPr>
              <w:pStyle w:val="118"/>
              <w:keepNext w:val="0"/>
              <w:keepLines w:val="0"/>
              <w:suppressLineNumbers w:val="0"/>
              <w:topLinePunct/>
              <w:spacing w:before="0" w:beforeAutospacing="0" w:after="0" w:afterAutospacing="0"/>
              <w:ind w:left="0" w:right="0"/>
              <w:jc w:val="center"/>
              <w:rPr>
                <w:rFonts w:hint="eastAsia" w:ascii="宋体" w:hAnsi="宋体" w:eastAsia="宋体" w:cs="宋体"/>
                <w:color w:val="000000"/>
                <w:szCs w:val="21"/>
                <w:highlight w:val="none"/>
              </w:rPr>
            </w:pPr>
          </w:p>
        </w:tc>
      </w:tr>
      <w:tr w14:paraId="4ED5CCF9">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14:paraId="21092142">
            <w:pPr>
              <w:pStyle w:val="118"/>
              <w:keepNext w:val="0"/>
              <w:keepLines w:val="0"/>
              <w:suppressLineNumbers w:val="0"/>
              <w:topLinePunct/>
              <w:spacing w:before="0" w:beforeAutospacing="0" w:after="0" w:afterAutospacing="0"/>
              <w:ind w:left="0" w:right="0"/>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公司办公场所面职</w:t>
            </w:r>
          </w:p>
        </w:tc>
        <w:tc>
          <w:tcPr>
            <w:tcW w:w="3588" w:type="dxa"/>
            <w:gridSpan w:val="5"/>
            <w:tcBorders>
              <w:top w:val="nil"/>
              <w:left w:val="nil"/>
              <w:bottom w:val="single" w:color="000000" w:sz="4" w:space="0"/>
              <w:right w:val="single" w:color="000000" w:sz="4" w:space="0"/>
            </w:tcBorders>
            <w:noWrap w:val="0"/>
            <w:vAlign w:val="center"/>
          </w:tcPr>
          <w:p w14:paraId="0BEE66BC">
            <w:pPr>
              <w:pStyle w:val="118"/>
              <w:keepNext w:val="0"/>
              <w:keepLines w:val="0"/>
              <w:suppressLineNumbers w:val="0"/>
              <w:topLinePunct/>
              <w:spacing w:before="0" w:beforeAutospacing="0" w:after="0" w:afterAutospacing="0"/>
              <w:ind w:left="0" w:right="0"/>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平米</w:t>
            </w:r>
          </w:p>
        </w:tc>
        <w:tc>
          <w:tcPr>
            <w:tcW w:w="1789" w:type="dxa"/>
            <w:tcBorders>
              <w:top w:val="nil"/>
              <w:left w:val="nil"/>
              <w:bottom w:val="single" w:color="000000" w:sz="4" w:space="0"/>
              <w:right w:val="single" w:color="000000" w:sz="4" w:space="0"/>
            </w:tcBorders>
            <w:noWrap w:val="0"/>
            <w:vAlign w:val="center"/>
          </w:tcPr>
          <w:p w14:paraId="3AC1CE5D">
            <w:pPr>
              <w:pStyle w:val="118"/>
              <w:keepNext w:val="0"/>
              <w:keepLines w:val="0"/>
              <w:suppressLineNumbers w:val="0"/>
              <w:topLinePunct/>
              <w:spacing w:before="0" w:beforeAutospacing="0" w:after="0" w:afterAutospacing="0"/>
              <w:ind w:left="0" w:right="0"/>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办事处地址</w:t>
            </w:r>
          </w:p>
        </w:tc>
        <w:tc>
          <w:tcPr>
            <w:tcW w:w="2232" w:type="dxa"/>
            <w:gridSpan w:val="3"/>
            <w:tcBorders>
              <w:top w:val="nil"/>
              <w:left w:val="nil"/>
              <w:bottom w:val="single" w:color="000000" w:sz="4" w:space="0"/>
              <w:right w:val="single" w:color="000000" w:sz="4" w:space="0"/>
            </w:tcBorders>
            <w:noWrap w:val="0"/>
            <w:vAlign w:val="center"/>
          </w:tcPr>
          <w:p w14:paraId="158831EA">
            <w:pPr>
              <w:pStyle w:val="118"/>
              <w:keepNext w:val="0"/>
              <w:keepLines w:val="0"/>
              <w:suppressLineNumbers w:val="0"/>
              <w:topLinePunct/>
              <w:spacing w:before="0" w:beforeAutospacing="0" w:after="0" w:afterAutospacing="0"/>
              <w:ind w:left="0" w:right="0"/>
              <w:jc w:val="center"/>
              <w:rPr>
                <w:rFonts w:hint="eastAsia" w:ascii="宋体" w:hAnsi="宋体" w:eastAsia="宋体" w:cs="宋体"/>
                <w:color w:val="000000"/>
                <w:szCs w:val="21"/>
                <w:highlight w:val="none"/>
              </w:rPr>
            </w:pPr>
          </w:p>
        </w:tc>
      </w:tr>
      <w:tr w14:paraId="39FAD9AC">
        <w:tblPrEx>
          <w:tblCellMar>
            <w:top w:w="0" w:type="dxa"/>
            <w:left w:w="108" w:type="dxa"/>
            <w:bottom w:w="0" w:type="dxa"/>
            <w:right w:w="108" w:type="dxa"/>
          </w:tblCellMar>
        </w:tblPrEx>
        <w:trPr>
          <w:trHeight w:val="283" w:hRule="atLeast"/>
        </w:trPr>
        <w:tc>
          <w:tcPr>
            <w:tcW w:w="2243" w:type="dxa"/>
            <w:vMerge w:val="restart"/>
            <w:tcBorders>
              <w:top w:val="nil"/>
              <w:left w:val="single" w:color="000000" w:sz="4" w:space="0"/>
              <w:bottom w:val="single" w:color="000000" w:sz="4" w:space="0"/>
              <w:right w:val="single" w:color="000000" w:sz="4" w:space="0"/>
            </w:tcBorders>
            <w:noWrap w:val="0"/>
            <w:vAlign w:val="center"/>
          </w:tcPr>
          <w:p w14:paraId="518C4757">
            <w:pPr>
              <w:pStyle w:val="118"/>
              <w:keepNext w:val="0"/>
              <w:keepLines w:val="0"/>
              <w:suppressLineNumbers w:val="0"/>
              <w:topLinePunct/>
              <w:spacing w:before="0" w:beforeAutospacing="0" w:after="0" w:afterAutospacing="0"/>
              <w:ind w:left="0" w:right="0"/>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联系方式</w:t>
            </w:r>
          </w:p>
        </w:tc>
        <w:tc>
          <w:tcPr>
            <w:tcW w:w="1141" w:type="dxa"/>
            <w:gridSpan w:val="2"/>
            <w:tcBorders>
              <w:top w:val="nil"/>
              <w:left w:val="nil"/>
              <w:bottom w:val="single" w:color="000000" w:sz="4" w:space="0"/>
              <w:right w:val="single" w:color="000000" w:sz="4" w:space="0"/>
            </w:tcBorders>
            <w:noWrap w:val="0"/>
            <w:vAlign w:val="center"/>
          </w:tcPr>
          <w:p w14:paraId="5D14CB9C">
            <w:pPr>
              <w:pStyle w:val="118"/>
              <w:keepNext w:val="0"/>
              <w:keepLines w:val="0"/>
              <w:suppressLineNumbers w:val="0"/>
              <w:topLinePunct/>
              <w:spacing w:before="0" w:beforeAutospacing="0" w:after="0" w:afterAutospacing="0"/>
              <w:ind w:left="0" w:right="0"/>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联系人</w:t>
            </w:r>
          </w:p>
        </w:tc>
        <w:tc>
          <w:tcPr>
            <w:tcW w:w="2447" w:type="dxa"/>
            <w:gridSpan w:val="3"/>
            <w:tcBorders>
              <w:top w:val="nil"/>
              <w:left w:val="nil"/>
              <w:bottom w:val="single" w:color="000000" w:sz="4" w:space="0"/>
              <w:right w:val="single" w:color="000000" w:sz="4" w:space="0"/>
            </w:tcBorders>
            <w:noWrap w:val="0"/>
            <w:vAlign w:val="center"/>
          </w:tcPr>
          <w:p w14:paraId="3C9F1055">
            <w:pPr>
              <w:pStyle w:val="118"/>
              <w:keepNext w:val="0"/>
              <w:keepLines w:val="0"/>
              <w:suppressLineNumbers w:val="0"/>
              <w:topLinePunct/>
              <w:spacing w:before="0" w:beforeAutospacing="0" w:after="0" w:afterAutospacing="0"/>
              <w:ind w:left="0" w:right="0"/>
              <w:jc w:val="center"/>
              <w:rPr>
                <w:rFonts w:hint="eastAsia" w:ascii="宋体" w:hAnsi="宋体" w:eastAsia="宋体" w:cs="宋体"/>
                <w:color w:val="000000"/>
                <w:szCs w:val="21"/>
                <w:highlight w:val="none"/>
              </w:rPr>
            </w:pPr>
          </w:p>
        </w:tc>
        <w:tc>
          <w:tcPr>
            <w:tcW w:w="1789" w:type="dxa"/>
            <w:tcBorders>
              <w:top w:val="nil"/>
              <w:left w:val="nil"/>
              <w:bottom w:val="single" w:color="000000" w:sz="4" w:space="0"/>
              <w:right w:val="single" w:color="000000" w:sz="4" w:space="0"/>
            </w:tcBorders>
            <w:noWrap w:val="0"/>
            <w:vAlign w:val="center"/>
          </w:tcPr>
          <w:p w14:paraId="12115600">
            <w:pPr>
              <w:pStyle w:val="118"/>
              <w:keepNext w:val="0"/>
              <w:keepLines w:val="0"/>
              <w:suppressLineNumbers w:val="0"/>
              <w:topLinePunct/>
              <w:spacing w:before="0" w:beforeAutospacing="0" w:after="0" w:afterAutospacing="0"/>
              <w:ind w:left="0" w:right="0"/>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电话</w:t>
            </w:r>
          </w:p>
        </w:tc>
        <w:tc>
          <w:tcPr>
            <w:tcW w:w="2232" w:type="dxa"/>
            <w:gridSpan w:val="3"/>
            <w:tcBorders>
              <w:top w:val="single" w:color="000000" w:sz="4" w:space="0"/>
              <w:left w:val="nil"/>
              <w:bottom w:val="single" w:color="000000" w:sz="4" w:space="0"/>
              <w:right w:val="single" w:color="000000" w:sz="4" w:space="0"/>
            </w:tcBorders>
            <w:noWrap w:val="0"/>
            <w:vAlign w:val="center"/>
          </w:tcPr>
          <w:p w14:paraId="23A4A8AF">
            <w:pPr>
              <w:pStyle w:val="118"/>
              <w:keepNext w:val="0"/>
              <w:keepLines w:val="0"/>
              <w:suppressLineNumbers w:val="0"/>
              <w:topLinePunct/>
              <w:spacing w:before="0" w:beforeAutospacing="0" w:after="0" w:afterAutospacing="0"/>
              <w:ind w:left="0" w:right="0"/>
              <w:jc w:val="center"/>
              <w:rPr>
                <w:rFonts w:hint="eastAsia" w:ascii="宋体" w:hAnsi="宋体" w:eastAsia="宋体" w:cs="宋体"/>
                <w:color w:val="000000"/>
                <w:szCs w:val="21"/>
                <w:highlight w:val="none"/>
              </w:rPr>
            </w:pPr>
          </w:p>
        </w:tc>
      </w:tr>
      <w:tr w14:paraId="79B6E462">
        <w:tblPrEx>
          <w:tblCellMar>
            <w:top w:w="0" w:type="dxa"/>
            <w:left w:w="108" w:type="dxa"/>
            <w:bottom w:w="0" w:type="dxa"/>
            <w:right w:w="108" w:type="dxa"/>
          </w:tblCellMar>
        </w:tblPrEx>
        <w:trPr>
          <w:trHeight w:val="283" w:hRule="atLeast"/>
        </w:trPr>
        <w:tc>
          <w:tcPr>
            <w:tcW w:w="2243" w:type="dxa"/>
            <w:vMerge w:val="continue"/>
            <w:tcBorders>
              <w:top w:val="nil"/>
              <w:left w:val="single" w:color="000000" w:sz="4" w:space="0"/>
              <w:bottom w:val="single" w:color="000000" w:sz="4" w:space="0"/>
              <w:right w:val="single" w:color="000000" w:sz="4" w:space="0"/>
            </w:tcBorders>
            <w:noWrap w:val="0"/>
            <w:vAlign w:val="center"/>
          </w:tcPr>
          <w:p w14:paraId="59AED29F">
            <w:pPr>
              <w:keepNext w:val="0"/>
              <w:keepLines w:val="0"/>
              <w:suppressLineNumbers w:val="0"/>
              <w:spacing w:before="0" w:beforeAutospacing="0" w:after="0" w:afterAutospacing="0"/>
              <w:ind w:left="0" w:right="0"/>
              <w:rPr>
                <w:rFonts w:hint="eastAsia" w:ascii="宋体" w:hAnsi="宋体" w:eastAsia="宋体" w:cs="宋体"/>
                <w:color w:val="000000"/>
                <w:szCs w:val="21"/>
                <w:highlight w:val="none"/>
              </w:rPr>
            </w:pPr>
          </w:p>
        </w:tc>
        <w:tc>
          <w:tcPr>
            <w:tcW w:w="1141" w:type="dxa"/>
            <w:gridSpan w:val="2"/>
            <w:tcBorders>
              <w:top w:val="nil"/>
              <w:left w:val="nil"/>
              <w:bottom w:val="single" w:color="000000" w:sz="4" w:space="0"/>
              <w:right w:val="single" w:color="000000" w:sz="4" w:space="0"/>
            </w:tcBorders>
            <w:noWrap w:val="0"/>
            <w:vAlign w:val="center"/>
          </w:tcPr>
          <w:p w14:paraId="26A8D7F5">
            <w:pPr>
              <w:pStyle w:val="118"/>
              <w:keepNext w:val="0"/>
              <w:keepLines w:val="0"/>
              <w:suppressLineNumbers w:val="0"/>
              <w:topLinePunct/>
              <w:spacing w:before="0" w:beforeAutospacing="0" w:after="0" w:afterAutospacing="0"/>
              <w:ind w:left="0" w:right="0"/>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传真</w:t>
            </w:r>
          </w:p>
        </w:tc>
        <w:tc>
          <w:tcPr>
            <w:tcW w:w="2447" w:type="dxa"/>
            <w:gridSpan w:val="3"/>
            <w:tcBorders>
              <w:top w:val="nil"/>
              <w:left w:val="nil"/>
              <w:bottom w:val="single" w:color="000000" w:sz="4" w:space="0"/>
              <w:right w:val="single" w:color="000000" w:sz="4" w:space="0"/>
            </w:tcBorders>
            <w:noWrap w:val="0"/>
            <w:vAlign w:val="center"/>
          </w:tcPr>
          <w:p w14:paraId="15BDC94D">
            <w:pPr>
              <w:pStyle w:val="118"/>
              <w:keepNext w:val="0"/>
              <w:keepLines w:val="0"/>
              <w:suppressLineNumbers w:val="0"/>
              <w:topLinePunct/>
              <w:spacing w:before="0" w:beforeAutospacing="0" w:after="0" w:afterAutospacing="0"/>
              <w:ind w:left="0" w:right="0"/>
              <w:jc w:val="center"/>
              <w:rPr>
                <w:rFonts w:hint="eastAsia" w:ascii="宋体" w:hAnsi="宋体" w:eastAsia="宋体" w:cs="宋体"/>
                <w:color w:val="000000"/>
                <w:szCs w:val="21"/>
                <w:highlight w:val="none"/>
              </w:rPr>
            </w:pPr>
          </w:p>
        </w:tc>
        <w:tc>
          <w:tcPr>
            <w:tcW w:w="1789" w:type="dxa"/>
            <w:tcBorders>
              <w:top w:val="nil"/>
              <w:left w:val="nil"/>
              <w:bottom w:val="single" w:color="000000" w:sz="4" w:space="0"/>
              <w:right w:val="single" w:color="000000" w:sz="4" w:space="0"/>
            </w:tcBorders>
            <w:noWrap w:val="0"/>
            <w:vAlign w:val="center"/>
          </w:tcPr>
          <w:p w14:paraId="5BF827DE">
            <w:pPr>
              <w:pStyle w:val="118"/>
              <w:keepNext w:val="0"/>
              <w:keepLines w:val="0"/>
              <w:suppressLineNumbers w:val="0"/>
              <w:topLinePunct/>
              <w:spacing w:before="0" w:beforeAutospacing="0" w:after="0" w:afterAutospacing="0"/>
              <w:ind w:left="0" w:right="0"/>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网址</w:t>
            </w:r>
          </w:p>
        </w:tc>
        <w:tc>
          <w:tcPr>
            <w:tcW w:w="2232" w:type="dxa"/>
            <w:gridSpan w:val="3"/>
            <w:tcBorders>
              <w:top w:val="nil"/>
              <w:left w:val="nil"/>
              <w:bottom w:val="single" w:color="000000" w:sz="4" w:space="0"/>
              <w:right w:val="single" w:color="000000" w:sz="4" w:space="0"/>
            </w:tcBorders>
            <w:noWrap w:val="0"/>
            <w:vAlign w:val="center"/>
          </w:tcPr>
          <w:p w14:paraId="71760112">
            <w:pPr>
              <w:pStyle w:val="118"/>
              <w:keepNext w:val="0"/>
              <w:keepLines w:val="0"/>
              <w:suppressLineNumbers w:val="0"/>
              <w:topLinePunct/>
              <w:spacing w:before="0" w:beforeAutospacing="0" w:after="0" w:afterAutospacing="0"/>
              <w:ind w:left="0" w:right="0"/>
              <w:jc w:val="center"/>
              <w:rPr>
                <w:rFonts w:hint="eastAsia" w:ascii="宋体" w:hAnsi="宋体" w:eastAsia="宋体" w:cs="宋体"/>
                <w:color w:val="000000"/>
                <w:szCs w:val="21"/>
                <w:highlight w:val="none"/>
              </w:rPr>
            </w:pPr>
          </w:p>
        </w:tc>
      </w:tr>
      <w:tr w14:paraId="0869F57C">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14:paraId="642F7306">
            <w:pPr>
              <w:pStyle w:val="118"/>
              <w:keepNext w:val="0"/>
              <w:keepLines w:val="0"/>
              <w:suppressLineNumbers w:val="0"/>
              <w:topLinePunct/>
              <w:spacing w:before="0" w:beforeAutospacing="0" w:after="0" w:afterAutospacing="0"/>
              <w:ind w:left="0" w:right="0"/>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组织结构</w:t>
            </w:r>
          </w:p>
        </w:tc>
        <w:tc>
          <w:tcPr>
            <w:tcW w:w="7609" w:type="dxa"/>
            <w:gridSpan w:val="9"/>
            <w:tcBorders>
              <w:top w:val="nil"/>
              <w:left w:val="nil"/>
              <w:bottom w:val="single" w:color="000000" w:sz="4" w:space="0"/>
              <w:right w:val="single" w:color="000000" w:sz="4" w:space="0"/>
            </w:tcBorders>
            <w:noWrap w:val="0"/>
            <w:vAlign w:val="center"/>
          </w:tcPr>
          <w:p w14:paraId="13618B4D">
            <w:pPr>
              <w:pStyle w:val="118"/>
              <w:keepNext w:val="0"/>
              <w:keepLines w:val="0"/>
              <w:suppressLineNumbers w:val="0"/>
              <w:topLinePunct/>
              <w:spacing w:before="0" w:beforeAutospacing="0" w:after="0" w:afterAutospacing="0"/>
              <w:ind w:left="0" w:right="0"/>
              <w:jc w:val="center"/>
              <w:rPr>
                <w:rFonts w:hint="eastAsia" w:ascii="宋体" w:hAnsi="宋体" w:eastAsia="宋体" w:cs="宋体"/>
                <w:color w:val="000000"/>
                <w:szCs w:val="21"/>
                <w:highlight w:val="none"/>
              </w:rPr>
            </w:pPr>
          </w:p>
        </w:tc>
      </w:tr>
      <w:tr w14:paraId="3E679B96">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14:paraId="6ACC9277">
            <w:pPr>
              <w:pStyle w:val="118"/>
              <w:keepNext w:val="0"/>
              <w:keepLines w:val="0"/>
              <w:suppressLineNumbers w:val="0"/>
              <w:topLinePunct/>
              <w:spacing w:before="0" w:beforeAutospacing="0" w:after="0" w:afterAutospacing="0"/>
              <w:ind w:left="0" w:right="0"/>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法定代表人（负责人）</w:t>
            </w:r>
          </w:p>
        </w:tc>
        <w:tc>
          <w:tcPr>
            <w:tcW w:w="775" w:type="dxa"/>
            <w:tcBorders>
              <w:top w:val="nil"/>
              <w:left w:val="nil"/>
              <w:bottom w:val="single" w:color="000000" w:sz="4" w:space="0"/>
              <w:right w:val="single" w:color="000000" w:sz="4" w:space="0"/>
            </w:tcBorders>
            <w:noWrap w:val="0"/>
            <w:vAlign w:val="center"/>
          </w:tcPr>
          <w:p w14:paraId="6123DA74">
            <w:pPr>
              <w:pStyle w:val="118"/>
              <w:keepNext w:val="0"/>
              <w:keepLines w:val="0"/>
              <w:suppressLineNumbers w:val="0"/>
              <w:topLinePunct/>
              <w:spacing w:before="0" w:beforeAutospacing="0" w:after="0" w:afterAutospacing="0"/>
              <w:ind w:left="0" w:right="0"/>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姓名</w:t>
            </w:r>
          </w:p>
        </w:tc>
        <w:tc>
          <w:tcPr>
            <w:tcW w:w="1345" w:type="dxa"/>
            <w:gridSpan w:val="2"/>
            <w:tcBorders>
              <w:top w:val="single" w:color="000000" w:sz="4" w:space="0"/>
              <w:left w:val="nil"/>
              <w:bottom w:val="single" w:color="000000" w:sz="4" w:space="0"/>
              <w:right w:val="single" w:color="000000" w:sz="4" w:space="0"/>
            </w:tcBorders>
            <w:noWrap w:val="0"/>
            <w:vAlign w:val="center"/>
          </w:tcPr>
          <w:p w14:paraId="7E9012AD">
            <w:pPr>
              <w:pStyle w:val="118"/>
              <w:keepNext w:val="0"/>
              <w:keepLines w:val="0"/>
              <w:suppressLineNumbers w:val="0"/>
              <w:topLinePunct/>
              <w:spacing w:before="0" w:beforeAutospacing="0" w:after="0" w:afterAutospacing="0"/>
              <w:ind w:left="0" w:right="0"/>
              <w:jc w:val="center"/>
              <w:rPr>
                <w:rFonts w:hint="eastAsia" w:ascii="宋体" w:hAnsi="宋体" w:eastAsia="宋体" w:cs="宋体"/>
                <w:color w:val="000000"/>
                <w:szCs w:val="21"/>
                <w:highlight w:val="none"/>
              </w:rPr>
            </w:pPr>
          </w:p>
        </w:tc>
        <w:tc>
          <w:tcPr>
            <w:tcW w:w="1468" w:type="dxa"/>
            <w:gridSpan w:val="2"/>
            <w:tcBorders>
              <w:top w:val="single" w:color="000000" w:sz="4" w:space="0"/>
              <w:left w:val="nil"/>
              <w:bottom w:val="single" w:color="000000" w:sz="4" w:space="0"/>
              <w:right w:val="single" w:color="000000" w:sz="4" w:space="0"/>
            </w:tcBorders>
            <w:noWrap w:val="0"/>
            <w:vAlign w:val="center"/>
          </w:tcPr>
          <w:p w14:paraId="5DA01078">
            <w:pPr>
              <w:pStyle w:val="118"/>
              <w:keepNext w:val="0"/>
              <w:keepLines w:val="0"/>
              <w:suppressLineNumbers w:val="0"/>
              <w:topLinePunct/>
              <w:spacing w:before="0" w:beforeAutospacing="0" w:after="0" w:afterAutospacing="0"/>
              <w:ind w:left="0" w:right="0"/>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职称</w:t>
            </w:r>
          </w:p>
        </w:tc>
        <w:tc>
          <w:tcPr>
            <w:tcW w:w="1891" w:type="dxa"/>
            <w:gridSpan w:val="2"/>
            <w:tcBorders>
              <w:top w:val="single" w:color="000000" w:sz="4" w:space="0"/>
              <w:left w:val="nil"/>
              <w:bottom w:val="single" w:color="000000" w:sz="4" w:space="0"/>
              <w:right w:val="single" w:color="000000" w:sz="4" w:space="0"/>
            </w:tcBorders>
            <w:noWrap w:val="0"/>
            <w:vAlign w:val="center"/>
          </w:tcPr>
          <w:p w14:paraId="103356FC">
            <w:pPr>
              <w:pStyle w:val="118"/>
              <w:keepNext w:val="0"/>
              <w:keepLines w:val="0"/>
              <w:suppressLineNumbers w:val="0"/>
              <w:topLinePunct/>
              <w:spacing w:before="0" w:beforeAutospacing="0" w:after="0" w:afterAutospacing="0"/>
              <w:ind w:left="0" w:right="0"/>
              <w:jc w:val="center"/>
              <w:rPr>
                <w:rFonts w:hint="eastAsia" w:ascii="宋体" w:hAnsi="宋体" w:eastAsia="宋体" w:cs="宋体"/>
                <w:color w:val="000000"/>
                <w:szCs w:val="21"/>
                <w:highlight w:val="none"/>
              </w:rPr>
            </w:pPr>
          </w:p>
        </w:tc>
        <w:tc>
          <w:tcPr>
            <w:tcW w:w="985" w:type="dxa"/>
            <w:tcBorders>
              <w:top w:val="single" w:color="000000" w:sz="4" w:space="0"/>
              <w:left w:val="nil"/>
              <w:bottom w:val="single" w:color="000000" w:sz="4" w:space="0"/>
              <w:right w:val="single" w:color="000000" w:sz="4" w:space="0"/>
            </w:tcBorders>
            <w:noWrap w:val="0"/>
            <w:vAlign w:val="center"/>
          </w:tcPr>
          <w:p w14:paraId="63F315A8">
            <w:pPr>
              <w:pStyle w:val="118"/>
              <w:keepNext w:val="0"/>
              <w:keepLines w:val="0"/>
              <w:suppressLineNumbers w:val="0"/>
              <w:topLinePunct/>
              <w:spacing w:before="0" w:beforeAutospacing="0" w:after="0" w:afterAutospacing="0"/>
              <w:ind w:left="0" w:right="0"/>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电话</w:t>
            </w:r>
          </w:p>
        </w:tc>
        <w:tc>
          <w:tcPr>
            <w:tcW w:w="1145" w:type="dxa"/>
            <w:tcBorders>
              <w:top w:val="single" w:color="000000" w:sz="4" w:space="0"/>
              <w:left w:val="nil"/>
              <w:bottom w:val="single" w:color="000000" w:sz="4" w:space="0"/>
              <w:right w:val="single" w:color="000000" w:sz="4" w:space="0"/>
            </w:tcBorders>
            <w:noWrap w:val="0"/>
            <w:vAlign w:val="center"/>
          </w:tcPr>
          <w:p w14:paraId="4EE650C7">
            <w:pPr>
              <w:pStyle w:val="118"/>
              <w:keepNext w:val="0"/>
              <w:keepLines w:val="0"/>
              <w:suppressLineNumbers w:val="0"/>
              <w:topLinePunct/>
              <w:spacing w:before="0" w:beforeAutospacing="0" w:after="0" w:afterAutospacing="0"/>
              <w:ind w:left="0" w:right="0"/>
              <w:jc w:val="center"/>
              <w:rPr>
                <w:rFonts w:hint="eastAsia" w:ascii="宋体" w:hAnsi="宋体" w:eastAsia="宋体" w:cs="宋体"/>
                <w:color w:val="000000"/>
                <w:szCs w:val="21"/>
                <w:highlight w:val="none"/>
              </w:rPr>
            </w:pPr>
          </w:p>
        </w:tc>
      </w:tr>
      <w:tr w14:paraId="0BBA1637">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14:paraId="19D87673">
            <w:pPr>
              <w:pStyle w:val="118"/>
              <w:keepNext w:val="0"/>
              <w:keepLines w:val="0"/>
              <w:suppressLineNumbers w:val="0"/>
              <w:topLinePunct/>
              <w:spacing w:before="0" w:beforeAutospacing="0" w:after="0" w:afterAutospacing="0"/>
              <w:ind w:left="0" w:right="0"/>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技术负责人</w:t>
            </w:r>
          </w:p>
        </w:tc>
        <w:tc>
          <w:tcPr>
            <w:tcW w:w="775" w:type="dxa"/>
            <w:tcBorders>
              <w:top w:val="nil"/>
              <w:left w:val="nil"/>
              <w:bottom w:val="single" w:color="000000" w:sz="4" w:space="0"/>
              <w:right w:val="single" w:color="000000" w:sz="4" w:space="0"/>
            </w:tcBorders>
            <w:noWrap w:val="0"/>
            <w:vAlign w:val="center"/>
          </w:tcPr>
          <w:p w14:paraId="58F6CD30">
            <w:pPr>
              <w:pStyle w:val="118"/>
              <w:keepNext w:val="0"/>
              <w:keepLines w:val="0"/>
              <w:suppressLineNumbers w:val="0"/>
              <w:topLinePunct/>
              <w:spacing w:before="0" w:beforeAutospacing="0" w:after="0" w:afterAutospacing="0"/>
              <w:ind w:left="0" w:right="0"/>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姓名</w:t>
            </w:r>
          </w:p>
        </w:tc>
        <w:tc>
          <w:tcPr>
            <w:tcW w:w="1345" w:type="dxa"/>
            <w:gridSpan w:val="2"/>
            <w:tcBorders>
              <w:top w:val="nil"/>
              <w:left w:val="nil"/>
              <w:bottom w:val="single" w:color="000000" w:sz="4" w:space="0"/>
              <w:right w:val="single" w:color="000000" w:sz="4" w:space="0"/>
            </w:tcBorders>
            <w:noWrap w:val="0"/>
            <w:vAlign w:val="center"/>
          </w:tcPr>
          <w:p w14:paraId="5FAD83A0">
            <w:pPr>
              <w:pStyle w:val="118"/>
              <w:keepNext w:val="0"/>
              <w:keepLines w:val="0"/>
              <w:suppressLineNumbers w:val="0"/>
              <w:topLinePunct/>
              <w:spacing w:before="0" w:beforeAutospacing="0" w:after="0" w:afterAutospacing="0"/>
              <w:ind w:left="0" w:right="0"/>
              <w:jc w:val="center"/>
              <w:rPr>
                <w:rFonts w:hint="eastAsia" w:ascii="宋体" w:hAnsi="宋体" w:eastAsia="宋体" w:cs="宋体"/>
                <w:color w:val="000000"/>
                <w:szCs w:val="21"/>
                <w:highlight w:val="none"/>
              </w:rPr>
            </w:pPr>
          </w:p>
        </w:tc>
        <w:tc>
          <w:tcPr>
            <w:tcW w:w="1468" w:type="dxa"/>
            <w:gridSpan w:val="2"/>
            <w:tcBorders>
              <w:top w:val="nil"/>
              <w:left w:val="nil"/>
              <w:bottom w:val="single" w:color="000000" w:sz="4" w:space="0"/>
              <w:right w:val="single" w:color="000000" w:sz="4" w:space="0"/>
            </w:tcBorders>
            <w:noWrap w:val="0"/>
            <w:vAlign w:val="center"/>
          </w:tcPr>
          <w:p w14:paraId="140F2877">
            <w:pPr>
              <w:pStyle w:val="118"/>
              <w:keepNext w:val="0"/>
              <w:keepLines w:val="0"/>
              <w:suppressLineNumbers w:val="0"/>
              <w:topLinePunct/>
              <w:spacing w:before="0" w:beforeAutospacing="0" w:after="0" w:afterAutospacing="0"/>
              <w:ind w:left="0" w:right="0"/>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职称</w:t>
            </w:r>
          </w:p>
        </w:tc>
        <w:tc>
          <w:tcPr>
            <w:tcW w:w="1891" w:type="dxa"/>
            <w:gridSpan w:val="2"/>
            <w:tcBorders>
              <w:top w:val="nil"/>
              <w:left w:val="nil"/>
              <w:bottom w:val="single" w:color="000000" w:sz="4" w:space="0"/>
              <w:right w:val="single" w:color="000000" w:sz="4" w:space="0"/>
            </w:tcBorders>
            <w:noWrap w:val="0"/>
            <w:vAlign w:val="center"/>
          </w:tcPr>
          <w:p w14:paraId="46A62231">
            <w:pPr>
              <w:pStyle w:val="118"/>
              <w:keepNext w:val="0"/>
              <w:keepLines w:val="0"/>
              <w:suppressLineNumbers w:val="0"/>
              <w:topLinePunct/>
              <w:spacing w:before="0" w:beforeAutospacing="0" w:after="0" w:afterAutospacing="0"/>
              <w:ind w:left="0" w:right="0"/>
              <w:jc w:val="center"/>
              <w:rPr>
                <w:rFonts w:hint="eastAsia" w:ascii="宋体" w:hAnsi="宋体" w:eastAsia="宋体" w:cs="宋体"/>
                <w:color w:val="000000"/>
                <w:szCs w:val="21"/>
                <w:highlight w:val="none"/>
              </w:rPr>
            </w:pPr>
          </w:p>
        </w:tc>
        <w:tc>
          <w:tcPr>
            <w:tcW w:w="985" w:type="dxa"/>
            <w:tcBorders>
              <w:top w:val="nil"/>
              <w:left w:val="nil"/>
              <w:bottom w:val="single" w:color="000000" w:sz="4" w:space="0"/>
              <w:right w:val="single" w:color="000000" w:sz="4" w:space="0"/>
            </w:tcBorders>
            <w:noWrap w:val="0"/>
            <w:vAlign w:val="center"/>
          </w:tcPr>
          <w:p w14:paraId="29946488">
            <w:pPr>
              <w:pStyle w:val="118"/>
              <w:keepNext w:val="0"/>
              <w:keepLines w:val="0"/>
              <w:suppressLineNumbers w:val="0"/>
              <w:topLinePunct/>
              <w:spacing w:before="0" w:beforeAutospacing="0" w:after="0" w:afterAutospacing="0"/>
              <w:ind w:left="0" w:right="0"/>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电话</w:t>
            </w:r>
          </w:p>
        </w:tc>
        <w:tc>
          <w:tcPr>
            <w:tcW w:w="1145" w:type="dxa"/>
            <w:tcBorders>
              <w:top w:val="nil"/>
              <w:left w:val="nil"/>
              <w:bottom w:val="single" w:color="000000" w:sz="4" w:space="0"/>
              <w:right w:val="single" w:color="000000" w:sz="4" w:space="0"/>
            </w:tcBorders>
            <w:noWrap w:val="0"/>
            <w:vAlign w:val="center"/>
          </w:tcPr>
          <w:p w14:paraId="2067A75B">
            <w:pPr>
              <w:pStyle w:val="118"/>
              <w:keepNext w:val="0"/>
              <w:keepLines w:val="0"/>
              <w:suppressLineNumbers w:val="0"/>
              <w:topLinePunct/>
              <w:spacing w:before="0" w:beforeAutospacing="0" w:after="0" w:afterAutospacing="0"/>
              <w:ind w:left="0" w:right="0"/>
              <w:jc w:val="center"/>
              <w:rPr>
                <w:rFonts w:hint="eastAsia" w:ascii="宋体" w:hAnsi="宋体" w:eastAsia="宋体" w:cs="宋体"/>
                <w:color w:val="000000"/>
                <w:szCs w:val="21"/>
                <w:highlight w:val="none"/>
              </w:rPr>
            </w:pPr>
          </w:p>
        </w:tc>
      </w:tr>
      <w:tr w14:paraId="0282E240">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14:paraId="420533D6">
            <w:pPr>
              <w:pStyle w:val="118"/>
              <w:keepNext w:val="0"/>
              <w:keepLines w:val="0"/>
              <w:suppressLineNumbers w:val="0"/>
              <w:topLinePunct/>
              <w:spacing w:before="0" w:beforeAutospacing="0" w:after="0" w:afterAutospacing="0"/>
              <w:ind w:left="0" w:right="0"/>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成立时间</w:t>
            </w:r>
          </w:p>
        </w:tc>
        <w:tc>
          <w:tcPr>
            <w:tcW w:w="2120" w:type="dxa"/>
            <w:gridSpan w:val="3"/>
            <w:tcBorders>
              <w:top w:val="nil"/>
              <w:left w:val="nil"/>
              <w:bottom w:val="single" w:color="000000" w:sz="4" w:space="0"/>
              <w:right w:val="single" w:color="000000" w:sz="4" w:space="0"/>
            </w:tcBorders>
            <w:noWrap w:val="0"/>
            <w:vAlign w:val="center"/>
          </w:tcPr>
          <w:p w14:paraId="638687E9">
            <w:pPr>
              <w:pStyle w:val="118"/>
              <w:keepNext w:val="0"/>
              <w:keepLines w:val="0"/>
              <w:suppressLineNumbers w:val="0"/>
              <w:topLinePunct/>
              <w:spacing w:before="0" w:beforeAutospacing="0" w:after="0" w:afterAutospacing="0"/>
              <w:ind w:left="0" w:right="0"/>
              <w:jc w:val="center"/>
              <w:rPr>
                <w:rFonts w:hint="eastAsia" w:ascii="宋体" w:hAnsi="宋体" w:eastAsia="宋体" w:cs="宋体"/>
                <w:color w:val="000000"/>
                <w:szCs w:val="21"/>
                <w:highlight w:val="none"/>
              </w:rPr>
            </w:pPr>
          </w:p>
        </w:tc>
        <w:tc>
          <w:tcPr>
            <w:tcW w:w="5489" w:type="dxa"/>
            <w:gridSpan w:val="6"/>
            <w:tcBorders>
              <w:top w:val="nil"/>
              <w:left w:val="nil"/>
              <w:bottom w:val="single" w:color="000000" w:sz="4" w:space="0"/>
              <w:right w:val="single" w:color="000000" w:sz="4" w:space="0"/>
            </w:tcBorders>
            <w:noWrap w:val="0"/>
            <w:vAlign w:val="center"/>
          </w:tcPr>
          <w:p w14:paraId="3990CC37">
            <w:pPr>
              <w:pStyle w:val="118"/>
              <w:keepNext w:val="0"/>
              <w:keepLines w:val="0"/>
              <w:suppressLineNumbers w:val="0"/>
              <w:topLinePunct/>
              <w:spacing w:before="0" w:beforeAutospacing="0" w:after="0" w:afterAutospacing="0"/>
              <w:ind w:left="0" w:right="0" w:firstLine="105"/>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员工总人数：</w:t>
            </w:r>
          </w:p>
        </w:tc>
      </w:tr>
      <w:tr w14:paraId="1CCC7F65">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14:paraId="7435733B">
            <w:pPr>
              <w:pStyle w:val="118"/>
              <w:keepNext w:val="0"/>
              <w:keepLines w:val="0"/>
              <w:suppressLineNumbers w:val="0"/>
              <w:topLinePunct/>
              <w:spacing w:before="0" w:beforeAutospacing="0" w:after="0" w:afterAutospacing="0"/>
              <w:ind w:left="0" w:right="0"/>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企业资质等级</w:t>
            </w:r>
          </w:p>
        </w:tc>
        <w:tc>
          <w:tcPr>
            <w:tcW w:w="2120" w:type="dxa"/>
            <w:gridSpan w:val="3"/>
            <w:tcBorders>
              <w:top w:val="nil"/>
              <w:left w:val="nil"/>
              <w:bottom w:val="single" w:color="000000" w:sz="4" w:space="0"/>
              <w:right w:val="single" w:color="000000" w:sz="4" w:space="0"/>
            </w:tcBorders>
            <w:noWrap w:val="0"/>
            <w:vAlign w:val="center"/>
          </w:tcPr>
          <w:p w14:paraId="24FCFED9">
            <w:pPr>
              <w:pStyle w:val="118"/>
              <w:keepNext w:val="0"/>
              <w:keepLines w:val="0"/>
              <w:suppressLineNumbers w:val="0"/>
              <w:topLinePunct/>
              <w:spacing w:before="0" w:beforeAutospacing="0" w:after="0" w:afterAutospacing="0"/>
              <w:ind w:left="0" w:right="0"/>
              <w:jc w:val="center"/>
              <w:rPr>
                <w:rFonts w:hint="eastAsia" w:ascii="宋体" w:hAnsi="宋体" w:eastAsia="宋体" w:cs="宋体"/>
                <w:color w:val="000000"/>
                <w:szCs w:val="21"/>
                <w:highlight w:val="none"/>
              </w:rPr>
            </w:pPr>
          </w:p>
        </w:tc>
        <w:tc>
          <w:tcPr>
            <w:tcW w:w="713" w:type="dxa"/>
            <w:vMerge w:val="restart"/>
            <w:tcBorders>
              <w:top w:val="nil"/>
              <w:left w:val="nil"/>
              <w:bottom w:val="single" w:color="000000" w:sz="4" w:space="0"/>
              <w:right w:val="single" w:color="000000" w:sz="4" w:space="0"/>
            </w:tcBorders>
            <w:noWrap w:val="0"/>
            <w:vAlign w:val="center"/>
          </w:tcPr>
          <w:p w14:paraId="5573539A">
            <w:pPr>
              <w:pStyle w:val="118"/>
              <w:keepNext w:val="0"/>
              <w:keepLines w:val="0"/>
              <w:suppressLineNumbers w:val="0"/>
              <w:topLinePunct/>
              <w:spacing w:before="0" w:beforeAutospacing="0" w:after="0" w:afterAutospacing="0"/>
              <w:ind w:left="0" w:right="0"/>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其中</w:t>
            </w:r>
          </w:p>
        </w:tc>
        <w:tc>
          <w:tcPr>
            <w:tcW w:w="2646" w:type="dxa"/>
            <w:gridSpan w:val="3"/>
            <w:tcBorders>
              <w:top w:val="single" w:color="000000" w:sz="4" w:space="0"/>
              <w:left w:val="nil"/>
              <w:bottom w:val="single" w:color="000000" w:sz="4" w:space="0"/>
              <w:right w:val="single" w:color="000000" w:sz="4" w:space="0"/>
            </w:tcBorders>
            <w:noWrap w:val="0"/>
            <w:vAlign w:val="center"/>
          </w:tcPr>
          <w:p w14:paraId="710A1843">
            <w:pPr>
              <w:pStyle w:val="118"/>
              <w:keepNext w:val="0"/>
              <w:keepLines w:val="0"/>
              <w:suppressLineNumbers w:val="0"/>
              <w:topLinePunct/>
              <w:spacing w:before="0" w:beforeAutospacing="0" w:after="0" w:afterAutospacing="0"/>
              <w:ind w:left="0" w:right="0"/>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项目负责人</w:t>
            </w:r>
          </w:p>
        </w:tc>
        <w:tc>
          <w:tcPr>
            <w:tcW w:w="2130" w:type="dxa"/>
            <w:gridSpan w:val="2"/>
            <w:tcBorders>
              <w:top w:val="single" w:color="000000" w:sz="4" w:space="0"/>
              <w:left w:val="nil"/>
              <w:bottom w:val="single" w:color="000000" w:sz="4" w:space="0"/>
              <w:right w:val="single" w:color="000000" w:sz="4" w:space="0"/>
            </w:tcBorders>
            <w:noWrap w:val="0"/>
            <w:vAlign w:val="center"/>
          </w:tcPr>
          <w:p w14:paraId="2351695C">
            <w:pPr>
              <w:pStyle w:val="118"/>
              <w:keepNext w:val="0"/>
              <w:keepLines w:val="0"/>
              <w:suppressLineNumbers w:val="0"/>
              <w:topLinePunct/>
              <w:spacing w:before="0" w:beforeAutospacing="0" w:after="0" w:afterAutospacing="0"/>
              <w:ind w:left="0" w:right="0"/>
              <w:jc w:val="center"/>
              <w:rPr>
                <w:rFonts w:hint="eastAsia" w:ascii="宋体" w:hAnsi="宋体" w:eastAsia="宋体" w:cs="宋体"/>
                <w:color w:val="000000"/>
                <w:szCs w:val="21"/>
                <w:highlight w:val="none"/>
              </w:rPr>
            </w:pPr>
          </w:p>
        </w:tc>
      </w:tr>
      <w:tr w14:paraId="26DA3279">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14:paraId="2367947A">
            <w:pPr>
              <w:pStyle w:val="118"/>
              <w:keepNext w:val="0"/>
              <w:keepLines w:val="0"/>
              <w:suppressLineNumbers w:val="0"/>
              <w:topLinePunct/>
              <w:spacing w:before="0" w:beforeAutospacing="0" w:after="0" w:afterAutospacing="0"/>
              <w:ind w:left="0" w:right="0"/>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营业执照号</w:t>
            </w:r>
          </w:p>
        </w:tc>
        <w:tc>
          <w:tcPr>
            <w:tcW w:w="2120" w:type="dxa"/>
            <w:gridSpan w:val="3"/>
            <w:tcBorders>
              <w:top w:val="nil"/>
              <w:left w:val="nil"/>
              <w:bottom w:val="single" w:color="000000" w:sz="4" w:space="0"/>
              <w:right w:val="single" w:color="000000" w:sz="4" w:space="0"/>
            </w:tcBorders>
            <w:noWrap w:val="0"/>
            <w:vAlign w:val="center"/>
          </w:tcPr>
          <w:p w14:paraId="396624E4">
            <w:pPr>
              <w:pStyle w:val="118"/>
              <w:keepNext w:val="0"/>
              <w:keepLines w:val="0"/>
              <w:suppressLineNumbers w:val="0"/>
              <w:topLinePunct/>
              <w:spacing w:before="0" w:beforeAutospacing="0" w:after="0" w:afterAutospacing="0"/>
              <w:ind w:left="0" w:right="0"/>
              <w:jc w:val="center"/>
              <w:rPr>
                <w:rFonts w:hint="eastAsia" w:ascii="宋体" w:hAnsi="宋体" w:eastAsia="宋体" w:cs="宋体"/>
                <w:color w:val="000000"/>
                <w:szCs w:val="21"/>
                <w:highlight w:val="none"/>
              </w:rPr>
            </w:pPr>
          </w:p>
        </w:tc>
        <w:tc>
          <w:tcPr>
            <w:tcW w:w="713" w:type="dxa"/>
            <w:vMerge w:val="continue"/>
            <w:tcBorders>
              <w:top w:val="nil"/>
              <w:left w:val="nil"/>
              <w:bottom w:val="single" w:color="000000" w:sz="4" w:space="0"/>
              <w:right w:val="single" w:color="000000" w:sz="4" w:space="0"/>
            </w:tcBorders>
            <w:noWrap w:val="0"/>
            <w:vAlign w:val="center"/>
          </w:tcPr>
          <w:p w14:paraId="1A167529">
            <w:pPr>
              <w:keepNext w:val="0"/>
              <w:keepLines w:val="0"/>
              <w:suppressLineNumbers w:val="0"/>
              <w:spacing w:before="0" w:beforeAutospacing="0" w:after="0" w:afterAutospacing="0"/>
              <w:ind w:left="0" w:right="0"/>
              <w:rPr>
                <w:rFonts w:hint="eastAsia" w:ascii="宋体" w:hAnsi="宋体" w:eastAsia="宋体" w:cs="宋体"/>
                <w:color w:val="000000"/>
                <w:szCs w:val="21"/>
                <w:highlight w:val="none"/>
              </w:rPr>
            </w:pPr>
          </w:p>
        </w:tc>
        <w:tc>
          <w:tcPr>
            <w:tcW w:w="2646" w:type="dxa"/>
            <w:gridSpan w:val="3"/>
            <w:tcBorders>
              <w:top w:val="nil"/>
              <w:left w:val="nil"/>
              <w:bottom w:val="single" w:color="000000" w:sz="4" w:space="0"/>
              <w:right w:val="single" w:color="000000" w:sz="4" w:space="0"/>
            </w:tcBorders>
            <w:noWrap w:val="0"/>
            <w:vAlign w:val="center"/>
          </w:tcPr>
          <w:p w14:paraId="0D1516F7">
            <w:pPr>
              <w:pStyle w:val="118"/>
              <w:keepNext w:val="0"/>
              <w:keepLines w:val="0"/>
              <w:suppressLineNumbers w:val="0"/>
              <w:topLinePunct/>
              <w:spacing w:before="0" w:beforeAutospacing="0" w:after="0" w:afterAutospacing="0"/>
              <w:ind w:left="0" w:right="0"/>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高级职称人员</w:t>
            </w:r>
          </w:p>
        </w:tc>
        <w:tc>
          <w:tcPr>
            <w:tcW w:w="2130" w:type="dxa"/>
            <w:gridSpan w:val="2"/>
            <w:tcBorders>
              <w:top w:val="nil"/>
              <w:left w:val="nil"/>
              <w:bottom w:val="single" w:color="000000" w:sz="4" w:space="0"/>
              <w:right w:val="single" w:color="000000" w:sz="4" w:space="0"/>
            </w:tcBorders>
            <w:noWrap w:val="0"/>
            <w:vAlign w:val="center"/>
          </w:tcPr>
          <w:p w14:paraId="07D0B2D4">
            <w:pPr>
              <w:pStyle w:val="118"/>
              <w:keepNext w:val="0"/>
              <w:keepLines w:val="0"/>
              <w:suppressLineNumbers w:val="0"/>
              <w:topLinePunct/>
              <w:spacing w:before="0" w:beforeAutospacing="0" w:after="0" w:afterAutospacing="0"/>
              <w:ind w:left="0" w:right="0"/>
              <w:jc w:val="center"/>
              <w:rPr>
                <w:rFonts w:hint="eastAsia" w:ascii="宋体" w:hAnsi="宋体" w:eastAsia="宋体" w:cs="宋体"/>
                <w:color w:val="000000"/>
                <w:szCs w:val="21"/>
                <w:highlight w:val="none"/>
              </w:rPr>
            </w:pPr>
          </w:p>
        </w:tc>
      </w:tr>
      <w:tr w14:paraId="1B7AD570">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14:paraId="339F04CE">
            <w:pPr>
              <w:pStyle w:val="118"/>
              <w:keepNext w:val="0"/>
              <w:keepLines w:val="0"/>
              <w:suppressLineNumbers w:val="0"/>
              <w:topLinePunct/>
              <w:spacing w:before="0" w:beforeAutospacing="0" w:after="0" w:afterAutospacing="0"/>
              <w:ind w:left="0" w:right="0"/>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注册资金</w:t>
            </w:r>
          </w:p>
        </w:tc>
        <w:tc>
          <w:tcPr>
            <w:tcW w:w="2120" w:type="dxa"/>
            <w:gridSpan w:val="3"/>
            <w:tcBorders>
              <w:top w:val="nil"/>
              <w:left w:val="nil"/>
              <w:bottom w:val="single" w:color="000000" w:sz="4" w:space="0"/>
              <w:right w:val="single" w:color="000000" w:sz="4" w:space="0"/>
            </w:tcBorders>
            <w:noWrap w:val="0"/>
            <w:vAlign w:val="center"/>
          </w:tcPr>
          <w:p w14:paraId="6049B72A">
            <w:pPr>
              <w:pStyle w:val="118"/>
              <w:keepNext w:val="0"/>
              <w:keepLines w:val="0"/>
              <w:suppressLineNumbers w:val="0"/>
              <w:topLinePunct/>
              <w:spacing w:before="0" w:beforeAutospacing="0" w:after="0" w:afterAutospacing="0"/>
              <w:ind w:left="0" w:right="0"/>
              <w:jc w:val="center"/>
              <w:rPr>
                <w:rFonts w:hint="eastAsia" w:ascii="宋体" w:hAnsi="宋体" w:eastAsia="宋体" w:cs="宋体"/>
                <w:color w:val="000000"/>
                <w:szCs w:val="21"/>
                <w:highlight w:val="none"/>
              </w:rPr>
            </w:pPr>
          </w:p>
        </w:tc>
        <w:tc>
          <w:tcPr>
            <w:tcW w:w="713" w:type="dxa"/>
            <w:vMerge w:val="continue"/>
            <w:tcBorders>
              <w:top w:val="nil"/>
              <w:left w:val="nil"/>
              <w:bottom w:val="single" w:color="000000" w:sz="4" w:space="0"/>
              <w:right w:val="single" w:color="000000" w:sz="4" w:space="0"/>
            </w:tcBorders>
            <w:noWrap w:val="0"/>
            <w:vAlign w:val="center"/>
          </w:tcPr>
          <w:p w14:paraId="6B8162BE">
            <w:pPr>
              <w:keepNext w:val="0"/>
              <w:keepLines w:val="0"/>
              <w:suppressLineNumbers w:val="0"/>
              <w:spacing w:before="0" w:beforeAutospacing="0" w:after="0" w:afterAutospacing="0"/>
              <w:ind w:left="0" w:right="0"/>
              <w:rPr>
                <w:rFonts w:hint="eastAsia" w:ascii="宋体" w:hAnsi="宋体" w:eastAsia="宋体" w:cs="宋体"/>
                <w:color w:val="000000"/>
                <w:szCs w:val="21"/>
                <w:highlight w:val="none"/>
              </w:rPr>
            </w:pPr>
          </w:p>
        </w:tc>
        <w:tc>
          <w:tcPr>
            <w:tcW w:w="2646" w:type="dxa"/>
            <w:gridSpan w:val="3"/>
            <w:tcBorders>
              <w:top w:val="nil"/>
              <w:left w:val="nil"/>
              <w:bottom w:val="single" w:color="000000" w:sz="4" w:space="0"/>
              <w:right w:val="single" w:color="000000" w:sz="4" w:space="0"/>
            </w:tcBorders>
            <w:noWrap w:val="0"/>
            <w:vAlign w:val="center"/>
          </w:tcPr>
          <w:p w14:paraId="0EBC39EE">
            <w:pPr>
              <w:pStyle w:val="118"/>
              <w:keepNext w:val="0"/>
              <w:keepLines w:val="0"/>
              <w:suppressLineNumbers w:val="0"/>
              <w:topLinePunct/>
              <w:spacing w:before="0" w:beforeAutospacing="0" w:after="0" w:afterAutospacing="0"/>
              <w:ind w:left="0" w:right="0"/>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中级职称人员</w:t>
            </w:r>
          </w:p>
        </w:tc>
        <w:tc>
          <w:tcPr>
            <w:tcW w:w="2130" w:type="dxa"/>
            <w:gridSpan w:val="2"/>
            <w:tcBorders>
              <w:top w:val="nil"/>
              <w:left w:val="nil"/>
              <w:bottom w:val="single" w:color="000000" w:sz="4" w:space="0"/>
              <w:right w:val="single" w:color="000000" w:sz="4" w:space="0"/>
            </w:tcBorders>
            <w:noWrap w:val="0"/>
            <w:vAlign w:val="center"/>
          </w:tcPr>
          <w:p w14:paraId="12DD20F5">
            <w:pPr>
              <w:pStyle w:val="118"/>
              <w:keepNext w:val="0"/>
              <w:keepLines w:val="0"/>
              <w:suppressLineNumbers w:val="0"/>
              <w:topLinePunct/>
              <w:spacing w:before="0" w:beforeAutospacing="0" w:after="0" w:afterAutospacing="0"/>
              <w:ind w:left="0" w:right="0"/>
              <w:jc w:val="center"/>
              <w:rPr>
                <w:rFonts w:hint="eastAsia" w:ascii="宋体" w:hAnsi="宋体" w:eastAsia="宋体" w:cs="宋体"/>
                <w:color w:val="000000"/>
                <w:szCs w:val="21"/>
                <w:highlight w:val="none"/>
              </w:rPr>
            </w:pPr>
          </w:p>
        </w:tc>
      </w:tr>
      <w:tr w14:paraId="47D265A2">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14:paraId="1D63549B">
            <w:pPr>
              <w:pStyle w:val="118"/>
              <w:keepNext w:val="0"/>
              <w:keepLines w:val="0"/>
              <w:suppressLineNumbers w:val="0"/>
              <w:topLinePunct/>
              <w:spacing w:before="0" w:beforeAutospacing="0" w:after="0" w:afterAutospacing="0"/>
              <w:ind w:left="0" w:right="0"/>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开户银行</w:t>
            </w:r>
          </w:p>
        </w:tc>
        <w:tc>
          <w:tcPr>
            <w:tcW w:w="2120" w:type="dxa"/>
            <w:gridSpan w:val="3"/>
            <w:tcBorders>
              <w:top w:val="nil"/>
              <w:left w:val="nil"/>
              <w:bottom w:val="single" w:color="000000" w:sz="4" w:space="0"/>
              <w:right w:val="single" w:color="000000" w:sz="4" w:space="0"/>
            </w:tcBorders>
            <w:noWrap w:val="0"/>
            <w:vAlign w:val="center"/>
          </w:tcPr>
          <w:p w14:paraId="1B8522CB">
            <w:pPr>
              <w:pStyle w:val="118"/>
              <w:keepNext w:val="0"/>
              <w:keepLines w:val="0"/>
              <w:suppressLineNumbers w:val="0"/>
              <w:topLinePunct/>
              <w:spacing w:before="0" w:beforeAutospacing="0" w:after="0" w:afterAutospacing="0"/>
              <w:ind w:left="0" w:right="0"/>
              <w:jc w:val="center"/>
              <w:rPr>
                <w:rFonts w:hint="eastAsia" w:ascii="宋体" w:hAnsi="宋体" w:eastAsia="宋体" w:cs="宋体"/>
                <w:color w:val="000000"/>
                <w:szCs w:val="21"/>
                <w:highlight w:val="none"/>
              </w:rPr>
            </w:pPr>
          </w:p>
        </w:tc>
        <w:tc>
          <w:tcPr>
            <w:tcW w:w="713" w:type="dxa"/>
            <w:vMerge w:val="continue"/>
            <w:tcBorders>
              <w:top w:val="nil"/>
              <w:left w:val="nil"/>
              <w:bottom w:val="single" w:color="000000" w:sz="4" w:space="0"/>
              <w:right w:val="single" w:color="000000" w:sz="4" w:space="0"/>
            </w:tcBorders>
            <w:noWrap w:val="0"/>
            <w:vAlign w:val="center"/>
          </w:tcPr>
          <w:p w14:paraId="295ED14F">
            <w:pPr>
              <w:keepNext w:val="0"/>
              <w:keepLines w:val="0"/>
              <w:suppressLineNumbers w:val="0"/>
              <w:spacing w:before="0" w:beforeAutospacing="0" w:after="0" w:afterAutospacing="0"/>
              <w:ind w:left="0" w:right="0"/>
              <w:rPr>
                <w:rFonts w:hint="eastAsia" w:ascii="宋体" w:hAnsi="宋体" w:eastAsia="宋体" w:cs="宋体"/>
                <w:color w:val="000000"/>
                <w:szCs w:val="21"/>
                <w:highlight w:val="none"/>
              </w:rPr>
            </w:pPr>
          </w:p>
        </w:tc>
        <w:tc>
          <w:tcPr>
            <w:tcW w:w="2646" w:type="dxa"/>
            <w:gridSpan w:val="3"/>
            <w:vMerge w:val="restart"/>
            <w:tcBorders>
              <w:top w:val="nil"/>
              <w:left w:val="nil"/>
              <w:right w:val="single" w:color="000000" w:sz="4" w:space="0"/>
            </w:tcBorders>
            <w:noWrap w:val="0"/>
            <w:vAlign w:val="center"/>
          </w:tcPr>
          <w:p w14:paraId="3E28C58A">
            <w:pPr>
              <w:pStyle w:val="118"/>
              <w:keepNext w:val="0"/>
              <w:keepLines w:val="0"/>
              <w:suppressLineNumbers w:val="0"/>
              <w:topLinePunct/>
              <w:spacing w:before="0" w:beforeAutospacing="0" w:after="0" w:afterAutospacing="0"/>
              <w:ind w:left="0" w:right="0"/>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初级职称人员</w:t>
            </w:r>
          </w:p>
        </w:tc>
        <w:tc>
          <w:tcPr>
            <w:tcW w:w="2130" w:type="dxa"/>
            <w:gridSpan w:val="2"/>
            <w:vMerge w:val="restart"/>
            <w:tcBorders>
              <w:top w:val="nil"/>
              <w:left w:val="nil"/>
              <w:right w:val="single" w:color="000000" w:sz="4" w:space="0"/>
            </w:tcBorders>
            <w:noWrap w:val="0"/>
            <w:vAlign w:val="center"/>
          </w:tcPr>
          <w:p w14:paraId="5D152015">
            <w:pPr>
              <w:pStyle w:val="118"/>
              <w:keepNext w:val="0"/>
              <w:keepLines w:val="0"/>
              <w:suppressLineNumbers w:val="0"/>
              <w:topLinePunct/>
              <w:spacing w:before="0" w:beforeAutospacing="0" w:after="0" w:afterAutospacing="0"/>
              <w:ind w:left="0" w:right="0"/>
              <w:jc w:val="center"/>
              <w:rPr>
                <w:rFonts w:hint="eastAsia" w:ascii="宋体" w:hAnsi="宋体" w:eastAsia="宋体" w:cs="宋体"/>
                <w:color w:val="000000"/>
                <w:szCs w:val="21"/>
                <w:highlight w:val="none"/>
              </w:rPr>
            </w:pPr>
          </w:p>
        </w:tc>
      </w:tr>
      <w:tr w14:paraId="3A98B559">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14:paraId="2D2E3D6C">
            <w:pPr>
              <w:pStyle w:val="118"/>
              <w:keepNext w:val="0"/>
              <w:keepLines w:val="0"/>
              <w:suppressLineNumbers w:val="0"/>
              <w:topLinePunct/>
              <w:spacing w:before="0" w:beforeAutospacing="0" w:after="0" w:afterAutospacing="0"/>
              <w:ind w:left="0" w:right="0"/>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账号</w:t>
            </w:r>
          </w:p>
        </w:tc>
        <w:tc>
          <w:tcPr>
            <w:tcW w:w="2120" w:type="dxa"/>
            <w:gridSpan w:val="3"/>
            <w:tcBorders>
              <w:top w:val="nil"/>
              <w:left w:val="nil"/>
              <w:bottom w:val="single" w:color="000000" w:sz="4" w:space="0"/>
              <w:right w:val="single" w:color="000000" w:sz="4" w:space="0"/>
            </w:tcBorders>
            <w:noWrap w:val="0"/>
            <w:vAlign w:val="center"/>
          </w:tcPr>
          <w:p w14:paraId="2CAB6F46">
            <w:pPr>
              <w:pStyle w:val="118"/>
              <w:keepNext w:val="0"/>
              <w:keepLines w:val="0"/>
              <w:suppressLineNumbers w:val="0"/>
              <w:topLinePunct/>
              <w:spacing w:before="0" w:beforeAutospacing="0" w:after="0" w:afterAutospacing="0"/>
              <w:ind w:left="0" w:right="0"/>
              <w:jc w:val="center"/>
              <w:rPr>
                <w:rFonts w:hint="eastAsia" w:ascii="宋体" w:hAnsi="宋体" w:eastAsia="宋体" w:cs="宋体"/>
                <w:color w:val="000000"/>
                <w:szCs w:val="21"/>
                <w:highlight w:val="none"/>
              </w:rPr>
            </w:pPr>
          </w:p>
        </w:tc>
        <w:tc>
          <w:tcPr>
            <w:tcW w:w="713" w:type="dxa"/>
            <w:vMerge w:val="continue"/>
            <w:tcBorders>
              <w:top w:val="nil"/>
              <w:left w:val="nil"/>
              <w:bottom w:val="single" w:color="000000" w:sz="4" w:space="0"/>
              <w:right w:val="single" w:color="000000" w:sz="4" w:space="0"/>
            </w:tcBorders>
            <w:noWrap w:val="0"/>
            <w:vAlign w:val="center"/>
          </w:tcPr>
          <w:p w14:paraId="0BA6C51D">
            <w:pPr>
              <w:keepNext w:val="0"/>
              <w:keepLines w:val="0"/>
              <w:suppressLineNumbers w:val="0"/>
              <w:spacing w:before="0" w:beforeAutospacing="0" w:after="0" w:afterAutospacing="0"/>
              <w:ind w:left="0" w:right="0"/>
              <w:rPr>
                <w:rFonts w:hint="eastAsia" w:ascii="宋体" w:hAnsi="宋体" w:eastAsia="宋体" w:cs="宋体"/>
                <w:color w:val="000000"/>
                <w:szCs w:val="21"/>
                <w:highlight w:val="none"/>
              </w:rPr>
            </w:pPr>
          </w:p>
        </w:tc>
        <w:tc>
          <w:tcPr>
            <w:tcW w:w="2646" w:type="dxa"/>
            <w:gridSpan w:val="3"/>
            <w:vMerge w:val="continue"/>
            <w:tcBorders>
              <w:left w:val="nil"/>
              <w:bottom w:val="single" w:color="000000" w:sz="4" w:space="0"/>
              <w:right w:val="single" w:color="000000" w:sz="4" w:space="0"/>
            </w:tcBorders>
            <w:noWrap w:val="0"/>
            <w:vAlign w:val="center"/>
          </w:tcPr>
          <w:p w14:paraId="2892C3CB">
            <w:pPr>
              <w:pStyle w:val="118"/>
              <w:keepNext w:val="0"/>
              <w:keepLines w:val="0"/>
              <w:suppressLineNumbers w:val="0"/>
              <w:topLinePunct/>
              <w:spacing w:before="0" w:beforeAutospacing="0" w:after="0" w:afterAutospacing="0"/>
              <w:ind w:left="0" w:right="0"/>
              <w:jc w:val="center"/>
              <w:rPr>
                <w:rFonts w:hint="eastAsia" w:ascii="宋体" w:hAnsi="宋体" w:eastAsia="宋体" w:cs="宋体"/>
                <w:color w:val="000000"/>
                <w:szCs w:val="21"/>
                <w:highlight w:val="none"/>
              </w:rPr>
            </w:pPr>
          </w:p>
        </w:tc>
        <w:tc>
          <w:tcPr>
            <w:tcW w:w="2130" w:type="dxa"/>
            <w:gridSpan w:val="2"/>
            <w:vMerge w:val="continue"/>
            <w:tcBorders>
              <w:left w:val="nil"/>
              <w:bottom w:val="single" w:color="000000" w:sz="4" w:space="0"/>
              <w:right w:val="single" w:color="000000" w:sz="4" w:space="0"/>
            </w:tcBorders>
            <w:noWrap w:val="0"/>
            <w:vAlign w:val="center"/>
          </w:tcPr>
          <w:p w14:paraId="02A15603">
            <w:pPr>
              <w:pStyle w:val="118"/>
              <w:keepNext w:val="0"/>
              <w:keepLines w:val="0"/>
              <w:suppressLineNumbers w:val="0"/>
              <w:topLinePunct/>
              <w:spacing w:before="0" w:beforeAutospacing="0" w:after="0" w:afterAutospacing="0"/>
              <w:ind w:left="0" w:right="0"/>
              <w:jc w:val="center"/>
              <w:rPr>
                <w:rFonts w:hint="eastAsia" w:ascii="宋体" w:hAnsi="宋体" w:eastAsia="宋体" w:cs="宋体"/>
                <w:color w:val="000000"/>
                <w:szCs w:val="21"/>
                <w:highlight w:val="none"/>
              </w:rPr>
            </w:pPr>
          </w:p>
        </w:tc>
      </w:tr>
      <w:tr w14:paraId="21236579">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14:paraId="36B05166">
            <w:pPr>
              <w:pStyle w:val="118"/>
              <w:keepNext w:val="0"/>
              <w:keepLines w:val="0"/>
              <w:suppressLineNumbers w:val="0"/>
              <w:topLinePunct/>
              <w:spacing w:before="0" w:beforeAutospacing="0" w:after="0" w:afterAutospacing="0"/>
              <w:ind w:left="0" w:right="0" w:firstLine="210"/>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经营范围</w:t>
            </w:r>
          </w:p>
        </w:tc>
        <w:tc>
          <w:tcPr>
            <w:tcW w:w="7609" w:type="dxa"/>
            <w:gridSpan w:val="9"/>
            <w:tcBorders>
              <w:top w:val="nil"/>
              <w:left w:val="nil"/>
              <w:bottom w:val="single" w:color="000000" w:sz="4" w:space="0"/>
              <w:right w:val="single" w:color="000000" w:sz="4" w:space="0"/>
            </w:tcBorders>
            <w:noWrap w:val="0"/>
            <w:vAlign w:val="center"/>
          </w:tcPr>
          <w:p w14:paraId="1068F63A">
            <w:pPr>
              <w:pStyle w:val="118"/>
              <w:keepNext w:val="0"/>
              <w:keepLines w:val="0"/>
              <w:suppressLineNumbers w:val="0"/>
              <w:topLinePunct/>
              <w:spacing w:before="0" w:beforeAutospacing="0" w:after="0" w:afterAutospacing="0"/>
              <w:ind w:left="0" w:right="0"/>
              <w:rPr>
                <w:rFonts w:hint="eastAsia" w:ascii="宋体" w:hAnsi="宋体" w:eastAsia="宋体" w:cs="宋体"/>
                <w:color w:val="000000"/>
                <w:szCs w:val="21"/>
                <w:highlight w:val="none"/>
              </w:rPr>
            </w:pPr>
          </w:p>
        </w:tc>
      </w:tr>
      <w:tr w14:paraId="05108788">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14:paraId="1DEF67EA">
            <w:pPr>
              <w:pStyle w:val="118"/>
              <w:keepNext w:val="0"/>
              <w:keepLines w:val="0"/>
              <w:suppressLineNumbers w:val="0"/>
              <w:topLinePunct/>
              <w:spacing w:before="0" w:beforeAutospacing="0" w:after="0" w:afterAutospacing="0"/>
              <w:ind w:left="0" w:right="0"/>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备注</w:t>
            </w:r>
          </w:p>
        </w:tc>
        <w:tc>
          <w:tcPr>
            <w:tcW w:w="7609" w:type="dxa"/>
            <w:gridSpan w:val="9"/>
            <w:tcBorders>
              <w:top w:val="nil"/>
              <w:left w:val="nil"/>
              <w:bottom w:val="single" w:color="000000" w:sz="4" w:space="0"/>
              <w:right w:val="single" w:color="000000" w:sz="4" w:space="0"/>
            </w:tcBorders>
            <w:noWrap w:val="0"/>
            <w:vAlign w:val="center"/>
          </w:tcPr>
          <w:p w14:paraId="1E7160BB">
            <w:pPr>
              <w:pStyle w:val="118"/>
              <w:keepNext w:val="0"/>
              <w:keepLines w:val="0"/>
              <w:suppressLineNumbers w:val="0"/>
              <w:topLinePunct/>
              <w:spacing w:before="0" w:beforeAutospacing="0" w:after="0" w:afterAutospacing="0"/>
              <w:ind w:left="0" w:right="0"/>
              <w:jc w:val="center"/>
              <w:rPr>
                <w:rFonts w:hint="eastAsia" w:ascii="宋体" w:hAnsi="宋体" w:eastAsia="宋体" w:cs="宋体"/>
                <w:color w:val="000000"/>
                <w:szCs w:val="21"/>
                <w:highlight w:val="none"/>
              </w:rPr>
            </w:pPr>
          </w:p>
        </w:tc>
      </w:tr>
    </w:tbl>
    <w:p w14:paraId="3BC21E54">
      <w:pPr>
        <w:spacing w:line="360" w:lineRule="auto"/>
        <w:ind w:left="482" w:hanging="482" w:hangingChars="200"/>
        <w:rPr>
          <w:rFonts w:hint="eastAsia" w:ascii="宋体" w:hAnsi="宋体" w:eastAsia="宋体" w:cs="宋体"/>
          <w:b/>
          <w:color w:val="000000"/>
          <w:sz w:val="24"/>
          <w:szCs w:val="24"/>
          <w:highlight w:val="none"/>
        </w:rPr>
      </w:pPr>
      <w:bookmarkStart w:id="678" w:name="_Hlk122532292"/>
    </w:p>
    <w:p w14:paraId="5CD62266">
      <w:pPr>
        <w:spacing w:line="360" w:lineRule="auto"/>
        <w:ind w:left="482" w:hanging="482" w:hangingChars="200"/>
        <w:rPr>
          <w:rFonts w:hint="eastAsia" w:ascii="宋体" w:hAnsi="宋体" w:eastAsia="宋体" w:cs="宋体"/>
          <w:color w:val="000000"/>
          <w:szCs w:val="21"/>
          <w:highlight w:val="none"/>
        </w:rPr>
      </w:pPr>
      <w:r>
        <w:rPr>
          <w:rFonts w:hint="eastAsia" w:ascii="宋体" w:hAnsi="宋体" w:eastAsia="宋体" w:cs="宋体"/>
          <w:b/>
          <w:color w:val="000000"/>
          <w:sz w:val="24"/>
          <w:szCs w:val="24"/>
          <w:highlight w:val="none"/>
        </w:rPr>
        <w:t>注：提供由工商部门核发的最新营业执照（正副本皆可）。</w:t>
      </w:r>
      <w:bookmarkEnd w:id="678"/>
    </w:p>
    <w:p w14:paraId="00F7EAAF">
      <w:pPr>
        <w:spacing w:line="440" w:lineRule="exact"/>
        <w:ind w:firstLine="3570" w:firstLineChars="1700"/>
        <w:jc w:val="right"/>
        <w:rPr>
          <w:rFonts w:hint="eastAsia" w:ascii="宋体" w:hAnsi="宋体" w:eastAsia="宋体" w:cs="宋体"/>
          <w:color w:val="000000"/>
          <w:szCs w:val="21"/>
          <w:highlight w:val="none"/>
        </w:rPr>
      </w:pPr>
    </w:p>
    <w:p w14:paraId="2F0C020F">
      <w:pPr>
        <w:pStyle w:val="118"/>
        <w:jc w:val="left"/>
        <w:rPr>
          <w:rFonts w:hint="eastAsia" w:ascii="宋体" w:hAnsi="宋体" w:eastAsia="宋体" w:cs="宋体"/>
          <w:b/>
          <w:color w:val="000000"/>
          <w:highlight w:val="none"/>
        </w:rPr>
      </w:pPr>
    </w:p>
    <w:p w14:paraId="0DF364F8">
      <w:pPr>
        <w:pStyle w:val="118"/>
        <w:jc w:val="left"/>
        <w:rPr>
          <w:rFonts w:hint="eastAsia" w:ascii="宋体" w:hAnsi="宋体" w:eastAsia="宋体" w:cs="宋体"/>
          <w:b/>
          <w:color w:val="000000"/>
          <w:highlight w:val="none"/>
        </w:rPr>
      </w:pPr>
    </w:p>
    <w:p w14:paraId="0B3E5101">
      <w:pPr>
        <w:pStyle w:val="118"/>
        <w:jc w:val="left"/>
        <w:rPr>
          <w:rFonts w:hint="eastAsia" w:ascii="宋体" w:hAnsi="宋体" w:eastAsia="宋体" w:cs="宋体"/>
          <w:b/>
          <w:color w:val="000000"/>
          <w:highlight w:val="none"/>
        </w:rPr>
      </w:pPr>
    </w:p>
    <w:p w14:paraId="15FFD0DC">
      <w:pPr>
        <w:spacing w:line="360" w:lineRule="auto"/>
        <w:textAlignment w:val="baseline"/>
        <w:rPr>
          <w:rFonts w:hint="eastAsia" w:ascii="宋体" w:hAnsi="宋体" w:eastAsia="宋体" w:cs="宋体"/>
          <w:b/>
          <w:color w:val="000000"/>
          <w:sz w:val="24"/>
          <w:szCs w:val="24"/>
          <w:highlight w:val="none"/>
        </w:rPr>
      </w:pPr>
    </w:p>
    <w:p w14:paraId="63B5BDFA">
      <w:pPr>
        <w:spacing w:line="360" w:lineRule="auto"/>
        <w:jc w:val="left"/>
        <w:rPr>
          <w:rFonts w:hint="eastAsia" w:ascii="宋体" w:hAnsi="宋体" w:eastAsia="宋体" w:cs="宋体"/>
          <w:color w:val="000000"/>
          <w:sz w:val="24"/>
          <w:szCs w:val="24"/>
          <w:highlight w:val="none"/>
        </w:rPr>
      </w:pPr>
    </w:p>
    <w:p w14:paraId="06D9E95D">
      <w:pPr>
        <w:spacing w:line="360" w:lineRule="auto"/>
        <w:ind w:firstLine="4080" w:firstLineChars="1700"/>
        <w:jc w:val="right"/>
        <w:rPr>
          <w:rFonts w:hint="eastAsia" w:ascii="宋体" w:hAnsi="宋体" w:eastAsia="宋体" w:cs="宋体"/>
          <w:color w:val="000000"/>
          <w:sz w:val="24"/>
          <w:highlight w:val="none"/>
        </w:rPr>
      </w:pPr>
      <w:r>
        <w:rPr>
          <w:rFonts w:hint="eastAsia" w:ascii="宋体" w:hAnsi="宋体" w:eastAsia="宋体" w:cs="宋体"/>
          <w:color w:val="000000"/>
          <w:sz w:val="24"/>
          <w:highlight w:val="none"/>
        </w:rPr>
        <w:t>投标人名称：</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（盖章）</w:t>
      </w:r>
    </w:p>
    <w:p w14:paraId="44942712">
      <w:pPr>
        <w:spacing w:line="360" w:lineRule="auto"/>
        <w:jc w:val="right"/>
        <w:rPr>
          <w:rFonts w:hint="eastAsia" w:ascii="宋体" w:hAnsi="宋体" w:eastAsia="宋体" w:cs="宋体"/>
          <w:b/>
          <w:bCs/>
          <w:color w:val="000000"/>
          <w:sz w:val="24"/>
          <w:highlight w:val="none"/>
        </w:rPr>
      </w:pPr>
      <w:r>
        <w:rPr>
          <w:rFonts w:hint="eastAsia" w:ascii="宋体" w:hAnsi="宋体" w:eastAsia="宋体" w:cs="宋体"/>
          <w:color w:val="000000"/>
          <w:sz w:val="24"/>
          <w:highlight w:val="none"/>
        </w:rPr>
        <w:t>日期：</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日</w:t>
      </w:r>
    </w:p>
    <w:p w14:paraId="602857BA">
      <w:pPr>
        <w:pStyle w:val="92"/>
        <w:topLinePunct/>
        <w:adjustRightInd w:val="0"/>
        <w:snapToGrid w:val="0"/>
        <w:spacing w:line="360" w:lineRule="auto"/>
        <w:ind w:left="1575" w:firstLine="0" w:firstLineChars="0"/>
        <w:rPr>
          <w:rFonts w:hint="eastAsia" w:ascii="宋体" w:hAnsi="宋体" w:eastAsia="宋体" w:cs="宋体"/>
          <w:bCs/>
          <w:color w:val="000000"/>
          <w:sz w:val="24"/>
          <w:highlight w:val="none"/>
        </w:rPr>
      </w:pPr>
    </w:p>
    <w:p w14:paraId="6351F832">
      <w:pPr>
        <w:pStyle w:val="92"/>
        <w:topLinePunct/>
        <w:adjustRightInd w:val="0"/>
        <w:snapToGrid w:val="0"/>
        <w:spacing w:line="360" w:lineRule="auto"/>
        <w:ind w:left="1575" w:firstLine="0" w:firstLineChars="0"/>
        <w:rPr>
          <w:rFonts w:hint="eastAsia" w:ascii="宋体" w:hAnsi="宋体" w:eastAsia="宋体" w:cs="宋体"/>
          <w:bCs/>
          <w:color w:val="000000"/>
          <w:sz w:val="24"/>
          <w:highlight w:val="none"/>
        </w:rPr>
      </w:pPr>
    </w:p>
    <w:p w14:paraId="149C0B00">
      <w:pPr>
        <w:spacing w:line="360" w:lineRule="auto"/>
        <w:ind w:firstLine="482" w:firstLineChars="200"/>
        <w:textAlignment w:val="baseline"/>
        <w:rPr>
          <w:rFonts w:hint="eastAsia" w:ascii="宋体" w:hAnsi="宋体" w:eastAsia="宋体" w:cs="宋体"/>
          <w:color w:val="000000"/>
          <w:sz w:val="24"/>
          <w:szCs w:val="24"/>
          <w:highlight w:val="none"/>
          <w:lang w:eastAsia="zh-CN"/>
        </w:rPr>
      </w:pPr>
      <w:r>
        <w:rPr>
          <w:rFonts w:hint="eastAsia" w:ascii="宋体" w:hAnsi="宋体" w:cs="宋体"/>
          <w:b/>
          <w:bCs/>
          <w:color w:val="000000"/>
          <w:sz w:val="24"/>
          <w:szCs w:val="24"/>
          <w:highlight w:val="none"/>
          <w:lang w:val="en-US" w:eastAsia="zh-CN"/>
        </w:rPr>
        <w:t>1.</w:t>
      </w:r>
      <w:r>
        <w:rPr>
          <w:rFonts w:hint="eastAsia" w:ascii="宋体" w:hAnsi="宋体" w:cs="宋体"/>
          <w:b/>
          <w:bCs/>
          <w:color w:val="000000"/>
          <w:sz w:val="24"/>
          <w:szCs w:val="24"/>
          <w:highlight w:val="none"/>
          <w:lang w:eastAsia="zh-CN"/>
        </w:rPr>
        <w:t>在中华人民共和国境内依法登记的法人或其他组织，具有独立承担民事责任的能力，投标人如为企业法人，须提供企业法人营业执照（复印件）；投标人如为事业单位或其他组织，须提供事业单位法人证书或登记证或组织机构代码证或其他有效证明文件（复印件）。</w:t>
      </w:r>
    </w:p>
    <w:p w14:paraId="64D1CB73">
      <w:pPr>
        <w:pStyle w:val="5"/>
        <w:keepNext/>
        <w:keepLines/>
        <w:pageBreakBefore w:val="0"/>
        <w:widowControl w:val="0"/>
        <w:numPr>
          <w:ilvl w:val="0"/>
          <w:numId w:val="10"/>
        </w:numPr>
        <w:kinsoku/>
        <w:wordWrap/>
        <w:overflowPunct/>
        <w:topLinePunct w:val="0"/>
        <w:autoSpaceDE/>
        <w:autoSpaceDN/>
        <w:bidi w:val="0"/>
        <w:adjustRightInd/>
        <w:snapToGrid/>
        <w:spacing w:line="377" w:lineRule="auto"/>
        <w:ind w:left="283" w:leftChars="0" w:hanging="283" w:firstLineChars="0"/>
        <w:textAlignment w:val="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br w:type="page"/>
      </w:r>
      <w:r>
        <w:rPr>
          <w:rFonts w:hint="eastAsia" w:ascii="宋体" w:hAnsi="宋体" w:eastAsia="宋体" w:cs="宋体"/>
          <w:color w:val="000000"/>
          <w:highlight w:val="none"/>
        </w:rPr>
        <w:t>具有良好的商业信誉和健全的财务会计制度</w:t>
      </w:r>
    </w:p>
    <w:p w14:paraId="629D2EB5">
      <w:pPr>
        <w:rPr>
          <w:rFonts w:hint="eastAsia" w:ascii="宋体" w:hAnsi="宋体" w:eastAsia="宋体" w:cs="宋体"/>
          <w:color w:val="000000"/>
          <w:highlight w:val="none"/>
        </w:rPr>
      </w:pPr>
      <w:r>
        <w:rPr>
          <w:rFonts w:hint="eastAsia" w:ascii="宋体" w:hAnsi="宋体" w:cs="宋体"/>
          <w:b w:val="0"/>
          <w:bCs w:val="0"/>
          <w:color w:val="000000"/>
          <w:sz w:val="24"/>
          <w:szCs w:val="24"/>
          <w:highlight w:val="none"/>
          <w:lang w:eastAsia="zh-CN"/>
        </w:rPr>
        <w:t>提供2024年经会计师事务所或审计机构审计的财务审计报告及财务报表（至少包含会计师事务所或审计机构签章页、资产负债表、现金流量表、损益表/利润表）或投标文件提交截止之日前6个月内开具的银行资信证明。</w:t>
      </w:r>
      <w:r>
        <w:rPr>
          <w:rFonts w:hint="eastAsia" w:ascii="宋体" w:hAnsi="宋体" w:eastAsia="宋体" w:cs="宋体"/>
          <w:color w:val="000000"/>
          <w:highlight w:val="none"/>
        </w:rPr>
        <w:br w:type="page"/>
      </w:r>
    </w:p>
    <w:p w14:paraId="6E77B7EB">
      <w:pPr>
        <w:pStyle w:val="5"/>
        <w:keepNext/>
        <w:keepLines/>
        <w:pageBreakBefore w:val="0"/>
        <w:widowControl w:val="0"/>
        <w:numPr>
          <w:ilvl w:val="0"/>
          <w:numId w:val="10"/>
        </w:numPr>
        <w:kinsoku/>
        <w:wordWrap/>
        <w:overflowPunct/>
        <w:topLinePunct w:val="0"/>
        <w:autoSpaceDE/>
        <w:autoSpaceDN/>
        <w:bidi w:val="0"/>
        <w:adjustRightInd/>
        <w:snapToGrid/>
        <w:spacing w:line="377" w:lineRule="auto"/>
        <w:ind w:left="283" w:leftChars="0" w:hanging="283" w:firstLineChars="0"/>
        <w:textAlignment w:val="auto"/>
        <w:rPr>
          <w:rFonts w:hint="eastAsia" w:ascii="宋体" w:hAnsi="宋体" w:eastAsia="宋体" w:cs="宋体"/>
          <w:color w:val="000000"/>
          <w:highlight w:val="none"/>
        </w:rPr>
      </w:pPr>
      <w:r>
        <w:rPr>
          <w:rFonts w:hint="eastAsia" w:ascii="宋体" w:hAnsi="宋体" w:eastAsia="宋体" w:cs="宋体"/>
          <w:color w:val="000000"/>
          <w:highlight w:val="none"/>
        </w:rPr>
        <w:t>同类项目实施经验</w:t>
      </w:r>
    </w:p>
    <w:p w14:paraId="73FD6458">
      <w:pPr>
        <w:jc w:val="center"/>
        <w:rPr>
          <w:rFonts w:hint="eastAsia" w:ascii="宋体" w:hAnsi="宋体" w:eastAsia="宋体" w:cs="宋体"/>
          <w:b/>
          <w:color w:val="000000"/>
          <w:sz w:val="24"/>
          <w:szCs w:val="24"/>
          <w:highlight w:val="none"/>
        </w:rPr>
      </w:pPr>
    </w:p>
    <w:p w14:paraId="2BE5A4C6">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同类业绩汇总表</w:t>
      </w: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0"/>
        <w:gridCol w:w="827"/>
        <w:gridCol w:w="1068"/>
        <w:gridCol w:w="1192"/>
        <w:gridCol w:w="1160"/>
        <w:gridCol w:w="1275"/>
        <w:gridCol w:w="1134"/>
        <w:gridCol w:w="1418"/>
        <w:gridCol w:w="954"/>
      </w:tblGrid>
      <w:tr w14:paraId="06F936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820" w:type="dxa"/>
            <w:noWrap w:val="0"/>
            <w:vAlign w:val="center"/>
          </w:tcPr>
          <w:p w14:paraId="40858004">
            <w:pPr>
              <w:keepNext w:val="0"/>
              <w:keepLines w:val="0"/>
              <w:suppressLineNumbers w:val="0"/>
              <w:spacing w:before="0" w:beforeAutospacing="0" w:after="0" w:afterAutospacing="0" w:line="240" w:lineRule="auto"/>
              <w:ind w:left="0" w:right="0"/>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序号</w:t>
            </w:r>
          </w:p>
        </w:tc>
        <w:tc>
          <w:tcPr>
            <w:tcW w:w="827" w:type="dxa"/>
            <w:noWrap w:val="0"/>
            <w:vAlign w:val="center"/>
          </w:tcPr>
          <w:p w14:paraId="34F337AA">
            <w:pPr>
              <w:keepNext w:val="0"/>
              <w:keepLines w:val="0"/>
              <w:suppressLineNumbers w:val="0"/>
              <w:spacing w:before="0" w:beforeAutospacing="0" w:after="0" w:afterAutospacing="0" w:line="240" w:lineRule="auto"/>
              <w:ind w:left="0" w:right="0"/>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合同名称</w:t>
            </w:r>
          </w:p>
        </w:tc>
        <w:tc>
          <w:tcPr>
            <w:tcW w:w="1068" w:type="dxa"/>
            <w:noWrap w:val="0"/>
            <w:vAlign w:val="center"/>
          </w:tcPr>
          <w:p w14:paraId="2750F7B3">
            <w:pPr>
              <w:keepNext w:val="0"/>
              <w:keepLines w:val="0"/>
              <w:suppressLineNumbers w:val="0"/>
              <w:spacing w:before="0" w:beforeAutospacing="0" w:after="0" w:afterAutospacing="0" w:line="240" w:lineRule="auto"/>
              <w:ind w:left="0" w:right="0"/>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合同编号</w:t>
            </w:r>
          </w:p>
        </w:tc>
        <w:tc>
          <w:tcPr>
            <w:tcW w:w="1192" w:type="dxa"/>
            <w:noWrap w:val="0"/>
            <w:vAlign w:val="center"/>
          </w:tcPr>
          <w:p w14:paraId="1023B2F5">
            <w:pPr>
              <w:keepNext w:val="0"/>
              <w:keepLines w:val="0"/>
              <w:suppressLineNumbers w:val="0"/>
              <w:spacing w:before="0" w:beforeAutospacing="0" w:after="0" w:afterAutospacing="0" w:line="240" w:lineRule="auto"/>
              <w:ind w:left="0" w:right="0"/>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签订时间</w:t>
            </w:r>
          </w:p>
        </w:tc>
        <w:tc>
          <w:tcPr>
            <w:tcW w:w="1160" w:type="dxa"/>
            <w:noWrap w:val="0"/>
            <w:vAlign w:val="center"/>
          </w:tcPr>
          <w:p w14:paraId="62C11DDE">
            <w:pPr>
              <w:keepNext w:val="0"/>
              <w:keepLines w:val="0"/>
              <w:suppressLineNumbers w:val="0"/>
              <w:spacing w:before="0" w:beforeAutospacing="0" w:after="0" w:afterAutospacing="0" w:line="240" w:lineRule="auto"/>
              <w:ind w:left="0" w:right="0"/>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采购内容</w:t>
            </w:r>
          </w:p>
        </w:tc>
        <w:tc>
          <w:tcPr>
            <w:tcW w:w="1275" w:type="dxa"/>
            <w:noWrap w:val="0"/>
            <w:vAlign w:val="center"/>
          </w:tcPr>
          <w:p w14:paraId="01420B73">
            <w:pPr>
              <w:keepNext w:val="0"/>
              <w:keepLines w:val="0"/>
              <w:suppressLineNumbers w:val="0"/>
              <w:spacing w:before="0" w:beforeAutospacing="0" w:after="0" w:afterAutospacing="0" w:line="240" w:lineRule="auto"/>
              <w:ind w:left="0" w:right="0"/>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合同金额（万元）</w:t>
            </w:r>
          </w:p>
        </w:tc>
        <w:tc>
          <w:tcPr>
            <w:tcW w:w="1134" w:type="dxa"/>
            <w:noWrap w:val="0"/>
            <w:vAlign w:val="center"/>
          </w:tcPr>
          <w:p w14:paraId="285E1DAA">
            <w:pPr>
              <w:keepNext w:val="0"/>
              <w:keepLines w:val="0"/>
              <w:suppressLineNumbers w:val="0"/>
              <w:spacing w:before="0" w:beforeAutospacing="0" w:after="0" w:afterAutospacing="0" w:line="240" w:lineRule="auto"/>
              <w:ind w:left="0" w:right="0"/>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合同甲方</w:t>
            </w:r>
          </w:p>
        </w:tc>
        <w:tc>
          <w:tcPr>
            <w:tcW w:w="1418" w:type="dxa"/>
            <w:noWrap w:val="0"/>
            <w:vAlign w:val="center"/>
          </w:tcPr>
          <w:p w14:paraId="4F959B7D">
            <w:pPr>
              <w:keepNext w:val="0"/>
              <w:keepLines w:val="0"/>
              <w:suppressLineNumbers w:val="0"/>
              <w:spacing w:before="0" w:beforeAutospacing="0" w:after="0" w:afterAutospacing="0" w:line="240" w:lineRule="auto"/>
              <w:ind w:left="0" w:right="0"/>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甲方联系人及电话</w:t>
            </w:r>
          </w:p>
        </w:tc>
        <w:tc>
          <w:tcPr>
            <w:tcW w:w="954" w:type="dxa"/>
            <w:noWrap w:val="0"/>
            <w:vAlign w:val="center"/>
          </w:tcPr>
          <w:p w14:paraId="7A2F37A3">
            <w:pPr>
              <w:keepNext w:val="0"/>
              <w:keepLines w:val="0"/>
              <w:suppressLineNumbers w:val="0"/>
              <w:spacing w:before="0" w:beforeAutospacing="0" w:after="0" w:afterAutospacing="0" w:line="240" w:lineRule="auto"/>
              <w:ind w:left="0" w:right="0"/>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备注</w:t>
            </w:r>
          </w:p>
        </w:tc>
      </w:tr>
      <w:tr w14:paraId="333091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20" w:type="dxa"/>
            <w:noWrap w:val="0"/>
            <w:vAlign w:val="center"/>
          </w:tcPr>
          <w:p w14:paraId="2D683DBA">
            <w:pPr>
              <w:keepNext w:val="0"/>
              <w:keepLines w:val="0"/>
              <w:suppressLineNumbers w:val="0"/>
              <w:spacing w:before="0" w:beforeAutospacing="0" w:after="0" w:afterAutospacing="0" w:line="240" w:lineRule="auto"/>
              <w:ind w:left="0" w:right="0"/>
              <w:jc w:val="center"/>
              <w:rPr>
                <w:rFonts w:hint="eastAsia" w:ascii="宋体" w:hAnsi="宋体" w:eastAsia="宋体" w:cs="宋体"/>
                <w:color w:val="000000"/>
                <w:szCs w:val="21"/>
                <w:highlight w:val="none"/>
              </w:rPr>
            </w:pPr>
          </w:p>
        </w:tc>
        <w:tc>
          <w:tcPr>
            <w:tcW w:w="827" w:type="dxa"/>
            <w:noWrap w:val="0"/>
            <w:vAlign w:val="center"/>
          </w:tcPr>
          <w:p w14:paraId="1650258B">
            <w:pPr>
              <w:keepNext w:val="0"/>
              <w:keepLines w:val="0"/>
              <w:suppressLineNumbers w:val="0"/>
              <w:spacing w:before="0" w:beforeAutospacing="0" w:after="0" w:afterAutospacing="0" w:line="240" w:lineRule="auto"/>
              <w:ind w:left="0" w:right="0"/>
              <w:jc w:val="center"/>
              <w:rPr>
                <w:rFonts w:hint="eastAsia" w:ascii="宋体" w:hAnsi="宋体" w:eastAsia="宋体" w:cs="宋体"/>
                <w:color w:val="000000"/>
                <w:szCs w:val="21"/>
                <w:highlight w:val="none"/>
              </w:rPr>
            </w:pPr>
          </w:p>
        </w:tc>
        <w:tc>
          <w:tcPr>
            <w:tcW w:w="1068" w:type="dxa"/>
            <w:noWrap w:val="0"/>
            <w:vAlign w:val="center"/>
          </w:tcPr>
          <w:p w14:paraId="5187DB38">
            <w:pPr>
              <w:keepNext w:val="0"/>
              <w:keepLines w:val="0"/>
              <w:suppressLineNumbers w:val="0"/>
              <w:spacing w:before="0" w:beforeAutospacing="0" w:after="0" w:afterAutospacing="0" w:line="240" w:lineRule="auto"/>
              <w:ind w:left="0" w:right="0"/>
              <w:jc w:val="center"/>
              <w:rPr>
                <w:rFonts w:hint="eastAsia" w:ascii="宋体" w:hAnsi="宋体" w:eastAsia="宋体" w:cs="宋体"/>
                <w:color w:val="000000"/>
                <w:szCs w:val="21"/>
                <w:highlight w:val="none"/>
              </w:rPr>
            </w:pPr>
          </w:p>
        </w:tc>
        <w:tc>
          <w:tcPr>
            <w:tcW w:w="1192" w:type="dxa"/>
            <w:noWrap w:val="0"/>
            <w:vAlign w:val="center"/>
          </w:tcPr>
          <w:p w14:paraId="618F759B">
            <w:pPr>
              <w:keepNext w:val="0"/>
              <w:keepLines w:val="0"/>
              <w:suppressLineNumbers w:val="0"/>
              <w:spacing w:before="0" w:beforeAutospacing="0" w:after="0" w:afterAutospacing="0" w:line="240" w:lineRule="auto"/>
              <w:ind w:left="0" w:right="0"/>
              <w:jc w:val="center"/>
              <w:rPr>
                <w:rFonts w:hint="eastAsia" w:ascii="宋体" w:hAnsi="宋体" w:eastAsia="宋体" w:cs="宋体"/>
                <w:color w:val="000000"/>
                <w:szCs w:val="21"/>
                <w:highlight w:val="none"/>
              </w:rPr>
            </w:pPr>
          </w:p>
        </w:tc>
        <w:tc>
          <w:tcPr>
            <w:tcW w:w="1160" w:type="dxa"/>
            <w:noWrap w:val="0"/>
            <w:vAlign w:val="center"/>
          </w:tcPr>
          <w:p w14:paraId="2C6E642A">
            <w:pPr>
              <w:keepNext w:val="0"/>
              <w:keepLines w:val="0"/>
              <w:suppressLineNumbers w:val="0"/>
              <w:spacing w:before="0" w:beforeAutospacing="0" w:after="0" w:afterAutospacing="0" w:line="240" w:lineRule="auto"/>
              <w:ind w:left="0" w:right="0"/>
              <w:jc w:val="center"/>
              <w:rPr>
                <w:rFonts w:hint="eastAsia" w:ascii="宋体" w:hAnsi="宋体" w:eastAsia="宋体" w:cs="宋体"/>
                <w:color w:val="000000"/>
                <w:szCs w:val="21"/>
                <w:highlight w:val="none"/>
              </w:rPr>
            </w:pPr>
          </w:p>
        </w:tc>
        <w:tc>
          <w:tcPr>
            <w:tcW w:w="1275" w:type="dxa"/>
            <w:noWrap w:val="0"/>
            <w:vAlign w:val="center"/>
          </w:tcPr>
          <w:p w14:paraId="0CAEF6CD">
            <w:pPr>
              <w:keepNext w:val="0"/>
              <w:keepLines w:val="0"/>
              <w:suppressLineNumbers w:val="0"/>
              <w:spacing w:before="0" w:beforeAutospacing="0" w:after="0" w:afterAutospacing="0" w:line="240" w:lineRule="auto"/>
              <w:ind w:left="0" w:right="0"/>
              <w:jc w:val="center"/>
              <w:rPr>
                <w:rFonts w:hint="eastAsia" w:ascii="宋体" w:hAnsi="宋体" w:eastAsia="宋体" w:cs="宋体"/>
                <w:color w:val="000000"/>
                <w:szCs w:val="21"/>
                <w:highlight w:val="none"/>
              </w:rPr>
            </w:pPr>
          </w:p>
        </w:tc>
        <w:tc>
          <w:tcPr>
            <w:tcW w:w="1134" w:type="dxa"/>
            <w:noWrap w:val="0"/>
            <w:vAlign w:val="center"/>
          </w:tcPr>
          <w:p w14:paraId="4BAC6A31">
            <w:pPr>
              <w:keepNext w:val="0"/>
              <w:keepLines w:val="0"/>
              <w:suppressLineNumbers w:val="0"/>
              <w:spacing w:before="0" w:beforeAutospacing="0" w:after="0" w:afterAutospacing="0" w:line="240" w:lineRule="auto"/>
              <w:ind w:left="0" w:right="0"/>
              <w:jc w:val="center"/>
              <w:rPr>
                <w:rFonts w:hint="eastAsia" w:ascii="宋体" w:hAnsi="宋体" w:eastAsia="宋体" w:cs="宋体"/>
                <w:color w:val="000000"/>
                <w:szCs w:val="21"/>
                <w:highlight w:val="none"/>
              </w:rPr>
            </w:pPr>
          </w:p>
        </w:tc>
        <w:tc>
          <w:tcPr>
            <w:tcW w:w="1418" w:type="dxa"/>
            <w:noWrap w:val="0"/>
            <w:vAlign w:val="center"/>
          </w:tcPr>
          <w:p w14:paraId="626F54DC">
            <w:pPr>
              <w:keepNext w:val="0"/>
              <w:keepLines w:val="0"/>
              <w:suppressLineNumbers w:val="0"/>
              <w:spacing w:before="0" w:beforeAutospacing="0" w:after="0" w:afterAutospacing="0" w:line="240" w:lineRule="auto"/>
              <w:ind w:left="0" w:right="0"/>
              <w:jc w:val="center"/>
              <w:rPr>
                <w:rFonts w:hint="eastAsia" w:ascii="宋体" w:hAnsi="宋体" w:eastAsia="宋体" w:cs="宋体"/>
                <w:color w:val="000000"/>
                <w:szCs w:val="21"/>
                <w:highlight w:val="none"/>
              </w:rPr>
            </w:pPr>
          </w:p>
        </w:tc>
        <w:tc>
          <w:tcPr>
            <w:tcW w:w="954" w:type="dxa"/>
            <w:noWrap w:val="0"/>
            <w:vAlign w:val="center"/>
          </w:tcPr>
          <w:p w14:paraId="2CEC802C">
            <w:pPr>
              <w:keepNext w:val="0"/>
              <w:keepLines w:val="0"/>
              <w:suppressLineNumbers w:val="0"/>
              <w:spacing w:before="0" w:beforeAutospacing="0" w:after="0" w:afterAutospacing="0" w:line="240" w:lineRule="auto"/>
              <w:ind w:left="0" w:right="0"/>
              <w:jc w:val="center"/>
              <w:rPr>
                <w:rFonts w:hint="eastAsia" w:ascii="宋体" w:hAnsi="宋体" w:eastAsia="宋体" w:cs="宋体"/>
                <w:color w:val="000000"/>
                <w:szCs w:val="21"/>
                <w:highlight w:val="none"/>
              </w:rPr>
            </w:pPr>
          </w:p>
        </w:tc>
      </w:tr>
      <w:tr w14:paraId="464EB5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820" w:type="dxa"/>
            <w:noWrap w:val="0"/>
            <w:vAlign w:val="center"/>
          </w:tcPr>
          <w:p w14:paraId="3635E90B">
            <w:pPr>
              <w:keepNext w:val="0"/>
              <w:keepLines w:val="0"/>
              <w:suppressLineNumbers w:val="0"/>
              <w:spacing w:before="0" w:beforeAutospacing="0" w:after="0" w:afterAutospacing="0" w:line="240" w:lineRule="auto"/>
              <w:ind w:left="0" w:right="0"/>
              <w:jc w:val="center"/>
              <w:rPr>
                <w:rFonts w:hint="eastAsia" w:ascii="宋体" w:hAnsi="宋体" w:eastAsia="宋体" w:cs="宋体"/>
                <w:color w:val="000000"/>
                <w:szCs w:val="21"/>
                <w:highlight w:val="none"/>
              </w:rPr>
            </w:pPr>
          </w:p>
          <w:p w14:paraId="0226DB27">
            <w:pPr>
              <w:keepNext w:val="0"/>
              <w:keepLines w:val="0"/>
              <w:suppressLineNumbers w:val="0"/>
              <w:spacing w:before="0" w:beforeAutospacing="0" w:after="0" w:afterAutospacing="0" w:line="240" w:lineRule="auto"/>
              <w:ind w:left="0" w:right="0"/>
              <w:jc w:val="center"/>
              <w:rPr>
                <w:rFonts w:hint="eastAsia" w:ascii="宋体" w:hAnsi="宋体" w:eastAsia="宋体" w:cs="宋体"/>
                <w:color w:val="000000"/>
                <w:szCs w:val="21"/>
                <w:highlight w:val="none"/>
              </w:rPr>
            </w:pPr>
          </w:p>
        </w:tc>
        <w:tc>
          <w:tcPr>
            <w:tcW w:w="827" w:type="dxa"/>
            <w:noWrap w:val="0"/>
            <w:vAlign w:val="center"/>
          </w:tcPr>
          <w:p w14:paraId="5D1B7F4F">
            <w:pPr>
              <w:keepNext w:val="0"/>
              <w:keepLines w:val="0"/>
              <w:suppressLineNumbers w:val="0"/>
              <w:spacing w:before="0" w:beforeAutospacing="0" w:after="0" w:afterAutospacing="0" w:line="240" w:lineRule="auto"/>
              <w:ind w:left="0" w:right="0"/>
              <w:jc w:val="center"/>
              <w:rPr>
                <w:rFonts w:hint="eastAsia" w:ascii="宋体" w:hAnsi="宋体" w:eastAsia="宋体" w:cs="宋体"/>
                <w:color w:val="000000"/>
                <w:szCs w:val="21"/>
                <w:highlight w:val="none"/>
              </w:rPr>
            </w:pPr>
          </w:p>
        </w:tc>
        <w:tc>
          <w:tcPr>
            <w:tcW w:w="1068" w:type="dxa"/>
            <w:noWrap w:val="0"/>
            <w:vAlign w:val="center"/>
          </w:tcPr>
          <w:p w14:paraId="2C660548">
            <w:pPr>
              <w:keepNext w:val="0"/>
              <w:keepLines w:val="0"/>
              <w:suppressLineNumbers w:val="0"/>
              <w:spacing w:before="0" w:beforeAutospacing="0" w:after="0" w:afterAutospacing="0" w:line="240" w:lineRule="auto"/>
              <w:ind w:left="0" w:right="0"/>
              <w:jc w:val="center"/>
              <w:rPr>
                <w:rFonts w:hint="eastAsia" w:ascii="宋体" w:hAnsi="宋体" w:eastAsia="宋体" w:cs="宋体"/>
                <w:color w:val="000000"/>
                <w:szCs w:val="21"/>
                <w:highlight w:val="none"/>
              </w:rPr>
            </w:pPr>
          </w:p>
        </w:tc>
        <w:tc>
          <w:tcPr>
            <w:tcW w:w="1192" w:type="dxa"/>
            <w:noWrap w:val="0"/>
            <w:vAlign w:val="center"/>
          </w:tcPr>
          <w:p w14:paraId="7B52056A">
            <w:pPr>
              <w:keepNext w:val="0"/>
              <w:keepLines w:val="0"/>
              <w:suppressLineNumbers w:val="0"/>
              <w:spacing w:before="0" w:beforeAutospacing="0" w:after="0" w:afterAutospacing="0" w:line="240" w:lineRule="auto"/>
              <w:ind w:left="0" w:right="0"/>
              <w:jc w:val="center"/>
              <w:rPr>
                <w:rFonts w:hint="eastAsia" w:ascii="宋体" w:hAnsi="宋体" w:eastAsia="宋体" w:cs="宋体"/>
                <w:color w:val="000000"/>
                <w:szCs w:val="21"/>
                <w:highlight w:val="none"/>
              </w:rPr>
            </w:pPr>
          </w:p>
        </w:tc>
        <w:tc>
          <w:tcPr>
            <w:tcW w:w="1160" w:type="dxa"/>
            <w:noWrap w:val="0"/>
            <w:vAlign w:val="center"/>
          </w:tcPr>
          <w:p w14:paraId="7E845E6E">
            <w:pPr>
              <w:keepNext w:val="0"/>
              <w:keepLines w:val="0"/>
              <w:suppressLineNumbers w:val="0"/>
              <w:spacing w:before="0" w:beforeAutospacing="0" w:after="0" w:afterAutospacing="0" w:line="240" w:lineRule="auto"/>
              <w:ind w:left="0" w:right="0"/>
              <w:jc w:val="center"/>
              <w:rPr>
                <w:rFonts w:hint="eastAsia" w:ascii="宋体" w:hAnsi="宋体" w:eastAsia="宋体" w:cs="宋体"/>
                <w:color w:val="000000"/>
                <w:szCs w:val="21"/>
                <w:highlight w:val="none"/>
              </w:rPr>
            </w:pPr>
          </w:p>
        </w:tc>
        <w:tc>
          <w:tcPr>
            <w:tcW w:w="1275" w:type="dxa"/>
            <w:noWrap w:val="0"/>
            <w:vAlign w:val="center"/>
          </w:tcPr>
          <w:p w14:paraId="6FB9D724">
            <w:pPr>
              <w:keepNext w:val="0"/>
              <w:keepLines w:val="0"/>
              <w:suppressLineNumbers w:val="0"/>
              <w:spacing w:before="0" w:beforeAutospacing="0" w:after="0" w:afterAutospacing="0" w:line="240" w:lineRule="auto"/>
              <w:ind w:left="0" w:right="0"/>
              <w:jc w:val="center"/>
              <w:rPr>
                <w:rFonts w:hint="eastAsia" w:ascii="宋体" w:hAnsi="宋体" w:eastAsia="宋体" w:cs="宋体"/>
                <w:color w:val="000000"/>
                <w:szCs w:val="21"/>
                <w:highlight w:val="none"/>
              </w:rPr>
            </w:pPr>
          </w:p>
        </w:tc>
        <w:tc>
          <w:tcPr>
            <w:tcW w:w="1134" w:type="dxa"/>
            <w:noWrap w:val="0"/>
            <w:vAlign w:val="center"/>
          </w:tcPr>
          <w:p w14:paraId="5D5C6638">
            <w:pPr>
              <w:keepNext w:val="0"/>
              <w:keepLines w:val="0"/>
              <w:suppressLineNumbers w:val="0"/>
              <w:spacing w:before="0" w:beforeAutospacing="0" w:after="0" w:afterAutospacing="0" w:line="240" w:lineRule="auto"/>
              <w:ind w:left="0" w:right="0"/>
              <w:jc w:val="center"/>
              <w:rPr>
                <w:rFonts w:hint="eastAsia" w:ascii="宋体" w:hAnsi="宋体" w:eastAsia="宋体" w:cs="宋体"/>
                <w:color w:val="000000"/>
                <w:szCs w:val="21"/>
                <w:highlight w:val="none"/>
              </w:rPr>
            </w:pPr>
          </w:p>
        </w:tc>
        <w:tc>
          <w:tcPr>
            <w:tcW w:w="1418" w:type="dxa"/>
            <w:noWrap w:val="0"/>
            <w:vAlign w:val="center"/>
          </w:tcPr>
          <w:p w14:paraId="620CB83C">
            <w:pPr>
              <w:keepNext w:val="0"/>
              <w:keepLines w:val="0"/>
              <w:suppressLineNumbers w:val="0"/>
              <w:spacing w:before="0" w:beforeAutospacing="0" w:after="0" w:afterAutospacing="0" w:line="240" w:lineRule="auto"/>
              <w:ind w:left="0" w:right="0"/>
              <w:jc w:val="center"/>
              <w:rPr>
                <w:rFonts w:hint="eastAsia" w:ascii="宋体" w:hAnsi="宋体" w:eastAsia="宋体" w:cs="宋体"/>
                <w:color w:val="000000"/>
                <w:szCs w:val="21"/>
                <w:highlight w:val="none"/>
              </w:rPr>
            </w:pPr>
          </w:p>
        </w:tc>
        <w:tc>
          <w:tcPr>
            <w:tcW w:w="954" w:type="dxa"/>
            <w:noWrap w:val="0"/>
            <w:vAlign w:val="center"/>
          </w:tcPr>
          <w:p w14:paraId="50DB7ADA">
            <w:pPr>
              <w:keepNext w:val="0"/>
              <w:keepLines w:val="0"/>
              <w:suppressLineNumbers w:val="0"/>
              <w:spacing w:before="0" w:beforeAutospacing="0" w:after="0" w:afterAutospacing="0" w:line="240" w:lineRule="auto"/>
              <w:ind w:left="0" w:right="0"/>
              <w:jc w:val="center"/>
              <w:rPr>
                <w:rFonts w:hint="eastAsia" w:ascii="宋体" w:hAnsi="宋体" w:eastAsia="宋体" w:cs="宋体"/>
                <w:color w:val="000000"/>
                <w:szCs w:val="21"/>
                <w:highlight w:val="none"/>
              </w:rPr>
            </w:pPr>
          </w:p>
        </w:tc>
      </w:tr>
      <w:tr w14:paraId="04F151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820" w:type="dxa"/>
            <w:noWrap w:val="0"/>
            <w:vAlign w:val="center"/>
          </w:tcPr>
          <w:p w14:paraId="08FC0E0A">
            <w:pPr>
              <w:keepNext w:val="0"/>
              <w:keepLines w:val="0"/>
              <w:suppressLineNumbers w:val="0"/>
              <w:spacing w:before="0" w:beforeAutospacing="0" w:after="0" w:afterAutospacing="0" w:line="240" w:lineRule="auto"/>
              <w:ind w:left="0" w:right="0"/>
              <w:jc w:val="center"/>
              <w:rPr>
                <w:rFonts w:hint="eastAsia" w:ascii="宋体" w:hAnsi="宋体" w:eastAsia="宋体" w:cs="宋体"/>
                <w:color w:val="000000"/>
                <w:szCs w:val="21"/>
                <w:highlight w:val="none"/>
              </w:rPr>
            </w:pPr>
          </w:p>
        </w:tc>
        <w:tc>
          <w:tcPr>
            <w:tcW w:w="827" w:type="dxa"/>
            <w:noWrap w:val="0"/>
            <w:vAlign w:val="center"/>
          </w:tcPr>
          <w:p w14:paraId="5785C15E">
            <w:pPr>
              <w:keepNext w:val="0"/>
              <w:keepLines w:val="0"/>
              <w:suppressLineNumbers w:val="0"/>
              <w:spacing w:before="0" w:beforeAutospacing="0" w:after="0" w:afterAutospacing="0" w:line="240" w:lineRule="auto"/>
              <w:ind w:left="0" w:right="0"/>
              <w:jc w:val="center"/>
              <w:rPr>
                <w:rFonts w:hint="eastAsia" w:ascii="宋体" w:hAnsi="宋体" w:eastAsia="宋体" w:cs="宋体"/>
                <w:color w:val="000000"/>
                <w:szCs w:val="21"/>
                <w:highlight w:val="none"/>
              </w:rPr>
            </w:pPr>
          </w:p>
        </w:tc>
        <w:tc>
          <w:tcPr>
            <w:tcW w:w="1068" w:type="dxa"/>
            <w:noWrap w:val="0"/>
            <w:vAlign w:val="center"/>
          </w:tcPr>
          <w:p w14:paraId="01A30F39">
            <w:pPr>
              <w:keepNext w:val="0"/>
              <w:keepLines w:val="0"/>
              <w:suppressLineNumbers w:val="0"/>
              <w:spacing w:before="0" w:beforeAutospacing="0" w:after="0" w:afterAutospacing="0" w:line="240" w:lineRule="auto"/>
              <w:ind w:left="0" w:right="0"/>
              <w:jc w:val="center"/>
              <w:rPr>
                <w:rFonts w:hint="eastAsia" w:ascii="宋体" w:hAnsi="宋体" w:eastAsia="宋体" w:cs="宋体"/>
                <w:color w:val="000000"/>
                <w:szCs w:val="21"/>
                <w:highlight w:val="none"/>
              </w:rPr>
            </w:pPr>
          </w:p>
        </w:tc>
        <w:tc>
          <w:tcPr>
            <w:tcW w:w="1192" w:type="dxa"/>
            <w:noWrap w:val="0"/>
            <w:vAlign w:val="center"/>
          </w:tcPr>
          <w:p w14:paraId="47ED3541">
            <w:pPr>
              <w:keepNext w:val="0"/>
              <w:keepLines w:val="0"/>
              <w:suppressLineNumbers w:val="0"/>
              <w:spacing w:before="0" w:beforeAutospacing="0" w:after="0" w:afterAutospacing="0" w:line="240" w:lineRule="auto"/>
              <w:ind w:left="0" w:right="0"/>
              <w:jc w:val="center"/>
              <w:rPr>
                <w:rFonts w:hint="eastAsia" w:ascii="宋体" w:hAnsi="宋体" w:eastAsia="宋体" w:cs="宋体"/>
                <w:color w:val="000000"/>
                <w:szCs w:val="21"/>
                <w:highlight w:val="none"/>
              </w:rPr>
            </w:pPr>
          </w:p>
        </w:tc>
        <w:tc>
          <w:tcPr>
            <w:tcW w:w="1160" w:type="dxa"/>
            <w:noWrap w:val="0"/>
            <w:vAlign w:val="center"/>
          </w:tcPr>
          <w:p w14:paraId="1BBD8407">
            <w:pPr>
              <w:keepNext w:val="0"/>
              <w:keepLines w:val="0"/>
              <w:suppressLineNumbers w:val="0"/>
              <w:spacing w:before="0" w:beforeAutospacing="0" w:after="0" w:afterAutospacing="0" w:line="240" w:lineRule="auto"/>
              <w:ind w:left="0" w:right="0"/>
              <w:jc w:val="center"/>
              <w:rPr>
                <w:rFonts w:hint="eastAsia" w:ascii="宋体" w:hAnsi="宋体" w:eastAsia="宋体" w:cs="宋体"/>
                <w:color w:val="000000"/>
                <w:szCs w:val="21"/>
                <w:highlight w:val="none"/>
              </w:rPr>
            </w:pPr>
          </w:p>
        </w:tc>
        <w:tc>
          <w:tcPr>
            <w:tcW w:w="1275" w:type="dxa"/>
            <w:noWrap w:val="0"/>
            <w:vAlign w:val="center"/>
          </w:tcPr>
          <w:p w14:paraId="37510BB6">
            <w:pPr>
              <w:keepNext w:val="0"/>
              <w:keepLines w:val="0"/>
              <w:suppressLineNumbers w:val="0"/>
              <w:spacing w:before="0" w:beforeAutospacing="0" w:after="0" w:afterAutospacing="0" w:line="240" w:lineRule="auto"/>
              <w:ind w:left="0" w:right="0"/>
              <w:jc w:val="center"/>
              <w:rPr>
                <w:rFonts w:hint="eastAsia" w:ascii="宋体" w:hAnsi="宋体" w:eastAsia="宋体" w:cs="宋体"/>
                <w:color w:val="000000"/>
                <w:szCs w:val="21"/>
                <w:highlight w:val="none"/>
              </w:rPr>
            </w:pPr>
          </w:p>
        </w:tc>
        <w:tc>
          <w:tcPr>
            <w:tcW w:w="1134" w:type="dxa"/>
            <w:noWrap w:val="0"/>
            <w:vAlign w:val="center"/>
          </w:tcPr>
          <w:p w14:paraId="2B8FF8F6">
            <w:pPr>
              <w:keepNext w:val="0"/>
              <w:keepLines w:val="0"/>
              <w:suppressLineNumbers w:val="0"/>
              <w:spacing w:before="0" w:beforeAutospacing="0" w:after="0" w:afterAutospacing="0" w:line="240" w:lineRule="auto"/>
              <w:ind w:left="0" w:right="0"/>
              <w:jc w:val="center"/>
              <w:rPr>
                <w:rFonts w:hint="eastAsia" w:ascii="宋体" w:hAnsi="宋体" w:eastAsia="宋体" w:cs="宋体"/>
                <w:color w:val="000000"/>
                <w:szCs w:val="21"/>
                <w:highlight w:val="none"/>
              </w:rPr>
            </w:pPr>
          </w:p>
        </w:tc>
        <w:tc>
          <w:tcPr>
            <w:tcW w:w="1418" w:type="dxa"/>
            <w:noWrap w:val="0"/>
            <w:vAlign w:val="center"/>
          </w:tcPr>
          <w:p w14:paraId="0BF04D20">
            <w:pPr>
              <w:keepNext w:val="0"/>
              <w:keepLines w:val="0"/>
              <w:suppressLineNumbers w:val="0"/>
              <w:spacing w:before="0" w:beforeAutospacing="0" w:after="0" w:afterAutospacing="0" w:line="240" w:lineRule="auto"/>
              <w:ind w:left="0" w:right="0"/>
              <w:jc w:val="center"/>
              <w:rPr>
                <w:rFonts w:hint="eastAsia" w:ascii="宋体" w:hAnsi="宋体" w:eastAsia="宋体" w:cs="宋体"/>
                <w:color w:val="000000"/>
                <w:szCs w:val="21"/>
                <w:highlight w:val="none"/>
              </w:rPr>
            </w:pPr>
          </w:p>
        </w:tc>
        <w:tc>
          <w:tcPr>
            <w:tcW w:w="954" w:type="dxa"/>
            <w:noWrap w:val="0"/>
            <w:vAlign w:val="center"/>
          </w:tcPr>
          <w:p w14:paraId="19DBAA01">
            <w:pPr>
              <w:keepNext w:val="0"/>
              <w:keepLines w:val="0"/>
              <w:suppressLineNumbers w:val="0"/>
              <w:spacing w:before="0" w:beforeAutospacing="0" w:after="0" w:afterAutospacing="0" w:line="240" w:lineRule="auto"/>
              <w:ind w:left="0" w:right="0"/>
              <w:jc w:val="center"/>
              <w:rPr>
                <w:rFonts w:hint="eastAsia" w:ascii="宋体" w:hAnsi="宋体" w:eastAsia="宋体" w:cs="宋体"/>
                <w:color w:val="000000"/>
                <w:szCs w:val="21"/>
                <w:highlight w:val="none"/>
              </w:rPr>
            </w:pPr>
          </w:p>
        </w:tc>
      </w:tr>
      <w:tr w14:paraId="26AD30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820" w:type="dxa"/>
            <w:noWrap w:val="0"/>
            <w:vAlign w:val="center"/>
          </w:tcPr>
          <w:p w14:paraId="202AC4E3">
            <w:pPr>
              <w:keepNext w:val="0"/>
              <w:keepLines w:val="0"/>
              <w:suppressLineNumbers w:val="0"/>
              <w:spacing w:before="0" w:beforeAutospacing="0" w:after="0" w:afterAutospacing="0" w:line="240" w:lineRule="auto"/>
              <w:ind w:left="0" w:right="0"/>
              <w:jc w:val="center"/>
              <w:rPr>
                <w:rFonts w:hint="eastAsia" w:ascii="宋体" w:hAnsi="宋体" w:eastAsia="宋体" w:cs="宋体"/>
                <w:color w:val="000000"/>
                <w:szCs w:val="21"/>
                <w:highlight w:val="none"/>
              </w:rPr>
            </w:pPr>
          </w:p>
        </w:tc>
        <w:tc>
          <w:tcPr>
            <w:tcW w:w="827" w:type="dxa"/>
            <w:noWrap w:val="0"/>
            <w:vAlign w:val="center"/>
          </w:tcPr>
          <w:p w14:paraId="0D571B36">
            <w:pPr>
              <w:keepNext w:val="0"/>
              <w:keepLines w:val="0"/>
              <w:suppressLineNumbers w:val="0"/>
              <w:spacing w:before="0" w:beforeAutospacing="0" w:after="0" w:afterAutospacing="0" w:line="240" w:lineRule="auto"/>
              <w:ind w:left="0" w:right="0"/>
              <w:jc w:val="center"/>
              <w:rPr>
                <w:rFonts w:hint="eastAsia" w:ascii="宋体" w:hAnsi="宋体" w:eastAsia="宋体" w:cs="宋体"/>
                <w:color w:val="000000"/>
                <w:szCs w:val="21"/>
                <w:highlight w:val="none"/>
              </w:rPr>
            </w:pPr>
          </w:p>
        </w:tc>
        <w:tc>
          <w:tcPr>
            <w:tcW w:w="1068" w:type="dxa"/>
            <w:noWrap w:val="0"/>
            <w:vAlign w:val="center"/>
          </w:tcPr>
          <w:p w14:paraId="1CEE3DEF">
            <w:pPr>
              <w:keepNext w:val="0"/>
              <w:keepLines w:val="0"/>
              <w:suppressLineNumbers w:val="0"/>
              <w:spacing w:before="0" w:beforeAutospacing="0" w:after="0" w:afterAutospacing="0" w:line="240" w:lineRule="auto"/>
              <w:ind w:left="0" w:right="0"/>
              <w:jc w:val="center"/>
              <w:rPr>
                <w:rFonts w:hint="eastAsia" w:ascii="宋体" w:hAnsi="宋体" w:eastAsia="宋体" w:cs="宋体"/>
                <w:color w:val="000000"/>
                <w:szCs w:val="21"/>
                <w:highlight w:val="none"/>
              </w:rPr>
            </w:pPr>
          </w:p>
        </w:tc>
        <w:tc>
          <w:tcPr>
            <w:tcW w:w="1192" w:type="dxa"/>
            <w:noWrap w:val="0"/>
            <w:vAlign w:val="center"/>
          </w:tcPr>
          <w:p w14:paraId="7D7466D3">
            <w:pPr>
              <w:keepNext w:val="0"/>
              <w:keepLines w:val="0"/>
              <w:suppressLineNumbers w:val="0"/>
              <w:spacing w:before="0" w:beforeAutospacing="0" w:after="0" w:afterAutospacing="0" w:line="240" w:lineRule="auto"/>
              <w:ind w:left="0" w:right="0"/>
              <w:jc w:val="center"/>
              <w:rPr>
                <w:rFonts w:hint="eastAsia" w:ascii="宋体" w:hAnsi="宋体" w:eastAsia="宋体" w:cs="宋体"/>
                <w:color w:val="000000"/>
                <w:szCs w:val="21"/>
                <w:highlight w:val="none"/>
              </w:rPr>
            </w:pPr>
          </w:p>
        </w:tc>
        <w:tc>
          <w:tcPr>
            <w:tcW w:w="1160" w:type="dxa"/>
            <w:noWrap w:val="0"/>
            <w:vAlign w:val="center"/>
          </w:tcPr>
          <w:p w14:paraId="4C328A7A">
            <w:pPr>
              <w:keepNext w:val="0"/>
              <w:keepLines w:val="0"/>
              <w:suppressLineNumbers w:val="0"/>
              <w:spacing w:before="0" w:beforeAutospacing="0" w:after="0" w:afterAutospacing="0" w:line="240" w:lineRule="auto"/>
              <w:ind w:left="0" w:right="0"/>
              <w:jc w:val="center"/>
              <w:rPr>
                <w:rFonts w:hint="eastAsia" w:ascii="宋体" w:hAnsi="宋体" w:eastAsia="宋体" w:cs="宋体"/>
                <w:color w:val="000000"/>
                <w:szCs w:val="21"/>
                <w:highlight w:val="none"/>
              </w:rPr>
            </w:pPr>
          </w:p>
        </w:tc>
        <w:tc>
          <w:tcPr>
            <w:tcW w:w="1275" w:type="dxa"/>
            <w:noWrap w:val="0"/>
            <w:vAlign w:val="center"/>
          </w:tcPr>
          <w:p w14:paraId="604EFA5B">
            <w:pPr>
              <w:keepNext w:val="0"/>
              <w:keepLines w:val="0"/>
              <w:suppressLineNumbers w:val="0"/>
              <w:spacing w:before="0" w:beforeAutospacing="0" w:after="0" w:afterAutospacing="0" w:line="240" w:lineRule="auto"/>
              <w:ind w:left="0" w:right="0"/>
              <w:jc w:val="center"/>
              <w:rPr>
                <w:rFonts w:hint="eastAsia" w:ascii="宋体" w:hAnsi="宋体" w:eastAsia="宋体" w:cs="宋体"/>
                <w:color w:val="000000"/>
                <w:szCs w:val="21"/>
                <w:highlight w:val="none"/>
              </w:rPr>
            </w:pPr>
          </w:p>
        </w:tc>
        <w:tc>
          <w:tcPr>
            <w:tcW w:w="1134" w:type="dxa"/>
            <w:noWrap w:val="0"/>
            <w:vAlign w:val="center"/>
          </w:tcPr>
          <w:p w14:paraId="5DB4AF57">
            <w:pPr>
              <w:keepNext w:val="0"/>
              <w:keepLines w:val="0"/>
              <w:suppressLineNumbers w:val="0"/>
              <w:spacing w:before="0" w:beforeAutospacing="0" w:after="0" w:afterAutospacing="0" w:line="240" w:lineRule="auto"/>
              <w:ind w:left="0" w:right="0"/>
              <w:jc w:val="center"/>
              <w:rPr>
                <w:rFonts w:hint="eastAsia" w:ascii="宋体" w:hAnsi="宋体" w:eastAsia="宋体" w:cs="宋体"/>
                <w:color w:val="000000"/>
                <w:szCs w:val="21"/>
                <w:highlight w:val="none"/>
              </w:rPr>
            </w:pPr>
          </w:p>
        </w:tc>
        <w:tc>
          <w:tcPr>
            <w:tcW w:w="1418" w:type="dxa"/>
            <w:noWrap w:val="0"/>
            <w:vAlign w:val="center"/>
          </w:tcPr>
          <w:p w14:paraId="40C4C536">
            <w:pPr>
              <w:keepNext w:val="0"/>
              <w:keepLines w:val="0"/>
              <w:suppressLineNumbers w:val="0"/>
              <w:spacing w:before="0" w:beforeAutospacing="0" w:after="0" w:afterAutospacing="0" w:line="240" w:lineRule="auto"/>
              <w:ind w:left="0" w:right="0"/>
              <w:jc w:val="center"/>
              <w:rPr>
                <w:rFonts w:hint="eastAsia" w:ascii="宋体" w:hAnsi="宋体" w:eastAsia="宋体" w:cs="宋体"/>
                <w:color w:val="000000"/>
                <w:szCs w:val="21"/>
                <w:highlight w:val="none"/>
              </w:rPr>
            </w:pPr>
          </w:p>
        </w:tc>
        <w:tc>
          <w:tcPr>
            <w:tcW w:w="954" w:type="dxa"/>
            <w:noWrap w:val="0"/>
            <w:vAlign w:val="center"/>
          </w:tcPr>
          <w:p w14:paraId="7FD2E38F">
            <w:pPr>
              <w:keepNext w:val="0"/>
              <w:keepLines w:val="0"/>
              <w:suppressLineNumbers w:val="0"/>
              <w:spacing w:before="0" w:beforeAutospacing="0" w:after="0" w:afterAutospacing="0" w:line="240" w:lineRule="auto"/>
              <w:ind w:left="0" w:right="0"/>
              <w:jc w:val="center"/>
              <w:rPr>
                <w:rFonts w:hint="eastAsia" w:ascii="宋体" w:hAnsi="宋体" w:eastAsia="宋体" w:cs="宋体"/>
                <w:color w:val="000000"/>
                <w:szCs w:val="21"/>
                <w:highlight w:val="none"/>
              </w:rPr>
            </w:pPr>
          </w:p>
        </w:tc>
      </w:tr>
      <w:tr w14:paraId="2602A8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820" w:type="dxa"/>
            <w:noWrap w:val="0"/>
            <w:vAlign w:val="center"/>
          </w:tcPr>
          <w:p w14:paraId="5EEB8C6E">
            <w:pPr>
              <w:keepNext w:val="0"/>
              <w:keepLines w:val="0"/>
              <w:suppressLineNumbers w:val="0"/>
              <w:spacing w:before="0" w:beforeAutospacing="0" w:after="0" w:afterAutospacing="0" w:line="240" w:lineRule="auto"/>
              <w:ind w:left="0" w:right="0"/>
              <w:jc w:val="center"/>
              <w:rPr>
                <w:rFonts w:hint="eastAsia" w:ascii="宋体" w:hAnsi="宋体" w:eastAsia="宋体" w:cs="宋体"/>
                <w:color w:val="000000"/>
                <w:szCs w:val="21"/>
                <w:highlight w:val="none"/>
              </w:rPr>
            </w:pPr>
          </w:p>
        </w:tc>
        <w:tc>
          <w:tcPr>
            <w:tcW w:w="827" w:type="dxa"/>
            <w:noWrap w:val="0"/>
            <w:vAlign w:val="center"/>
          </w:tcPr>
          <w:p w14:paraId="0483C8E2">
            <w:pPr>
              <w:keepNext w:val="0"/>
              <w:keepLines w:val="0"/>
              <w:suppressLineNumbers w:val="0"/>
              <w:spacing w:before="0" w:beforeAutospacing="0" w:after="0" w:afterAutospacing="0" w:line="240" w:lineRule="auto"/>
              <w:ind w:left="0" w:right="0"/>
              <w:jc w:val="center"/>
              <w:rPr>
                <w:rFonts w:hint="eastAsia" w:ascii="宋体" w:hAnsi="宋体" w:eastAsia="宋体" w:cs="宋体"/>
                <w:color w:val="000000"/>
                <w:szCs w:val="21"/>
                <w:highlight w:val="none"/>
              </w:rPr>
            </w:pPr>
          </w:p>
        </w:tc>
        <w:tc>
          <w:tcPr>
            <w:tcW w:w="1068" w:type="dxa"/>
            <w:noWrap w:val="0"/>
            <w:vAlign w:val="center"/>
          </w:tcPr>
          <w:p w14:paraId="2283C84C">
            <w:pPr>
              <w:keepNext w:val="0"/>
              <w:keepLines w:val="0"/>
              <w:suppressLineNumbers w:val="0"/>
              <w:spacing w:before="0" w:beforeAutospacing="0" w:after="0" w:afterAutospacing="0" w:line="240" w:lineRule="auto"/>
              <w:ind w:left="0" w:right="0"/>
              <w:jc w:val="center"/>
              <w:rPr>
                <w:rFonts w:hint="eastAsia" w:ascii="宋体" w:hAnsi="宋体" w:eastAsia="宋体" w:cs="宋体"/>
                <w:color w:val="000000"/>
                <w:szCs w:val="21"/>
                <w:highlight w:val="none"/>
              </w:rPr>
            </w:pPr>
          </w:p>
        </w:tc>
        <w:tc>
          <w:tcPr>
            <w:tcW w:w="1192" w:type="dxa"/>
            <w:noWrap w:val="0"/>
            <w:vAlign w:val="center"/>
          </w:tcPr>
          <w:p w14:paraId="1ADE9CED">
            <w:pPr>
              <w:keepNext w:val="0"/>
              <w:keepLines w:val="0"/>
              <w:suppressLineNumbers w:val="0"/>
              <w:spacing w:before="0" w:beforeAutospacing="0" w:after="0" w:afterAutospacing="0" w:line="240" w:lineRule="auto"/>
              <w:ind w:left="0" w:right="0"/>
              <w:jc w:val="center"/>
              <w:rPr>
                <w:rFonts w:hint="eastAsia" w:ascii="宋体" w:hAnsi="宋体" w:eastAsia="宋体" w:cs="宋体"/>
                <w:color w:val="000000"/>
                <w:szCs w:val="21"/>
                <w:highlight w:val="none"/>
              </w:rPr>
            </w:pPr>
          </w:p>
        </w:tc>
        <w:tc>
          <w:tcPr>
            <w:tcW w:w="1160" w:type="dxa"/>
            <w:noWrap w:val="0"/>
            <w:vAlign w:val="center"/>
          </w:tcPr>
          <w:p w14:paraId="6848B44E">
            <w:pPr>
              <w:keepNext w:val="0"/>
              <w:keepLines w:val="0"/>
              <w:suppressLineNumbers w:val="0"/>
              <w:spacing w:before="0" w:beforeAutospacing="0" w:after="0" w:afterAutospacing="0" w:line="240" w:lineRule="auto"/>
              <w:ind w:left="0" w:right="0"/>
              <w:jc w:val="center"/>
              <w:rPr>
                <w:rFonts w:hint="eastAsia" w:ascii="宋体" w:hAnsi="宋体" w:eastAsia="宋体" w:cs="宋体"/>
                <w:color w:val="000000"/>
                <w:szCs w:val="21"/>
                <w:highlight w:val="none"/>
              </w:rPr>
            </w:pPr>
          </w:p>
        </w:tc>
        <w:tc>
          <w:tcPr>
            <w:tcW w:w="1275" w:type="dxa"/>
            <w:noWrap w:val="0"/>
            <w:vAlign w:val="center"/>
          </w:tcPr>
          <w:p w14:paraId="4221C979">
            <w:pPr>
              <w:keepNext w:val="0"/>
              <w:keepLines w:val="0"/>
              <w:suppressLineNumbers w:val="0"/>
              <w:spacing w:before="0" w:beforeAutospacing="0" w:after="0" w:afterAutospacing="0" w:line="240" w:lineRule="auto"/>
              <w:ind w:left="0" w:right="0"/>
              <w:jc w:val="center"/>
              <w:rPr>
                <w:rFonts w:hint="eastAsia" w:ascii="宋体" w:hAnsi="宋体" w:eastAsia="宋体" w:cs="宋体"/>
                <w:color w:val="000000"/>
                <w:szCs w:val="21"/>
                <w:highlight w:val="none"/>
              </w:rPr>
            </w:pPr>
          </w:p>
        </w:tc>
        <w:tc>
          <w:tcPr>
            <w:tcW w:w="1134" w:type="dxa"/>
            <w:noWrap w:val="0"/>
            <w:vAlign w:val="center"/>
          </w:tcPr>
          <w:p w14:paraId="1BC5BA78">
            <w:pPr>
              <w:keepNext w:val="0"/>
              <w:keepLines w:val="0"/>
              <w:suppressLineNumbers w:val="0"/>
              <w:spacing w:before="0" w:beforeAutospacing="0" w:after="0" w:afterAutospacing="0" w:line="240" w:lineRule="auto"/>
              <w:ind w:left="0" w:right="0"/>
              <w:jc w:val="center"/>
              <w:rPr>
                <w:rFonts w:hint="eastAsia" w:ascii="宋体" w:hAnsi="宋体" w:eastAsia="宋体" w:cs="宋体"/>
                <w:color w:val="000000"/>
                <w:szCs w:val="21"/>
                <w:highlight w:val="none"/>
              </w:rPr>
            </w:pPr>
          </w:p>
        </w:tc>
        <w:tc>
          <w:tcPr>
            <w:tcW w:w="1418" w:type="dxa"/>
            <w:noWrap w:val="0"/>
            <w:vAlign w:val="center"/>
          </w:tcPr>
          <w:p w14:paraId="201011A6">
            <w:pPr>
              <w:keepNext w:val="0"/>
              <w:keepLines w:val="0"/>
              <w:suppressLineNumbers w:val="0"/>
              <w:spacing w:before="0" w:beforeAutospacing="0" w:after="0" w:afterAutospacing="0" w:line="240" w:lineRule="auto"/>
              <w:ind w:left="0" w:right="0"/>
              <w:jc w:val="center"/>
              <w:rPr>
                <w:rFonts w:hint="eastAsia" w:ascii="宋体" w:hAnsi="宋体" w:eastAsia="宋体" w:cs="宋体"/>
                <w:color w:val="000000"/>
                <w:szCs w:val="21"/>
                <w:highlight w:val="none"/>
              </w:rPr>
            </w:pPr>
          </w:p>
        </w:tc>
        <w:tc>
          <w:tcPr>
            <w:tcW w:w="954" w:type="dxa"/>
            <w:noWrap w:val="0"/>
            <w:vAlign w:val="center"/>
          </w:tcPr>
          <w:p w14:paraId="78004A87">
            <w:pPr>
              <w:keepNext w:val="0"/>
              <w:keepLines w:val="0"/>
              <w:suppressLineNumbers w:val="0"/>
              <w:spacing w:before="0" w:beforeAutospacing="0" w:after="0" w:afterAutospacing="0" w:line="240" w:lineRule="auto"/>
              <w:ind w:left="0" w:right="0"/>
              <w:jc w:val="center"/>
              <w:rPr>
                <w:rFonts w:hint="eastAsia" w:ascii="宋体" w:hAnsi="宋体" w:eastAsia="宋体" w:cs="宋体"/>
                <w:color w:val="000000"/>
                <w:szCs w:val="21"/>
                <w:highlight w:val="none"/>
              </w:rPr>
            </w:pPr>
          </w:p>
        </w:tc>
      </w:tr>
      <w:tr w14:paraId="16D9E6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820" w:type="dxa"/>
            <w:noWrap w:val="0"/>
            <w:vAlign w:val="center"/>
          </w:tcPr>
          <w:p w14:paraId="2102ABFB">
            <w:pPr>
              <w:keepNext w:val="0"/>
              <w:keepLines w:val="0"/>
              <w:suppressLineNumbers w:val="0"/>
              <w:spacing w:before="0" w:beforeAutospacing="0" w:after="0" w:afterAutospacing="0" w:line="240" w:lineRule="auto"/>
              <w:ind w:left="0" w:right="0"/>
              <w:jc w:val="center"/>
              <w:rPr>
                <w:rFonts w:hint="eastAsia" w:ascii="宋体" w:hAnsi="宋体" w:eastAsia="宋体" w:cs="宋体"/>
                <w:color w:val="000000"/>
                <w:szCs w:val="21"/>
                <w:highlight w:val="none"/>
              </w:rPr>
            </w:pPr>
          </w:p>
        </w:tc>
        <w:tc>
          <w:tcPr>
            <w:tcW w:w="827" w:type="dxa"/>
            <w:noWrap w:val="0"/>
            <w:vAlign w:val="center"/>
          </w:tcPr>
          <w:p w14:paraId="204FF25F">
            <w:pPr>
              <w:keepNext w:val="0"/>
              <w:keepLines w:val="0"/>
              <w:suppressLineNumbers w:val="0"/>
              <w:spacing w:before="0" w:beforeAutospacing="0" w:after="0" w:afterAutospacing="0" w:line="240" w:lineRule="auto"/>
              <w:ind w:left="0" w:right="0"/>
              <w:jc w:val="center"/>
              <w:rPr>
                <w:rFonts w:hint="eastAsia" w:ascii="宋体" w:hAnsi="宋体" w:eastAsia="宋体" w:cs="宋体"/>
                <w:color w:val="000000"/>
                <w:szCs w:val="21"/>
                <w:highlight w:val="none"/>
              </w:rPr>
            </w:pPr>
          </w:p>
        </w:tc>
        <w:tc>
          <w:tcPr>
            <w:tcW w:w="1068" w:type="dxa"/>
            <w:noWrap w:val="0"/>
            <w:vAlign w:val="center"/>
          </w:tcPr>
          <w:p w14:paraId="636804C3">
            <w:pPr>
              <w:keepNext w:val="0"/>
              <w:keepLines w:val="0"/>
              <w:suppressLineNumbers w:val="0"/>
              <w:spacing w:before="0" w:beforeAutospacing="0" w:after="0" w:afterAutospacing="0" w:line="240" w:lineRule="auto"/>
              <w:ind w:left="0" w:right="0"/>
              <w:jc w:val="center"/>
              <w:rPr>
                <w:rFonts w:hint="eastAsia" w:ascii="宋体" w:hAnsi="宋体" w:eastAsia="宋体" w:cs="宋体"/>
                <w:color w:val="000000"/>
                <w:szCs w:val="21"/>
                <w:highlight w:val="none"/>
              </w:rPr>
            </w:pPr>
          </w:p>
        </w:tc>
        <w:tc>
          <w:tcPr>
            <w:tcW w:w="1192" w:type="dxa"/>
            <w:noWrap w:val="0"/>
            <w:vAlign w:val="center"/>
          </w:tcPr>
          <w:p w14:paraId="76B4F74D">
            <w:pPr>
              <w:keepNext w:val="0"/>
              <w:keepLines w:val="0"/>
              <w:suppressLineNumbers w:val="0"/>
              <w:spacing w:before="0" w:beforeAutospacing="0" w:after="0" w:afterAutospacing="0" w:line="240" w:lineRule="auto"/>
              <w:ind w:left="0" w:right="0"/>
              <w:jc w:val="center"/>
              <w:rPr>
                <w:rFonts w:hint="eastAsia" w:ascii="宋体" w:hAnsi="宋体" w:eastAsia="宋体" w:cs="宋体"/>
                <w:color w:val="000000"/>
                <w:szCs w:val="21"/>
                <w:highlight w:val="none"/>
              </w:rPr>
            </w:pPr>
          </w:p>
        </w:tc>
        <w:tc>
          <w:tcPr>
            <w:tcW w:w="1160" w:type="dxa"/>
            <w:noWrap w:val="0"/>
            <w:vAlign w:val="center"/>
          </w:tcPr>
          <w:p w14:paraId="29A2B4B0">
            <w:pPr>
              <w:keepNext w:val="0"/>
              <w:keepLines w:val="0"/>
              <w:suppressLineNumbers w:val="0"/>
              <w:spacing w:before="0" w:beforeAutospacing="0" w:after="0" w:afterAutospacing="0" w:line="240" w:lineRule="auto"/>
              <w:ind w:left="0" w:right="0"/>
              <w:jc w:val="center"/>
              <w:rPr>
                <w:rFonts w:hint="eastAsia" w:ascii="宋体" w:hAnsi="宋体" w:eastAsia="宋体" w:cs="宋体"/>
                <w:color w:val="000000"/>
                <w:szCs w:val="21"/>
                <w:highlight w:val="none"/>
              </w:rPr>
            </w:pPr>
          </w:p>
        </w:tc>
        <w:tc>
          <w:tcPr>
            <w:tcW w:w="1275" w:type="dxa"/>
            <w:noWrap w:val="0"/>
            <w:vAlign w:val="center"/>
          </w:tcPr>
          <w:p w14:paraId="259914E9">
            <w:pPr>
              <w:keepNext w:val="0"/>
              <w:keepLines w:val="0"/>
              <w:suppressLineNumbers w:val="0"/>
              <w:spacing w:before="0" w:beforeAutospacing="0" w:after="0" w:afterAutospacing="0" w:line="240" w:lineRule="auto"/>
              <w:ind w:left="0" w:right="0"/>
              <w:jc w:val="center"/>
              <w:rPr>
                <w:rFonts w:hint="eastAsia" w:ascii="宋体" w:hAnsi="宋体" w:eastAsia="宋体" w:cs="宋体"/>
                <w:color w:val="000000"/>
                <w:szCs w:val="21"/>
                <w:highlight w:val="none"/>
              </w:rPr>
            </w:pPr>
          </w:p>
        </w:tc>
        <w:tc>
          <w:tcPr>
            <w:tcW w:w="1134" w:type="dxa"/>
            <w:noWrap w:val="0"/>
            <w:vAlign w:val="center"/>
          </w:tcPr>
          <w:p w14:paraId="279F3087">
            <w:pPr>
              <w:keepNext w:val="0"/>
              <w:keepLines w:val="0"/>
              <w:suppressLineNumbers w:val="0"/>
              <w:spacing w:before="0" w:beforeAutospacing="0" w:after="0" w:afterAutospacing="0" w:line="240" w:lineRule="auto"/>
              <w:ind w:left="0" w:right="0"/>
              <w:jc w:val="center"/>
              <w:rPr>
                <w:rFonts w:hint="eastAsia" w:ascii="宋体" w:hAnsi="宋体" w:eastAsia="宋体" w:cs="宋体"/>
                <w:color w:val="000000"/>
                <w:szCs w:val="21"/>
                <w:highlight w:val="none"/>
              </w:rPr>
            </w:pPr>
          </w:p>
        </w:tc>
        <w:tc>
          <w:tcPr>
            <w:tcW w:w="1418" w:type="dxa"/>
            <w:noWrap w:val="0"/>
            <w:vAlign w:val="center"/>
          </w:tcPr>
          <w:p w14:paraId="134E78A4">
            <w:pPr>
              <w:keepNext w:val="0"/>
              <w:keepLines w:val="0"/>
              <w:suppressLineNumbers w:val="0"/>
              <w:spacing w:before="0" w:beforeAutospacing="0" w:after="0" w:afterAutospacing="0" w:line="240" w:lineRule="auto"/>
              <w:ind w:left="0" w:right="0"/>
              <w:jc w:val="center"/>
              <w:rPr>
                <w:rFonts w:hint="eastAsia" w:ascii="宋体" w:hAnsi="宋体" w:eastAsia="宋体" w:cs="宋体"/>
                <w:color w:val="000000"/>
                <w:szCs w:val="21"/>
                <w:highlight w:val="none"/>
              </w:rPr>
            </w:pPr>
          </w:p>
        </w:tc>
        <w:tc>
          <w:tcPr>
            <w:tcW w:w="954" w:type="dxa"/>
            <w:noWrap w:val="0"/>
            <w:vAlign w:val="center"/>
          </w:tcPr>
          <w:p w14:paraId="7585ECE6">
            <w:pPr>
              <w:keepNext w:val="0"/>
              <w:keepLines w:val="0"/>
              <w:suppressLineNumbers w:val="0"/>
              <w:spacing w:before="0" w:beforeAutospacing="0" w:after="0" w:afterAutospacing="0" w:line="240" w:lineRule="auto"/>
              <w:ind w:left="0" w:right="0"/>
              <w:jc w:val="center"/>
              <w:rPr>
                <w:rFonts w:hint="eastAsia" w:ascii="宋体" w:hAnsi="宋体" w:eastAsia="宋体" w:cs="宋体"/>
                <w:color w:val="000000"/>
                <w:szCs w:val="21"/>
                <w:highlight w:val="none"/>
              </w:rPr>
            </w:pPr>
          </w:p>
        </w:tc>
      </w:tr>
      <w:tr w14:paraId="46B758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820" w:type="dxa"/>
            <w:noWrap w:val="0"/>
            <w:vAlign w:val="center"/>
          </w:tcPr>
          <w:p w14:paraId="2B560528">
            <w:pPr>
              <w:keepNext w:val="0"/>
              <w:keepLines w:val="0"/>
              <w:suppressLineNumbers w:val="0"/>
              <w:spacing w:before="0" w:beforeAutospacing="0" w:after="0" w:afterAutospacing="0" w:line="240" w:lineRule="auto"/>
              <w:ind w:left="0" w:right="0"/>
              <w:jc w:val="center"/>
              <w:rPr>
                <w:rFonts w:hint="eastAsia" w:ascii="宋体" w:hAnsi="宋体" w:eastAsia="宋体" w:cs="宋体"/>
                <w:color w:val="000000"/>
                <w:szCs w:val="21"/>
                <w:highlight w:val="none"/>
              </w:rPr>
            </w:pPr>
          </w:p>
        </w:tc>
        <w:tc>
          <w:tcPr>
            <w:tcW w:w="827" w:type="dxa"/>
            <w:noWrap w:val="0"/>
            <w:vAlign w:val="center"/>
          </w:tcPr>
          <w:p w14:paraId="4286DD2A">
            <w:pPr>
              <w:keepNext w:val="0"/>
              <w:keepLines w:val="0"/>
              <w:suppressLineNumbers w:val="0"/>
              <w:spacing w:before="0" w:beforeAutospacing="0" w:after="0" w:afterAutospacing="0" w:line="240" w:lineRule="auto"/>
              <w:ind w:left="0" w:right="0"/>
              <w:jc w:val="center"/>
              <w:rPr>
                <w:rFonts w:hint="eastAsia" w:ascii="宋体" w:hAnsi="宋体" w:eastAsia="宋体" w:cs="宋体"/>
                <w:color w:val="000000"/>
                <w:szCs w:val="21"/>
                <w:highlight w:val="none"/>
              </w:rPr>
            </w:pPr>
          </w:p>
        </w:tc>
        <w:tc>
          <w:tcPr>
            <w:tcW w:w="1068" w:type="dxa"/>
            <w:noWrap w:val="0"/>
            <w:vAlign w:val="center"/>
          </w:tcPr>
          <w:p w14:paraId="5D157E77">
            <w:pPr>
              <w:keepNext w:val="0"/>
              <w:keepLines w:val="0"/>
              <w:suppressLineNumbers w:val="0"/>
              <w:spacing w:before="0" w:beforeAutospacing="0" w:after="0" w:afterAutospacing="0" w:line="240" w:lineRule="auto"/>
              <w:ind w:left="0" w:right="0"/>
              <w:jc w:val="center"/>
              <w:rPr>
                <w:rFonts w:hint="eastAsia" w:ascii="宋体" w:hAnsi="宋体" w:eastAsia="宋体" w:cs="宋体"/>
                <w:color w:val="000000"/>
                <w:szCs w:val="21"/>
                <w:highlight w:val="none"/>
              </w:rPr>
            </w:pPr>
          </w:p>
        </w:tc>
        <w:tc>
          <w:tcPr>
            <w:tcW w:w="1192" w:type="dxa"/>
            <w:noWrap w:val="0"/>
            <w:vAlign w:val="center"/>
          </w:tcPr>
          <w:p w14:paraId="217345A0">
            <w:pPr>
              <w:keepNext w:val="0"/>
              <w:keepLines w:val="0"/>
              <w:suppressLineNumbers w:val="0"/>
              <w:spacing w:before="0" w:beforeAutospacing="0" w:after="0" w:afterAutospacing="0" w:line="240" w:lineRule="auto"/>
              <w:ind w:left="0" w:right="0"/>
              <w:jc w:val="center"/>
              <w:rPr>
                <w:rFonts w:hint="eastAsia" w:ascii="宋体" w:hAnsi="宋体" w:eastAsia="宋体" w:cs="宋体"/>
                <w:color w:val="000000"/>
                <w:szCs w:val="21"/>
                <w:highlight w:val="none"/>
              </w:rPr>
            </w:pPr>
          </w:p>
        </w:tc>
        <w:tc>
          <w:tcPr>
            <w:tcW w:w="1160" w:type="dxa"/>
            <w:noWrap w:val="0"/>
            <w:vAlign w:val="center"/>
          </w:tcPr>
          <w:p w14:paraId="6689D5D9">
            <w:pPr>
              <w:keepNext w:val="0"/>
              <w:keepLines w:val="0"/>
              <w:suppressLineNumbers w:val="0"/>
              <w:spacing w:before="0" w:beforeAutospacing="0" w:after="0" w:afterAutospacing="0" w:line="240" w:lineRule="auto"/>
              <w:ind w:left="0" w:right="0"/>
              <w:jc w:val="center"/>
              <w:rPr>
                <w:rFonts w:hint="eastAsia" w:ascii="宋体" w:hAnsi="宋体" w:eastAsia="宋体" w:cs="宋体"/>
                <w:color w:val="000000"/>
                <w:szCs w:val="21"/>
                <w:highlight w:val="none"/>
              </w:rPr>
            </w:pPr>
          </w:p>
        </w:tc>
        <w:tc>
          <w:tcPr>
            <w:tcW w:w="1275" w:type="dxa"/>
            <w:noWrap w:val="0"/>
            <w:vAlign w:val="center"/>
          </w:tcPr>
          <w:p w14:paraId="2E148783">
            <w:pPr>
              <w:keepNext w:val="0"/>
              <w:keepLines w:val="0"/>
              <w:suppressLineNumbers w:val="0"/>
              <w:spacing w:before="0" w:beforeAutospacing="0" w:after="0" w:afterAutospacing="0" w:line="240" w:lineRule="auto"/>
              <w:ind w:left="0" w:right="0"/>
              <w:jc w:val="center"/>
              <w:rPr>
                <w:rFonts w:hint="eastAsia" w:ascii="宋体" w:hAnsi="宋体" w:eastAsia="宋体" w:cs="宋体"/>
                <w:color w:val="000000"/>
                <w:szCs w:val="21"/>
                <w:highlight w:val="none"/>
              </w:rPr>
            </w:pPr>
          </w:p>
        </w:tc>
        <w:tc>
          <w:tcPr>
            <w:tcW w:w="1134" w:type="dxa"/>
            <w:noWrap w:val="0"/>
            <w:vAlign w:val="center"/>
          </w:tcPr>
          <w:p w14:paraId="099CFB1D">
            <w:pPr>
              <w:keepNext w:val="0"/>
              <w:keepLines w:val="0"/>
              <w:suppressLineNumbers w:val="0"/>
              <w:spacing w:before="0" w:beforeAutospacing="0" w:after="0" w:afterAutospacing="0" w:line="240" w:lineRule="auto"/>
              <w:ind w:left="0" w:right="0"/>
              <w:jc w:val="center"/>
              <w:rPr>
                <w:rFonts w:hint="eastAsia" w:ascii="宋体" w:hAnsi="宋体" w:eastAsia="宋体" w:cs="宋体"/>
                <w:color w:val="000000"/>
                <w:szCs w:val="21"/>
                <w:highlight w:val="none"/>
              </w:rPr>
            </w:pPr>
          </w:p>
        </w:tc>
        <w:tc>
          <w:tcPr>
            <w:tcW w:w="1418" w:type="dxa"/>
            <w:noWrap w:val="0"/>
            <w:vAlign w:val="center"/>
          </w:tcPr>
          <w:p w14:paraId="334D072C">
            <w:pPr>
              <w:keepNext w:val="0"/>
              <w:keepLines w:val="0"/>
              <w:suppressLineNumbers w:val="0"/>
              <w:spacing w:before="0" w:beforeAutospacing="0" w:after="0" w:afterAutospacing="0" w:line="240" w:lineRule="auto"/>
              <w:ind w:left="0" w:right="0"/>
              <w:jc w:val="center"/>
              <w:rPr>
                <w:rFonts w:hint="eastAsia" w:ascii="宋体" w:hAnsi="宋体" w:eastAsia="宋体" w:cs="宋体"/>
                <w:color w:val="000000"/>
                <w:szCs w:val="21"/>
                <w:highlight w:val="none"/>
              </w:rPr>
            </w:pPr>
          </w:p>
        </w:tc>
        <w:tc>
          <w:tcPr>
            <w:tcW w:w="954" w:type="dxa"/>
            <w:noWrap w:val="0"/>
            <w:vAlign w:val="center"/>
          </w:tcPr>
          <w:p w14:paraId="171EFACB">
            <w:pPr>
              <w:keepNext w:val="0"/>
              <w:keepLines w:val="0"/>
              <w:suppressLineNumbers w:val="0"/>
              <w:spacing w:before="0" w:beforeAutospacing="0" w:after="0" w:afterAutospacing="0" w:line="240" w:lineRule="auto"/>
              <w:ind w:left="0" w:right="0"/>
              <w:jc w:val="center"/>
              <w:rPr>
                <w:rFonts w:hint="eastAsia" w:ascii="宋体" w:hAnsi="宋体" w:eastAsia="宋体" w:cs="宋体"/>
                <w:color w:val="000000"/>
                <w:szCs w:val="21"/>
                <w:highlight w:val="none"/>
              </w:rPr>
            </w:pPr>
          </w:p>
        </w:tc>
      </w:tr>
      <w:tr w14:paraId="07DC71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820" w:type="dxa"/>
            <w:noWrap w:val="0"/>
            <w:vAlign w:val="center"/>
          </w:tcPr>
          <w:p w14:paraId="3462AA10">
            <w:pPr>
              <w:keepNext w:val="0"/>
              <w:keepLines w:val="0"/>
              <w:suppressLineNumbers w:val="0"/>
              <w:spacing w:before="0" w:beforeAutospacing="0" w:after="0" w:afterAutospacing="0" w:line="240" w:lineRule="auto"/>
              <w:ind w:left="0" w:right="0"/>
              <w:jc w:val="center"/>
              <w:rPr>
                <w:rFonts w:hint="eastAsia" w:ascii="宋体" w:hAnsi="宋体" w:eastAsia="宋体" w:cs="宋体"/>
                <w:color w:val="000000"/>
                <w:szCs w:val="21"/>
                <w:highlight w:val="none"/>
              </w:rPr>
            </w:pPr>
          </w:p>
        </w:tc>
        <w:tc>
          <w:tcPr>
            <w:tcW w:w="827" w:type="dxa"/>
            <w:noWrap w:val="0"/>
            <w:vAlign w:val="center"/>
          </w:tcPr>
          <w:p w14:paraId="1E76DFBA">
            <w:pPr>
              <w:keepNext w:val="0"/>
              <w:keepLines w:val="0"/>
              <w:suppressLineNumbers w:val="0"/>
              <w:spacing w:before="0" w:beforeAutospacing="0" w:after="0" w:afterAutospacing="0" w:line="240" w:lineRule="auto"/>
              <w:ind w:left="0" w:right="0"/>
              <w:jc w:val="center"/>
              <w:rPr>
                <w:rFonts w:hint="eastAsia" w:ascii="宋体" w:hAnsi="宋体" w:eastAsia="宋体" w:cs="宋体"/>
                <w:color w:val="000000"/>
                <w:szCs w:val="21"/>
                <w:highlight w:val="none"/>
              </w:rPr>
            </w:pPr>
          </w:p>
        </w:tc>
        <w:tc>
          <w:tcPr>
            <w:tcW w:w="1068" w:type="dxa"/>
            <w:noWrap w:val="0"/>
            <w:vAlign w:val="center"/>
          </w:tcPr>
          <w:p w14:paraId="43EB59ED">
            <w:pPr>
              <w:keepNext w:val="0"/>
              <w:keepLines w:val="0"/>
              <w:suppressLineNumbers w:val="0"/>
              <w:spacing w:before="0" w:beforeAutospacing="0" w:after="0" w:afterAutospacing="0" w:line="240" w:lineRule="auto"/>
              <w:ind w:left="0" w:right="0"/>
              <w:jc w:val="center"/>
              <w:rPr>
                <w:rFonts w:hint="eastAsia" w:ascii="宋体" w:hAnsi="宋体" w:eastAsia="宋体" w:cs="宋体"/>
                <w:color w:val="000000"/>
                <w:szCs w:val="21"/>
                <w:highlight w:val="none"/>
              </w:rPr>
            </w:pPr>
          </w:p>
        </w:tc>
        <w:tc>
          <w:tcPr>
            <w:tcW w:w="1192" w:type="dxa"/>
            <w:noWrap w:val="0"/>
            <w:vAlign w:val="center"/>
          </w:tcPr>
          <w:p w14:paraId="7A5D2DA7">
            <w:pPr>
              <w:keepNext w:val="0"/>
              <w:keepLines w:val="0"/>
              <w:suppressLineNumbers w:val="0"/>
              <w:spacing w:before="0" w:beforeAutospacing="0" w:after="0" w:afterAutospacing="0" w:line="240" w:lineRule="auto"/>
              <w:ind w:left="0" w:right="0"/>
              <w:jc w:val="center"/>
              <w:rPr>
                <w:rFonts w:hint="eastAsia" w:ascii="宋体" w:hAnsi="宋体" w:eastAsia="宋体" w:cs="宋体"/>
                <w:color w:val="000000"/>
                <w:szCs w:val="21"/>
                <w:highlight w:val="none"/>
              </w:rPr>
            </w:pPr>
          </w:p>
        </w:tc>
        <w:tc>
          <w:tcPr>
            <w:tcW w:w="1160" w:type="dxa"/>
            <w:noWrap w:val="0"/>
            <w:vAlign w:val="center"/>
          </w:tcPr>
          <w:p w14:paraId="568B5525">
            <w:pPr>
              <w:keepNext w:val="0"/>
              <w:keepLines w:val="0"/>
              <w:suppressLineNumbers w:val="0"/>
              <w:spacing w:before="0" w:beforeAutospacing="0" w:after="0" w:afterAutospacing="0" w:line="240" w:lineRule="auto"/>
              <w:ind w:left="0" w:right="0"/>
              <w:jc w:val="center"/>
              <w:rPr>
                <w:rFonts w:hint="eastAsia" w:ascii="宋体" w:hAnsi="宋体" w:eastAsia="宋体" w:cs="宋体"/>
                <w:color w:val="000000"/>
                <w:szCs w:val="21"/>
                <w:highlight w:val="none"/>
              </w:rPr>
            </w:pPr>
          </w:p>
        </w:tc>
        <w:tc>
          <w:tcPr>
            <w:tcW w:w="1275" w:type="dxa"/>
            <w:noWrap w:val="0"/>
            <w:vAlign w:val="center"/>
          </w:tcPr>
          <w:p w14:paraId="6E1F6372">
            <w:pPr>
              <w:keepNext w:val="0"/>
              <w:keepLines w:val="0"/>
              <w:suppressLineNumbers w:val="0"/>
              <w:spacing w:before="0" w:beforeAutospacing="0" w:after="0" w:afterAutospacing="0" w:line="240" w:lineRule="auto"/>
              <w:ind w:left="0" w:right="0"/>
              <w:jc w:val="center"/>
              <w:rPr>
                <w:rFonts w:hint="eastAsia" w:ascii="宋体" w:hAnsi="宋体" w:eastAsia="宋体" w:cs="宋体"/>
                <w:color w:val="000000"/>
                <w:szCs w:val="21"/>
                <w:highlight w:val="none"/>
              </w:rPr>
            </w:pPr>
          </w:p>
        </w:tc>
        <w:tc>
          <w:tcPr>
            <w:tcW w:w="1134" w:type="dxa"/>
            <w:noWrap w:val="0"/>
            <w:vAlign w:val="center"/>
          </w:tcPr>
          <w:p w14:paraId="143915C5">
            <w:pPr>
              <w:keepNext w:val="0"/>
              <w:keepLines w:val="0"/>
              <w:suppressLineNumbers w:val="0"/>
              <w:spacing w:before="0" w:beforeAutospacing="0" w:after="0" w:afterAutospacing="0" w:line="240" w:lineRule="auto"/>
              <w:ind w:left="0" w:right="0"/>
              <w:jc w:val="center"/>
              <w:rPr>
                <w:rFonts w:hint="eastAsia" w:ascii="宋体" w:hAnsi="宋体" w:eastAsia="宋体" w:cs="宋体"/>
                <w:color w:val="000000"/>
                <w:szCs w:val="21"/>
                <w:highlight w:val="none"/>
              </w:rPr>
            </w:pPr>
          </w:p>
        </w:tc>
        <w:tc>
          <w:tcPr>
            <w:tcW w:w="1418" w:type="dxa"/>
            <w:noWrap w:val="0"/>
            <w:vAlign w:val="center"/>
          </w:tcPr>
          <w:p w14:paraId="4AA086D7">
            <w:pPr>
              <w:keepNext w:val="0"/>
              <w:keepLines w:val="0"/>
              <w:suppressLineNumbers w:val="0"/>
              <w:spacing w:before="0" w:beforeAutospacing="0" w:after="0" w:afterAutospacing="0" w:line="240" w:lineRule="auto"/>
              <w:ind w:left="0" w:right="0"/>
              <w:jc w:val="center"/>
              <w:rPr>
                <w:rFonts w:hint="eastAsia" w:ascii="宋体" w:hAnsi="宋体" w:eastAsia="宋体" w:cs="宋体"/>
                <w:color w:val="000000"/>
                <w:szCs w:val="21"/>
                <w:highlight w:val="none"/>
              </w:rPr>
            </w:pPr>
          </w:p>
        </w:tc>
        <w:tc>
          <w:tcPr>
            <w:tcW w:w="954" w:type="dxa"/>
            <w:noWrap w:val="0"/>
            <w:vAlign w:val="center"/>
          </w:tcPr>
          <w:p w14:paraId="1A07E347">
            <w:pPr>
              <w:keepNext w:val="0"/>
              <w:keepLines w:val="0"/>
              <w:suppressLineNumbers w:val="0"/>
              <w:spacing w:before="0" w:beforeAutospacing="0" w:after="0" w:afterAutospacing="0" w:line="240" w:lineRule="auto"/>
              <w:ind w:left="0" w:right="0"/>
              <w:jc w:val="center"/>
              <w:rPr>
                <w:rFonts w:hint="eastAsia" w:ascii="宋体" w:hAnsi="宋体" w:eastAsia="宋体" w:cs="宋体"/>
                <w:color w:val="000000"/>
                <w:szCs w:val="21"/>
                <w:highlight w:val="none"/>
              </w:rPr>
            </w:pPr>
          </w:p>
        </w:tc>
      </w:tr>
    </w:tbl>
    <w:p w14:paraId="7A822066">
      <w:pPr>
        <w:spacing w:line="360" w:lineRule="auto"/>
        <w:jc w:val="lef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备注：</w:t>
      </w:r>
    </w:p>
    <w:p w14:paraId="3013BBC8">
      <w:pPr>
        <w:spacing w:line="360" w:lineRule="auto"/>
        <w:textAlignment w:val="baseline"/>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1）有效的业绩证明材料包括合同关键页、框架协议及订单等。合同关键页包含但不限于合同首页、合同标的页、签署日期页及盖章页等，按照业绩表的项目名称，顺序排放每个项目的证明材料。</w:t>
      </w:r>
    </w:p>
    <w:p w14:paraId="0CB681B9">
      <w:pPr>
        <w:spacing w:line="360" w:lineRule="auto"/>
        <w:textAlignment w:val="baseline"/>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rPr>
        <w:t>2）按照招标公告的资格要求，提供实施案例的有效证明材料，作为资格后审的评审依据。</w:t>
      </w:r>
      <w:r>
        <w:rPr>
          <w:rFonts w:hint="eastAsia" w:ascii="宋体" w:hAnsi="宋体" w:cs="宋体"/>
          <w:b/>
          <w:color w:val="000000"/>
          <w:sz w:val="24"/>
          <w:szCs w:val="24"/>
          <w:highlight w:val="none"/>
          <w:lang w:eastAsia="zh-CN"/>
        </w:rPr>
        <w:t>（</w:t>
      </w:r>
      <w:r>
        <w:rPr>
          <w:rFonts w:hint="eastAsia" w:ascii="宋体" w:hAnsi="宋体" w:cs="宋体"/>
          <w:b/>
          <w:color w:val="000000"/>
          <w:sz w:val="24"/>
          <w:szCs w:val="24"/>
          <w:highlight w:val="none"/>
          <w:lang w:val="en-US" w:eastAsia="zh-CN"/>
        </w:rPr>
        <w:t>如有</w:t>
      </w:r>
      <w:r>
        <w:rPr>
          <w:rFonts w:hint="eastAsia" w:ascii="宋体" w:hAnsi="宋体" w:cs="宋体"/>
          <w:b/>
          <w:color w:val="000000"/>
          <w:sz w:val="24"/>
          <w:szCs w:val="24"/>
          <w:highlight w:val="none"/>
          <w:lang w:eastAsia="zh-CN"/>
        </w:rPr>
        <w:t>）</w:t>
      </w:r>
    </w:p>
    <w:p w14:paraId="1856EB23">
      <w:pPr>
        <w:spacing w:line="360" w:lineRule="auto"/>
        <w:textAlignment w:val="baseline"/>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3）本业绩表及证明材料也作为详细评审中对同类项目实施经验的评审及打分依据，投标人需根据详细评审要求，提供符合要求的业绩证明材料。</w:t>
      </w:r>
    </w:p>
    <w:p w14:paraId="42E8A3A3">
      <w:pPr>
        <w:spacing w:line="360" w:lineRule="auto"/>
        <w:textAlignment w:val="baseline"/>
        <w:rPr>
          <w:rFonts w:hint="eastAsia" w:ascii="宋体" w:hAnsi="宋体" w:eastAsia="宋体" w:cs="宋体"/>
          <w:b/>
          <w:color w:val="000000"/>
          <w:sz w:val="24"/>
          <w:szCs w:val="24"/>
          <w:highlight w:val="none"/>
        </w:rPr>
      </w:pPr>
    </w:p>
    <w:p w14:paraId="094F3994">
      <w:pPr>
        <w:spacing w:line="360" w:lineRule="auto"/>
        <w:textAlignment w:val="baseline"/>
        <w:rPr>
          <w:rFonts w:hint="eastAsia" w:ascii="宋体" w:hAnsi="宋体" w:eastAsia="宋体" w:cs="宋体"/>
          <w:b/>
          <w:color w:val="000000"/>
          <w:sz w:val="24"/>
          <w:szCs w:val="24"/>
          <w:highlight w:val="none"/>
        </w:rPr>
      </w:pPr>
    </w:p>
    <w:p w14:paraId="7BFA0D74">
      <w:pPr>
        <w:spacing w:line="360" w:lineRule="auto"/>
        <w:jc w:val="right"/>
        <w:textAlignment w:val="baseline"/>
        <w:rPr>
          <w:rFonts w:hint="eastAsia" w:ascii="宋体" w:hAnsi="宋体" w:eastAsia="宋体" w:cs="宋体"/>
          <w:color w:val="000000"/>
          <w:sz w:val="24"/>
          <w:highlight w:val="none"/>
        </w:rPr>
      </w:pPr>
      <w:r>
        <w:rPr>
          <w:rFonts w:hint="eastAsia" w:ascii="宋体" w:hAnsi="宋体" w:eastAsia="宋体" w:cs="宋体"/>
          <w:color w:val="000000"/>
          <w:sz w:val="24"/>
          <w:highlight w:val="none"/>
        </w:rPr>
        <w:t>投标人名称：</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（盖章）</w:t>
      </w:r>
    </w:p>
    <w:p w14:paraId="765B1C32">
      <w:pPr>
        <w:spacing w:line="360" w:lineRule="auto"/>
        <w:jc w:val="right"/>
        <w:rPr>
          <w:rFonts w:hint="eastAsia" w:ascii="宋体" w:hAnsi="宋体" w:eastAsia="宋体" w:cs="宋体"/>
          <w:color w:val="000000"/>
          <w:sz w:val="24"/>
          <w:highlight w:val="none"/>
        </w:rPr>
      </w:pPr>
      <w:r>
        <w:rPr>
          <w:rFonts w:hint="eastAsia" w:ascii="宋体" w:hAnsi="宋体" w:eastAsia="宋体" w:cs="宋体"/>
          <w:color w:val="000000"/>
          <w:sz w:val="24"/>
          <w:highlight w:val="none"/>
        </w:rPr>
        <w:t>日期：</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日</w:t>
      </w:r>
    </w:p>
    <w:p w14:paraId="60033F99">
      <w:pPr>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br w:type="page"/>
      </w:r>
    </w:p>
    <w:p w14:paraId="75804788">
      <w:pPr>
        <w:pStyle w:val="5"/>
        <w:keepNext/>
        <w:keepLines/>
        <w:pageBreakBefore w:val="0"/>
        <w:widowControl w:val="0"/>
        <w:numPr>
          <w:ilvl w:val="0"/>
          <w:numId w:val="10"/>
        </w:numPr>
        <w:kinsoku/>
        <w:wordWrap/>
        <w:overflowPunct/>
        <w:topLinePunct w:val="0"/>
        <w:autoSpaceDE/>
        <w:autoSpaceDN/>
        <w:bidi w:val="0"/>
        <w:adjustRightInd/>
        <w:snapToGrid/>
        <w:spacing w:line="377" w:lineRule="auto"/>
        <w:ind w:left="283" w:leftChars="0" w:hanging="283" w:firstLineChars="0"/>
        <w:textAlignment w:val="auto"/>
        <w:rPr>
          <w:rFonts w:hint="eastAsia" w:ascii="宋体" w:hAnsi="宋体" w:eastAsia="宋体" w:cs="宋体"/>
          <w:color w:val="000000"/>
          <w:szCs w:val="24"/>
          <w:highlight w:val="none"/>
        </w:rPr>
      </w:pPr>
      <w:r>
        <w:rPr>
          <w:rFonts w:hint="eastAsia" w:ascii="宋体" w:hAnsi="宋体" w:eastAsia="宋体" w:cs="宋体"/>
          <w:b/>
          <w:color w:val="000000"/>
          <w:sz w:val="24"/>
          <w:szCs w:val="24"/>
          <w:highlight w:val="none"/>
        </w:rPr>
        <w:t>具有依法缴纳税收和社会保障资金的良好记录</w:t>
      </w:r>
    </w:p>
    <w:p w14:paraId="67555AE3">
      <w:pPr>
        <w:rPr>
          <w:rFonts w:hint="eastAsia" w:ascii="宋体" w:hAnsi="宋体" w:eastAsia="宋体" w:cs="宋体"/>
          <w:color w:val="000000"/>
          <w:szCs w:val="24"/>
          <w:highlight w:val="none"/>
          <w:lang w:val="en-US" w:eastAsia="zh-CN"/>
        </w:rPr>
      </w:pPr>
      <w:r>
        <w:rPr>
          <w:rFonts w:hint="eastAsia" w:ascii="宋体" w:hAnsi="宋体" w:cs="宋体"/>
          <w:color w:val="auto"/>
          <w:sz w:val="24"/>
          <w:highlight w:val="none"/>
          <w:lang w:eastAsia="zh-CN"/>
        </w:rPr>
        <w:t>（提供2025年1月以来任意3个月的税收凭证和2025年1月以来任意3个月的社会保障资金缴纳凭证，如依法免税、依法不需要缴纳社会保障资金的，应提供第三方提供的相应证明文件。）</w:t>
      </w:r>
      <w:r>
        <w:rPr>
          <w:rFonts w:hint="eastAsia" w:ascii="宋体" w:hAnsi="宋体" w:eastAsia="宋体" w:cs="宋体"/>
          <w:color w:val="000000"/>
          <w:szCs w:val="24"/>
          <w:highlight w:val="none"/>
          <w:lang w:val="en-US" w:eastAsia="zh-CN"/>
        </w:rPr>
        <w:br w:type="page"/>
      </w:r>
    </w:p>
    <w:p w14:paraId="273C18FC">
      <w:pPr>
        <w:pStyle w:val="5"/>
        <w:keepNext/>
        <w:keepLines/>
        <w:pageBreakBefore w:val="0"/>
        <w:widowControl w:val="0"/>
        <w:numPr>
          <w:ilvl w:val="0"/>
          <w:numId w:val="10"/>
        </w:numPr>
        <w:kinsoku/>
        <w:wordWrap/>
        <w:overflowPunct/>
        <w:topLinePunct w:val="0"/>
        <w:autoSpaceDE/>
        <w:autoSpaceDN/>
        <w:bidi w:val="0"/>
        <w:adjustRightInd/>
        <w:snapToGrid/>
        <w:spacing w:line="360" w:lineRule="auto"/>
        <w:ind w:left="283" w:leftChars="0" w:hanging="283" w:firstLineChars="0"/>
        <w:textAlignment w:val="auto"/>
        <w:rPr>
          <w:rFonts w:hint="eastAsia" w:ascii="宋体" w:hAnsi="宋体" w:eastAsia="宋体" w:cs="宋体"/>
          <w:b/>
          <w:bCs w:val="0"/>
          <w:color w:val="000000"/>
          <w:sz w:val="24"/>
          <w:szCs w:val="24"/>
          <w:highlight w:val="none"/>
        </w:rPr>
      </w:pPr>
      <w:r>
        <w:rPr>
          <w:rFonts w:hint="eastAsia" w:ascii="宋体" w:hAnsi="宋体" w:eastAsia="宋体" w:cs="宋体"/>
          <w:b/>
          <w:color w:val="000000"/>
          <w:sz w:val="24"/>
          <w:szCs w:val="24"/>
          <w:highlight w:val="none"/>
          <w:lang w:eastAsia="zh-CN"/>
        </w:rPr>
        <w:t>投标人应经营状况良好，且近三年内（2022年1月1日至投标文件提交截止之日）无违法违规记录。违法违规记录是指被“信用中国”列入失信被执行人、重大税收违法失信主体、政府采购严重违法失信行为记录名单。（投标人需提供自招标公告发布之日至投标文件提交截止之日期间对以上三项内容的查询截图。）</w:t>
      </w:r>
    </w:p>
    <w:p w14:paraId="3BD3F667">
      <w:pPr>
        <w:spacing w:line="360" w:lineRule="auto"/>
        <w:ind w:firstLine="480" w:firstLineChars="200"/>
        <w:textAlignment w:val="baseline"/>
        <w:rPr>
          <w:rStyle w:val="45"/>
          <w:rFonts w:ascii="宋体" w:hAnsi="宋体" w:cs="宋体"/>
          <w:color w:val="auto"/>
          <w:sz w:val="24"/>
          <w:highlight w:val="none"/>
        </w:rPr>
      </w:pPr>
      <w:r>
        <w:rPr>
          <w:rFonts w:hint="eastAsia" w:ascii="宋体" w:hAnsi="宋体" w:cs="宋体"/>
          <w:sz w:val="24"/>
          <w:highlight w:val="none"/>
        </w:rPr>
        <w:t>查询网址：https://www.creditchina.gov.cn/</w:t>
      </w:r>
    </w:p>
    <w:p w14:paraId="27505D9E">
      <w:pPr>
        <w:spacing w:line="360" w:lineRule="auto"/>
        <w:ind w:firstLine="480" w:firstLineChars="200"/>
        <w:textAlignment w:val="baseline"/>
        <w:rPr>
          <w:rFonts w:ascii="宋体" w:hAnsi="宋体" w:cs="宋体"/>
          <w:sz w:val="24"/>
          <w:highlight w:val="none"/>
        </w:rPr>
      </w:pPr>
      <w:r>
        <w:rPr>
          <w:rFonts w:hint="eastAsia" w:ascii="宋体" w:hAnsi="宋体" w:cs="宋体"/>
          <w:sz w:val="24"/>
          <w:highlight w:val="none"/>
        </w:rPr>
        <w:t>（1）失信被执行人查询截图范例：</w:t>
      </w:r>
    </w:p>
    <w:p w14:paraId="55CBDC25">
      <w:pPr>
        <w:ind w:firstLine="240" w:firstLineChars="100"/>
        <w:rPr>
          <w:rFonts w:ascii="宋体" w:hAnsi="宋体" w:cs="宋体"/>
          <w:sz w:val="24"/>
          <w:highlight w:val="none"/>
        </w:rPr>
      </w:pPr>
      <w:r>
        <w:rPr>
          <w:rFonts w:hint="eastAsia" w:ascii="宋体" w:hAnsi="宋体" w:eastAsia="宋体" w:cs="宋体"/>
          <w:sz w:val="24"/>
          <w:highlight w:val="none"/>
          <w:lang w:eastAsia="zh-CN"/>
        </w:rPr>
        <w:drawing>
          <wp:inline distT="0" distB="0" distL="114300" distR="114300">
            <wp:extent cx="6115685" cy="3280410"/>
            <wp:effectExtent l="0" t="0" r="5715" b="8890"/>
            <wp:docPr id="3" name="图片 2" descr="失信"/>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失信"/>
                    <pic:cNvPicPr>
                      <a:picLocks noChangeAspect="1"/>
                    </pic:cNvPicPr>
                  </pic:nvPicPr>
                  <pic:blipFill>
                    <a:blip r:embed="rId17"/>
                    <a:stretch>
                      <a:fillRect/>
                    </a:stretch>
                  </pic:blipFill>
                  <pic:spPr>
                    <a:xfrm>
                      <a:off x="0" y="0"/>
                      <a:ext cx="6115685" cy="3280410"/>
                    </a:xfrm>
                    <a:prstGeom prst="rect">
                      <a:avLst/>
                    </a:prstGeom>
                    <a:noFill/>
                    <a:ln>
                      <a:noFill/>
                    </a:ln>
                  </pic:spPr>
                </pic:pic>
              </a:graphicData>
            </a:graphic>
          </wp:inline>
        </w:drawing>
      </w:r>
    </w:p>
    <w:p w14:paraId="63978C5A">
      <w:pPr>
        <w:numPr>
          <w:ilvl w:val="-1"/>
          <w:numId w:val="0"/>
        </w:numPr>
        <w:ind w:left="0"/>
        <w:rPr>
          <w:rFonts w:ascii="宋体" w:hAnsi="宋体" w:cs="宋体"/>
          <w:sz w:val="24"/>
          <w:highlight w:val="none"/>
        </w:rPr>
      </w:pPr>
      <w:r>
        <w:rPr>
          <w:rFonts w:hint="eastAsia" w:ascii="宋体" w:hAnsi="宋体" w:cs="宋体"/>
          <w:sz w:val="24"/>
          <w:highlight w:val="none"/>
        </w:rPr>
        <w:br w:type="page"/>
      </w:r>
    </w:p>
    <w:p w14:paraId="73C40D9E">
      <w:pPr>
        <w:numPr>
          <w:ilvl w:val="0"/>
          <w:numId w:val="11"/>
        </w:numPr>
        <w:ind w:left="210"/>
        <w:rPr>
          <w:rFonts w:ascii="宋体" w:hAnsi="宋体" w:cs="宋体"/>
          <w:sz w:val="24"/>
          <w:highlight w:val="none"/>
        </w:rPr>
      </w:pPr>
      <w:r>
        <w:rPr>
          <w:rFonts w:hint="eastAsia" w:ascii="宋体" w:hAnsi="宋体" w:cs="宋体"/>
          <w:sz w:val="24"/>
          <w:highlight w:val="none"/>
        </w:rPr>
        <w:t>重大税收违法失信主体查询截图范例：</w:t>
      </w:r>
    </w:p>
    <w:p w14:paraId="0EC1D3EC">
      <w:pPr>
        <w:rPr>
          <w:rFonts w:ascii="宋体" w:hAnsi="宋体" w:cs="宋体"/>
          <w:sz w:val="24"/>
          <w:highlight w:val="none"/>
        </w:rPr>
      </w:pPr>
    </w:p>
    <w:p w14:paraId="2B5A80D4">
      <w:pPr>
        <w:rPr>
          <w:rFonts w:ascii="宋体" w:hAnsi="宋体" w:cs="宋体"/>
          <w:sz w:val="24"/>
          <w:highlight w:val="none"/>
        </w:rPr>
      </w:pPr>
      <w:r>
        <w:rPr>
          <w:rFonts w:hint="eastAsia" w:ascii="宋体" w:hAnsi="宋体" w:eastAsia="宋体" w:cs="宋体"/>
          <w:sz w:val="24"/>
          <w:highlight w:val="none"/>
          <w:lang w:eastAsia="zh-CN"/>
        </w:rPr>
        <w:drawing>
          <wp:inline distT="0" distB="0" distL="114300" distR="114300">
            <wp:extent cx="6115685" cy="3280410"/>
            <wp:effectExtent l="0" t="0" r="5715" b="8890"/>
            <wp:docPr id="4" name="图片 3" descr="税收"/>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descr="税收"/>
                    <pic:cNvPicPr>
                      <a:picLocks noChangeAspect="1"/>
                    </pic:cNvPicPr>
                  </pic:nvPicPr>
                  <pic:blipFill>
                    <a:blip r:embed="rId18"/>
                    <a:stretch>
                      <a:fillRect/>
                    </a:stretch>
                  </pic:blipFill>
                  <pic:spPr>
                    <a:xfrm>
                      <a:off x="0" y="0"/>
                      <a:ext cx="6115685" cy="3280410"/>
                    </a:xfrm>
                    <a:prstGeom prst="rect">
                      <a:avLst/>
                    </a:prstGeom>
                    <a:noFill/>
                    <a:ln>
                      <a:noFill/>
                    </a:ln>
                  </pic:spPr>
                </pic:pic>
              </a:graphicData>
            </a:graphic>
          </wp:inline>
        </w:drawing>
      </w:r>
    </w:p>
    <w:p w14:paraId="6558410F">
      <w:pPr>
        <w:rPr>
          <w:rFonts w:ascii="宋体" w:hAnsi="宋体" w:cs="宋体"/>
          <w:sz w:val="24"/>
          <w:highlight w:val="none"/>
        </w:rPr>
      </w:pPr>
    </w:p>
    <w:p w14:paraId="0613EE6B">
      <w:pPr>
        <w:numPr>
          <w:ilvl w:val="0"/>
          <w:numId w:val="11"/>
        </w:numPr>
        <w:ind w:left="210"/>
        <w:rPr>
          <w:rFonts w:ascii="宋体" w:hAnsi="宋体" w:cs="宋体"/>
          <w:sz w:val="24"/>
          <w:highlight w:val="none"/>
        </w:rPr>
      </w:pPr>
      <w:r>
        <w:rPr>
          <w:rFonts w:hint="eastAsia" w:ascii="宋体" w:hAnsi="宋体" w:cs="宋体"/>
          <w:sz w:val="24"/>
          <w:highlight w:val="none"/>
        </w:rPr>
        <w:t>政府采购严重违法失信行为记录名单查询截图范例：</w:t>
      </w:r>
    </w:p>
    <w:p w14:paraId="67EA73C7">
      <w:pPr>
        <w:ind w:left="210"/>
        <w:rPr>
          <w:rFonts w:ascii="宋体" w:hAnsi="宋体" w:cs="宋体"/>
          <w:sz w:val="24"/>
          <w:highlight w:val="none"/>
        </w:rPr>
      </w:pPr>
      <w:r>
        <w:rPr>
          <w:rFonts w:hint="eastAsia" w:ascii="宋体" w:hAnsi="宋体" w:eastAsia="宋体" w:cs="宋体"/>
          <w:sz w:val="24"/>
          <w:highlight w:val="none"/>
          <w:lang w:eastAsia="zh-CN"/>
        </w:rPr>
        <w:drawing>
          <wp:inline distT="0" distB="0" distL="114300" distR="114300">
            <wp:extent cx="6115685" cy="3280410"/>
            <wp:effectExtent l="0" t="0" r="5715" b="8890"/>
            <wp:docPr id="9" name="图片 4" descr="政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4" descr="政采"/>
                    <pic:cNvPicPr>
                      <a:picLocks noChangeAspect="1"/>
                    </pic:cNvPicPr>
                  </pic:nvPicPr>
                  <pic:blipFill>
                    <a:blip r:embed="rId19"/>
                    <a:stretch>
                      <a:fillRect/>
                    </a:stretch>
                  </pic:blipFill>
                  <pic:spPr>
                    <a:xfrm>
                      <a:off x="0" y="0"/>
                      <a:ext cx="6115685" cy="3280410"/>
                    </a:xfrm>
                    <a:prstGeom prst="rect">
                      <a:avLst/>
                    </a:prstGeom>
                    <a:noFill/>
                    <a:ln>
                      <a:noFill/>
                    </a:ln>
                  </pic:spPr>
                </pic:pic>
              </a:graphicData>
            </a:graphic>
          </wp:inline>
        </w:drawing>
      </w:r>
    </w:p>
    <w:p w14:paraId="15A80C5B">
      <w:pPr>
        <w:rPr>
          <w:rFonts w:ascii="宋体" w:hAnsi="宋体" w:cs="宋体"/>
          <w:sz w:val="24"/>
          <w:highlight w:val="none"/>
        </w:rPr>
      </w:pPr>
    </w:p>
    <w:p w14:paraId="4EA3355E">
      <w:pPr>
        <w:outlineLvl w:val="3"/>
        <w:rPr>
          <w:rFonts w:hint="eastAsia" w:ascii="宋体" w:hAnsi="宋体" w:eastAsia="宋体" w:cs="宋体"/>
          <w:color w:val="000000"/>
          <w:szCs w:val="24"/>
          <w:highlight w:val="none"/>
          <w:lang w:eastAsia="zh-CN"/>
        </w:rPr>
      </w:pPr>
      <w:r>
        <w:rPr>
          <w:rFonts w:hint="eastAsia" w:ascii="宋体" w:hAnsi="宋体" w:eastAsia="宋体" w:cs="宋体"/>
          <w:color w:val="000000"/>
          <w:highlight w:val="none"/>
        </w:rPr>
        <w:br w:type="page"/>
      </w:r>
      <w:r>
        <w:rPr>
          <w:rFonts w:hint="eastAsia" w:ascii="宋体" w:hAnsi="宋体" w:eastAsia="宋体" w:cs="宋体"/>
          <w:b/>
          <w:bCs/>
          <w:color w:val="000000"/>
          <w:kern w:val="2"/>
          <w:sz w:val="24"/>
          <w:szCs w:val="24"/>
          <w:highlight w:val="none"/>
          <w:lang w:val="en-US" w:eastAsia="zh-CN" w:bidi="ar-SA"/>
        </w:rPr>
        <w:t>6.未列入供应商黑名单且未在禁入期承诺书</w:t>
      </w:r>
    </w:p>
    <w:p w14:paraId="61F52D32">
      <w:pPr>
        <w:adjustRightInd w:val="0"/>
        <w:snapToGrid w:val="0"/>
        <w:spacing w:before="24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致：</w:t>
      </w:r>
      <w:r>
        <w:rPr>
          <w:rFonts w:hint="eastAsia" w:ascii="宋体" w:hAnsi="宋体" w:eastAsia="宋体" w:cs="宋体"/>
          <w:color w:val="000000"/>
          <w:sz w:val="24"/>
          <w:highlight w:val="none"/>
          <w:u w:val="single"/>
          <w:lang w:eastAsia="zh-CN"/>
        </w:rPr>
        <w:t>（</w:t>
      </w:r>
      <w:r>
        <w:rPr>
          <w:rFonts w:hint="eastAsia" w:ascii="宋体" w:hAnsi="宋体" w:eastAsia="宋体" w:cs="宋体"/>
          <w:color w:val="000000"/>
          <w:sz w:val="24"/>
          <w:highlight w:val="none"/>
          <w:u w:val="single"/>
          <w:lang w:val="en-US" w:eastAsia="zh-CN"/>
        </w:rPr>
        <w:t>招标人名称</w:t>
      </w:r>
      <w:r>
        <w:rPr>
          <w:rFonts w:hint="eastAsia" w:ascii="宋体" w:hAnsi="宋体" w:eastAsia="宋体" w:cs="宋体"/>
          <w:color w:val="000000"/>
          <w:sz w:val="24"/>
          <w:highlight w:val="none"/>
          <w:u w:val="single"/>
          <w:lang w:eastAsia="zh-CN"/>
        </w:rPr>
        <w:t>）</w:t>
      </w:r>
      <w:r>
        <w:rPr>
          <w:rFonts w:hint="eastAsia" w:ascii="宋体" w:hAnsi="宋体" w:eastAsia="宋体" w:cs="宋体"/>
          <w:color w:val="000000"/>
          <w:sz w:val="24"/>
          <w:highlight w:val="none"/>
          <w:u w:val="single"/>
        </w:rPr>
        <w:t>：</w:t>
      </w:r>
    </w:p>
    <w:p w14:paraId="5030982F">
      <w:pPr>
        <w:adjustRightInd w:val="0"/>
        <w:snapToGrid w:val="0"/>
        <w:spacing w:before="240" w:line="360" w:lineRule="auto"/>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rPr>
        <w:t>我方</w:t>
      </w:r>
      <w:r>
        <w:rPr>
          <w:rFonts w:hint="eastAsia" w:ascii="宋体" w:hAnsi="宋体" w:eastAsia="宋体" w:cs="宋体"/>
          <w:color w:val="000000"/>
          <w:sz w:val="24"/>
          <w:highlight w:val="none"/>
          <w:u w:val="single"/>
        </w:rPr>
        <w:t xml:space="preserve"> （投标人名称）  </w:t>
      </w:r>
      <w:r>
        <w:rPr>
          <w:rFonts w:hint="eastAsia" w:ascii="宋体" w:hAnsi="宋体" w:eastAsia="宋体" w:cs="宋体"/>
          <w:color w:val="000000"/>
          <w:sz w:val="24"/>
          <w:highlight w:val="none"/>
        </w:rPr>
        <w:t>承诺截至本项目投标文件递交截止时间，我方未被列入招标人及其所隶属的中国人民保险各级机构的供应商黑名单且未在禁入期内。</w:t>
      </w:r>
    </w:p>
    <w:p w14:paraId="3E53F03D">
      <w:pPr>
        <w:pStyle w:val="13"/>
        <w:ind w:firstLine="480" w:firstLineChars="200"/>
        <w:rPr>
          <w:rFonts w:hint="eastAsia" w:ascii="宋体" w:hAnsi="宋体" w:eastAsia="宋体" w:cs="宋体"/>
          <w:color w:val="000000"/>
          <w:sz w:val="24"/>
          <w:highlight w:val="none"/>
        </w:rPr>
      </w:pPr>
    </w:p>
    <w:p w14:paraId="59F8B5CA">
      <w:pPr>
        <w:pStyle w:val="13"/>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rPr>
        <w:t>特此承诺。</w:t>
      </w:r>
    </w:p>
    <w:p w14:paraId="68147B53">
      <w:pPr>
        <w:pStyle w:val="129"/>
        <w:ind w:firstLine="640"/>
        <w:rPr>
          <w:rFonts w:hint="eastAsia" w:ascii="宋体" w:hAnsi="宋体" w:eastAsia="宋体" w:cs="宋体"/>
          <w:highlight w:val="none"/>
        </w:rPr>
      </w:pPr>
    </w:p>
    <w:p w14:paraId="1FCBED70">
      <w:pPr>
        <w:spacing w:line="360" w:lineRule="auto"/>
        <w:ind w:firstLine="4080" w:firstLineChars="1700"/>
        <w:jc w:val="right"/>
        <w:rPr>
          <w:rFonts w:hint="eastAsia" w:ascii="宋体" w:hAnsi="宋体" w:eastAsia="宋体" w:cs="宋体"/>
          <w:color w:val="000000"/>
          <w:sz w:val="24"/>
          <w:highlight w:val="none"/>
        </w:rPr>
      </w:pPr>
    </w:p>
    <w:p w14:paraId="648C67DD">
      <w:pPr>
        <w:spacing w:line="360" w:lineRule="auto"/>
        <w:ind w:firstLine="4080" w:firstLineChars="1700"/>
        <w:jc w:val="right"/>
        <w:rPr>
          <w:rFonts w:hint="eastAsia" w:ascii="宋体" w:hAnsi="宋体" w:eastAsia="宋体" w:cs="宋体"/>
          <w:color w:val="000000"/>
          <w:sz w:val="24"/>
          <w:highlight w:val="none"/>
        </w:rPr>
      </w:pPr>
      <w:r>
        <w:rPr>
          <w:rFonts w:hint="eastAsia" w:ascii="宋体" w:hAnsi="宋体" w:eastAsia="宋体" w:cs="宋体"/>
          <w:color w:val="000000"/>
          <w:sz w:val="24"/>
          <w:highlight w:val="none"/>
        </w:rPr>
        <w:t>投标人名称：</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（盖章）</w:t>
      </w:r>
    </w:p>
    <w:p w14:paraId="511D3777">
      <w:pPr>
        <w:spacing w:line="360" w:lineRule="auto"/>
        <w:jc w:val="right"/>
        <w:rPr>
          <w:rFonts w:hint="eastAsia" w:ascii="宋体" w:hAnsi="宋体" w:eastAsia="宋体" w:cs="宋体"/>
          <w:color w:val="000000"/>
          <w:sz w:val="24"/>
          <w:highlight w:val="none"/>
        </w:rPr>
      </w:pPr>
      <w:r>
        <w:rPr>
          <w:rFonts w:hint="eastAsia" w:ascii="宋体" w:hAnsi="宋体" w:eastAsia="宋体" w:cs="宋体"/>
          <w:color w:val="000000"/>
          <w:sz w:val="24"/>
          <w:highlight w:val="none"/>
        </w:rPr>
        <w:t>日期：</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日</w:t>
      </w:r>
    </w:p>
    <w:p w14:paraId="15F313B4">
      <w:pPr>
        <w:rPr>
          <w:rFonts w:hint="eastAsia" w:ascii="宋体" w:hAnsi="宋体" w:eastAsia="宋体" w:cs="宋体"/>
          <w:color w:val="000000"/>
          <w:sz w:val="24"/>
          <w:highlight w:val="none"/>
        </w:rPr>
      </w:pPr>
      <w:r>
        <w:rPr>
          <w:rFonts w:hint="eastAsia" w:ascii="宋体" w:hAnsi="宋体" w:eastAsia="宋体" w:cs="宋体"/>
          <w:color w:val="000000"/>
          <w:sz w:val="24"/>
          <w:highlight w:val="none"/>
        </w:rPr>
        <w:br w:type="page"/>
      </w:r>
    </w:p>
    <w:p w14:paraId="754D28D8">
      <w:pPr>
        <w:pStyle w:val="5"/>
        <w:keepNext/>
        <w:keepLines/>
        <w:pageBreakBefore w:val="0"/>
        <w:widowControl w:val="0"/>
        <w:numPr>
          <w:ilvl w:val="0"/>
          <w:numId w:val="0"/>
        </w:numPr>
        <w:kinsoku/>
        <w:wordWrap/>
        <w:overflowPunct/>
        <w:topLinePunct w:val="0"/>
        <w:autoSpaceDE/>
        <w:autoSpaceDN/>
        <w:bidi w:val="0"/>
        <w:adjustRightInd/>
        <w:snapToGrid/>
        <w:spacing w:line="377" w:lineRule="auto"/>
        <w:textAlignment w:val="auto"/>
        <w:rPr>
          <w:rFonts w:hint="eastAsia" w:ascii="宋体" w:hAnsi="宋体" w:eastAsia="宋体" w:cs="宋体"/>
          <w:color w:val="000000"/>
          <w:highlight w:val="none"/>
        </w:rPr>
      </w:pPr>
      <w:r>
        <w:rPr>
          <w:rFonts w:hint="eastAsia" w:ascii="宋体" w:hAnsi="宋体" w:eastAsia="宋体" w:cs="宋体"/>
          <w:color w:val="000000"/>
          <w:szCs w:val="24"/>
          <w:highlight w:val="none"/>
          <w:lang w:val="en-US" w:eastAsia="zh-CN"/>
        </w:rPr>
        <w:t>7.</w:t>
      </w:r>
      <w:r>
        <w:rPr>
          <w:rFonts w:hint="eastAsia" w:ascii="宋体" w:hAnsi="宋体" w:eastAsia="宋体" w:cs="宋体"/>
          <w:color w:val="000000"/>
          <w:highlight w:val="none"/>
        </w:rPr>
        <w:t>投标人控股及管理关系情况申报表</w:t>
      </w:r>
    </w:p>
    <w:p w14:paraId="13B52528">
      <w:pPr>
        <w:pStyle w:val="92"/>
        <w:spacing w:line="360" w:lineRule="auto"/>
        <w:ind w:firstLine="0" w:firstLineChars="0"/>
        <w:jc w:val="cente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投标人控股及管理关系情况申报表</w:t>
      </w:r>
    </w:p>
    <w:p w14:paraId="4824E488">
      <w:pPr>
        <w:pStyle w:val="92"/>
        <w:spacing w:line="360" w:lineRule="auto"/>
        <w:ind w:firstLine="0" w:firstLineChars="0"/>
        <w:jc w:val="center"/>
        <w:rPr>
          <w:rFonts w:hint="eastAsia" w:ascii="宋体" w:hAnsi="宋体" w:eastAsia="宋体" w:cs="宋体"/>
          <w:b/>
          <w:color w:val="000000"/>
          <w:sz w:val="24"/>
          <w:highlight w:val="none"/>
        </w:rPr>
      </w:pPr>
    </w:p>
    <w:p w14:paraId="6258C14E">
      <w:pPr>
        <w:adjustRightInd w:val="0"/>
        <w:snapToGrid w:val="0"/>
        <w:spacing w:line="360" w:lineRule="auto"/>
        <w:ind w:left="0" w:leftChars="-295" w:hanging="619" w:hangingChars="25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致：</w:t>
      </w:r>
      <w:r>
        <w:rPr>
          <w:rFonts w:hint="eastAsia" w:ascii="宋体" w:hAnsi="宋体" w:eastAsia="宋体" w:cs="宋体"/>
          <w:color w:val="000000"/>
          <w:sz w:val="24"/>
          <w:szCs w:val="24"/>
          <w:highlight w:val="none"/>
          <w:u w:val="single"/>
        </w:rPr>
        <w:t xml:space="preserve">  （招标人名称）  </w:t>
      </w:r>
      <w:r>
        <w:rPr>
          <w:rFonts w:hint="eastAsia" w:ascii="宋体" w:hAnsi="宋体" w:eastAsia="宋体" w:cs="宋体"/>
          <w:color w:val="000000"/>
          <w:sz w:val="24"/>
          <w:szCs w:val="24"/>
          <w:highlight w:val="none"/>
        </w:rPr>
        <w:t>：</w:t>
      </w:r>
    </w:p>
    <w:p w14:paraId="60C3864D">
      <w:pPr>
        <w:adjustRightInd w:val="0"/>
        <w:snapToGrid w:val="0"/>
        <w:spacing w:line="360" w:lineRule="auto"/>
        <w:ind w:left="-617" w:leftChars="-294" w:right="-512" w:rightChars="-244" w:firstLine="616" w:firstLineChars="25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我方参加</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（项目名称）的投标，根据法律法规维护投标公正性的相关规定，</w:t>
      </w:r>
      <w:r>
        <w:rPr>
          <w:rFonts w:hint="eastAsia" w:ascii="宋体" w:hAnsi="宋体" w:eastAsia="宋体" w:cs="宋体"/>
          <w:color w:val="000000"/>
          <w:sz w:val="24"/>
          <w:szCs w:val="24"/>
          <w:highlight w:val="none"/>
          <w:lang w:val="en-US" w:eastAsia="zh-CN"/>
        </w:rPr>
        <w:t>我方与招标人之间</w:t>
      </w:r>
      <w:r>
        <w:rPr>
          <w:rFonts w:hint="eastAsia" w:ascii="宋体" w:hAnsi="宋体" w:eastAsia="宋体" w:cs="宋体"/>
          <w:color w:val="auto"/>
          <w:sz w:val="24"/>
          <w:szCs w:val="24"/>
          <w:highlight w:val="none"/>
          <w:lang w:val="en-US" w:eastAsia="zh-CN"/>
        </w:rPr>
        <w:t>不存在利害关系可</w:t>
      </w:r>
      <w:r>
        <w:rPr>
          <w:rFonts w:hint="eastAsia" w:ascii="宋体" w:hAnsi="宋体" w:eastAsia="宋体" w:cs="宋体"/>
          <w:color w:val="000000"/>
          <w:sz w:val="24"/>
          <w:szCs w:val="24"/>
          <w:highlight w:val="none"/>
          <w:lang w:val="en-US" w:eastAsia="zh-CN"/>
        </w:rPr>
        <w:t>能影响招标公正性的法人、其他组织或者个人，</w:t>
      </w:r>
      <w:r>
        <w:rPr>
          <w:rFonts w:hint="eastAsia" w:ascii="宋体" w:hAnsi="宋体" w:eastAsia="宋体" w:cs="宋体"/>
          <w:color w:val="000000"/>
          <w:sz w:val="24"/>
          <w:szCs w:val="24"/>
          <w:highlight w:val="none"/>
        </w:rPr>
        <w:t>特就本单位控股及管理关系情况申报如下</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并承担申报不实的责任</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如我方中标该项目并签署合同后，一旦发现我方申报不实，招标人可无条件终止合同</w:t>
      </w:r>
      <w:r>
        <w:rPr>
          <w:rFonts w:hint="eastAsia" w:ascii="宋体" w:hAnsi="宋体" w:eastAsia="宋体" w:cs="宋体"/>
          <w:color w:val="000000"/>
          <w:sz w:val="24"/>
          <w:szCs w:val="24"/>
          <w:highlight w:val="none"/>
        </w:rPr>
        <w:t>。</w:t>
      </w:r>
    </w:p>
    <w:tbl>
      <w:tblPr>
        <w:tblStyle w:val="37"/>
        <w:tblW w:w="98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26"/>
        <w:gridCol w:w="2356"/>
        <w:gridCol w:w="5570"/>
      </w:tblGrid>
      <w:tr w14:paraId="4728A1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926" w:type="dxa"/>
            <w:noWrap w:val="0"/>
            <w:vAlign w:val="center"/>
          </w:tcPr>
          <w:p w14:paraId="04773E8A">
            <w:pPr>
              <w:keepNext w:val="0"/>
              <w:keepLines w:val="0"/>
              <w:suppressLineNumbers w:val="0"/>
              <w:adjustRightInd w:val="0"/>
              <w:snapToGrid w:val="0"/>
              <w:spacing w:before="0" w:beforeAutospacing="0" w:after="0" w:afterAutospacing="0" w:line="440" w:lineRule="exact"/>
              <w:ind w:left="0" w:right="0"/>
              <w:rPr>
                <w:rFonts w:hint="eastAsia" w:ascii="宋体" w:hAnsi="宋体" w:eastAsia="宋体" w:cs="宋体"/>
                <w:color w:val="000000"/>
                <w:szCs w:val="20"/>
                <w:highlight w:val="none"/>
              </w:rPr>
            </w:pPr>
            <w:r>
              <w:rPr>
                <w:rFonts w:hint="eastAsia" w:ascii="宋体" w:hAnsi="宋体" w:eastAsia="宋体" w:cs="宋体"/>
                <w:color w:val="000000"/>
                <w:szCs w:val="20"/>
                <w:highlight w:val="none"/>
              </w:rPr>
              <w:t>申报人名称</w:t>
            </w:r>
          </w:p>
        </w:tc>
        <w:tc>
          <w:tcPr>
            <w:tcW w:w="7926" w:type="dxa"/>
            <w:gridSpan w:val="2"/>
            <w:noWrap w:val="0"/>
            <w:vAlign w:val="center"/>
          </w:tcPr>
          <w:p w14:paraId="6DC7234F">
            <w:pPr>
              <w:keepNext w:val="0"/>
              <w:keepLines w:val="0"/>
              <w:suppressLineNumbers w:val="0"/>
              <w:adjustRightInd w:val="0"/>
              <w:snapToGrid w:val="0"/>
              <w:spacing w:before="0" w:beforeAutospacing="0" w:after="0" w:afterAutospacing="0" w:line="440" w:lineRule="exact"/>
              <w:ind w:left="0" w:right="0"/>
              <w:rPr>
                <w:rFonts w:hint="eastAsia" w:ascii="宋体" w:hAnsi="宋体" w:eastAsia="宋体" w:cs="宋体"/>
                <w:color w:val="000000"/>
                <w:szCs w:val="20"/>
                <w:highlight w:val="none"/>
              </w:rPr>
            </w:pPr>
          </w:p>
        </w:tc>
      </w:tr>
      <w:tr w14:paraId="53819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1926" w:type="dxa"/>
            <w:vMerge w:val="restart"/>
            <w:noWrap w:val="0"/>
            <w:vAlign w:val="center"/>
          </w:tcPr>
          <w:p w14:paraId="3F6E98D0">
            <w:pPr>
              <w:keepNext w:val="0"/>
              <w:keepLines w:val="0"/>
              <w:suppressLineNumbers w:val="0"/>
              <w:adjustRightInd w:val="0"/>
              <w:snapToGrid w:val="0"/>
              <w:spacing w:before="0" w:beforeAutospacing="0" w:after="0" w:afterAutospacing="0" w:line="440" w:lineRule="exact"/>
              <w:ind w:left="0" w:right="0"/>
              <w:rPr>
                <w:rFonts w:hint="eastAsia" w:ascii="宋体" w:hAnsi="宋体" w:eastAsia="宋体" w:cs="宋体"/>
                <w:color w:val="000000"/>
                <w:szCs w:val="20"/>
                <w:highlight w:val="none"/>
              </w:rPr>
            </w:pPr>
            <w:r>
              <w:rPr>
                <w:rFonts w:hint="eastAsia" w:ascii="宋体" w:hAnsi="宋体" w:eastAsia="宋体" w:cs="宋体"/>
                <w:color w:val="000000"/>
                <w:szCs w:val="20"/>
                <w:highlight w:val="none"/>
              </w:rPr>
              <w:t>法定代表人/单位负责人</w:t>
            </w:r>
          </w:p>
        </w:tc>
        <w:tc>
          <w:tcPr>
            <w:tcW w:w="2356" w:type="dxa"/>
            <w:noWrap w:val="0"/>
            <w:vAlign w:val="center"/>
          </w:tcPr>
          <w:p w14:paraId="0BCFF5EF">
            <w:pPr>
              <w:keepNext w:val="0"/>
              <w:keepLines w:val="0"/>
              <w:suppressLineNumbers w:val="0"/>
              <w:adjustRightInd w:val="0"/>
              <w:snapToGrid w:val="0"/>
              <w:spacing w:before="0" w:beforeAutospacing="0" w:after="0" w:afterAutospacing="0" w:line="440" w:lineRule="exact"/>
              <w:ind w:left="0" w:right="0"/>
              <w:rPr>
                <w:rFonts w:hint="eastAsia" w:ascii="宋体" w:hAnsi="宋体" w:eastAsia="宋体" w:cs="宋体"/>
                <w:color w:val="000000"/>
                <w:szCs w:val="20"/>
                <w:highlight w:val="none"/>
              </w:rPr>
            </w:pPr>
            <w:r>
              <w:rPr>
                <w:rFonts w:hint="eastAsia" w:ascii="宋体" w:hAnsi="宋体" w:eastAsia="宋体" w:cs="宋体"/>
                <w:color w:val="000000"/>
                <w:szCs w:val="20"/>
                <w:highlight w:val="none"/>
              </w:rPr>
              <w:t>姓    名</w:t>
            </w:r>
          </w:p>
        </w:tc>
        <w:tc>
          <w:tcPr>
            <w:tcW w:w="5570" w:type="dxa"/>
            <w:noWrap w:val="0"/>
            <w:vAlign w:val="center"/>
          </w:tcPr>
          <w:p w14:paraId="5FB708DF">
            <w:pPr>
              <w:keepNext w:val="0"/>
              <w:keepLines w:val="0"/>
              <w:suppressLineNumbers w:val="0"/>
              <w:adjustRightInd w:val="0"/>
              <w:snapToGrid w:val="0"/>
              <w:spacing w:before="0" w:beforeAutospacing="0" w:after="0" w:afterAutospacing="0" w:line="440" w:lineRule="exact"/>
              <w:ind w:left="0" w:right="0"/>
              <w:rPr>
                <w:rFonts w:hint="eastAsia" w:ascii="宋体" w:hAnsi="宋体" w:eastAsia="宋体" w:cs="宋体"/>
                <w:color w:val="000000"/>
                <w:szCs w:val="20"/>
                <w:highlight w:val="none"/>
              </w:rPr>
            </w:pPr>
          </w:p>
        </w:tc>
      </w:tr>
      <w:tr w14:paraId="20A015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1926" w:type="dxa"/>
            <w:vMerge w:val="continue"/>
            <w:noWrap w:val="0"/>
            <w:vAlign w:val="center"/>
          </w:tcPr>
          <w:p w14:paraId="7E079067">
            <w:pPr>
              <w:keepNext w:val="0"/>
              <w:keepLines w:val="0"/>
              <w:suppressLineNumbers w:val="0"/>
              <w:adjustRightInd w:val="0"/>
              <w:snapToGrid w:val="0"/>
              <w:spacing w:before="0" w:beforeAutospacing="0" w:after="0" w:afterAutospacing="0" w:line="440" w:lineRule="exact"/>
              <w:ind w:left="0" w:right="0"/>
              <w:rPr>
                <w:rFonts w:hint="eastAsia" w:ascii="宋体" w:hAnsi="宋体" w:eastAsia="宋体" w:cs="宋体"/>
                <w:color w:val="000000"/>
                <w:szCs w:val="20"/>
                <w:highlight w:val="none"/>
              </w:rPr>
            </w:pPr>
          </w:p>
        </w:tc>
        <w:tc>
          <w:tcPr>
            <w:tcW w:w="2356" w:type="dxa"/>
            <w:noWrap w:val="0"/>
            <w:vAlign w:val="center"/>
          </w:tcPr>
          <w:p w14:paraId="5CB70696">
            <w:pPr>
              <w:keepNext w:val="0"/>
              <w:keepLines w:val="0"/>
              <w:suppressLineNumbers w:val="0"/>
              <w:adjustRightInd w:val="0"/>
              <w:snapToGrid w:val="0"/>
              <w:spacing w:before="0" w:beforeAutospacing="0" w:after="0" w:afterAutospacing="0" w:line="440" w:lineRule="exact"/>
              <w:ind w:left="0" w:right="0"/>
              <w:rPr>
                <w:rFonts w:hint="eastAsia" w:ascii="宋体" w:hAnsi="宋体" w:eastAsia="宋体" w:cs="宋体"/>
                <w:color w:val="000000"/>
                <w:szCs w:val="20"/>
                <w:highlight w:val="none"/>
              </w:rPr>
            </w:pPr>
            <w:r>
              <w:rPr>
                <w:rFonts w:hint="eastAsia" w:ascii="宋体" w:hAnsi="宋体" w:eastAsia="宋体" w:cs="宋体"/>
                <w:color w:val="000000"/>
                <w:szCs w:val="20"/>
                <w:highlight w:val="none"/>
              </w:rPr>
              <w:t>身份证号</w:t>
            </w:r>
          </w:p>
        </w:tc>
        <w:tc>
          <w:tcPr>
            <w:tcW w:w="5570" w:type="dxa"/>
            <w:noWrap w:val="0"/>
            <w:vAlign w:val="center"/>
          </w:tcPr>
          <w:p w14:paraId="39C1A575">
            <w:pPr>
              <w:keepNext w:val="0"/>
              <w:keepLines w:val="0"/>
              <w:suppressLineNumbers w:val="0"/>
              <w:adjustRightInd w:val="0"/>
              <w:snapToGrid w:val="0"/>
              <w:spacing w:before="0" w:beforeAutospacing="0" w:after="0" w:afterAutospacing="0" w:line="440" w:lineRule="exact"/>
              <w:ind w:left="0" w:right="0"/>
              <w:rPr>
                <w:rFonts w:hint="eastAsia" w:ascii="宋体" w:hAnsi="宋体" w:eastAsia="宋体" w:cs="宋体"/>
                <w:color w:val="000000"/>
                <w:szCs w:val="20"/>
                <w:highlight w:val="none"/>
              </w:rPr>
            </w:pPr>
          </w:p>
        </w:tc>
      </w:tr>
      <w:tr w14:paraId="60C827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noWrap w:val="0"/>
            <w:vAlign w:val="center"/>
          </w:tcPr>
          <w:p w14:paraId="63376092">
            <w:pPr>
              <w:keepNext w:val="0"/>
              <w:keepLines w:val="0"/>
              <w:suppressLineNumbers w:val="0"/>
              <w:adjustRightInd w:val="0"/>
              <w:snapToGrid w:val="0"/>
              <w:spacing w:before="0" w:beforeAutospacing="0" w:after="0" w:afterAutospacing="0" w:line="440" w:lineRule="exact"/>
              <w:ind w:left="0" w:right="0"/>
              <w:rPr>
                <w:rFonts w:hint="eastAsia" w:ascii="宋体" w:hAnsi="宋体" w:eastAsia="宋体" w:cs="宋体"/>
                <w:color w:val="000000"/>
                <w:szCs w:val="20"/>
                <w:highlight w:val="none"/>
                <w:lang w:val="en-US" w:eastAsia="zh-CN"/>
              </w:rPr>
            </w:pPr>
            <w:r>
              <w:rPr>
                <w:rFonts w:hint="eastAsia" w:ascii="宋体" w:hAnsi="宋体" w:eastAsia="宋体" w:cs="宋体"/>
                <w:color w:val="000000"/>
                <w:szCs w:val="20"/>
                <w:highlight w:val="none"/>
                <w:lang w:val="en-US" w:eastAsia="zh-CN"/>
              </w:rPr>
              <w:t>单位负责人为同一人单位名称</w:t>
            </w:r>
          </w:p>
        </w:tc>
        <w:tc>
          <w:tcPr>
            <w:tcW w:w="7926" w:type="dxa"/>
            <w:gridSpan w:val="2"/>
            <w:noWrap w:val="0"/>
            <w:vAlign w:val="center"/>
          </w:tcPr>
          <w:p w14:paraId="18B50A47">
            <w:pPr>
              <w:keepNext w:val="0"/>
              <w:keepLines w:val="0"/>
              <w:suppressLineNumbers w:val="0"/>
              <w:adjustRightInd w:val="0"/>
              <w:snapToGrid w:val="0"/>
              <w:spacing w:before="0" w:beforeAutospacing="0" w:after="0" w:afterAutospacing="0" w:line="440" w:lineRule="exact"/>
              <w:ind w:left="0" w:right="0"/>
              <w:rPr>
                <w:rFonts w:hint="eastAsia" w:ascii="宋体" w:hAnsi="宋体" w:eastAsia="宋体" w:cs="宋体"/>
                <w:color w:val="000000"/>
                <w:szCs w:val="20"/>
                <w:highlight w:val="none"/>
              </w:rPr>
            </w:pPr>
          </w:p>
        </w:tc>
      </w:tr>
      <w:tr w14:paraId="1307EA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vMerge w:val="restart"/>
            <w:noWrap w:val="0"/>
            <w:vAlign w:val="center"/>
          </w:tcPr>
          <w:p w14:paraId="7A91F6FE">
            <w:pPr>
              <w:keepNext w:val="0"/>
              <w:keepLines w:val="0"/>
              <w:suppressLineNumbers w:val="0"/>
              <w:adjustRightInd w:val="0"/>
              <w:snapToGrid w:val="0"/>
              <w:spacing w:before="0" w:beforeAutospacing="0" w:after="0" w:afterAutospacing="0" w:line="440" w:lineRule="exact"/>
              <w:ind w:left="0" w:right="0"/>
              <w:rPr>
                <w:rFonts w:hint="eastAsia" w:ascii="宋体" w:hAnsi="宋体" w:eastAsia="宋体" w:cs="宋体"/>
                <w:color w:val="000000"/>
                <w:szCs w:val="20"/>
                <w:highlight w:val="none"/>
                <w:lang w:eastAsia="zh-CN"/>
              </w:rPr>
            </w:pPr>
            <w:r>
              <w:rPr>
                <w:rFonts w:hint="eastAsia" w:ascii="宋体" w:hAnsi="宋体" w:eastAsia="宋体" w:cs="宋体"/>
                <w:color w:val="000000"/>
                <w:szCs w:val="20"/>
                <w:highlight w:val="none"/>
              </w:rPr>
              <w:t>控股</w:t>
            </w:r>
            <w:r>
              <w:rPr>
                <w:rFonts w:hint="eastAsia" w:ascii="宋体" w:hAnsi="宋体" w:eastAsia="宋体" w:cs="宋体"/>
                <w:color w:val="000000"/>
                <w:szCs w:val="20"/>
                <w:highlight w:val="none"/>
                <w:lang w:val="en-US" w:eastAsia="zh-CN"/>
              </w:rPr>
              <w:t>关系</w:t>
            </w:r>
          </w:p>
        </w:tc>
        <w:tc>
          <w:tcPr>
            <w:tcW w:w="2356" w:type="dxa"/>
            <w:noWrap w:val="0"/>
            <w:vAlign w:val="center"/>
          </w:tcPr>
          <w:p w14:paraId="2D91474D">
            <w:pPr>
              <w:keepNext w:val="0"/>
              <w:keepLines w:val="0"/>
              <w:suppressLineNumbers w:val="0"/>
              <w:adjustRightInd w:val="0"/>
              <w:snapToGrid w:val="0"/>
              <w:spacing w:before="0" w:beforeAutospacing="0" w:after="0" w:afterAutospacing="0" w:line="440" w:lineRule="exact"/>
              <w:ind w:left="0" w:right="0"/>
              <w:rPr>
                <w:rFonts w:hint="eastAsia" w:ascii="宋体" w:hAnsi="宋体" w:eastAsia="宋体" w:cs="宋体"/>
                <w:color w:val="000000"/>
                <w:szCs w:val="20"/>
                <w:highlight w:val="none"/>
              </w:rPr>
            </w:pPr>
            <w:r>
              <w:rPr>
                <w:rFonts w:hint="eastAsia" w:ascii="宋体" w:hAnsi="宋体" w:eastAsia="宋体" w:cs="宋体"/>
                <w:color w:val="000000"/>
                <w:szCs w:val="20"/>
                <w:highlight w:val="none"/>
              </w:rPr>
              <w:t>控股股东/投资人名称及出资比例</w:t>
            </w:r>
          </w:p>
        </w:tc>
        <w:tc>
          <w:tcPr>
            <w:tcW w:w="5570" w:type="dxa"/>
            <w:noWrap w:val="0"/>
            <w:vAlign w:val="center"/>
          </w:tcPr>
          <w:p w14:paraId="619FC0F1">
            <w:pPr>
              <w:keepNext w:val="0"/>
              <w:keepLines w:val="0"/>
              <w:suppressLineNumbers w:val="0"/>
              <w:adjustRightInd w:val="0"/>
              <w:snapToGrid w:val="0"/>
              <w:spacing w:before="0" w:beforeAutospacing="0" w:after="0" w:afterAutospacing="0" w:line="440" w:lineRule="exact"/>
              <w:ind w:left="0" w:right="0"/>
              <w:rPr>
                <w:rFonts w:hint="eastAsia" w:ascii="宋体" w:hAnsi="宋体" w:eastAsia="宋体" w:cs="宋体"/>
                <w:color w:val="000000"/>
                <w:szCs w:val="20"/>
                <w:highlight w:val="none"/>
              </w:rPr>
            </w:pPr>
          </w:p>
        </w:tc>
      </w:tr>
      <w:tr w14:paraId="239DCF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1926" w:type="dxa"/>
            <w:vMerge w:val="continue"/>
            <w:noWrap w:val="0"/>
            <w:vAlign w:val="center"/>
          </w:tcPr>
          <w:p w14:paraId="4F89AADE">
            <w:pPr>
              <w:keepNext w:val="0"/>
              <w:keepLines w:val="0"/>
              <w:suppressLineNumbers w:val="0"/>
              <w:adjustRightInd w:val="0"/>
              <w:snapToGrid w:val="0"/>
              <w:spacing w:before="0" w:beforeAutospacing="0" w:after="0" w:afterAutospacing="0" w:line="440" w:lineRule="exact"/>
              <w:ind w:left="0" w:right="0"/>
              <w:rPr>
                <w:rFonts w:hint="eastAsia" w:ascii="宋体" w:hAnsi="宋体" w:eastAsia="宋体" w:cs="宋体"/>
                <w:color w:val="000000"/>
                <w:szCs w:val="20"/>
                <w:highlight w:val="none"/>
              </w:rPr>
            </w:pPr>
          </w:p>
        </w:tc>
        <w:tc>
          <w:tcPr>
            <w:tcW w:w="2356" w:type="dxa"/>
            <w:noWrap w:val="0"/>
            <w:vAlign w:val="center"/>
          </w:tcPr>
          <w:p w14:paraId="20284033">
            <w:pPr>
              <w:keepNext w:val="0"/>
              <w:keepLines w:val="0"/>
              <w:suppressLineNumbers w:val="0"/>
              <w:adjustRightInd w:val="0"/>
              <w:snapToGrid w:val="0"/>
              <w:spacing w:before="0" w:beforeAutospacing="0" w:after="0" w:afterAutospacing="0" w:line="440" w:lineRule="exact"/>
              <w:ind w:left="0" w:right="0"/>
              <w:rPr>
                <w:rFonts w:hint="eastAsia" w:ascii="宋体" w:hAnsi="宋体" w:eastAsia="宋体" w:cs="宋体"/>
                <w:color w:val="000000"/>
                <w:szCs w:val="20"/>
                <w:highlight w:val="none"/>
              </w:rPr>
            </w:pPr>
            <w:r>
              <w:rPr>
                <w:rFonts w:hint="eastAsia" w:ascii="宋体" w:hAnsi="宋体" w:eastAsia="宋体" w:cs="宋体"/>
                <w:color w:val="000000"/>
                <w:szCs w:val="20"/>
                <w:highlight w:val="none"/>
                <w:lang w:val="en-US" w:eastAsia="zh-CN"/>
              </w:rPr>
              <w:t>被</w:t>
            </w:r>
            <w:r>
              <w:rPr>
                <w:rFonts w:hint="eastAsia" w:ascii="宋体" w:hAnsi="宋体" w:eastAsia="宋体" w:cs="宋体"/>
                <w:color w:val="000000"/>
                <w:szCs w:val="20"/>
                <w:highlight w:val="none"/>
              </w:rPr>
              <w:t>控股/</w:t>
            </w:r>
            <w:r>
              <w:rPr>
                <w:rFonts w:hint="eastAsia" w:ascii="宋体" w:hAnsi="宋体" w:eastAsia="宋体" w:cs="宋体"/>
                <w:color w:val="000000"/>
                <w:szCs w:val="20"/>
                <w:highlight w:val="none"/>
                <w:lang w:val="en-US" w:eastAsia="zh-CN"/>
              </w:rPr>
              <w:t>被</w:t>
            </w:r>
            <w:r>
              <w:rPr>
                <w:rFonts w:hint="eastAsia" w:ascii="宋体" w:hAnsi="宋体" w:eastAsia="宋体" w:cs="宋体"/>
                <w:color w:val="000000"/>
                <w:szCs w:val="20"/>
                <w:highlight w:val="none"/>
              </w:rPr>
              <w:t>投资</w:t>
            </w:r>
            <w:r>
              <w:rPr>
                <w:rFonts w:hint="eastAsia" w:ascii="宋体" w:hAnsi="宋体" w:eastAsia="宋体" w:cs="宋体"/>
                <w:color w:val="000000"/>
                <w:szCs w:val="20"/>
                <w:highlight w:val="none"/>
                <w:lang w:val="en-US" w:eastAsia="zh-CN"/>
              </w:rPr>
              <w:t>单位</w:t>
            </w:r>
            <w:r>
              <w:rPr>
                <w:rFonts w:hint="eastAsia" w:ascii="宋体" w:hAnsi="宋体" w:eastAsia="宋体" w:cs="宋体"/>
                <w:color w:val="000000"/>
                <w:szCs w:val="20"/>
                <w:highlight w:val="none"/>
              </w:rPr>
              <w:t>名称及出资比例</w:t>
            </w:r>
          </w:p>
        </w:tc>
        <w:tc>
          <w:tcPr>
            <w:tcW w:w="5570" w:type="dxa"/>
            <w:noWrap w:val="0"/>
            <w:vAlign w:val="center"/>
          </w:tcPr>
          <w:p w14:paraId="6A0BB2A0">
            <w:pPr>
              <w:keepNext w:val="0"/>
              <w:keepLines w:val="0"/>
              <w:suppressLineNumbers w:val="0"/>
              <w:adjustRightInd w:val="0"/>
              <w:snapToGrid w:val="0"/>
              <w:spacing w:before="0" w:beforeAutospacing="0" w:after="0" w:afterAutospacing="0" w:line="440" w:lineRule="exact"/>
              <w:ind w:left="0" w:right="0"/>
              <w:rPr>
                <w:rFonts w:hint="eastAsia" w:ascii="宋体" w:hAnsi="宋体" w:eastAsia="宋体" w:cs="宋体"/>
                <w:color w:val="000000"/>
                <w:szCs w:val="20"/>
                <w:highlight w:val="none"/>
              </w:rPr>
            </w:pPr>
          </w:p>
        </w:tc>
      </w:tr>
      <w:tr w14:paraId="718813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1926" w:type="dxa"/>
            <w:vMerge w:val="restart"/>
            <w:noWrap w:val="0"/>
            <w:vAlign w:val="center"/>
          </w:tcPr>
          <w:p w14:paraId="635E8335">
            <w:pPr>
              <w:keepNext w:val="0"/>
              <w:keepLines w:val="0"/>
              <w:suppressLineNumbers w:val="0"/>
              <w:adjustRightInd w:val="0"/>
              <w:snapToGrid w:val="0"/>
              <w:spacing w:before="0" w:beforeAutospacing="0" w:after="0" w:afterAutospacing="0" w:line="440" w:lineRule="exact"/>
              <w:ind w:left="0" w:right="0"/>
              <w:rPr>
                <w:rFonts w:hint="eastAsia" w:ascii="宋体" w:hAnsi="宋体" w:eastAsia="宋体" w:cs="宋体"/>
                <w:color w:val="000000"/>
                <w:szCs w:val="20"/>
              </w:rPr>
            </w:pPr>
            <w:r>
              <w:rPr>
                <w:rFonts w:hint="eastAsia" w:ascii="宋体" w:hAnsi="宋体" w:eastAsia="宋体" w:cs="宋体"/>
                <w:color w:val="000000"/>
                <w:szCs w:val="20"/>
              </w:rPr>
              <w:t>管理关系</w:t>
            </w:r>
          </w:p>
        </w:tc>
        <w:tc>
          <w:tcPr>
            <w:tcW w:w="2356" w:type="dxa"/>
            <w:noWrap w:val="0"/>
            <w:vAlign w:val="center"/>
          </w:tcPr>
          <w:p w14:paraId="60E422B2">
            <w:pPr>
              <w:keepNext w:val="0"/>
              <w:keepLines w:val="0"/>
              <w:suppressLineNumbers w:val="0"/>
              <w:adjustRightInd w:val="0"/>
              <w:snapToGrid w:val="0"/>
              <w:spacing w:before="0" w:beforeAutospacing="0" w:after="0" w:afterAutospacing="0" w:line="440" w:lineRule="exact"/>
              <w:ind w:left="0" w:right="0"/>
              <w:rPr>
                <w:rFonts w:hint="eastAsia" w:ascii="宋体" w:hAnsi="宋体" w:eastAsia="宋体" w:cs="宋体"/>
                <w:color w:val="000000"/>
                <w:szCs w:val="20"/>
              </w:rPr>
            </w:pPr>
            <w:r>
              <w:rPr>
                <w:rFonts w:hint="eastAsia" w:ascii="宋体" w:hAnsi="宋体" w:eastAsia="宋体" w:cs="宋体"/>
                <w:color w:val="000000"/>
                <w:szCs w:val="20"/>
              </w:rPr>
              <w:t>管理关系单位名称</w:t>
            </w:r>
          </w:p>
        </w:tc>
        <w:tc>
          <w:tcPr>
            <w:tcW w:w="5570" w:type="dxa"/>
            <w:noWrap w:val="0"/>
            <w:vAlign w:val="center"/>
          </w:tcPr>
          <w:p w14:paraId="3AAC65E0">
            <w:pPr>
              <w:keepNext w:val="0"/>
              <w:keepLines w:val="0"/>
              <w:suppressLineNumbers w:val="0"/>
              <w:adjustRightInd w:val="0"/>
              <w:snapToGrid w:val="0"/>
              <w:spacing w:before="0" w:beforeAutospacing="0" w:after="0" w:afterAutospacing="0" w:line="440" w:lineRule="exact"/>
              <w:ind w:left="0" w:right="0"/>
              <w:rPr>
                <w:rFonts w:hint="eastAsia" w:ascii="宋体" w:hAnsi="宋体" w:eastAsia="宋体" w:cs="宋体"/>
                <w:color w:val="000000"/>
                <w:szCs w:val="20"/>
              </w:rPr>
            </w:pPr>
          </w:p>
        </w:tc>
      </w:tr>
      <w:tr w14:paraId="267D84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926" w:type="dxa"/>
            <w:vMerge w:val="continue"/>
            <w:noWrap w:val="0"/>
            <w:vAlign w:val="center"/>
          </w:tcPr>
          <w:p w14:paraId="1F5674BB">
            <w:pPr>
              <w:keepNext w:val="0"/>
              <w:keepLines w:val="0"/>
              <w:suppressLineNumbers w:val="0"/>
              <w:adjustRightInd w:val="0"/>
              <w:snapToGrid w:val="0"/>
              <w:spacing w:before="0" w:beforeAutospacing="0" w:after="0" w:afterAutospacing="0" w:line="440" w:lineRule="exact"/>
              <w:ind w:left="0" w:right="0"/>
              <w:rPr>
                <w:rFonts w:hint="eastAsia" w:ascii="宋体" w:hAnsi="宋体" w:eastAsia="宋体" w:cs="宋体"/>
                <w:color w:val="000000"/>
                <w:szCs w:val="20"/>
              </w:rPr>
            </w:pPr>
          </w:p>
        </w:tc>
        <w:tc>
          <w:tcPr>
            <w:tcW w:w="2356" w:type="dxa"/>
            <w:noWrap w:val="0"/>
            <w:vAlign w:val="center"/>
          </w:tcPr>
          <w:p w14:paraId="4D2389A5">
            <w:pPr>
              <w:keepNext w:val="0"/>
              <w:keepLines w:val="0"/>
              <w:suppressLineNumbers w:val="0"/>
              <w:adjustRightInd w:val="0"/>
              <w:snapToGrid w:val="0"/>
              <w:spacing w:before="0" w:beforeAutospacing="0" w:after="0" w:afterAutospacing="0" w:line="440" w:lineRule="exact"/>
              <w:ind w:left="0" w:right="0"/>
              <w:rPr>
                <w:rFonts w:hint="eastAsia" w:ascii="宋体" w:hAnsi="宋体" w:eastAsia="宋体" w:cs="宋体"/>
                <w:color w:val="000000"/>
                <w:szCs w:val="20"/>
              </w:rPr>
            </w:pPr>
            <w:r>
              <w:rPr>
                <w:rFonts w:hint="eastAsia" w:ascii="宋体" w:hAnsi="宋体" w:eastAsia="宋体" w:cs="宋体"/>
                <w:color w:val="000000"/>
                <w:szCs w:val="20"/>
              </w:rPr>
              <w:t>被管理关系单位名称</w:t>
            </w:r>
          </w:p>
        </w:tc>
        <w:tc>
          <w:tcPr>
            <w:tcW w:w="5570" w:type="dxa"/>
            <w:noWrap w:val="0"/>
            <w:vAlign w:val="center"/>
          </w:tcPr>
          <w:p w14:paraId="75F541B6">
            <w:pPr>
              <w:keepNext w:val="0"/>
              <w:keepLines w:val="0"/>
              <w:suppressLineNumbers w:val="0"/>
              <w:adjustRightInd w:val="0"/>
              <w:snapToGrid w:val="0"/>
              <w:spacing w:before="0" w:beforeAutospacing="0" w:after="0" w:afterAutospacing="0" w:line="440" w:lineRule="exact"/>
              <w:ind w:left="0" w:right="0"/>
              <w:rPr>
                <w:rFonts w:hint="eastAsia" w:ascii="宋体" w:hAnsi="宋体" w:eastAsia="宋体" w:cs="宋体"/>
                <w:color w:val="000000"/>
                <w:szCs w:val="20"/>
              </w:rPr>
            </w:pPr>
          </w:p>
        </w:tc>
      </w:tr>
      <w:tr w14:paraId="38EAFC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9852" w:type="dxa"/>
            <w:gridSpan w:val="3"/>
            <w:noWrap w:val="0"/>
            <w:vAlign w:val="center"/>
          </w:tcPr>
          <w:p w14:paraId="2D836544">
            <w:pPr>
              <w:keepNext w:val="0"/>
              <w:keepLines w:val="0"/>
              <w:suppressLineNumbers w:val="0"/>
              <w:adjustRightInd w:val="0"/>
              <w:snapToGrid w:val="0"/>
              <w:spacing w:before="0" w:beforeAutospacing="0" w:after="0" w:afterAutospacing="0" w:line="440" w:lineRule="exact"/>
              <w:ind w:left="0" w:right="0"/>
              <w:rPr>
                <w:rFonts w:hint="eastAsia" w:ascii="宋体" w:hAnsi="宋体" w:eastAsia="宋体" w:cs="宋体"/>
                <w:color w:val="000000"/>
                <w:szCs w:val="20"/>
              </w:rPr>
            </w:pPr>
            <w:r>
              <w:rPr>
                <w:rFonts w:hint="eastAsia" w:ascii="宋体" w:hAnsi="宋体" w:eastAsia="宋体" w:cs="宋体"/>
                <w:color w:val="000000"/>
                <w:szCs w:val="20"/>
              </w:rPr>
              <w:t>备注：</w:t>
            </w:r>
          </w:p>
        </w:tc>
      </w:tr>
    </w:tbl>
    <w:p w14:paraId="24111EF3">
      <w:pPr>
        <w:adjustRightInd w:val="0"/>
        <w:snapToGrid w:val="0"/>
        <w:spacing w:line="360" w:lineRule="auto"/>
        <w:ind w:left="0" w:leftChars="-295" w:hanging="619" w:hangingChars="258"/>
        <w:rPr>
          <w:rFonts w:hint="eastAsia" w:ascii="宋体" w:hAnsi="宋体" w:eastAsia="宋体" w:cs="宋体"/>
          <w:color w:val="000000"/>
          <w:sz w:val="24"/>
        </w:rPr>
      </w:pPr>
      <w:r>
        <w:rPr>
          <w:rFonts w:hint="eastAsia" w:ascii="宋体" w:hAnsi="宋体" w:eastAsia="宋体" w:cs="宋体"/>
          <w:color w:val="000000"/>
          <w:sz w:val="24"/>
          <w:szCs w:val="24"/>
        </w:rPr>
        <w:t>注</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w:t>
      </w:r>
      <w:r>
        <w:rPr>
          <w:rFonts w:hint="eastAsia" w:ascii="宋体" w:hAnsi="宋体" w:eastAsia="宋体" w:cs="宋体"/>
          <w:color w:val="000000"/>
          <w:sz w:val="24"/>
          <w:szCs w:val="24"/>
          <w:lang w:val="en-US" w:eastAsia="zh-CN"/>
        </w:rPr>
        <w:t>1.</w:t>
      </w:r>
      <w:r>
        <w:rPr>
          <w:rFonts w:hint="eastAsia" w:ascii="宋体" w:hAnsi="宋体" w:eastAsia="宋体" w:cs="宋体"/>
          <w:color w:val="000000"/>
          <w:sz w:val="24"/>
        </w:rPr>
        <w:t>控股股东/投资人是指出资比例在50%以上，或者出资比例不足50%，但享有公司股东会/董事会控制权的投资方（含单位或者个人）；</w:t>
      </w:r>
    </w:p>
    <w:p w14:paraId="67AD7415">
      <w:pPr>
        <w:pStyle w:val="145"/>
        <w:numPr>
          <w:ilvl w:val="0"/>
          <w:numId w:val="0"/>
        </w:numPr>
        <w:adjustRightInd w:val="0"/>
        <w:snapToGrid w:val="0"/>
        <w:spacing w:line="360" w:lineRule="auto"/>
        <w:ind w:leftChars="0"/>
        <w:rPr>
          <w:rFonts w:hint="eastAsia" w:ascii="宋体" w:hAnsi="宋体" w:eastAsia="宋体" w:cs="宋体"/>
          <w:color w:val="000000"/>
          <w:sz w:val="24"/>
        </w:rPr>
      </w:pPr>
      <w:r>
        <w:rPr>
          <w:rFonts w:hint="eastAsia" w:ascii="宋体" w:hAnsi="宋体" w:eastAsia="宋体" w:cs="宋体"/>
          <w:color w:val="000000"/>
          <w:sz w:val="24"/>
          <w:lang w:val="en-US" w:eastAsia="zh-CN"/>
        </w:rPr>
        <w:t>2.</w:t>
      </w:r>
      <w:r>
        <w:rPr>
          <w:rFonts w:hint="eastAsia" w:ascii="宋体" w:hAnsi="宋体" w:eastAsia="宋体" w:cs="宋体"/>
          <w:color w:val="000000"/>
          <w:sz w:val="24"/>
        </w:rPr>
        <w:t xml:space="preserve">管理关系单位是指与不具有出资持股关系的其他单位之间存在管理与被管理关系的单位； </w:t>
      </w:r>
    </w:p>
    <w:p w14:paraId="04DCC3A9">
      <w:pPr>
        <w:pStyle w:val="145"/>
        <w:numPr>
          <w:ilvl w:val="0"/>
          <w:numId w:val="0"/>
        </w:numPr>
        <w:adjustRightInd w:val="0"/>
        <w:snapToGrid w:val="0"/>
        <w:spacing w:line="360" w:lineRule="auto"/>
        <w:ind w:leftChars="0"/>
        <w:rPr>
          <w:rFonts w:hint="eastAsia" w:ascii="宋体" w:hAnsi="宋体" w:eastAsia="宋体" w:cs="宋体"/>
          <w:color w:val="000000"/>
          <w:sz w:val="24"/>
        </w:rPr>
      </w:pPr>
      <w:r>
        <w:rPr>
          <w:rFonts w:hint="eastAsia" w:ascii="宋体" w:hAnsi="宋体" w:eastAsia="宋体" w:cs="宋体"/>
          <w:color w:val="000000"/>
          <w:sz w:val="24"/>
          <w:lang w:val="en-US" w:eastAsia="zh-CN"/>
        </w:rPr>
        <w:t>3.</w:t>
      </w:r>
      <w:r>
        <w:rPr>
          <w:rFonts w:hint="eastAsia" w:ascii="宋体" w:hAnsi="宋体" w:eastAsia="宋体" w:cs="宋体"/>
          <w:color w:val="000000"/>
          <w:sz w:val="24"/>
        </w:rPr>
        <w:t>如未有相关情况，请在相应栏填写“无”。</w:t>
      </w:r>
    </w:p>
    <w:p w14:paraId="767C4796">
      <w:pPr>
        <w:spacing w:line="360" w:lineRule="auto"/>
        <w:ind w:left="480" w:hanging="480" w:hangingChars="200"/>
        <w:rPr>
          <w:rFonts w:hint="eastAsia" w:ascii="宋体" w:hAnsi="宋体" w:eastAsia="宋体" w:cs="宋体"/>
          <w:color w:val="000000"/>
          <w:sz w:val="24"/>
          <w:szCs w:val="24"/>
        </w:rPr>
      </w:pPr>
    </w:p>
    <w:p w14:paraId="07451B11">
      <w:pPr>
        <w:spacing w:line="360" w:lineRule="auto"/>
        <w:ind w:firstLine="4080" w:firstLineChars="1700"/>
        <w:jc w:val="right"/>
        <w:rPr>
          <w:rFonts w:hint="eastAsia" w:ascii="宋体" w:hAnsi="宋体" w:eastAsia="宋体" w:cs="宋体"/>
          <w:color w:val="000000"/>
          <w:sz w:val="24"/>
          <w:szCs w:val="24"/>
        </w:rPr>
      </w:pPr>
      <w:r>
        <w:rPr>
          <w:rFonts w:hint="eastAsia" w:ascii="宋体" w:hAnsi="宋体" w:eastAsia="宋体" w:cs="宋体"/>
          <w:color w:val="000000"/>
          <w:sz w:val="24"/>
          <w:szCs w:val="24"/>
        </w:rPr>
        <w:t>投标人名称：</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（盖章）</w:t>
      </w:r>
    </w:p>
    <w:p w14:paraId="14D0570B">
      <w:pPr>
        <w:spacing w:line="360" w:lineRule="auto"/>
        <w:jc w:val="right"/>
        <w:rPr>
          <w:rFonts w:hint="eastAsia" w:ascii="宋体" w:hAnsi="宋体" w:eastAsia="宋体" w:cs="宋体"/>
        </w:rPr>
      </w:pPr>
      <w:r>
        <w:rPr>
          <w:rFonts w:hint="eastAsia" w:ascii="宋体" w:hAnsi="宋体" w:eastAsia="宋体" w:cs="宋体"/>
          <w:color w:val="000000"/>
          <w:sz w:val="24"/>
          <w:szCs w:val="24"/>
        </w:rPr>
        <w:t>日期：</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日</w:t>
      </w:r>
    </w:p>
    <w:p w14:paraId="41D32BA9">
      <w:pPr>
        <w:pStyle w:val="5"/>
        <w:keepNext/>
        <w:keepLines/>
        <w:pageBreakBefore w:val="0"/>
        <w:widowControl w:val="0"/>
        <w:numPr>
          <w:ilvl w:val="0"/>
          <w:numId w:val="0"/>
        </w:numPr>
        <w:kinsoku/>
        <w:wordWrap/>
        <w:overflowPunct/>
        <w:topLinePunct w:val="0"/>
        <w:autoSpaceDE/>
        <w:autoSpaceDN/>
        <w:bidi w:val="0"/>
        <w:adjustRightInd/>
        <w:snapToGrid/>
        <w:spacing w:line="377" w:lineRule="auto"/>
        <w:ind w:left="283" w:leftChars="0" w:hanging="283" w:firstLineChars="0"/>
        <w:textAlignment w:val="auto"/>
        <w:rPr>
          <w:rFonts w:hint="eastAsia" w:ascii="宋体" w:hAnsi="宋体" w:eastAsia="宋体" w:cs="宋体"/>
          <w:b/>
          <w:bCs/>
          <w:color w:val="000000"/>
          <w:szCs w:val="24"/>
          <w:highlight w:val="none"/>
        </w:rPr>
      </w:pPr>
      <w:r>
        <w:rPr>
          <w:rFonts w:hint="eastAsia" w:ascii="宋体" w:hAnsi="宋体" w:eastAsia="宋体" w:cs="宋体"/>
          <w:b/>
          <w:bCs/>
          <w:color w:val="000000"/>
          <w:kern w:val="2"/>
          <w:sz w:val="24"/>
          <w:szCs w:val="24"/>
          <w:lang w:val="en-US" w:eastAsia="zh-CN" w:bidi="ar-SA"/>
        </w:rPr>
        <w:t>8.</w:t>
      </w:r>
      <w:r>
        <w:rPr>
          <w:rFonts w:hint="eastAsia" w:ascii="宋体" w:hAnsi="宋体" w:eastAsia="宋体" w:cs="宋体"/>
          <w:b/>
          <w:bCs/>
          <w:color w:val="000000"/>
          <w:szCs w:val="24"/>
          <w:highlight w:val="none"/>
        </w:rPr>
        <w:t>非联合体投标声明</w:t>
      </w:r>
    </w:p>
    <w:p w14:paraId="05399D7C">
      <w:pPr>
        <w:pStyle w:val="13"/>
        <w:spacing w:before="240"/>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非联合体投标声明</w:t>
      </w:r>
    </w:p>
    <w:p w14:paraId="78E2295C">
      <w:pPr>
        <w:adjustRightInd w:val="0"/>
        <w:snapToGrid w:val="0"/>
        <w:spacing w:before="24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致：</w:t>
      </w:r>
      <w:r>
        <w:rPr>
          <w:rFonts w:hint="eastAsia" w:ascii="宋体" w:hAnsi="宋体" w:eastAsia="宋体" w:cs="宋体"/>
          <w:color w:val="000000"/>
          <w:sz w:val="24"/>
          <w:highlight w:val="none"/>
          <w:u w:val="single"/>
          <w:lang w:eastAsia="zh-CN"/>
        </w:rPr>
        <w:t>（</w:t>
      </w:r>
      <w:r>
        <w:rPr>
          <w:rFonts w:hint="eastAsia" w:ascii="宋体" w:hAnsi="宋体" w:eastAsia="宋体" w:cs="宋体"/>
          <w:color w:val="000000"/>
          <w:sz w:val="24"/>
          <w:highlight w:val="none"/>
          <w:u w:val="single"/>
          <w:lang w:val="en-US" w:eastAsia="zh-CN"/>
        </w:rPr>
        <w:t>招标人</w:t>
      </w:r>
      <w:r>
        <w:rPr>
          <w:rFonts w:hint="eastAsia" w:ascii="宋体" w:hAnsi="宋体" w:eastAsia="宋体" w:cs="宋体"/>
          <w:color w:val="000000"/>
          <w:sz w:val="24"/>
          <w:highlight w:val="none"/>
          <w:u w:val="single"/>
          <w:lang w:eastAsia="zh-CN"/>
        </w:rPr>
        <w:t>）</w:t>
      </w:r>
      <w:r>
        <w:rPr>
          <w:rFonts w:hint="eastAsia" w:ascii="宋体" w:hAnsi="宋体" w:eastAsia="宋体" w:cs="宋体"/>
          <w:color w:val="000000"/>
          <w:sz w:val="24"/>
          <w:highlight w:val="none"/>
          <w:u w:val="single"/>
        </w:rPr>
        <w:t>：</w:t>
      </w:r>
    </w:p>
    <w:p w14:paraId="0F55969B">
      <w:pPr>
        <w:adjustRightInd w:val="0"/>
        <w:snapToGrid w:val="0"/>
        <w:spacing w:before="240" w:line="360" w:lineRule="auto"/>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rPr>
        <w:t>我方</w:t>
      </w:r>
      <w:r>
        <w:rPr>
          <w:rFonts w:hint="eastAsia" w:ascii="宋体" w:hAnsi="宋体" w:eastAsia="宋体" w:cs="宋体"/>
          <w:color w:val="000000"/>
          <w:sz w:val="24"/>
          <w:highlight w:val="none"/>
          <w:u w:val="single"/>
        </w:rPr>
        <w:t xml:space="preserve">      （投标人名称）   </w:t>
      </w:r>
      <w:r>
        <w:rPr>
          <w:rFonts w:hint="eastAsia" w:ascii="宋体" w:hAnsi="宋体" w:eastAsia="宋体" w:cs="宋体"/>
          <w:color w:val="000000"/>
          <w:sz w:val="24"/>
          <w:highlight w:val="none"/>
        </w:rPr>
        <w:t>独立参与</w:t>
      </w:r>
      <w:r>
        <w:rPr>
          <w:rFonts w:hint="eastAsia" w:ascii="宋体" w:hAnsi="宋体" w:eastAsia="宋体" w:cs="宋体"/>
          <w:color w:val="000000"/>
          <w:sz w:val="24"/>
          <w:highlight w:val="none"/>
          <w:u w:val="single"/>
        </w:rPr>
        <w:t xml:space="preserve">    （项目名称）  的</w:t>
      </w:r>
      <w:r>
        <w:rPr>
          <w:rFonts w:hint="eastAsia" w:ascii="宋体" w:hAnsi="宋体" w:eastAsia="宋体" w:cs="宋体"/>
          <w:color w:val="000000"/>
          <w:sz w:val="24"/>
          <w:highlight w:val="none"/>
        </w:rPr>
        <w:t xml:space="preserve">投标，非联合体参与投标。 </w:t>
      </w:r>
    </w:p>
    <w:p w14:paraId="491633B0">
      <w:pPr>
        <w:pStyle w:val="13"/>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rPr>
        <w:t>特此声明。</w:t>
      </w:r>
    </w:p>
    <w:p w14:paraId="5F9D88F1">
      <w:pPr>
        <w:pStyle w:val="129"/>
        <w:ind w:firstLine="640"/>
        <w:rPr>
          <w:rFonts w:hint="eastAsia" w:ascii="宋体" w:hAnsi="宋体" w:eastAsia="宋体" w:cs="宋体"/>
          <w:highlight w:val="none"/>
        </w:rPr>
      </w:pPr>
    </w:p>
    <w:p w14:paraId="7EAF8EAD">
      <w:pPr>
        <w:pStyle w:val="129"/>
        <w:ind w:firstLine="640"/>
        <w:rPr>
          <w:rFonts w:hint="eastAsia" w:ascii="宋体" w:hAnsi="宋体" w:eastAsia="宋体" w:cs="宋体"/>
          <w:highlight w:val="none"/>
        </w:rPr>
      </w:pPr>
    </w:p>
    <w:p w14:paraId="18B53710">
      <w:pPr>
        <w:pStyle w:val="129"/>
        <w:ind w:firstLine="640"/>
        <w:rPr>
          <w:rFonts w:hint="eastAsia" w:ascii="宋体" w:hAnsi="宋体" w:eastAsia="宋体" w:cs="宋体"/>
          <w:highlight w:val="none"/>
        </w:rPr>
      </w:pPr>
    </w:p>
    <w:p w14:paraId="6AC6A6F5">
      <w:pPr>
        <w:pStyle w:val="129"/>
        <w:ind w:firstLine="640"/>
        <w:rPr>
          <w:rFonts w:hint="eastAsia" w:ascii="宋体" w:hAnsi="宋体" w:eastAsia="宋体" w:cs="宋体"/>
          <w:highlight w:val="none"/>
        </w:rPr>
      </w:pPr>
    </w:p>
    <w:p w14:paraId="004F3E64">
      <w:pPr>
        <w:pStyle w:val="129"/>
        <w:ind w:firstLine="640"/>
        <w:rPr>
          <w:rFonts w:hint="eastAsia" w:ascii="宋体" w:hAnsi="宋体" w:eastAsia="宋体" w:cs="宋体"/>
          <w:highlight w:val="none"/>
        </w:rPr>
      </w:pPr>
    </w:p>
    <w:p w14:paraId="17F834A5">
      <w:pPr>
        <w:pStyle w:val="129"/>
        <w:ind w:firstLine="640"/>
        <w:rPr>
          <w:rFonts w:hint="eastAsia" w:ascii="宋体" w:hAnsi="宋体" w:eastAsia="宋体" w:cs="宋体"/>
          <w:highlight w:val="none"/>
        </w:rPr>
      </w:pPr>
    </w:p>
    <w:p w14:paraId="26924FEA">
      <w:pPr>
        <w:spacing w:line="360" w:lineRule="auto"/>
        <w:ind w:firstLine="4080" w:firstLineChars="1700"/>
        <w:jc w:val="right"/>
        <w:rPr>
          <w:rFonts w:hint="eastAsia" w:ascii="宋体" w:hAnsi="宋体" w:eastAsia="宋体" w:cs="宋体"/>
          <w:color w:val="000000"/>
          <w:sz w:val="24"/>
          <w:highlight w:val="none"/>
        </w:rPr>
      </w:pPr>
      <w:r>
        <w:rPr>
          <w:rFonts w:hint="eastAsia" w:ascii="宋体" w:hAnsi="宋体" w:eastAsia="宋体" w:cs="宋体"/>
          <w:color w:val="000000"/>
          <w:sz w:val="24"/>
          <w:highlight w:val="none"/>
        </w:rPr>
        <w:t>投标人名称：</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（盖章）</w:t>
      </w:r>
    </w:p>
    <w:p w14:paraId="777CCB24">
      <w:pPr>
        <w:pStyle w:val="123"/>
        <w:spacing w:line="360" w:lineRule="auto"/>
        <w:jc w:val="right"/>
        <w:rPr>
          <w:rFonts w:hint="eastAsia" w:ascii="宋体" w:hAnsi="宋体" w:eastAsia="宋体" w:cs="宋体"/>
          <w:color w:val="000000"/>
          <w:highlight w:val="none"/>
        </w:rPr>
        <w:sectPr>
          <w:pgSz w:w="11906" w:h="16838"/>
          <w:pgMar w:top="1417" w:right="1134" w:bottom="1134" w:left="1134" w:header="851" w:footer="992" w:gutter="0"/>
          <w:cols w:space="720" w:num="1"/>
          <w:titlePg/>
          <w:docGrid w:type="lines" w:linePitch="312" w:charSpace="0"/>
        </w:sectPr>
      </w:pPr>
      <w:r>
        <w:rPr>
          <w:rFonts w:hint="eastAsia" w:ascii="宋体" w:hAnsi="宋体" w:eastAsia="宋体" w:cs="宋体"/>
          <w:color w:val="000000"/>
          <w:highlight w:val="none"/>
        </w:rPr>
        <w:t>日期：</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年</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月</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日</w:t>
      </w:r>
    </w:p>
    <w:p w14:paraId="322EBC07">
      <w:pPr>
        <w:rPr>
          <w:rFonts w:hint="eastAsia" w:ascii="宋体" w:hAnsi="宋体" w:eastAsia="宋体" w:cs="宋体"/>
          <w:b/>
          <w:bCs/>
          <w:color w:val="000000"/>
          <w:szCs w:val="24"/>
          <w:highlight w:val="none"/>
          <w:lang w:val="en-US" w:eastAsia="zh-CN"/>
        </w:rPr>
      </w:pPr>
    </w:p>
    <w:p w14:paraId="335B77FA">
      <w:pPr>
        <w:pStyle w:val="5"/>
        <w:keepNext/>
        <w:keepLines/>
        <w:pageBreakBefore w:val="0"/>
        <w:widowControl w:val="0"/>
        <w:numPr>
          <w:ilvl w:val="0"/>
          <w:numId w:val="0"/>
        </w:numPr>
        <w:kinsoku/>
        <w:wordWrap/>
        <w:overflowPunct/>
        <w:topLinePunct w:val="0"/>
        <w:autoSpaceDE/>
        <w:autoSpaceDN/>
        <w:bidi w:val="0"/>
        <w:adjustRightInd/>
        <w:snapToGrid/>
        <w:spacing w:line="377" w:lineRule="auto"/>
        <w:ind w:left="283" w:leftChars="0" w:hanging="283" w:firstLineChars="0"/>
        <w:textAlignment w:val="auto"/>
        <w:rPr>
          <w:rFonts w:hint="eastAsia" w:ascii="宋体" w:hAnsi="宋体" w:eastAsia="宋体" w:cs="宋体"/>
          <w:b/>
          <w:bCs/>
          <w:color w:val="000000"/>
          <w:kern w:val="2"/>
          <w:sz w:val="24"/>
          <w:szCs w:val="24"/>
          <w:lang w:val="en-US" w:eastAsia="zh-CN" w:bidi="ar-SA"/>
        </w:rPr>
      </w:pPr>
      <w:r>
        <w:rPr>
          <w:rFonts w:hint="eastAsia" w:ascii="宋体" w:hAnsi="宋体" w:eastAsia="宋体" w:cs="宋体"/>
          <w:b/>
          <w:bCs/>
          <w:color w:val="000000"/>
          <w:kern w:val="2"/>
          <w:sz w:val="24"/>
          <w:szCs w:val="24"/>
          <w:lang w:val="en-US" w:eastAsia="zh-CN" w:bidi="ar-SA"/>
        </w:rPr>
        <w:t>9.</w:t>
      </w:r>
      <w:r>
        <w:rPr>
          <w:rFonts w:hint="eastAsia" w:ascii="宋体" w:hAnsi="宋体" w:eastAsia="宋体" w:cs="宋体"/>
          <w:b/>
          <w:color w:val="000000"/>
          <w:sz w:val="24"/>
          <w:szCs w:val="24"/>
          <w:highlight w:val="none"/>
          <w:lang w:val="en-US" w:eastAsia="zh-CN"/>
        </w:rPr>
        <w:t>具有履行合同所必需的设备和专业技术能力</w:t>
      </w:r>
    </w:p>
    <w:p w14:paraId="17AE4D2B">
      <w:pPr>
        <w:adjustRightInd w:val="0"/>
        <w:snapToGrid w:val="0"/>
        <w:spacing w:before="24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致：</w:t>
      </w:r>
      <w:r>
        <w:rPr>
          <w:rFonts w:hint="eastAsia" w:ascii="宋体" w:hAnsi="宋体" w:eastAsia="宋体" w:cs="宋体"/>
          <w:color w:val="000000"/>
          <w:sz w:val="24"/>
          <w:highlight w:val="none"/>
          <w:u w:val="single"/>
          <w:lang w:eastAsia="zh-CN"/>
        </w:rPr>
        <w:t>（</w:t>
      </w:r>
      <w:r>
        <w:rPr>
          <w:rFonts w:hint="eastAsia" w:ascii="宋体" w:hAnsi="宋体" w:eastAsia="宋体" w:cs="宋体"/>
          <w:color w:val="000000"/>
          <w:sz w:val="24"/>
          <w:highlight w:val="none"/>
          <w:u w:val="single"/>
          <w:lang w:val="en-US" w:eastAsia="zh-CN"/>
        </w:rPr>
        <w:t>招标人名称</w:t>
      </w:r>
      <w:r>
        <w:rPr>
          <w:rFonts w:hint="eastAsia" w:ascii="宋体" w:hAnsi="宋体" w:eastAsia="宋体" w:cs="宋体"/>
          <w:color w:val="000000"/>
          <w:sz w:val="24"/>
          <w:highlight w:val="none"/>
          <w:u w:val="single"/>
          <w:lang w:eastAsia="zh-CN"/>
        </w:rPr>
        <w:t>）</w:t>
      </w:r>
      <w:r>
        <w:rPr>
          <w:rFonts w:hint="eastAsia" w:ascii="宋体" w:hAnsi="宋体" w:eastAsia="宋体" w:cs="宋体"/>
          <w:color w:val="000000"/>
          <w:sz w:val="24"/>
          <w:highlight w:val="none"/>
          <w:u w:val="single"/>
        </w:rPr>
        <w:t>：</w:t>
      </w:r>
    </w:p>
    <w:p w14:paraId="22B798E9">
      <w:pPr>
        <w:adjustRightInd w:val="0"/>
        <w:snapToGrid w:val="0"/>
        <w:spacing w:before="240" w:line="360" w:lineRule="auto"/>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rPr>
        <w:t>我方</w:t>
      </w:r>
      <w:r>
        <w:rPr>
          <w:rFonts w:hint="eastAsia" w:ascii="宋体" w:hAnsi="宋体" w:eastAsia="宋体" w:cs="宋体"/>
          <w:color w:val="000000"/>
          <w:sz w:val="24"/>
          <w:highlight w:val="none"/>
          <w:u w:val="single"/>
        </w:rPr>
        <w:t xml:space="preserve"> （投标人名称）  </w:t>
      </w:r>
      <w:r>
        <w:rPr>
          <w:rFonts w:hint="eastAsia" w:ascii="宋体" w:hAnsi="宋体" w:eastAsia="宋体" w:cs="宋体"/>
          <w:color w:val="000000"/>
          <w:sz w:val="24"/>
          <w:highlight w:val="none"/>
        </w:rPr>
        <w:t>承诺</w:t>
      </w:r>
      <w:r>
        <w:rPr>
          <w:rFonts w:hint="eastAsia" w:ascii="宋体" w:hAnsi="宋体" w:eastAsia="宋体" w:cs="宋体"/>
          <w:color w:val="000000"/>
          <w:sz w:val="24"/>
          <w:highlight w:val="none"/>
          <w:lang w:val="en-US" w:eastAsia="zh-CN"/>
        </w:rPr>
        <w:t>具有履行合同所必需的设备和专业技术能力。</w:t>
      </w:r>
    </w:p>
    <w:p w14:paraId="1F20D73B">
      <w:pPr>
        <w:pStyle w:val="13"/>
        <w:ind w:firstLine="480" w:firstLineChars="200"/>
        <w:rPr>
          <w:rFonts w:hint="eastAsia" w:ascii="宋体" w:hAnsi="宋体" w:eastAsia="宋体" w:cs="宋体"/>
          <w:color w:val="000000"/>
          <w:sz w:val="24"/>
          <w:highlight w:val="none"/>
        </w:rPr>
      </w:pPr>
    </w:p>
    <w:p w14:paraId="2ABDC279">
      <w:pPr>
        <w:spacing w:line="360" w:lineRule="auto"/>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特此承诺。</w:t>
      </w:r>
    </w:p>
    <w:p w14:paraId="1EF1989E">
      <w:pPr>
        <w:spacing w:line="360" w:lineRule="auto"/>
        <w:jc w:val="right"/>
        <w:rPr>
          <w:rFonts w:hint="eastAsia" w:ascii="宋体" w:hAnsi="宋体" w:eastAsia="宋体" w:cs="宋体"/>
          <w:color w:val="000000"/>
          <w:sz w:val="24"/>
          <w:highlight w:val="none"/>
        </w:rPr>
      </w:pPr>
    </w:p>
    <w:p w14:paraId="7A937DD0">
      <w:pPr>
        <w:spacing w:line="360" w:lineRule="auto"/>
        <w:jc w:val="right"/>
        <w:rPr>
          <w:rFonts w:hint="eastAsia" w:ascii="宋体" w:hAnsi="宋体" w:eastAsia="宋体" w:cs="宋体"/>
          <w:color w:val="000000"/>
          <w:sz w:val="24"/>
          <w:highlight w:val="none"/>
        </w:rPr>
      </w:pPr>
      <w:r>
        <w:rPr>
          <w:rFonts w:hint="eastAsia" w:ascii="宋体" w:hAnsi="宋体" w:eastAsia="宋体" w:cs="宋体"/>
          <w:color w:val="000000"/>
          <w:sz w:val="24"/>
          <w:highlight w:val="none"/>
        </w:rPr>
        <w:t>投标人名称：</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（盖章）</w:t>
      </w:r>
    </w:p>
    <w:p w14:paraId="0B88C017">
      <w:pPr>
        <w:pStyle w:val="123"/>
        <w:spacing w:line="360" w:lineRule="auto"/>
        <w:jc w:val="right"/>
        <w:rPr>
          <w:rFonts w:hint="eastAsia" w:ascii="宋体" w:hAnsi="宋体" w:eastAsia="宋体" w:cs="宋体"/>
          <w:color w:val="000000"/>
          <w:highlight w:val="none"/>
          <w:lang w:val="en-US" w:eastAsia="zh-CN"/>
        </w:rPr>
        <w:sectPr>
          <w:pgSz w:w="11906" w:h="16838"/>
          <w:pgMar w:top="1417" w:right="1134" w:bottom="1134" w:left="1134" w:header="851" w:footer="992" w:gutter="0"/>
          <w:cols w:space="720" w:num="1"/>
          <w:titlePg/>
          <w:docGrid w:type="lines" w:linePitch="312" w:charSpace="0"/>
        </w:sectPr>
      </w:pPr>
      <w:r>
        <w:rPr>
          <w:rFonts w:hint="eastAsia" w:ascii="宋体" w:hAnsi="宋体" w:eastAsia="宋体" w:cs="宋体"/>
          <w:color w:val="000000"/>
          <w:highlight w:val="none"/>
        </w:rPr>
        <w:t>日期：</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年</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月</w:t>
      </w:r>
      <w:r>
        <w:rPr>
          <w:rFonts w:hint="eastAsia" w:ascii="宋体" w:hAnsi="宋体" w:eastAsia="宋体" w:cs="宋体"/>
          <w:color w:val="000000"/>
          <w:highlight w:val="none"/>
          <w:u w:val="single"/>
        </w:rPr>
        <w:t xml:space="preserve">   </w:t>
      </w:r>
      <w:r>
        <w:rPr>
          <w:rFonts w:hint="eastAsia" w:cs="宋体"/>
          <w:color w:val="000000"/>
          <w:highlight w:val="none"/>
          <w:u w:val="none"/>
          <w:lang w:val="en-US" w:eastAsia="zh-CN"/>
        </w:rPr>
        <w:t>日</w:t>
      </w:r>
    </w:p>
    <w:p w14:paraId="04CCF448">
      <w:pPr>
        <w:rPr>
          <w:rFonts w:hint="eastAsia" w:ascii="宋体" w:hAnsi="宋体" w:eastAsia="宋体" w:cs="宋体"/>
          <w:b/>
          <w:bCs/>
          <w:color w:val="000000"/>
          <w:szCs w:val="24"/>
          <w:highlight w:val="none"/>
          <w:lang w:val="en-US" w:eastAsia="zh-CN"/>
        </w:rPr>
      </w:pPr>
    </w:p>
    <w:p w14:paraId="4DDBA44B">
      <w:pPr>
        <w:pStyle w:val="5"/>
        <w:keepNext/>
        <w:keepLines/>
        <w:pageBreakBefore w:val="0"/>
        <w:widowControl w:val="0"/>
        <w:numPr>
          <w:ilvl w:val="0"/>
          <w:numId w:val="0"/>
        </w:numPr>
        <w:kinsoku/>
        <w:wordWrap/>
        <w:overflowPunct/>
        <w:topLinePunct w:val="0"/>
        <w:autoSpaceDE/>
        <w:autoSpaceDN/>
        <w:bidi w:val="0"/>
        <w:adjustRightInd/>
        <w:snapToGrid/>
        <w:spacing w:line="377" w:lineRule="auto"/>
        <w:ind w:left="283" w:leftChars="0"/>
        <w:textAlignment w:val="auto"/>
        <w:rPr>
          <w:rFonts w:hint="eastAsia" w:ascii="宋体" w:hAnsi="宋体" w:eastAsia="宋体" w:cs="宋体"/>
          <w:b w:val="0"/>
          <w:bCs w:val="0"/>
          <w:color w:val="000000"/>
          <w:kern w:val="2"/>
          <w:sz w:val="24"/>
          <w:szCs w:val="20"/>
          <w:highlight w:val="none"/>
          <w:lang w:val="en-US" w:eastAsia="zh-CN" w:bidi="ar-SA"/>
        </w:rPr>
      </w:pPr>
      <w:r>
        <w:rPr>
          <w:rFonts w:hint="eastAsia" w:ascii="宋体" w:hAnsi="宋体" w:eastAsia="宋体" w:cs="宋体"/>
          <w:b/>
          <w:color w:val="000000"/>
          <w:sz w:val="24"/>
          <w:szCs w:val="24"/>
          <w:highlight w:val="none"/>
          <w:lang w:val="en-US" w:eastAsia="zh-CN"/>
        </w:rPr>
        <w:t>10.</w:t>
      </w:r>
      <w:r>
        <w:rPr>
          <w:rFonts w:hint="eastAsia" w:ascii="宋体" w:hAnsi="宋体" w:eastAsia="宋体" w:cs="宋体"/>
          <w:b w:val="0"/>
          <w:bCs w:val="0"/>
          <w:color w:val="000000"/>
          <w:kern w:val="2"/>
          <w:sz w:val="24"/>
          <w:szCs w:val="20"/>
          <w:highlight w:val="none"/>
          <w:lang w:val="en-US" w:eastAsia="zh-CN" w:bidi="ar-SA"/>
        </w:rPr>
        <w:t>投标人具备建设行政主管部门颁发的建筑装修装饰工程专业承包二级（含）及以上资质证书，并同时具备有效的安全生产许可证。（提供相关有效的证书复印件并加盖投标单位公章）</w:t>
      </w:r>
    </w:p>
    <w:p w14:paraId="6D10CC94">
      <w:pPr>
        <w:rPr>
          <w:rFonts w:hint="eastAsia" w:ascii="宋体" w:hAnsi="宋体" w:eastAsia="宋体" w:cs="宋体"/>
          <w:b w:val="0"/>
          <w:bCs w:val="0"/>
          <w:color w:val="000000"/>
          <w:kern w:val="2"/>
          <w:sz w:val="24"/>
          <w:szCs w:val="20"/>
          <w:highlight w:val="none"/>
          <w:lang w:val="en-US" w:eastAsia="zh-CN" w:bidi="ar-SA"/>
        </w:rPr>
      </w:pPr>
      <w:r>
        <w:rPr>
          <w:rFonts w:hint="eastAsia" w:ascii="宋体" w:hAnsi="宋体" w:eastAsia="宋体" w:cs="宋体"/>
          <w:b w:val="0"/>
          <w:bCs w:val="0"/>
          <w:color w:val="000000"/>
          <w:kern w:val="2"/>
          <w:sz w:val="24"/>
          <w:szCs w:val="20"/>
          <w:highlight w:val="none"/>
          <w:lang w:val="en-US" w:eastAsia="zh-CN" w:bidi="ar-SA"/>
        </w:rPr>
        <w:br w:type="page"/>
      </w:r>
    </w:p>
    <w:p w14:paraId="11A381B0">
      <w:pPr>
        <w:spacing w:line="360" w:lineRule="auto"/>
        <w:ind w:firstLine="482" w:firstLineChars="200"/>
        <w:textAlignment w:val="baseline"/>
        <w:outlineLvl w:val="3"/>
        <w:rPr>
          <w:rFonts w:hint="eastAsia" w:ascii="宋体" w:hAnsi="宋体" w:cs="宋体"/>
          <w:b/>
          <w:bCs/>
          <w:color w:val="000000"/>
          <w:sz w:val="24"/>
          <w:szCs w:val="24"/>
          <w:highlight w:val="none"/>
          <w:lang w:val="en-US" w:eastAsia="zh-CN"/>
        </w:rPr>
      </w:pPr>
      <w:r>
        <w:rPr>
          <w:rFonts w:hint="eastAsia" w:ascii="宋体" w:hAnsi="宋体" w:cs="宋体"/>
          <w:b/>
          <w:bCs w:val="0"/>
          <w:color w:val="000000"/>
          <w:sz w:val="24"/>
          <w:szCs w:val="24"/>
          <w:highlight w:val="none"/>
          <w:lang w:val="en-US" w:eastAsia="zh-CN"/>
        </w:rPr>
        <w:t>11.项</w:t>
      </w:r>
      <w:r>
        <w:rPr>
          <w:rFonts w:hint="eastAsia" w:ascii="宋体" w:hAnsi="宋体" w:cs="宋体"/>
          <w:b/>
          <w:bCs/>
          <w:color w:val="000000"/>
          <w:sz w:val="24"/>
          <w:szCs w:val="24"/>
          <w:highlight w:val="none"/>
          <w:lang w:val="en-US" w:eastAsia="zh-CN"/>
        </w:rPr>
        <w:t>目经理须同时具有以下条件</w:t>
      </w:r>
      <w:r>
        <w:rPr>
          <w:rFonts w:hint="eastAsia" w:ascii="宋体" w:hAnsi="宋体" w:cs="宋体"/>
          <w:b w:val="0"/>
          <w:bCs w:val="0"/>
          <w:color w:val="000000"/>
          <w:sz w:val="24"/>
          <w:szCs w:val="24"/>
          <w:highlight w:val="none"/>
          <w:lang w:val="en-US" w:eastAsia="zh-CN"/>
        </w:rPr>
        <w:t>（需提供有效的证明材料并加盖公章）</w:t>
      </w:r>
      <w:r>
        <w:rPr>
          <w:rFonts w:hint="eastAsia" w:ascii="宋体" w:hAnsi="宋体" w:cs="宋体"/>
          <w:b/>
          <w:bCs/>
          <w:color w:val="000000"/>
          <w:sz w:val="24"/>
          <w:szCs w:val="24"/>
          <w:highlight w:val="none"/>
          <w:lang w:val="en-US" w:eastAsia="zh-CN"/>
        </w:rPr>
        <w:t>：</w:t>
      </w:r>
    </w:p>
    <w:p w14:paraId="2948F6B1">
      <w:pPr>
        <w:spacing w:line="360" w:lineRule="auto"/>
        <w:ind w:firstLine="480" w:firstLineChars="200"/>
        <w:textAlignment w:val="baseline"/>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（1）具备建筑工程专业二级及以上建造师资格；</w:t>
      </w:r>
    </w:p>
    <w:p w14:paraId="0F996943">
      <w:pPr>
        <w:spacing w:line="360" w:lineRule="auto"/>
        <w:ind w:firstLine="480" w:firstLineChars="200"/>
        <w:textAlignment w:val="baseline"/>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（2）具备安全生产考核合格证B类；</w:t>
      </w:r>
    </w:p>
    <w:p w14:paraId="684B7ED0">
      <w:pPr>
        <w:spacing w:line="360" w:lineRule="auto"/>
        <w:ind w:firstLine="480" w:firstLineChars="200"/>
        <w:textAlignment w:val="baseline"/>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（3）提供投标人为该项目经理自2025年1月1日至今缴纳的任意三个月的社保缴费证明；</w:t>
      </w:r>
    </w:p>
    <w:p w14:paraId="71E61A51">
      <w:pPr>
        <w:spacing w:line="360" w:lineRule="auto"/>
        <w:ind w:firstLine="480" w:firstLineChars="200"/>
        <w:textAlignment w:val="baseline"/>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（4）未担任其他在施建设工程项目的项目经理或有在建工程但在本项目合同签订之日前可以撤离，并在投标文件中附业主出具的可撤离证明；</w:t>
      </w:r>
    </w:p>
    <w:p w14:paraId="58FCD31C">
      <w:pPr>
        <w:ind w:firstLine="480" w:firstLineChars="200"/>
        <w:rPr>
          <w:rFonts w:hint="eastAsia"/>
          <w:lang w:val="en-US" w:eastAsia="zh-CN"/>
        </w:rPr>
      </w:pPr>
      <w:r>
        <w:rPr>
          <w:rFonts w:hint="eastAsia" w:ascii="宋体" w:hAnsi="宋体" w:cs="宋体"/>
          <w:b w:val="0"/>
          <w:bCs w:val="0"/>
          <w:color w:val="000000"/>
          <w:sz w:val="24"/>
          <w:szCs w:val="24"/>
          <w:highlight w:val="none"/>
          <w:lang w:val="en-US" w:eastAsia="zh-CN"/>
        </w:rPr>
        <w:t>（5）投标人须承诺如若中标，在项目实施期间不得更换项目经理，且在本项目竣工之前不得兼任其它项目的项目经理。</w:t>
      </w:r>
    </w:p>
    <w:p w14:paraId="20BC825B">
      <w:pPr>
        <w:rPr>
          <w:rFonts w:hint="default" w:cs="宋体"/>
          <w:color w:val="000000"/>
          <w:highlight w:val="none"/>
          <w:lang w:val="en-US" w:eastAsia="zh-CN"/>
        </w:rPr>
      </w:pPr>
      <w:r>
        <w:rPr>
          <w:rFonts w:hint="eastAsia" w:ascii="宋体" w:hAnsi="宋体" w:eastAsia="宋体" w:cs="宋体"/>
          <w:b w:val="0"/>
          <w:bCs w:val="0"/>
          <w:color w:val="000000"/>
          <w:kern w:val="2"/>
          <w:sz w:val="24"/>
          <w:szCs w:val="20"/>
          <w:highlight w:val="none"/>
          <w:lang w:val="en-US" w:eastAsia="zh-CN" w:bidi="ar-SA"/>
        </w:rPr>
        <w:br w:type="page"/>
      </w:r>
    </w:p>
    <w:p w14:paraId="0FDA9980">
      <w:pPr>
        <w:pStyle w:val="36"/>
        <w:rPr>
          <w:rFonts w:hint="default"/>
          <w:lang w:val="en-US" w:eastAsia="zh-CN"/>
        </w:rPr>
      </w:pPr>
    </w:p>
    <w:p w14:paraId="0E1E5C75">
      <w:pPr>
        <w:pStyle w:val="4"/>
        <w:ind w:firstLine="0" w:firstLineChars="0"/>
        <w:rPr>
          <w:rFonts w:hint="eastAsia" w:ascii="宋体" w:hAnsi="宋体" w:eastAsia="宋体" w:cs="宋体"/>
          <w:color w:val="000000"/>
          <w:szCs w:val="24"/>
          <w:highlight w:val="none"/>
        </w:rPr>
      </w:pPr>
      <w:bookmarkStart w:id="679" w:name="_Toc109124321"/>
      <w:bookmarkStart w:id="680" w:name="_Toc18208"/>
      <w:bookmarkStart w:id="681" w:name="_Toc6042"/>
      <w:bookmarkStart w:id="682" w:name="_Toc65683009"/>
      <w:r>
        <w:rPr>
          <w:rFonts w:hint="eastAsia" w:ascii="宋体" w:hAnsi="宋体" w:eastAsia="宋体" w:cs="宋体"/>
          <w:color w:val="000000"/>
          <w:szCs w:val="24"/>
          <w:highlight w:val="none"/>
        </w:rPr>
        <w:t>（五）投标人须知应答偏离表</w:t>
      </w:r>
      <w:bookmarkEnd w:id="679"/>
      <w:bookmarkEnd w:id="680"/>
      <w:bookmarkEnd w:id="681"/>
      <w:bookmarkEnd w:id="682"/>
    </w:p>
    <w:p w14:paraId="2D79ECC4">
      <w:pPr>
        <w:spacing w:after="240" w:line="360" w:lineRule="auto"/>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投标人须知应答偏离表</w:t>
      </w:r>
    </w:p>
    <w:p w14:paraId="014D5973">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投标人名称：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w:t>
      </w:r>
    </w:p>
    <w:tbl>
      <w:tblPr>
        <w:tblStyle w:val="37"/>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14:paraId="6AEB7A5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center"/>
          </w:tcPr>
          <w:p w14:paraId="1340861C">
            <w:pPr>
              <w:keepNext w:val="0"/>
              <w:keepLines w:val="0"/>
              <w:suppressLineNumbers w:val="0"/>
              <w:spacing w:before="0" w:beforeAutospacing="0" w:after="0" w:afterAutospacing="0" w:line="360" w:lineRule="auto"/>
              <w:ind w:left="0" w:right="0"/>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序号</w:t>
            </w:r>
          </w:p>
        </w:tc>
        <w:tc>
          <w:tcPr>
            <w:tcW w:w="2285" w:type="dxa"/>
            <w:noWrap w:val="0"/>
            <w:vAlign w:val="center"/>
          </w:tcPr>
          <w:p w14:paraId="5C5855D1">
            <w:pPr>
              <w:keepNext w:val="0"/>
              <w:keepLines w:val="0"/>
              <w:suppressLineNumbers w:val="0"/>
              <w:spacing w:before="0" w:beforeAutospacing="0" w:after="0" w:afterAutospacing="0" w:line="360" w:lineRule="auto"/>
              <w:ind w:left="0" w:right="0"/>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条目号</w:t>
            </w:r>
          </w:p>
        </w:tc>
        <w:tc>
          <w:tcPr>
            <w:tcW w:w="2495" w:type="dxa"/>
            <w:noWrap w:val="0"/>
            <w:vAlign w:val="center"/>
          </w:tcPr>
          <w:p w14:paraId="50CA1870">
            <w:pPr>
              <w:keepNext w:val="0"/>
              <w:keepLines w:val="0"/>
              <w:suppressLineNumbers w:val="0"/>
              <w:spacing w:before="0" w:beforeAutospacing="0" w:after="0" w:afterAutospacing="0" w:line="360" w:lineRule="auto"/>
              <w:ind w:left="0" w:right="0"/>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原文内容</w:t>
            </w:r>
          </w:p>
        </w:tc>
        <w:tc>
          <w:tcPr>
            <w:tcW w:w="2704" w:type="dxa"/>
            <w:noWrap w:val="0"/>
            <w:vAlign w:val="center"/>
          </w:tcPr>
          <w:p w14:paraId="7D201C3D">
            <w:pPr>
              <w:keepNext w:val="0"/>
              <w:keepLines w:val="0"/>
              <w:suppressLineNumbers w:val="0"/>
              <w:spacing w:before="0" w:beforeAutospacing="0" w:after="0" w:afterAutospacing="0" w:line="360" w:lineRule="auto"/>
              <w:ind w:left="0" w:right="0"/>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应答</w:t>
            </w:r>
          </w:p>
        </w:tc>
        <w:tc>
          <w:tcPr>
            <w:tcW w:w="1408" w:type="dxa"/>
            <w:noWrap w:val="0"/>
            <w:vAlign w:val="center"/>
          </w:tcPr>
          <w:p w14:paraId="50E9618A">
            <w:pPr>
              <w:keepNext w:val="0"/>
              <w:keepLines w:val="0"/>
              <w:suppressLineNumbers w:val="0"/>
              <w:spacing w:before="0" w:beforeAutospacing="0" w:after="0" w:afterAutospacing="0" w:line="360" w:lineRule="auto"/>
              <w:ind w:left="0" w:right="0"/>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说明</w:t>
            </w:r>
          </w:p>
        </w:tc>
      </w:tr>
      <w:tr w14:paraId="3475DFE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14:paraId="5DC37297">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p>
        </w:tc>
        <w:tc>
          <w:tcPr>
            <w:tcW w:w="2285" w:type="dxa"/>
            <w:noWrap w:val="0"/>
            <w:vAlign w:val="top"/>
          </w:tcPr>
          <w:p w14:paraId="06E371D2">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p>
        </w:tc>
        <w:tc>
          <w:tcPr>
            <w:tcW w:w="2495" w:type="dxa"/>
            <w:noWrap w:val="0"/>
            <w:vAlign w:val="top"/>
          </w:tcPr>
          <w:p w14:paraId="2C74639B">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p>
        </w:tc>
        <w:tc>
          <w:tcPr>
            <w:tcW w:w="2704" w:type="dxa"/>
            <w:noWrap w:val="0"/>
            <w:vAlign w:val="top"/>
          </w:tcPr>
          <w:p w14:paraId="2E746E69">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p>
        </w:tc>
        <w:tc>
          <w:tcPr>
            <w:tcW w:w="1408" w:type="dxa"/>
            <w:noWrap w:val="0"/>
            <w:vAlign w:val="top"/>
          </w:tcPr>
          <w:p w14:paraId="360ACF71">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p>
        </w:tc>
      </w:tr>
      <w:tr w14:paraId="57C95E5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vAlign w:val="top"/>
          </w:tcPr>
          <w:p w14:paraId="3B81E978">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p>
        </w:tc>
        <w:tc>
          <w:tcPr>
            <w:tcW w:w="2285" w:type="dxa"/>
            <w:noWrap w:val="0"/>
            <w:vAlign w:val="top"/>
          </w:tcPr>
          <w:p w14:paraId="5D84D187">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p>
        </w:tc>
        <w:tc>
          <w:tcPr>
            <w:tcW w:w="2495" w:type="dxa"/>
            <w:noWrap w:val="0"/>
            <w:vAlign w:val="top"/>
          </w:tcPr>
          <w:p w14:paraId="665AADC8">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p>
        </w:tc>
        <w:tc>
          <w:tcPr>
            <w:tcW w:w="2704" w:type="dxa"/>
            <w:noWrap w:val="0"/>
            <w:vAlign w:val="top"/>
          </w:tcPr>
          <w:p w14:paraId="38E1EB13">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p>
        </w:tc>
        <w:tc>
          <w:tcPr>
            <w:tcW w:w="1408" w:type="dxa"/>
            <w:noWrap w:val="0"/>
            <w:vAlign w:val="top"/>
          </w:tcPr>
          <w:p w14:paraId="4C9106A6">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p>
        </w:tc>
      </w:tr>
      <w:tr w14:paraId="7C97B5B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14:paraId="1E7450C3">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p>
        </w:tc>
        <w:tc>
          <w:tcPr>
            <w:tcW w:w="2285" w:type="dxa"/>
            <w:noWrap w:val="0"/>
            <w:vAlign w:val="top"/>
          </w:tcPr>
          <w:p w14:paraId="7857890B">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p>
        </w:tc>
        <w:tc>
          <w:tcPr>
            <w:tcW w:w="2495" w:type="dxa"/>
            <w:noWrap w:val="0"/>
            <w:vAlign w:val="top"/>
          </w:tcPr>
          <w:p w14:paraId="714DA3EF">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p>
        </w:tc>
        <w:tc>
          <w:tcPr>
            <w:tcW w:w="2704" w:type="dxa"/>
            <w:noWrap w:val="0"/>
            <w:vAlign w:val="top"/>
          </w:tcPr>
          <w:p w14:paraId="5B0737D8">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p>
        </w:tc>
        <w:tc>
          <w:tcPr>
            <w:tcW w:w="1408" w:type="dxa"/>
            <w:noWrap w:val="0"/>
            <w:vAlign w:val="top"/>
          </w:tcPr>
          <w:p w14:paraId="67419906">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p>
        </w:tc>
      </w:tr>
      <w:tr w14:paraId="4FCF258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14:paraId="2671053B">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p>
        </w:tc>
        <w:tc>
          <w:tcPr>
            <w:tcW w:w="2285" w:type="dxa"/>
            <w:noWrap w:val="0"/>
            <w:vAlign w:val="top"/>
          </w:tcPr>
          <w:p w14:paraId="61180030">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p>
        </w:tc>
        <w:tc>
          <w:tcPr>
            <w:tcW w:w="2495" w:type="dxa"/>
            <w:noWrap w:val="0"/>
            <w:vAlign w:val="top"/>
          </w:tcPr>
          <w:p w14:paraId="13BB1503">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p>
        </w:tc>
        <w:tc>
          <w:tcPr>
            <w:tcW w:w="2704" w:type="dxa"/>
            <w:noWrap w:val="0"/>
            <w:vAlign w:val="top"/>
          </w:tcPr>
          <w:p w14:paraId="256A7D8A">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p>
        </w:tc>
        <w:tc>
          <w:tcPr>
            <w:tcW w:w="1408" w:type="dxa"/>
            <w:noWrap w:val="0"/>
            <w:vAlign w:val="top"/>
          </w:tcPr>
          <w:p w14:paraId="6E9324EE">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p>
        </w:tc>
      </w:tr>
      <w:tr w14:paraId="662D550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vAlign w:val="top"/>
          </w:tcPr>
          <w:p w14:paraId="6D3DDE11">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p>
        </w:tc>
        <w:tc>
          <w:tcPr>
            <w:tcW w:w="2285" w:type="dxa"/>
            <w:noWrap w:val="0"/>
            <w:vAlign w:val="top"/>
          </w:tcPr>
          <w:p w14:paraId="34CF03DB">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p>
        </w:tc>
        <w:tc>
          <w:tcPr>
            <w:tcW w:w="2495" w:type="dxa"/>
            <w:noWrap w:val="0"/>
            <w:vAlign w:val="top"/>
          </w:tcPr>
          <w:p w14:paraId="7122FEF1">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p>
        </w:tc>
        <w:tc>
          <w:tcPr>
            <w:tcW w:w="2704" w:type="dxa"/>
            <w:noWrap w:val="0"/>
            <w:vAlign w:val="top"/>
          </w:tcPr>
          <w:p w14:paraId="752A6918">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p>
        </w:tc>
        <w:tc>
          <w:tcPr>
            <w:tcW w:w="1408" w:type="dxa"/>
            <w:noWrap w:val="0"/>
            <w:vAlign w:val="top"/>
          </w:tcPr>
          <w:p w14:paraId="586F274C">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p>
        </w:tc>
      </w:tr>
      <w:tr w14:paraId="409530E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14:paraId="3354B342">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p>
        </w:tc>
        <w:tc>
          <w:tcPr>
            <w:tcW w:w="2285" w:type="dxa"/>
            <w:noWrap w:val="0"/>
            <w:vAlign w:val="top"/>
          </w:tcPr>
          <w:p w14:paraId="0ADBDEE6">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p>
        </w:tc>
        <w:tc>
          <w:tcPr>
            <w:tcW w:w="2495" w:type="dxa"/>
            <w:noWrap w:val="0"/>
            <w:vAlign w:val="top"/>
          </w:tcPr>
          <w:p w14:paraId="31512CB5">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p>
        </w:tc>
        <w:tc>
          <w:tcPr>
            <w:tcW w:w="2704" w:type="dxa"/>
            <w:noWrap w:val="0"/>
            <w:vAlign w:val="top"/>
          </w:tcPr>
          <w:p w14:paraId="397A118D">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p>
        </w:tc>
        <w:tc>
          <w:tcPr>
            <w:tcW w:w="1408" w:type="dxa"/>
            <w:noWrap w:val="0"/>
            <w:vAlign w:val="top"/>
          </w:tcPr>
          <w:p w14:paraId="03EDCF02">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p>
        </w:tc>
      </w:tr>
      <w:tr w14:paraId="254B7F0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14:paraId="2D446932">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p>
        </w:tc>
        <w:tc>
          <w:tcPr>
            <w:tcW w:w="2285" w:type="dxa"/>
            <w:noWrap w:val="0"/>
            <w:vAlign w:val="top"/>
          </w:tcPr>
          <w:p w14:paraId="32F490A5">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p>
        </w:tc>
        <w:tc>
          <w:tcPr>
            <w:tcW w:w="2495" w:type="dxa"/>
            <w:noWrap w:val="0"/>
            <w:vAlign w:val="top"/>
          </w:tcPr>
          <w:p w14:paraId="4D1D327B">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p>
        </w:tc>
        <w:tc>
          <w:tcPr>
            <w:tcW w:w="2704" w:type="dxa"/>
            <w:noWrap w:val="0"/>
            <w:vAlign w:val="top"/>
          </w:tcPr>
          <w:p w14:paraId="384C86F2">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p>
        </w:tc>
        <w:tc>
          <w:tcPr>
            <w:tcW w:w="1408" w:type="dxa"/>
            <w:noWrap w:val="0"/>
            <w:vAlign w:val="top"/>
          </w:tcPr>
          <w:p w14:paraId="355818A5">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p>
        </w:tc>
      </w:tr>
      <w:tr w14:paraId="4D0D4B2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vAlign w:val="top"/>
          </w:tcPr>
          <w:p w14:paraId="2084269B">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p>
        </w:tc>
        <w:tc>
          <w:tcPr>
            <w:tcW w:w="2285" w:type="dxa"/>
            <w:noWrap w:val="0"/>
            <w:vAlign w:val="top"/>
          </w:tcPr>
          <w:p w14:paraId="74FB7B51">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p>
        </w:tc>
        <w:tc>
          <w:tcPr>
            <w:tcW w:w="2495" w:type="dxa"/>
            <w:noWrap w:val="0"/>
            <w:vAlign w:val="top"/>
          </w:tcPr>
          <w:p w14:paraId="1D9301CC">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p>
        </w:tc>
        <w:tc>
          <w:tcPr>
            <w:tcW w:w="2704" w:type="dxa"/>
            <w:noWrap w:val="0"/>
            <w:vAlign w:val="top"/>
          </w:tcPr>
          <w:p w14:paraId="5D02CC85">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p>
        </w:tc>
        <w:tc>
          <w:tcPr>
            <w:tcW w:w="1408" w:type="dxa"/>
            <w:noWrap w:val="0"/>
            <w:vAlign w:val="top"/>
          </w:tcPr>
          <w:p w14:paraId="09320907">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p>
        </w:tc>
      </w:tr>
      <w:tr w14:paraId="1820043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14:paraId="07ED3915">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p>
        </w:tc>
        <w:tc>
          <w:tcPr>
            <w:tcW w:w="2285" w:type="dxa"/>
            <w:noWrap w:val="0"/>
            <w:vAlign w:val="top"/>
          </w:tcPr>
          <w:p w14:paraId="5E7A1903">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p>
        </w:tc>
        <w:tc>
          <w:tcPr>
            <w:tcW w:w="2495" w:type="dxa"/>
            <w:noWrap w:val="0"/>
            <w:vAlign w:val="top"/>
          </w:tcPr>
          <w:p w14:paraId="0A3DFC3A">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p>
        </w:tc>
        <w:tc>
          <w:tcPr>
            <w:tcW w:w="2704" w:type="dxa"/>
            <w:noWrap w:val="0"/>
            <w:vAlign w:val="top"/>
          </w:tcPr>
          <w:p w14:paraId="0F53FB7C">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p>
        </w:tc>
        <w:tc>
          <w:tcPr>
            <w:tcW w:w="1408" w:type="dxa"/>
            <w:noWrap w:val="0"/>
            <w:vAlign w:val="top"/>
          </w:tcPr>
          <w:p w14:paraId="1BA71039">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p>
        </w:tc>
      </w:tr>
      <w:tr w14:paraId="058BE10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vAlign w:val="top"/>
          </w:tcPr>
          <w:p w14:paraId="3F4BF365">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p>
        </w:tc>
        <w:tc>
          <w:tcPr>
            <w:tcW w:w="2285" w:type="dxa"/>
            <w:noWrap w:val="0"/>
            <w:vAlign w:val="top"/>
          </w:tcPr>
          <w:p w14:paraId="67E7AEF5">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p>
        </w:tc>
        <w:tc>
          <w:tcPr>
            <w:tcW w:w="2495" w:type="dxa"/>
            <w:noWrap w:val="0"/>
            <w:vAlign w:val="top"/>
          </w:tcPr>
          <w:p w14:paraId="174E5A35">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p>
        </w:tc>
        <w:tc>
          <w:tcPr>
            <w:tcW w:w="2704" w:type="dxa"/>
            <w:noWrap w:val="0"/>
            <w:vAlign w:val="top"/>
          </w:tcPr>
          <w:p w14:paraId="1BED559F">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p>
        </w:tc>
        <w:tc>
          <w:tcPr>
            <w:tcW w:w="1408" w:type="dxa"/>
            <w:noWrap w:val="0"/>
            <w:vAlign w:val="top"/>
          </w:tcPr>
          <w:p w14:paraId="42538F31">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p>
        </w:tc>
      </w:tr>
    </w:tbl>
    <w:p w14:paraId="29E365A8">
      <w:pPr>
        <w:spacing w:line="360" w:lineRule="auto"/>
        <w:ind w:left="480" w:hanging="480" w:hangingChars="200"/>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注：所有偏离须在本表中列出，未在本偏离表中列出偏离，将视为投标人已完全接受招标文件要求</w:t>
      </w:r>
      <w:r>
        <w:rPr>
          <w:rFonts w:hint="eastAsia" w:ascii="宋体" w:hAnsi="宋体" w:eastAsia="宋体" w:cs="宋体"/>
          <w:b/>
          <w:bCs/>
          <w:color w:val="000000"/>
          <w:sz w:val="24"/>
          <w:szCs w:val="24"/>
          <w:highlight w:val="none"/>
        </w:rPr>
        <w:t>。如全部满足，在偏离表中应答“全部满足”即可。</w:t>
      </w:r>
    </w:p>
    <w:p w14:paraId="2344AC5F">
      <w:pPr>
        <w:spacing w:line="360" w:lineRule="auto"/>
        <w:ind w:firstLine="4080" w:firstLineChars="1700"/>
        <w:jc w:val="right"/>
        <w:rPr>
          <w:rFonts w:hint="eastAsia" w:ascii="宋体" w:hAnsi="宋体" w:eastAsia="宋体" w:cs="宋体"/>
          <w:color w:val="000000"/>
          <w:sz w:val="24"/>
          <w:szCs w:val="24"/>
          <w:highlight w:val="none"/>
        </w:rPr>
      </w:pPr>
    </w:p>
    <w:p w14:paraId="7D19147B">
      <w:pPr>
        <w:spacing w:line="360" w:lineRule="auto"/>
        <w:ind w:firstLine="4080" w:firstLineChars="1700"/>
        <w:jc w:val="righ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投标人名称：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（盖章）</w:t>
      </w:r>
    </w:p>
    <w:p w14:paraId="194B1E62">
      <w:pPr>
        <w:spacing w:line="360" w:lineRule="auto"/>
        <w:jc w:val="right"/>
        <w:rPr>
          <w:rFonts w:hint="eastAsia" w:ascii="宋体" w:hAnsi="宋体" w:eastAsia="宋体" w:cs="宋体"/>
          <w:color w:val="000000"/>
          <w:sz w:val="24"/>
          <w:szCs w:val="24"/>
          <w:highlight w:val="none"/>
        </w:rPr>
        <w:sectPr>
          <w:pgSz w:w="11906" w:h="16838"/>
          <w:pgMar w:top="1417" w:right="1134" w:bottom="1134" w:left="1134" w:header="851" w:footer="992" w:gutter="0"/>
          <w:cols w:space="720" w:num="1"/>
          <w:titlePg/>
          <w:docGrid w:type="lines" w:linePitch="312" w:charSpace="0"/>
        </w:sectPr>
      </w:pPr>
      <w:r>
        <w:rPr>
          <w:rFonts w:hint="eastAsia" w:ascii="宋体" w:hAnsi="宋体" w:eastAsia="宋体" w:cs="宋体"/>
          <w:color w:val="000000"/>
          <w:sz w:val="24"/>
          <w:szCs w:val="24"/>
          <w:highlight w:val="none"/>
        </w:rPr>
        <w:t>日期：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日</w:t>
      </w:r>
    </w:p>
    <w:p w14:paraId="124C6523">
      <w:pPr>
        <w:pStyle w:val="4"/>
        <w:spacing w:line="360" w:lineRule="auto"/>
        <w:ind w:firstLine="0" w:firstLineChars="0"/>
        <w:rPr>
          <w:rFonts w:hint="eastAsia" w:ascii="宋体" w:hAnsi="宋体" w:eastAsia="宋体" w:cs="宋体"/>
          <w:color w:val="000000"/>
          <w:szCs w:val="24"/>
          <w:highlight w:val="none"/>
        </w:rPr>
      </w:pPr>
      <w:bookmarkStart w:id="683" w:name="_Toc109124322"/>
      <w:bookmarkStart w:id="684" w:name="_Toc8442"/>
      <w:bookmarkStart w:id="685" w:name="_Toc65683010"/>
      <w:bookmarkStart w:id="686" w:name="_Toc7363"/>
      <w:r>
        <w:rPr>
          <w:rFonts w:hint="eastAsia" w:ascii="宋体" w:hAnsi="宋体" w:eastAsia="宋体" w:cs="宋体"/>
          <w:color w:val="000000"/>
          <w:szCs w:val="24"/>
          <w:highlight w:val="none"/>
        </w:rPr>
        <w:t>（六）合同条款应答偏离表</w:t>
      </w:r>
      <w:bookmarkEnd w:id="683"/>
      <w:bookmarkEnd w:id="684"/>
      <w:bookmarkEnd w:id="685"/>
      <w:bookmarkEnd w:id="686"/>
    </w:p>
    <w:p w14:paraId="502C87CB">
      <w:pPr>
        <w:spacing w:line="360" w:lineRule="auto"/>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合同条款应答偏离表</w:t>
      </w:r>
    </w:p>
    <w:p w14:paraId="6BA2BB23">
      <w:pPr>
        <w:spacing w:line="360" w:lineRule="auto"/>
        <w:rPr>
          <w:rFonts w:hint="eastAsia" w:ascii="宋体" w:hAnsi="宋体" w:eastAsia="宋体" w:cs="宋体"/>
          <w:color w:val="000000"/>
          <w:highlight w:val="none"/>
        </w:rPr>
      </w:pPr>
      <w:r>
        <w:rPr>
          <w:rFonts w:hint="eastAsia" w:ascii="宋体" w:hAnsi="宋体" w:eastAsia="宋体" w:cs="宋体"/>
          <w:color w:val="000000"/>
          <w:sz w:val="24"/>
          <w:szCs w:val="24"/>
          <w:highlight w:val="none"/>
        </w:rPr>
        <w:t>投标人名称：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w:t>
      </w:r>
    </w:p>
    <w:tbl>
      <w:tblPr>
        <w:tblStyle w:val="37"/>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14:paraId="77DC868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center"/>
          </w:tcPr>
          <w:p w14:paraId="1DB71E4C">
            <w:pPr>
              <w:keepNext w:val="0"/>
              <w:keepLines w:val="0"/>
              <w:suppressLineNumbers w:val="0"/>
              <w:spacing w:before="0" w:beforeAutospacing="0" w:after="0" w:afterAutospacing="0" w:line="360" w:lineRule="auto"/>
              <w:ind w:left="0" w:right="0"/>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序号</w:t>
            </w:r>
          </w:p>
        </w:tc>
        <w:tc>
          <w:tcPr>
            <w:tcW w:w="2285" w:type="dxa"/>
            <w:noWrap w:val="0"/>
            <w:vAlign w:val="center"/>
          </w:tcPr>
          <w:p w14:paraId="597C8010">
            <w:pPr>
              <w:keepNext w:val="0"/>
              <w:keepLines w:val="0"/>
              <w:suppressLineNumbers w:val="0"/>
              <w:spacing w:before="0" w:beforeAutospacing="0" w:after="0" w:afterAutospacing="0" w:line="360" w:lineRule="auto"/>
              <w:ind w:left="0" w:right="0"/>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条目号</w:t>
            </w:r>
          </w:p>
        </w:tc>
        <w:tc>
          <w:tcPr>
            <w:tcW w:w="2495" w:type="dxa"/>
            <w:noWrap w:val="0"/>
            <w:vAlign w:val="center"/>
          </w:tcPr>
          <w:p w14:paraId="376D3404">
            <w:pPr>
              <w:keepNext w:val="0"/>
              <w:keepLines w:val="0"/>
              <w:suppressLineNumbers w:val="0"/>
              <w:spacing w:before="0" w:beforeAutospacing="0" w:after="0" w:afterAutospacing="0" w:line="360" w:lineRule="auto"/>
              <w:ind w:left="0" w:right="0"/>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原文内容</w:t>
            </w:r>
          </w:p>
        </w:tc>
        <w:tc>
          <w:tcPr>
            <w:tcW w:w="2704" w:type="dxa"/>
            <w:noWrap w:val="0"/>
            <w:vAlign w:val="center"/>
          </w:tcPr>
          <w:p w14:paraId="658663FA">
            <w:pPr>
              <w:keepNext w:val="0"/>
              <w:keepLines w:val="0"/>
              <w:suppressLineNumbers w:val="0"/>
              <w:spacing w:before="0" w:beforeAutospacing="0" w:after="0" w:afterAutospacing="0" w:line="360" w:lineRule="auto"/>
              <w:ind w:left="0" w:right="0"/>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应答</w:t>
            </w:r>
          </w:p>
        </w:tc>
        <w:tc>
          <w:tcPr>
            <w:tcW w:w="1408" w:type="dxa"/>
            <w:noWrap w:val="0"/>
            <w:vAlign w:val="center"/>
          </w:tcPr>
          <w:p w14:paraId="72159ADC">
            <w:pPr>
              <w:keepNext w:val="0"/>
              <w:keepLines w:val="0"/>
              <w:suppressLineNumbers w:val="0"/>
              <w:spacing w:before="0" w:beforeAutospacing="0" w:after="0" w:afterAutospacing="0" w:line="360" w:lineRule="auto"/>
              <w:ind w:left="0" w:right="0"/>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说明</w:t>
            </w:r>
          </w:p>
        </w:tc>
      </w:tr>
      <w:tr w14:paraId="6246EB9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14:paraId="412B007A">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p>
        </w:tc>
        <w:tc>
          <w:tcPr>
            <w:tcW w:w="2285" w:type="dxa"/>
            <w:noWrap w:val="0"/>
            <w:vAlign w:val="top"/>
          </w:tcPr>
          <w:p w14:paraId="264BC262">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p>
        </w:tc>
        <w:tc>
          <w:tcPr>
            <w:tcW w:w="2495" w:type="dxa"/>
            <w:noWrap w:val="0"/>
            <w:vAlign w:val="top"/>
          </w:tcPr>
          <w:p w14:paraId="08126E8D">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p>
        </w:tc>
        <w:tc>
          <w:tcPr>
            <w:tcW w:w="2704" w:type="dxa"/>
            <w:noWrap w:val="0"/>
            <w:vAlign w:val="top"/>
          </w:tcPr>
          <w:p w14:paraId="78C7447D">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p>
        </w:tc>
        <w:tc>
          <w:tcPr>
            <w:tcW w:w="1408" w:type="dxa"/>
            <w:noWrap w:val="0"/>
            <w:vAlign w:val="top"/>
          </w:tcPr>
          <w:p w14:paraId="4BD1177A">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p>
        </w:tc>
      </w:tr>
      <w:tr w14:paraId="1354CA2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vAlign w:val="top"/>
          </w:tcPr>
          <w:p w14:paraId="663AACA1">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p>
        </w:tc>
        <w:tc>
          <w:tcPr>
            <w:tcW w:w="2285" w:type="dxa"/>
            <w:noWrap w:val="0"/>
            <w:vAlign w:val="top"/>
          </w:tcPr>
          <w:p w14:paraId="2F516484">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p>
        </w:tc>
        <w:tc>
          <w:tcPr>
            <w:tcW w:w="2495" w:type="dxa"/>
            <w:noWrap w:val="0"/>
            <w:vAlign w:val="top"/>
          </w:tcPr>
          <w:p w14:paraId="09AEFCE7">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p>
        </w:tc>
        <w:tc>
          <w:tcPr>
            <w:tcW w:w="2704" w:type="dxa"/>
            <w:noWrap w:val="0"/>
            <w:vAlign w:val="top"/>
          </w:tcPr>
          <w:p w14:paraId="224024C1">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p>
        </w:tc>
        <w:tc>
          <w:tcPr>
            <w:tcW w:w="1408" w:type="dxa"/>
            <w:noWrap w:val="0"/>
            <w:vAlign w:val="top"/>
          </w:tcPr>
          <w:p w14:paraId="31229231">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p>
        </w:tc>
      </w:tr>
      <w:tr w14:paraId="51D722A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14:paraId="03755A60">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p>
        </w:tc>
        <w:tc>
          <w:tcPr>
            <w:tcW w:w="2285" w:type="dxa"/>
            <w:noWrap w:val="0"/>
            <w:vAlign w:val="top"/>
          </w:tcPr>
          <w:p w14:paraId="4B876E28">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p>
        </w:tc>
        <w:tc>
          <w:tcPr>
            <w:tcW w:w="2495" w:type="dxa"/>
            <w:noWrap w:val="0"/>
            <w:vAlign w:val="top"/>
          </w:tcPr>
          <w:p w14:paraId="41997D93">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p>
        </w:tc>
        <w:tc>
          <w:tcPr>
            <w:tcW w:w="2704" w:type="dxa"/>
            <w:noWrap w:val="0"/>
            <w:vAlign w:val="top"/>
          </w:tcPr>
          <w:p w14:paraId="6A30FDC5">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p>
        </w:tc>
        <w:tc>
          <w:tcPr>
            <w:tcW w:w="1408" w:type="dxa"/>
            <w:noWrap w:val="0"/>
            <w:vAlign w:val="top"/>
          </w:tcPr>
          <w:p w14:paraId="55A80D5B">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p>
        </w:tc>
      </w:tr>
      <w:tr w14:paraId="6CE4483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14:paraId="496A5A6E">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p>
        </w:tc>
        <w:tc>
          <w:tcPr>
            <w:tcW w:w="2285" w:type="dxa"/>
            <w:noWrap w:val="0"/>
            <w:vAlign w:val="top"/>
          </w:tcPr>
          <w:p w14:paraId="19D5148B">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p>
        </w:tc>
        <w:tc>
          <w:tcPr>
            <w:tcW w:w="2495" w:type="dxa"/>
            <w:noWrap w:val="0"/>
            <w:vAlign w:val="top"/>
          </w:tcPr>
          <w:p w14:paraId="473B80A2">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p>
        </w:tc>
        <w:tc>
          <w:tcPr>
            <w:tcW w:w="2704" w:type="dxa"/>
            <w:noWrap w:val="0"/>
            <w:vAlign w:val="top"/>
          </w:tcPr>
          <w:p w14:paraId="3F16E1E3">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p>
        </w:tc>
        <w:tc>
          <w:tcPr>
            <w:tcW w:w="1408" w:type="dxa"/>
            <w:noWrap w:val="0"/>
            <w:vAlign w:val="top"/>
          </w:tcPr>
          <w:p w14:paraId="516CFCE1">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p>
        </w:tc>
      </w:tr>
      <w:tr w14:paraId="7FB20D5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vAlign w:val="top"/>
          </w:tcPr>
          <w:p w14:paraId="4DB40F8F">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p>
        </w:tc>
        <w:tc>
          <w:tcPr>
            <w:tcW w:w="2285" w:type="dxa"/>
            <w:noWrap w:val="0"/>
            <w:vAlign w:val="top"/>
          </w:tcPr>
          <w:p w14:paraId="380B6344">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p>
        </w:tc>
        <w:tc>
          <w:tcPr>
            <w:tcW w:w="2495" w:type="dxa"/>
            <w:noWrap w:val="0"/>
            <w:vAlign w:val="top"/>
          </w:tcPr>
          <w:p w14:paraId="31E263CA">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p>
        </w:tc>
        <w:tc>
          <w:tcPr>
            <w:tcW w:w="2704" w:type="dxa"/>
            <w:noWrap w:val="0"/>
            <w:vAlign w:val="top"/>
          </w:tcPr>
          <w:p w14:paraId="25AB582C">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p>
        </w:tc>
        <w:tc>
          <w:tcPr>
            <w:tcW w:w="1408" w:type="dxa"/>
            <w:noWrap w:val="0"/>
            <w:vAlign w:val="top"/>
          </w:tcPr>
          <w:p w14:paraId="42DB1F56">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p>
        </w:tc>
      </w:tr>
      <w:tr w14:paraId="6A11ADE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14:paraId="1D8D0600">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p>
        </w:tc>
        <w:tc>
          <w:tcPr>
            <w:tcW w:w="2285" w:type="dxa"/>
            <w:noWrap w:val="0"/>
            <w:vAlign w:val="top"/>
          </w:tcPr>
          <w:p w14:paraId="3044F331">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p>
        </w:tc>
        <w:tc>
          <w:tcPr>
            <w:tcW w:w="2495" w:type="dxa"/>
            <w:noWrap w:val="0"/>
            <w:vAlign w:val="top"/>
          </w:tcPr>
          <w:p w14:paraId="010E640F">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p>
        </w:tc>
        <w:tc>
          <w:tcPr>
            <w:tcW w:w="2704" w:type="dxa"/>
            <w:noWrap w:val="0"/>
            <w:vAlign w:val="top"/>
          </w:tcPr>
          <w:p w14:paraId="2B057B20">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p>
        </w:tc>
        <w:tc>
          <w:tcPr>
            <w:tcW w:w="1408" w:type="dxa"/>
            <w:noWrap w:val="0"/>
            <w:vAlign w:val="top"/>
          </w:tcPr>
          <w:p w14:paraId="7ED14C75">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p>
        </w:tc>
      </w:tr>
      <w:tr w14:paraId="2C40701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14:paraId="366DF551">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p>
        </w:tc>
        <w:tc>
          <w:tcPr>
            <w:tcW w:w="2285" w:type="dxa"/>
            <w:noWrap w:val="0"/>
            <w:vAlign w:val="top"/>
          </w:tcPr>
          <w:p w14:paraId="282F1DE0">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p>
        </w:tc>
        <w:tc>
          <w:tcPr>
            <w:tcW w:w="2495" w:type="dxa"/>
            <w:noWrap w:val="0"/>
            <w:vAlign w:val="top"/>
          </w:tcPr>
          <w:p w14:paraId="752940DB">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p>
        </w:tc>
        <w:tc>
          <w:tcPr>
            <w:tcW w:w="2704" w:type="dxa"/>
            <w:noWrap w:val="0"/>
            <w:vAlign w:val="top"/>
          </w:tcPr>
          <w:p w14:paraId="498C1994">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p>
        </w:tc>
        <w:tc>
          <w:tcPr>
            <w:tcW w:w="1408" w:type="dxa"/>
            <w:noWrap w:val="0"/>
            <w:vAlign w:val="top"/>
          </w:tcPr>
          <w:p w14:paraId="29D06A28">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p>
        </w:tc>
      </w:tr>
      <w:tr w14:paraId="34612F1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vAlign w:val="top"/>
          </w:tcPr>
          <w:p w14:paraId="120CD5A3">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p>
        </w:tc>
        <w:tc>
          <w:tcPr>
            <w:tcW w:w="2285" w:type="dxa"/>
            <w:noWrap w:val="0"/>
            <w:vAlign w:val="top"/>
          </w:tcPr>
          <w:p w14:paraId="30729EB3">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p>
        </w:tc>
        <w:tc>
          <w:tcPr>
            <w:tcW w:w="2495" w:type="dxa"/>
            <w:noWrap w:val="0"/>
            <w:vAlign w:val="top"/>
          </w:tcPr>
          <w:p w14:paraId="2D48EB40">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p>
        </w:tc>
        <w:tc>
          <w:tcPr>
            <w:tcW w:w="2704" w:type="dxa"/>
            <w:noWrap w:val="0"/>
            <w:vAlign w:val="top"/>
          </w:tcPr>
          <w:p w14:paraId="68AC60F1">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p>
        </w:tc>
        <w:tc>
          <w:tcPr>
            <w:tcW w:w="1408" w:type="dxa"/>
            <w:noWrap w:val="0"/>
            <w:vAlign w:val="top"/>
          </w:tcPr>
          <w:p w14:paraId="0AA97D37">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p>
        </w:tc>
      </w:tr>
      <w:tr w14:paraId="2E4E8C0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14:paraId="052414F5">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p>
        </w:tc>
        <w:tc>
          <w:tcPr>
            <w:tcW w:w="2285" w:type="dxa"/>
            <w:noWrap w:val="0"/>
            <w:vAlign w:val="top"/>
          </w:tcPr>
          <w:p w14:paraId="00EFD89B">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p>
        </w:tc>
        <w:tc>
          <w:tcPr>
            <w:tcW w:w="2495" w:type="dxa"/>
            <w:noWrap w:val="0"/>
            <w:vAlign w:val="top"/>
          </w:tcPr>
          <w:p w14:paraId="00BB56AA">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p>
        </w:tc>
        <w:tc>
          <w:tcPr>
            <w:tcW w:w="2704" w:type="dxa"/>
            <w:noWrap w:val="0"/>
            <w:vAlign w:val="top"/>
          </w:tcPr>
          <w:p w14:paraId="2CB5110E">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p>
        </w:tc>
        <w:tc>
          <w:tcPr>
            <w:tcW w:w="1408" w:type="dxa"/>
            <w:noWrap w:val="0"/>
            <w:vAlign w:val="top"/>
          </w:tcPr>
          <w:p w14:paraId="29E0F684">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p>
        </w:tc>
      </w:tr>
      <w:tr w14:paraId="5B0B7B8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vAlign w:val="top"/>
          </w:tcPr>
          <w:p w14:paraId="6312DF3C">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p>
        </w:tc>
        <w:tc>
          <w:tcPr>
            <w:tcW w:w="2285" w:type="dxa"/>
            <w:noWrap w:val="0"/>
            <w:vAlign w:val="top"/>
          </w:tcPr>
          <w:p w14:paraId="34C81379">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p>
        </w:tc>
        <w:tc>
          <w:tcPr>
            <w:tcW w:w="2495" w:type="dxa"/>
            <w:noWrap w:val="0"/>
            <w:vAlign w:val="top"/>
          </w:tcPr>
          <w:p w14:paraId="0B3FBB55">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p>
        </w:tc>
        <w:tc>
          <w:tcPr>
            <w:tcW w:w="2704" w:type="dxa"/>
            <w:noWrap w:val="0"/>
            <w:vAlign w:val="top"/>
          </w:tcPr>
          <w:p w14:paraId="6246F8D9">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p>
        </w:tc>
        <w:tc>
          <w:tcPr>
            <w:tcW w:w="1408" w:type="dxa"/>
            <w:noWrap w:val="0"/>
            <w:vAlign w:val="top"/>
          </w:tcPr>
          <w:p w14:paraId="08474C1B">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p>
        </w:tc>
      </w:tr>
    </w:tbl>
    <w:p w14:paraId="59353AE5">
      <w:pPr>
        <w:spacing w:line="360" w:lineRule="auto"/>
        <w:ind w:left="480" w:hanging="480" w:hangingChars="200"/>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注：所有偏离必须在本表中列出，未在本偏离表中列出偏离，将视为投标人已完全接受招标文件要求。</w:t>
      </w:r>
      <w:r>
        <w:rPr>
          <w:rFonts w:hint="eastAsia" w:ascii="宋体" w:hAnsi="宋体" w:eastAsia="宋体" w:cs="宋体"/>
          <w:b/>
          <w:bCs/>
          <w:color w:val="000000"/>
          <w:sz w:val="24"/>
          <w:szCs w:val="24"/>
          <w:highlight w:val="none"/>
        </w:rPr>
        <w:t>如全部满足，在偏离表中应答“全部满足”即可。</w:t>
      </w:r>
    </w:p>
    <w:p w14:paraId="5E83C17D">
      <w:pPr>
        <w:spacing w:line="360" w:lineRule="auto"/>
        <w:ind w:firstLine="4080" w:firstLineChars="1700"/>
        <w:jc w:val="right"/>
        <w:rPr>
          <w:rFonts w:hint="eastAsia" w:ascii="宋体" w:hAnsi="宋体" w:eastAsia="宋体" w:cs="宋体"/>
          <w:color w:val="000000"/>
          <w:sz w:val="24"/>
          <w:szCs w:val="24"/>
          <w:highlight w:val="none"/>
        </w:rPr>
      </w:pPr>
    </w:p>
    <w:p w14:paraId="4B3DE818">
      <w:pPr>
        <w:spacing w:line="360" w:lineRule="auto"/>
        <w:ind w:firstLine="4080" w:firstLineChars="1700"/>
        <w:jc w:val="righ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投标人名称：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（盖章）</w:t>
      </w:r>
    </w:p>
    <w:p w14:paraId="4B0732AC">
      <w:pPr>
        <w:spacing w:line="360" w:lineRule="auto"/>
        <w:jc w:val="right"/>
        <w:rPr>
          <w:rFonts w:hint="eastAsia" w:ascii="宋体" w:hAnsi="宋体" w:eastAsia="宋体" w:cs="宋体"/>
          <w:highlight w:val="none"/>
        </w:rPr>
        <w:sectPr>
          <w:pgSz w:w="11906" w:h="16838"/>
          <w:pgMar w:top="1417" w:right="1134" w:bottom="1134" w:left="1134" w:header="851" w:footer="992" w:gutter="0"/>
          <w:cols w:space="720" w:num="1"/>
          <w:titlePg/>
          <w:docGrid w:type="lines" w:linePitch="312" w:charSpace="0"/>
        </w:sectPr>
      </w:pPr>
      <w:r>
        <w:rPr>
          <w:rFonts w:hint="eastAsia" w:ascii="宋体" w:hAnsi="宋体" w:eastAsia="宋体" w:cs="宋体"/>
          <w:color w:val="000000"/>
          <w:sz w:val="24"/>
          <w:szCs w:val="24"/>
          <w:highlight w:val="none"/>
        </w:rPr>
        <w:t>日期：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日</w:t>
      </w:r>
    </w:p>
    <w:p w14:paraId="7AFDE15D">
      <w:pPr>
        <w:pStyle w:val="4"/>
        <w:spacing w:line="360" w:lineRule="auto"/>
        <w:ind w:firstLine="0" w:firstLineChars="0"/>
        <w:rPr>
          <w:rFonts w:hint="eastAsia" w:ascii="宋体" w:hAnsi="宋体" w:eastAsia="宋体" w:cs="宋体"/>
          <w:color w:val="000000"/>
          <w:szCs w:val="24"/>
          <w:highlight w:val="none"/>
        </w:rPr>
      </w:pPr>
      <w:bookmarkStart w:id="687" w:name="_Toc76569394"/>
      <w:bookmarkStart w:id="688" w:name="_Toc109124325"/>
      <w:bookmarkStart w:id="689" w:name="_Toc24694"/>
      <w:bookmarkStart w:id="690" w:name="_Toc17493"/>
      <w:bookmarkStart w:id="691" w:name="_Toc65683012"/>
      <w:r>
        <w:rPr>
          <w:rFonts w:hint="eastAsia" w:ascii="宋体" w:hAnsi="宋体" w:eastAsia="宋体" w:cs="宋体"/>
          <w:color w:val="000000"/>
          <w:szCs w:val="24"/>
          <w:highlight w:val="none"/>
        </w:rPr>
        <w:t>（七）供应商行为准则承诺书</w:t>
      </w:r>
      <w:bookmarkEnd w:id="687"/>
      <w:bookmarkEnd w:id="688"/>
      <w:bookmarkEnd w:id="689"/>
    </w:p>
    <w:p w14:paraId="6AF41FFE">
      <w:pPr>
        <w:spacing w:line="240" w:lineRule="auto"/>
        <w:jc w:val="center"/>
        <w:rPr>
          <w:rFonts w:hint="eastAsia" w:ascii="宋体" w:hAnsi="宋体" w:eastAsia="宋体" w:cs="宋体"/>
          <w:color w:val="000000"/>
          <w:sz w:val="24"/>
        </w:rPr>
      </w:pPr>
      <w:r>
        <w:rPr>
          <w:rFonts w:hint="eastAsia" w:ascii="宋体" w:hAnsi="宋体" w:eastAsia="宋体" w:cs="宋体"/>
          <w:b/>
          <w:bCs/>
          <w:color w:val="000000"/>
          <w:sz w:val="28"/>
          <w:szCs w:val="28"/>
          <w:highlight w:val="none"/>
        </w:rPr>
        <w:t>供应商行为准则承诺书</w:t>
      </w:r>
      <w:bookmarkStart w:id="692" w:name="_Toc15599"/>
      <w:bookmarkStart w:id="693" w:name="_Toc109124326"/>
      <w:bookmarkStart w:id="694" w:name="_Toc76569395"/>
    </w:p>
    <w:p w14:paraId="0ACEF6D1">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14:paraId="3BD7D6E3">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供应商经营业务时必须遵守所有适用的法律法规及相关政策等规定。如因违反任何适用的法律、法规而可能影响其按照本准则向中国人民保险提供产品及服务的能力时，应立即通知中国人民保险。</w:t>
      </w:r>
    </w:p>
    <w:p w14:paraId="6047B3F9">
      <w:pPr>
        <w:spacing w:line="360" w:lineRule="auto"/>
        <w:ind w:firstLine="470" w:firstLineChars="196"/>
        <w:rPr>
          <w:rFonts w:hint="eastAsia" w:ascii="宋体" w:hAnsi="宋体" w:eastAsia="宋体" w:cs="宋体"/>
          <w:color w:val="000000"/>
          <w:sz w:val="24"/>
        </w:rPr>
      </w:pPr>
      <w:r>
        <w:rPr>
          <w:rFonts w:hint="eastAsia" w:ascii="宋体" w:hAnsi="宋体" w:eastAsia="宋体" w:cs="宋体"/>
          <w:color w:val="000000"/>
          <w:sz w:val="24"/>
        </w:rPr>
        <w:t>二、供应商应有道德地从事商业活动，坚持公平竞争原则，遵守其经营所在地及国家所有适用的反腐败法律、法规，不得有贿赂、腐败、恶意串通、恶意欺诈或其他损害中国人民保险利益的不良行为。</w:t>
      </w:r>
    </w:p>
    <w:p w14:paraId="5AAC773F">
      <w:pPr>
        <w:spacing w:line="360" w:lineRule="auto"/>
        <w:ind w:firstLine="470" w:firstLineChars="196"/>
        <w:rPr>
          <w:rFonts w:hint="eastAsia" w:ascii="宋体" w:hAnsi="宋体" w:eastAsia="宋体" w:cs="宋体"/>
          <w:color w:val="000000"/>
          <w:sz w:val="24"/>
        </w:rPr>
      </w:pPr>
      <w:r>
        <w:rPr>
          <w:rFonts w:hint="eastAsia" w:ascii="宋体" w:hAnsi="宋体" w:eastAsia="宋体" w:cs="宋体"/>
          <w:color w:val="000000"/>
          <w:sz w:val="24"/>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14:paraId="2B0316E3">
      <w:pPr>
        <w:spacing w:line="360" w:lineRule="auto"/>
        <w:ind w:firstLine="470" w:firstLineChars="196"/>
        <w:rPr>
          <w:rFonts w:hint="eastAsia" w:ascii="宋体" w:hAnsi="宋体" w:eastAsia="宋体" w:cs="宋体"/>
          <w:color w:val="000000"/>
          <w:sz w:val="24"/>
        </w:rPr>
      </w:pPr>
      <w:r>
        <w:rPr>
          <w:rFonts w:hint="eastAsia" w:ascii="宋体" w:hAnsi="宋体" w:eastAsia="宋体" w:cs="宋体"/>
          <w:color w:val="000000"/>
          <w:sz w:val="24"/>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14:paraId="33DFB9EE">
      <w:pPr>
        <w:spacing w:line="360" w:lineRule="auto"/>
        <w:ind w:firstLine="470" w:firstLineChars="196"/>
        <w:rPr>
          <w:rFonts w:hint="eastAsia" w:ascii="宋体" w:hAnsi="宋体" w:eastAsia="宋体" w:cs="宋体"/>
          <w:color w:val="000000"/>
          <w:sz w:val="24"/>
        </w:rPr>
      </w:pPr>
      <w:r>
        <w:rPr>
          <w:rFonts w:hint="eastAsia" w:ascii="宋体" w:hAnsi="宋体" w:eastAsia="宋体" w:cs="宋体"/>
          <w:color w:val="000000"/>
          <w:sz w:val="24"/>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p>
    <w:p w14:paraId="15541FA2">
      <w:pPr>
        <w:spacing w:line="360" w:lineRule="auto"/>
        <w:ind w:firstLine="470" w:firstLineChars="196"/>
        <w:rPr>
          <w:rFonts w:hint="eastAsia" w:ascii="宋体" w:hAnsi="宋体" w:eastAsia="宋体" w:cs="宋体"/>
          <w:color w:val="000000"/>
          <w:sz w:val="24"/>
        </w:rPr>
      </w:pPr>
      <w:r>
        <w:rPr>
          <w:rFonts w:hint="eastAsia" w:ascii="宋体" w:hAnsi="宋体" w:eastAsia="宋体" w:cs="宋体"/>
          <w:color w:val="000000"/>
          <w:sz w:val="24"/>
        </w:rPr>
        <w:t>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p>
    <w:p w14:paraId="7BE60C1D">
      <w:pPr>
        <w:spacing w:line="360" w:lineRule="auto"/>
        <w:ind w:firstLine="470" w:firstLineChars="196"/>
        <w:rPr>
          <w:rFonts w:hint="eastAsia" w:ascii="宋体" w:hAnsi="宋体" w:eastAsia="宋体" w:cs="宋体"/>
          <w:color w:val="000000"/>
          <w:sz w:val="24"/>
        </w:rPr>
      </w:pPr>
      <w:r>
        <w:rPr>
          <w:rFonts w:hint="eastAsia" w:ascii="宋体" w:hAnsi="宋体" w:eastAsia="宋体" w:cs="宋体"/>
          <w:color w:val="000000"/>
          <w:sz w:val="24"/>
        </w:rPr>
        <w:t>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p>
    <w:p w14:paraId="66F19113">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八、供应商承诺遵守中国人民保险有关采购管理和供应商管理的相关规定、履行相应义务。</w:t>
      </w:r>
    </w:p>
    <w:p w14:paraId="565810AB">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九、供应商参与中国人民保险采购过程中，将认真阅读并理解邀请文件的内容，并保证严格保密文件内容，不泄露中国人民保险任何信息。</w:t>
      </w:r>
    </w:p>
    <w:p w14:paraId="23720018">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十、供应商保证所递交的投标文件、资格证明、产品资料、合同等文件内容的真实性、有效性；愿意承担虚构信息及伪造资格证明、合同等违背诚实信用原则导致的一切不利后果。</w:t>
      </w:r>
    </w:p>
    <w:p w14:paraId="0969A153">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十一、供应商承诺根据中国人民保险的要求提供供应产品的市场参考价格，并保证该数据的真实性与时效性；如提供不实或虚假数据的，自愿接受录入中国人民保险供应商诚信档案记录的不利后果。</w:t>
      </w:r>
    </w:p>
    <w:p w14:paraId="4F2537C0">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十二、如果供应商（包括咨询顾问、董事、雇员、代理人和代表）违反或未履行本承诺下的任何规定、保证及陈述，将自愿对因违反或未履行承诺书的规定而对中国人民保险造成的直接损失进行赔偿。</w:t>
      </w:r>
    </w:p>
    <w:p w14:paraId="1294D026">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十三、采购过程中涉及函件往来的，使用供应商以下地址及联系方式：</w:t>
      </w:r>
    </w:p>
    <w:p w14:paraId="37B6917B">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公司名称（全称、盖章）：________________</w:t>
      </w:r>
    </w:p>
    <w:p w14:paraId="150A544B">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法定代表人（负责人）姓名、职务：__________________</w:t>
      </w:r>
    </w:p>
    <w:p w14:paraId="5AC55DC1">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邮编：__________地址：__________________</w:t>
      </w:r>
    </w:p>
    <w:p w14:paraId="5FC43574">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电话：__________传真：__________________</w:t>
      </w:r>
    </w:p>
    <w:p w14:paraId="6877D95E">
      <w:pPr>
        <w:pStyle w:val="124"/>
        <w:tabs>
          <w:tab w:val="left" w:pos="3060"/>
        </w:tabs>
        <w:spacing w:line="360" w:lineRule="auto"/>
        <w:ind w:firstLine="480"/>
        <w:jc w:val="both"/>
        <w:rPr>
          <w:rFonts w:hint="eastAsia" w:ascii="宋体" w:hAnsi="宋体" w:eastAsia="宋体" w:cs="宋体"/>
          <w:b w:val="0"/>
          <w:bCs/>
          <w:color w:val="000000"/>
          <w:sz w:val="24"/>
        </w:rPr>
      </w:pPr>
      <w:r>
        <w:rPr>
          <w:rFonts w:hint="eastAsia" w:ascii="宋体" w:hAnsi="宋体" w:eastAsia="宋体" w:cs="宋体"/>
          <w:b w:val="0"/>
          <w:bCs/>
          <w:color w:val="000000"/>
          <w:sz w:val="24"/>
        </w:rPr>
        <w:t>法定代表人（负责人）或授权代表签字：______________</w:t>
      </w:r>
    </w:p>
    <w:p w14:paraId="4E9D1AFD">
      <w:pPr>
        <w:pStyle w:val="4"/>
        <w:ind w:firstLine="0" w:firstLineChars="0"/>
        <w:rPr>
          <w:rFonts w:hint="eastAsia" w:ascii="宋体" w:hAnsi="宋体" w:eastAsia="宋体" w:cs="宋体"/>
          <w:highlight w:val="none"/>
        </w:rPr>
      </w:pPr>
      <w:r>
        <w:rPr>
          <w:rFonts w:hint="eastAsia" w:ascii="宋体" w:hAnsi="宋体" w:eastAsia="宋体" w:cs="宋体"/>
          <w:color w:val="000000"/>
        </w:rPr>
        <w:br w:type="page"/>
      </w:r>
      <w:bookmarkStart w:id="695" w:name="_Toc15429"/>
      <w:r>
        <w:rPr>
          <w:rFonts w:hint="eastAsia" w:ascii="宋体" w:hAnsi="宋体" w:eastAsia="宋体" w:cs="宋体"/>
          <w:highlight w:val="none"/>
        </w:rPr>
        <w:t>（八）供应商廉洁诚信承诺书</w:t>
      </w:r>
      <w:bookmarkEnd w:id="692"/>
      <w:bookmarkEnd w:id="695"/>
    </w:p>
    <w:p w14:paraId="67C413D8">
      <w:pPr>
        <w:spacing w:line="600" w:lineRule="exact"/>
        <w:jc w:val="center"/>
        <w:rPr>
          <w:rFonts w:hint="eastAsia" w:ascii="宋体" w:hAnsi="宋体" w:eastAsia="宋体" w:cs="宋体"/>
          <w:color w:val="000000"/>
          <w:sz w:val="24"/>
        </w:rPr>
      </w:pPr>
      <w:r>
        <w:rPr>
          <w:rFonts w:hint="eastAsia" w:ascii="宋体" w:hAnsi="宋体" w:eastAsia="宋体" w:cs="宋体"/>
          <w:b/>
          <w:bCs/>
          <w:color w:val="000000"/>
          <w:sz w:val="28"/>
          <w:szCs w:val="28"/>
          <w:highlight w:val="none"/>
        </w:rPr>
        <w:t>供应商廉洁诚信承诺书</w:t>
      </w:r>
    </w:p>
    <w:p w14:paraId="5185CB8C">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为维护公平竞争的市场秩序和公正透明的商业环境，保证与中国人民保险集团公司、各子公司以及各级分支机构（以下简称“中国人民保险”）合作项目的顺利进行，我方作为参与中国人民保险采购活动的供应商，深知采购廉洁诚信的重要性。为防止各类谋取不正当利益的违法违规违纪行为的发生，我方自愿加强有关人员廉洁从业管理，恪守商业道德。在与中国人民保险的合作过程中郑重承诺如下：</w:t>
      </w:r>
    </w:p>
    <w:p w14:paraId="3CDB453F">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一、遵守法律法规承诺。我们将严格遵守《中华人民共和国反不正当竞争法》《关于禁止商业贿赂行为的暂行规定》等国家法律法规和中国人民保险采购管理、供应商管理相关制度要求，坚决不从事任何违法违规违纪行为。</w:t>
      </w:r>
    </w:p>
    <w:p w14:paraId="27A0B9E0">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二、避免利害关系承诺。我们将在采购过程中主动申报与中国人民保险及相关主体的关联及利害关系，包括我们的相关主体与中国人民保险及相关主体的关联及利害关系，避免任何可能影响公平竞争的关系或利益冲突，主动披露任何可能影响采购决策的利益关系，并采取必要的措施确保采购过程的公正性。</w:t>
      </w:r>
    </w:p>
    <w:p w14:paraId="0DD65E29">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14:paraId="6D183783">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三、廉洁自律承诺。我们坚决不以任何形式为获取或意图获取交易机会、竞争优势或谋取不正当利益而向中国人民保险或相关主体实施商业贿赂或营私舞弊行为，包括但不限于：</w:t>
      </w:r>
    </w:p>
    <w:p w14:paraId="49C46AA9">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（1）以任何方式实施商业贿赂或违规提供金钱、实物、回扣、折扣、宴请与游玩活动或其他不正当利益；</w:t>
      </w:r>
    </w:p>
    <w:p w14:paraId="585CA258">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（2）为其安排有可能影响公平、公正交易的宴请、健身、娱乐等活动；</w:t>
      </w:r>
    </w:p>
    <w:p w14:paraId="4F4B981B">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（3）为其投资入股、个人借款或买卖股票、债券等提供方便；</w:t>
      </w:r>
    </w:p>
    <w:p w14:paraId="7D937FA1">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（4）为其购买或装修住房、婚丧嫁娶、配偶子女上学或工作安排以及出国出境、旅游等提供方便；</w:t>
      </w:r>
    </w:p>
    <w:p w14:paraId="4F703F89">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（5）违反规定为其在我方相关企业工作、挂名兼职、合伙经营、介绍承揽业务等提供方便；</w:t>
      </w:r>
    </w:p>
    <w:p w14:paraId="5CACEBE1">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（6）向其提供借款、融资、担保等；</w:t>
      </w:r>
    </w:p>
    <w:p w14:paraId="7A52B69F">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（7）给予或承诺给予其不正当利益的其他行为；</w:t>
      </w:r>
    </w:p>
    <w:p w14:paraId="46913FA3">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（8）其他违反国家法律法规或商业道德准则的影响公正交易的行为。</w:t>
      </w:r>
    </w:p>
    <w:p w14:paraId="688D303B">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我们也不会以任何方式向中国人民保险或相关主体索要金钱、实物等不正当利益，或收受中国人保或相关主体给予的金钱、实物等不正当利益。</w:t>
      </w:r>
    </w:p>
    <w:p w14:paraId="4F87304C">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四、诚实信用承诺。我们坚决不进行任何违背诚实信用原则的行为，包括但不限于：</w:t>
      </w:r>
    </w:p>
    <w:p w14:paraId="0A6007E2">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（1）出借、转让资质证书；</w:t>
      </w:r>
    </w:p>
    <w:p w14:paraId="6A087D2C">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w:t>
      </w:r>
      <w:r>
        <w:rPr>
          <w:rFonts w:hint="eastAsia" w:ascii="宋体" w:hAnsi="宋体" w:eastAsia="宋体" w:cs="宋体"/>
          <w:color w:val="000000"/>
          <w:sz w:val="24"/>
          <w:lang w:val="en-US" w:eastAsia="zh-CN"/>
        </w:rPr>
        <w:t>2</w:t>
      </w:r>
      <w:r>
        <w:rPr>
          <w:rFonts w:hint="eastAsia" w:ascii="宋体" w:hAnsi="宋体" w:eastAsia="宋体" w:cs="宋体"/>
          <w:color w:val="000000"/>
          <w:sz w:val="24"/>
        </w:rPr>
        <w:t>）伙同他人串标、围标或非法排挤竞争对手；</w:t>
      </w:r>
    </w:p>
    <w:p w14:paraId="6699E55C">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w:t>
      </w:r>
      <w:r>
        <w:rPr>
          <w:rFonts w:hint="eastAsia" w:ascii="宋体" w:hAnsi="宋体" w:eastAsia="宋体" w:cs="宋体"/>
          <w:color w:val="000000"/>
          <w:sz w:val="24"/>
          <w:lang w:val="en-US" w:eastAsia="zh-CN"/>
        </w:rPr>
        <w:t>3</w:t>
      </w:r>
      <w:r>
        <w:rPr>
          <w:rFonts w:hint="eastAsia" w:ascii="宋体" w:hAnsi="宋体" w:eastAsia="宋体" w:cs="宋体"/>
          <w:color w:val="000000"/>
          <w:sz w:val="24"/>
        </w:rPr>
        <w:t>）在采购活动中提供虚假资料，以他人名义参与或者以其他方式弄虚作假，夸大自身技术和提供服务的能力，损害贵方合法权益；</w:t>
      </w:r>
    </w:p>
    <w:p w14:paraId="0EA4050C">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w:t>
      </w:r>
      <w:r>
        <w:rPr>
          <w:rFonts w:hint="eastAsia" w:ascii="宋体" w:hAnsi="宋体" w:eastAsia="宋体" w:cs="宋体"/>
          <w:color w:val="000000"/>
          <w:sz w:val="24"/>
          <w:lang w:val="en-US" w:eastAsia="zh-CN"/>
        </w:rPr>
        <w:t>4</w:t>
      </w:r>
      <w:r>
        <w:rPr>
          <w:rFonts w:hint="eastAsia" w:ascii="宋体" w:hAnsi="宋体" w:eastAsia="宋体" w:cs="宋体"/>
          <w:color w:val="000000"/>
          <w:sz w:val="24"/>
        </w:rPr>
        <w:t>）隐瞒任何可能对贵方利益造成影响的信息，不配合贵方的审计。</w:t>
      </w:r>
    </w:p>
    <w:p w14:paraId="601CB830">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14:paraId="2630C17C">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六、加强内部管理承诺。为了实现以上承诺要求，我们将积极配合采取以下措施，不断加强自身内部管理：</w:t>
      </w:r>
    </w:p>
    <w:p w14:paraId="0053C438">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（1）廉洁教育培训：加强对员工的廉洁教育和培训，提高员工的道德素质和法律意识，建立健全内部管理制度，确保员工行为的合规性和廉洁性；</w:t>
      </w:r>
    </w:p>
    <w:p w14:paraId="21473740">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（2）设立监督机制：通过专门的监督机构或人员，对我方的业务活动进行实时监督，确保员工行为的合规性；</w:t>
      </w:r>
    </w:p>
    <w:p w14:paraId="17502BF1">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（3）建立举报制度：鼓励员工积极举报违规行为，对举报人予以保护并给予奖励。</w:t>
      </w:r>
    </w:p>
    <w:p w14:paraId="3AC9DDE7">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七、配合监督承诺。我们将积极配合中国人民保险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14:paraId="1921BE1B">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八、如违反上述承诺，我方自愿承担以下法律责任：</w:t>
      </w:r>
    </w:p>
    <w:p w14:paraId="2660165E">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（1）如我方及我方工作人员违反本承诺书承诺，中国人民保险有权依据其采购管理、供应商管理和采购文件相关要求，对我方进行严肃处理，相关处罚结果记入供应商诚信档案；</w:t>
      </w:r>
    </w:p>
    <w:p w14:paraId="13405972">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（2）如我方及我方工作人员违反本承诺书承诺，中国人民保险及其子公司等所有关联主体有权限制或取消我方在中国人民保险参与</w:t>
      </w:r>
      <w:r>
        <w:rPr>
          <w:rFonts w:hint="eastAsia" w:ascii="宋体" w:hAnsi="宋体" w:eastAsia="宋体" w:cs="宋体"/>
          <w:color w:val="000000"/>
          <w:sz w:val="24"/>
          <w:lang w:val="en-US" w:eastAsia="zh-CN"/>
        </w:rPr>
        <w:t>采购</w:t>
      </w:r>
      <w:r>
        <w:rPr>
          <w:rFonts w:hint="eastAsia" w:ascii="宋体" w:hAnsi="宋体" w:eastAsia="宋体" w:cs="宋体"/>
          <w:color w:val="000000"/>
          <w:sz w:val="24"/>
        </w:rPr>
        <w:t>项目的资格；</w:t>
      </w:r>
    </w:p>
    <w:p w14:paraId="0F3846F7">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（3）如我方及我方工作人员违反本承诺书承诺，中国人民保险及其子公司等所有关联主体有权选择单方全面终止与我方的合同及合作而无需承担任何责任；</w:t>
      </w:r>
    </w:p>
    <w:p w14:paraId="0F0FACE9">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4）如我方及我方工作人员违反本承诺书承诺，除承担前述（1）（2）（3）项责任外，中国人民保险及其子公司等所有关联主体有权扣除我方缴纳的投标保证金，投标保证金不足以弥补损失的，还有权要求我方承担相应的赔偿责任。</w:t>
      </w:r>
    </w:p>
    <w:p w14:paraId="2367D9CB">
      <w:pPr>
        <w:spacing w:line="360" w:lineRule="auto"/>
        <w:ind w:firstLine="480" w:firstLineChars="200"/>
        <w:rPr>
          <w:rFonts w:hint="eastAsia" w:ascii="宋体" w:hAnsi="宋体" w:eastAsia="宋体" w:cs="宋体"/>
          <w:color w:val="000000"/>
          <w:sz w:val="24"/>
        </w:rPr>
      </w:pPr>
    </w:p>
    <w:p w14:paraId="4021627C">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本承诺书自承诺方签字和盖章之日起生效。如我方成功中选中国人民保险采购项目，将按中国人民保险管理要求签署廉洁诚信协议作为采购合同附件，并严格遵守协议相关条款。</w:t>
      </w:r>
    </w:p>
    <w:p w14:paraId="67FC2E68">
      <w:pPr>
        <w:spacing w:line="360" w:lineRule="auto"/>
        <w:ind w:firstLine="480" w:firstLineChars="200"/>
        <w:rPr>
          <w:rFonts w:hint="eastAsia" w:ascii="宋体" w:hAnsi="宋体" w:eastAsia="宋体" w:cs="宋体"/>
          <w:color w:val="000000"/>
          <w:sz w:val="24"/>
        </w:rPr>
      </w:pPr>
    </w:p>
    <w:p w14:paraId="1178429D">
      <w:pPr>
        <w:tabs>
          <w:tab w:val="left" w:pos="458"/>
        </w:tabs>
        <w:spacing w:line="360" w:lineRule="auto"/>
        <w:jc w:val="both"/>
        <w:rPr>
          <w:rFonts w:hint="eastAsia" w:ascii="宋体" w:hAnsi="宋体" w:eastAsia="宋体" w:cs="宋体"/>
          <w:color w:val="000000"/>
          <w:sz w:val="24"/>
        </w:rPr>
      </w:pPr>
      <w:r>
        <w:rPr>
          <w:rFonts w:hint="eastAsia" w:ascii="宋体" w:hAnsi="宋体" w:eastAsia="宋体" w:cs="宋体"/>
          <w:color w:val="000000"/>
          <w:sz w:val="24"/>
        </w:rPr>
        <w:t>公司名称（全称、盖章）：________________</w:t>
      </w:r>
    </w:p>
    <w:p w14:paraId="30F440C8">
      <w:pPr>
        <w:spacing w:line="360" w:lineRule="auto"/>
        <w:jc w:val="both"/>
        <w:rPr>
          <w:rFonts w:hint="eastAsia" w:ascii="宋体" w:hAnsi="宋体" w:eastAsia="宋体" w:cs="宋体"/>
          <w:color w:val="000000"/>
          <w:sz w:val="24"/>
        </w:rPr>
      </w:pPr>
      <w:r>
        <w:rPr>
          <w:rFonts w:hint="eastAsia" w:ascii="宋体" w:hAnsi="宋体" w:eastAsia="宋体" w:cs="宋体"/>
          <w:color w:val="000000"/>
          <w:sz w:val="24"/>
        </w:rPr>
        <w:t>法定代表人姓名、职务：__________________</w:t>
      </w:r>
    </w:p>
    <w:p w14:paraId="16FCE0D7">
      <w:pPr>
        <w:spacing w:line="360" w:lineRule="auto"/>
        <w:jc w:val="both"/>
        <w:rPr>
          <w:rFonts w:hint="eastAsia" w:ascii="宋体" w:hAnsi="宋体" w:eastAsia="宋体" w:cs="宋体"/>
          <w:color w:val="000000"/>
          <w:sz w:val="24"/>
        </w:rPr>
      </w:pPr>
      <w:r>
        <w:rPr>
          <w:rFonts w:hint="eastAsia" w:ascii="宋体" w:hAnsi="宋体" w:eastAsia="宋体" w:cs="宋体"/>
          <w:color w:val="000000"/>
          <w:sz w:val="24"/>
        </w:rPr>
        <w:t>法定代表人或授权代表</w:t>
      </w:r>
      <w:r>
        <w:rPr>
          <w:rFonts w:hint="eastAsia" w:ascii="宋体" w:hAnsi="宋体" w:eastAsia="宋体" w:cs="宋体"/>
          <w:color w:val="000000"/>
          <w:sz w:val="24"/>
          <w:lang w:eastAsia="zh-CN"/>
        </w:rPr>
        <w:t>（</w:t>
      </w:r>
      <w:r>
        <w:rPr>
          <w:rFonts w:hint="eastAsia" w:ascii="宋体" w:hAnsi="宋体" w:eastAsia="宋体" w:cs="宋体"/>
          <w:color w:val="000000"/>
          <w:sz w:val="24"/>
        </w:rPr>
        <w:t>签字</w:t>
      </w:r>
      <w:r>
        <w:rPr>
          <w:rFonts w:hint="eastAsia" w:ascii="宋体" w:hAnsi="宋体" w:eastAsia="宋体" w:cs="宋体"/>
          <w:color w:val="000000"/>
          <w:sz w:val="24"/>
          <w:lang w:eastAsia="zh-CN"/>
        </w:rPr>
        <w:t>）</w:t>
      </w:r>
      <w:r>
        <w:rPr>
          <w:rFonts w:hint="eastAsia" w:ascii="宋体" w:hAnsi="宋体" w:eastAsia="宋体" w:cs="宋体"/>
          <w:color w:val="000000"/>
          <w:sz w:val="24"/>
        </w:rPr>
        <w:t>：______________</w:t>
      </w:r>
    </w:p>
    <w:p w14:paraId="21733F95">
      <w:pPr>
        <w:spacing w:line="360" w:lineRule="auto"/>
        <w:jc w:val="both"/>
        <w:rPr>
          <w:rFonts w:hint="eastAsia" w:ascii="宋体" w:hAnsi="宋体" w:eastAsia="宋体" w:cs="宋体"/>
          <w:vanish/>
          <w:sz w:val="24"/>
        </w:rPr>
      </w:pPr>
      <w:r>
        <w:rPr>
          <w:rFonts w:hint="eastAsia" w:ascii="宋体" w:hAnsi="宋体" w:eastAsia="宋体" w:cs="宋体"/>
          <w:color w:val="000000"/>
          <w:sz w:val="24"/>
        </w:rPr>
        <w:t>日期：__________________________________</w:t>
      </w:r>
    </w:p>
    <w:p w14:paraId="565C62B2">
      <w:pPr>
        <w:tabs>
          <w:tab w:val="left" w:pos="458"/>
        </w:tabs>
        <w:spacing w:line="600" w:lineRule="exact"/>
        <w:ind w:firstLine="3578" w:firstLineChars="1491"/>
        <w:rPr>
          <w:rFonts w:hint="eastAsia" w:ascii="宋体" w:hAnsi="宋体" w:eastAsia="宋体" w:cs="宋体"/>
          <w:color w:val="000000"/>
          <w:sz w:val="24"/>
          <w:highlight w:val="none"/>
        </w:rPr>
      </w:pPr>
    </w:p>
    <w:p w14:paraId="6C0D66B2">
      <w:pPr>
        <w:pStyle w:val="4"/>
        <w:spacing w:line="360" w:lineRule="auto"/>
        <w:ind w:firstLine="0" w:firstLineChars="0"/>
        <w:rPr>
          <w:rFonts w:hint="eastAsia" w:ascii="宋体" w:hAnsi="宋体" w:eastAsia="宋体" w:cs="宋体"/>
          <w:color w:val="000000"/>
          <w:highlight w:val="none"/>
        </w:rPr>
      </w:pPr>
      <w:r>
        <w:rPr>
          <w:rFonts w:hint="eastAsia" w:ascii="宋体" w:hAnsi="宋体" w:eastAsia="宋体" w:cs="宋体"/>
          <w:color w:val="000000"/>
          <w:highlight w:val="none"/>
        </w:rPr>
        <w:br w:type="page"/>
      </w:r>
      <w:bookmarkStart w:id="696" w:name="_Toc4816"/>
      <w:r>
        <w:rPr>
          <w:rFonts w:hint="eastAsia" w:ascii="宋体" w:hAnsi="宋体" w:eastAsia="宋体" w:cs="宋体"/>
          <w:color w:val="000000"/>
          <w:szCs w:val="24"/>
          <w:highlight w:val="none"/>
        </w:rPr>
        <w:t>（九）其他材料</w:t>
      </w:r>
      <w:bookmarkEnd w:id="690"/>
      <w:bookmarkEnd w:id="691"/>
      <w:bookmarkEnd w:id="693"/>
      <w:bookmarkEnd w:id="694"/>
      <w:bookmarkEnd w:id="696"/>
    </w:p>
    <w:p w14:paraId="41F823E8">
      <w:pPr>
        <w:outlineLvl w:val="3"/>
        <w:rPr>
          <w:rFonts w:hint="eastAsia" w:ascii="宋体" w:hAnsi="宋体" w:cs="宋体"/>
          <w:b/>
          <w:bCs/>
          <w:color w:val="auto"/>
          <w:sz w:val="24"/>
          <w:lang w:val="en-US" w:eastAsia="zh-CN"/>
        </w:rPr>
      </w:pPr>
      <w:r>
        <w:rPr>
          <w:rFonts w:hint="eastAsia" w:ascii="宋体" w:hAnsi="宋体" w:cs="宋体"/>
          <w:color w:val="000000"/>
          <w:sz w:val="24"/>
          <w:highlight w:val="none"/>
          <w:lang w:eastAsia="zh-CN"/>
        </w:rPr>
        <w:t>（</w:t>
      </w:r>
      <w:r>
        <w:rPr>
          <w:rFonts w:hint="eastAsia" w:ascii="宋体" w:hAnsi="宋体" w:cs="宋体"/>
          <w:color w:val="000000"/>
          <w:sz w:val="24"/>
          <w:highlight w:val="none"/>
          <w:lang w:val="en-US" w:eastAsia="zh-CN"/>
        </w:rPr>
        <w:t>1</w:t>
      </w:r>
      <w:r>
        <w:rPr>
          <w:rFonts w:hint="eastAsia" w:ascii="宋体" w:hAnsi="宋体" w:cs="宋体"/>
          <w:color w:val="000000"/>
          <w:sz w:val="24"/>
          <w:highlight w:val="none"/>
          <w:lang w:eastAsia="zh-CN"/>
        </w:rPr>
        <w:t>）</w:t>
      </w:r>
      <w:r>
        <w:rPr>
          <w:rFonts w:hint="eastAsia" w:ascii="宋体" w:hAnsi="宋体" w:eastAsia="宋体" w:cs="宋体"/>
          <w:b/>
          <w:bCs/>
          <w:color w:val="auto"/>
          <w:sz w:val="24"/>
          <w:lang w:val="en-US" w:eastAsia="zh-CN"/>
        </w:rPr>
        <w:t>“人保e采”管理系统完成供应商入库</w:t>
      </w:r>
      <w:r>
        <w:rPr>
          <w:rFonts w:hint="eastAsia" w:ascii="宋体" w:hAnsi="宋体" w:cs="宋体"/>
          <w:b/>
          <w:bCs/>
          <w:color w:val="auto"/>
          <w:sz w:val="24"/>
          <w:lang w:val="en-US" w:eastAsia="zh-CN"/>
        </w:rPr>
        <w:t>截图</w:t>
      </w:r>
    </w:p>
    <w:p w14:paraId="10F98D77">
      <w:pPr>
        <w:rPr>
          <w:rFonts w:hint="eastAsia" w:ascii="宋体" w:hAnsi="宋体" w:cs="宋体"/>
          <w:b/>
          <w:bCs/>
          <w:color w:val="auto"/>
          <w:sz w:val="24"/>
          <w:lang w:val="en-US" w:eastAsia="zh-CN"/>
        </w:rPr>
      </w:pPr>
      <w:r>
        <w:rPr>
          <w:rFonts w:hint="eastAsia" w:ascii="宋体" w:hAnsi="宋体" w:cs="宋体"/>
          <w:b/>
          <w:bCs/>
          <w:color w:val="auto"/>
          <w:sz w:val="24"/>
          <w:lang w:val="en-US" w:eastAsia="zh-CN"/>
        </w:rPr>
        <w:br w:type="page"/>
      </w:r>
    </w:p>
    <w:p w14:paraId="2CEB129F">
      <w:pPr>
        <w:outlineLvl w:val="3"/>
        <w:rPr>
          <w:rFonts w:hint="eastAsia" w:ascii="宋体" w:hAnsi="宋体" w:eastAsia="宋体" w:cs="宋体"/>
          <w:color w:val="000000"/>
          <w:sz w:val="24"/>
          <w:szCs w:val="24"/>
          <w:highlight w:val="none"/>
        </w:rPr>
      </w:pPr>
      <w:r>
        <w:rPr>
          <w:rFonts w:hint="eastAsia" w:ascii="宋体" w:hAnsi="宋体" w:cs="宋体"/>
          <w:b/>
          <w:bCs/>
          <w:color w:val="auto"/>
          <w:sz w:val="24"/>
          <w:lang w:val="en-US" w:eastAsia="zh-CN"/>
        </w:rPr>
        <w:t>（2）</w:t>
      </w:r>
      <w:r>
        <w:rPr>
          <w:rFonts w:hint="eastAsia" w:ascii="宋体" w:hAnsi="宋体" w:eastAsia="宋体" w:cs="宋体"/>
          <w:color w:val="000000"/>
          <w:sz w:val="24"/>
          <w:highlight w:val="none"/>
        </w:rPr>
        <w:t>详细评审中商务部分涉及的文件及证明材料、</w:t>
      </w:r>
      <w:r>
        <w:rPr>
          <w:rFonts w:hint="eastAsia" w:ascii="宋体" w:hAnsi="宋体" w:eastAsia="宋体" w:cs="宋体"/>
          <w:color w:val="000000"/>
          <w:sz w:val="24"/>
          <w:szCs w:val="24"/>
          <w:highlight w:val="none"/>
        </w:rPr>
        <w:t>投标人认为需提供的其他材料。</w:t>
      </w:r>
    </w:p>
    <w:p w14:paraId="59991A97">
      <w:pPr>
        <w:outlineLvl w:val="3"/>
        <w:rPr>
          <w:rFonts w:ascii="宋体" w:hAnsi="宋体" w:cs="宋体"/>
          <w:color w:val="auto"/>
          <w:sz w:val="24"/>
        </w:rPr>
      </w:pPr>
      <w:r>
        <w:rPr>
          <w:rFonts w:hint="eastAsia" w:ascii="宋体" w:hAnsi="宋体" w:eastAsia="宋体" w:cs="宋体"/>
          <w:color w:val="000000"/>
          <w:sz w:val="24"/>
          <w:szCs w:val="24"/>
          <w:highlight w:val="none"/>
        </w:rPr>
        <w:br w:type="page"/>
      </w:r>
      <w:r>
        <w:rPr>
          <w:rFonts w:hint="eastAsia" w:ascii="宋体" w:hAnsi="宋体" w:cs="宋体"/>
          <w:b/>
          <w:bCs/>
          <w:color w:val="auto"/>
          <w:sz w:val="24"/>
          <w:lang w:val="en-US" w:eastAsia="zh-CN"/>
        </w:rPr>
        <w:t>（3）</w:t>
      </w:r>
      <w:r>
        <w:rPr>
          <w:rFonts w:hint="eastAsia" w:ascii="宋体" w:hAnsi="宋体" w:eastAsia="宋体" w:cs="宋体"/>
          <w:b/>
          <w:bCs/>
          <w:color w:val="000000"/>
          <w:sz w:val="24"/>
          <w:szCs w:val="24"/>
          <w:highlight w:val="none"/>
          <w:lang w:val="en-US" w:eastAsia="zh-CN"/>
        </w:rPr>
        <w:t>投标保证金汇款凭证</w:t>
      </w:r>
    </w:p>
    <w:p w14:paraId="754E01C0">
      <w:pPr>
        <w:keepNext w:val="0"/>
        <w:keepLines w:val="0"/>
        <w:suppressLineNumbers w:val="0"/>
        <w:spacing w:before="0" w:beforeAutospacing="0" w:after="0" w:afterAutospacing="0" w:line="360" w:lineRule="auto"/>
        <w:ind w:left="0" w:right="0" w:firstLine="480" w:firstLineChars="200"/>
        <w:rPr>
          <w:rFonts w:hint="eastAsia" w:ascii="宋体" w:hAnsi="宋体" w:cs="宋体"/>
          <w:color w:val="auto"/>
          <w:sz w:val="24"/>
          <w:szCs w:val="20"/>
          <w:lang w:val="en-US" w:eastAsia="zh-CN"/>
        </w:rPr>
      </w:pPr>
      <w:r>
        <w:rPr>
          <w:rFonts w:hint="eastAsia" w:ascii="宋体" w:hAnsi="宋体" w:cs="宋体"/>
          <w:color w:val="auto"/>
          <w:sz w:val="24"/>
          <w:szCs w:val="20"/>
          <w:lang w:val="en-US" w:eastAsia="zh-CN"/>
        </w:rPr>
        <w:t>投标保证金汇款凭证</w:t>
      </w:r>
    </w:p>
    <w:p w14:paraId="1F587F48">
      <w:pPr>
        <w:spacing w:line="360" w:lineRule="auto"/>
        <w:ind w:firstLine="480" w:firstLineChars="200"/>
        <w:rPr>
          <w:rFonts w:ascii="宋体" w:hAnsi="宋体" w:cs="宋体"/>
          <w:color w:val="auto"/>
          <w:sz w:val="24"/>
        </w:rPr>
      </w:pPr>
      <w:r>
        <w:rPr>
          <w:rFonts w:hint="eastAsia" w:ascii="宋体" w:hAnsi="宋体" w:cs="宋体"/>
          <w:color w:val="auto"/>
          <w:sz w:val="24"/>
        </w:rPr>
        <w:t>附：</w:t>
      </w: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92"/>
      </w:tblGrid>
      <w:tr w14:paraId="3EF634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6" w:hRule="atLeast"/>
          <w:jc w:val="center"/>
        </w:trPr>
        <w:tc>
          <w:tcPr>
            <w:tcW w:w="8592" w:type="dxa"/>
            <w:noWrap w:val="0"/>
            <w:vAlign w:val="top"/>
          </w:tcPr>
          <w:p w14:paraId="42D5DA7F">
            <w:pPr>
              <w:keepNext w:val="0"/>
              <w:keepLines w:val="0"/>
              <w:suppressLineNumbers w:val="0"/>
              <w:spacing w:before="0" w:beforeAutospacing="0" w:after="0" w:afterAutospacing="0" w:line="360" w:lineRule="auto"/>
              <w:ind w:left="0" w:right="0"/>
              <w:rPr>
                <w:rFonts w:hint="default" w:ascii="宋体" w:hAnsi="宋体" w:cs="宋体"/>
                <w:color w:val="auto"/>
                <w:sz w:val="24"/>
                <w:szCs w:val="20"/>
              </w:rPr>
            </w:pPr>
            <w:r>
              <w:rPr>
                <w:rFonts w:hint="eastAsia" w:ascii="宋体" w:hAnsi="宋体" w:cs="宋体"/>
                <w:color w:val="auto"/>
                <w:sz w:val="24"/>
                <w:szCs w:val="20"/>
              </w:rPr>
              <w:t>粘贴转帐或汇款的银行凭证/证明复印件（汇款单须有转出银行的名称和账号信息，如无，须补充说明开户银行名称及账号）</w:t>
            </w:r>
          </w:p>
        </w:tc>
      </w:tr>
    </w:tbl>
    <w:p w14:paraId="7361E54D">
      <w:pPr>
        <w:widowControl/>
        <w:spacing w:line="360" w:lineRule="auto"/>
        <w:jc w:val="left"/>
        <w:rPr>
          <w:rFonts w:ascii="宋体" w:hAnsi="宋体" w:cs="宋体"/>
          <w:color w:val="auto"/>
          <w:sz w:val="24"/>
        </w:rPr>
      </w:pPr>
      <w:r>
        <w:rPr>
          <w:rFonts w:hint="eastAsia" w:ascii="宋体" w:hAnsi="宋体" w:cs="宋体"/>
          <w:color w:val="auto"/>
          <w:sz w:val="24"/>
        </w:rPr>
        <w:br w:type="page"/>
      </w:r>
    </w:p>
    <w:p w14:paraId="3FAA2B84">
      <w:pPr>
        <w:spacing w:line="360" w:lineRule="auto"/>
        <w:jc w:val="both"/>
        <w:outlineLvl w:val="3"/>
        <w:rPr>
          <w:rFonts w:ascii="宋体" w:hAnsi="宋体" w:cs="宋体"/>
          <w:b/>
          <w:bCs/>
          <w:color w:val="auto"/>
          <w:sz w:val="24"/>
        </w:rPr>
      </w:pPr>
      <w:r>
        <w:rPr>
          <w:rFonts w:hint="eastAsia" w:ascii="宋体" w:hAnsi="宋体" w:cs="宋体"/>
          <w:b/>
          <w:bCs/>
          <w:color w:val="auto"/>
          <w:sz w:val="24"/>
          <w:lang w:eastAsia="zh-CN"/>
        </w:rPr>
        <w:t>（</w:t>
      </w:r>
      <w:r>
        <w:rPr>
          <w:rFonts w:hint="eastAsia" w:ascii="宋体" w:hAnsi="宋体" w:cs="宋体"/>
          <w:b/>
          <w:bCs/>
          <w:color w:val="auto"/>
          <w:sz w:val="24"/>
          <w:lang w:val="en-US" w:eastAsia="zh-CN"/>
        </w:rPr>
        <w:t>4</w:t>
      </w:r>
      <w:r>
        <w:rPr>
          <w:rFonts w:hint="eastAsia" w:ascii="宋体" w:hAnsi="宋体" w:cs="宋体"/>
          <w:b/>
          <w:bCs/>
          <w:color w:val="auto"/>
          <w:sz w:val="24"/>
          <w:lang w:eastAsia="zh-CN"/>
        </w:rPr>
        <w:t>）</w:t>
      </w:r>
      <w:r>
        <w:rPr>
          <w:rFonts w:hint="eastAsia" w:ascii="宋体" w:hAnsi="宋体" w:cs="宋体"/>
          <w:b/>
          <w:bCs/>
          <w:color w:val="auto"/>
          <w:sz w:val="24"/>
        </w:rPr>
        <w:t>招标代理服务费支付同意函</w:t>
      </w:r>
    </w:p>
    <w:p w14:paraId="186FD0E5">
      <w:pPr>
        <w:spacing w:line="360" w:lineRule="auto"/>
        <w:jc w:val="left"/>
        <w:rPr>
          <w:rFonts w:ascii="宋体" w:hAnsi="宋体" w:cs="宋体"/>
          <w:color w:val="auto"/>
          <w:sz w:val="24"/>
        </w:rPr>
      </w:pPr>
      <w:r>
        <w:rPr>
          <w:rFonts w:hint="eastAsia" w:ascii="宋体" w:hAnsi="宋体" w:cs="宋体"/>
          <w:color w:val="auto"/>
          <w:sz w:val="24"/>
        </w:rPr>
        <w:t>公诚管理咨询有限公司：</w:t>
      </w:r>
    </w:p>
    <w:p w14:paraId="306E500B">
      <w:pPr>
        <w:spacing w:line="360" w:lineRule="auto"/>
        <w:ind w:firstLine="600"/>
        <w:jc w:val="left"/>
        <w:rPr>
          <w:rFonts w:ascii="宋体" w:hAnsi="宋体" w:cs="宋体"/>
          <w:color w:val="auto"/>
          <w:sz w:val="24"/>
        </w:rPr>
      </w:pPr>
      <w:r>
        <w:rPr>
          <w:rFonts w:hint="eastAsia" w:ascii="宋体" w:hAnsi="宋体" w:cs="宋体"/>
          <w:color w:val="auto"/>
          <w:sz w:val="24"/>
        </w:rPr>
        <w:t>我公司参加贵司作为招标代理机构组织的【</w:t>
      </w:r>
      <w:r>
        <w:rPr>
          <w:rFonts w:hint="eastAsia" w:ascii="宋体" w:hAnsi="宋体" w:cs="宋体"/>
          <w:color w:val="auto"/>
          <w:sz w:val="24"/>
          <w:u w:val="single"/>
        </w:rPr>
        <w:t xml:space="preserve">     </w:t>
      </w:r>
      <w:r>
        <w:rPr>
          <w:rFonts w:hint="eastAsia" w:ascii="宋体" w:hAnsi="宋体" w:cs="宋体"/>
          <w:color w:val="auto"/>
          <w:sz w:val="24"/>
        </w:rPr>
        <w:t>】（</w:t>
      </w:r>
      <w:r>
        <w:rPr>
          <w:rFonts w:hint="eastAsia" w:ascii="宋体" w:hAnsi="宋体" w:cs="宋体"/>
          <w:color w:val="auto"/>
          <w:sz w:val="24"/>
          <w:lang w:val="en-US" w:eastAsia="zh-CN"/>
        </w:rPr>
        <w:t>项目</w:t>
      </w:r>
      <w:r>
        <w:rPr>
          <w:rFonts w:hint="eastAsia" w:ascii="宋体" w:hAnsi="宋体" w:cs="宋体"/>
          <w:color w:val="auto"/>
          <w:sz w:val="24"/>
        </w:rPr>
        <w:t>编号：</w:t>
      </w:r>
      <w:r>
        <w:rPr>
          <w:rFonts w:hint="eastAsia" w:ascii="宋体" w:hAnsi="宋体" w:cs="宋体"/>
          <w:color w:val="auto"/>
          <w:sz w:val="24"/>
          <w:u w:val="single"/>
        </w:rPr>
        <w:t xml:space="preserve">    </w:t>
      </w:r>
      <w:r>
        <w:rPr>
          <w:rFonts w:hint="eastAsia" w:ascii="宋体" w:hAnsi="宋体" w:cs="宋体"/>
          <w:color w:val="auto"/>
          <w:sz w:val="24"/>
        </w:rPr>
        <w:t>）公开招标活动。我公司作为投标单位，若在本项目中标，同意支付招标代理服务费。</w:t>
      </w:r>
    </w:p>
    <w:p w14:paraId="4B360DE1">
      <w:pPr>
        <w:spacing w:line="360" w:lineRule="auto"/>
        <w:ind w:firstLine="600"/>
        <w:jc w:val="left"/>
        <w:rPr>
          <w:rFonts w:ascii="宋体" w:hAnsi="宋体" w:cs="宋体"/>
          <w:color w:val="auto"/>
          <w:sz w:val="24"/>
        </w:rPr>
      </w:pPr>
      <w:r>
        <w:rPr>
          <w:rFonts w:hint="eastAsia" w:ascii="宋体" w:hAnsi="宋体" w:cs="宋体"/>
          <w:color w:val="auto"/>
          <w:sz w:val="24"/>
        </w:rPr>
        <w:t>招标代理服务费的计取，我公司同意以我公司的中标金额（中标通知书所载中标金额），按招标文件中规定的收费标准结算。</w:t>
      </w:r>
    </w:p>
    <w:p w14:paraId="4DD24C82">
      <w:pPr>
        <w:spacing w:line="360" w:lineRule="auto"/>
        <w:ind w:firstLine="600"/>
        <w:jc w:val="left"/>
        <w:rPr>
          <w:rFonts w:ascii="宋体" w:hAnsi="宋体" w:cs="宋体"/>
          <w:color w:val="auto"/>
          <w:sz w:val="24"/>
        </w:rPr>
      </w:pPr>
      <w:r>
        <w:rPr>
          <w:rFonts w:hint="eastAsia" w:ascii="宋体" w:hAnsi="宋体" w:cs="宋体"/>
          <w:color w:val="auto"/>
          <w:sz w:val="24"/>
        </w:rPr>
        <w:t>代理服务费付款期限为贵司发出中标通知书后15日内，我司按以下第</w:t>
      </w:r>
      <w:r>
        <w:rPr>
          <w:rFonts w:hint="eastAsia" w:ascii="宋体" w:hAnsi="宋体" w:cs="宋体"/>
          <w:color w:val="auto"/>
          <w:sz w:val="24"/>
          <w:u w:val="single"/>
        </w:rPr>
        <w:t xml:space="preserve"> </w:t>
      </w:r>
      <w:r>
        <w:rPr>
          <w:rFonts w:hint="eastAsia" w:ascii="宋体" w:hAnsi="宋体" w:cs="宋体"/>
          <w:color w:val="auto"/>
          <w:sz w:val="24"/>
          <w:u w:val="single"/>
          <w:lang w:val="en-US" w:eastAsia="zh-CN"/>
        </w:rPr>
        <w:t xml:space="preserve">   </w:t>
      </w:r>
      <w:r>
        <w:rPr>
          <w:rFonts w:hint="eastAsia" w:ascii="宋体" w:hAnsi="宋体" w:cs="宋体"/>
          <w:color w:val="auto"/>
          <w:sz w:val="24"/>
          <w:u w:val="single"/>
        </w:rPr>
        <w:t xml:space="preserve"> </w:t>
      </w:r>
      <w:r>
        <w:rPr>
          <w:rFonts w:hint="eastAsia" w:ascii="宋体" w:hAnsi="宋体" w:cs="宋体"/>
          <w:color w:val="auto"/>
          <w:sz w:val="24"/>
        </w:rPr>
        <w:t>种形式向贵公司缴交（若未填写则默认同意第一种收取方式）。</w:t>
      </w:r>
    </w:p>
    <w:p w14:paraId="31F322ED">
      <w:pPr>
        <w:spacing w:line="360" w:lineRule="auto"/>
        <w:ind w:firstLine="600"/>
        <w:jc w:val="left"/>
        <w:rPr>
          <w:rFonts w:ascii="宋体" w:hAnsi="宋体" w:cs="宋体"/>
          <w:color w:val="auto"/>
          <w:sz w:val="24"/>
        </w:rPr>
      </w:pPr>
      <w:r>
        <w:rPr>
          <w:rFonts w:hint="eastAsia" w:ascii="宋体" w:hAnsi="宋体" w:cs="宋体"/>
          <w:color w:val="auto"/>
          <w:sz w:val="24"/>
        </w:rPr>
        <w:t>（1）由贵司在本次招标项目的投标保证金中直接扣除；保证金不足的，我司在上述时限内一次性将差额支付给贵司。</w:t>
      </w:r>
    </w:p>
    <w:p w14:paraId="76FFD183">
      <w:pPr>
        <w:spacing w:line="360" w:lineRule="auto"/>
        <w:ind w:firstLine="600"/>
        <w:jc w:val="left"/>
        <w:rPr>
          <w:rFonts w:hint="eastAsia" w:ascii="宋体" w:hAnsi="宋体" w:cs="宋体"/>
          <w:color w:val="auto"/>
          <w:sz w:val="24"/>
        </w:rPr>
      </w:pPr>
      <w:r>
        <w:rPr>
          <w:rFonts w:hint="eastAsia" w:ascii="宋体" w:hAnsi="宋体" w:cs="宋体"/>
          <w:color w:val="auto"/>
          <w:sz w:val="24"/>
        </w:rPr>
        <w:t>（2）我司向贵司账户银行电汇。</w:t>
      </w:r>
    </w:p>
    <w:p w14:paraId="117D280B">
      <w:pPr>
        <w:spacing w:line="360" w:lineRule="auto"/>
        <w:ind w:firstLine="60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请填写招标代理服务费发票收取信息：</w:t>
      </w:r>
    </w:p>
    <w:p w14:paraId="23D68FC2">
      <w:pPr>
        <w:spacing w:line="360" w:lineRule="auto"/>
        <w:ind w:firstLine="60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发票类型：</w:t>
      </w:r>
      <w:r>
        <w:rPr>
          <w:rFonts w:hint="eastAsia" w:ascii="宋体" w:hAnsi="宋体" w:eastAsia="宋体" w:cs="宋体"/>
          <w:sz w:val="24"/>
          <w:szCs w:val="24"/>
          <w:lang w:val="en-US" w:eastAsia="zh-CN"/>
        </w:rPr>
        <w:sym w:font="Wingdings 2" w:char="00A3"/>
      </w:r>
      <w:r>
        <w:rPr>
          <w:rFonts w:hint="eastAsia" w:ascii="宋体" w:hAnsi="宋体" w:eastAsia="宋体" w:cs="宋体"/>
          <w:sz w:val="24"/>
          <w:szCs w:val="24"/>
          <w:lang w:val="en-US" w:eastAsia="zh-CN"/>
        </w:rPr>
        <w:t>数电发票（电子普票）</w:t>
      </w:r>
      <w:r>
        <w:rPr>
          <w:rFonts w:hint="eastAsia" w:ascii="宋体" w:hAnsi="宋体" w:eastAsia="宋体" w:cs="宋体"/>
          <w:sz w:val="24"/>
          <w:szCs w:val="24"/>
          <w:lang w:val="en-US" w:eastAsia="zh-CN"/>
        </w:rPr>
        <w:sym w:font="Wingdings 2" w:char="00A3"/>
      </w:r>
      <w:r>
        <w:rPr>
          <w:rFonts w:hint="eastAsia" w:ascii="宋体" w:hAnsi="宋体" w:eastAsia="宋体" w:cs="宋体"/>
          <w:sz w:val="24"/>
          <w:szCs w:val="24"/>
          <w:lang w:val="en-US" w:eastAsia="zh-CN"/>
        </w:rPr>
        <w:t>数电发票（电子专票）</w:t>
      </w:r>
    </w:p>
    <w:p w14:paraId="26097A6E">
      <w:pPr>
        <w:spacing w:line="360" w:lineRule="auto"/>
        <w:ind w:firstLine="60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收件人姓名及电话：</w:t>
      </w:r>
    </w:p>
    <w:p w14:paraId="2451C4A6">
      <w:pPr>
        <w:spacing w:line="360" w:lineRule="auto"/>
        <w:ind w:firstLine="600"/>
        <w:jc w:val="left"/>
        <w:rPr>
          <w:rFonts w:hint="eastAsia" w:ascii="宋体" w:hAnsi="宋体" w:cs="宋体"/>
          <w:color w:val="auto"/>
          <w:sz w:val="24"/>
        </w:rPr>
      </w:pPr>
      <w:r>
        <w:rPr>
          <w:rFonts w:hint="eastAsia" w:ascii="宋体" w:hAnsi="宋体" w:eastAsia="宋体" w:cs="宋体"/>
          <w:sz w:val="24"/>
          <w:szCs w:val="24"/>
          <w:lang w:val="en-US" w:eastAsia="zh-CN"/>
        </w:rPr>
        <w:t>收件邮箱：</w:t>
      </w:r>
    </w:p>
    <w:p w14:paraId="5D453A6A">
      <w:pPr>
        <w:spacing w:line="360" w:lineRule="auto"/>
        <w:ind w:firstLine="600"/>
        <w:jc w:val="left"/>
        <w:rPr>
          <w:rFonts w:ascii="宋体" w:hAnsi="宋体" w:cs="宋体"/>
          <w:color w:val="auto"/>
          <w:sz w:val="24"/>
        </w:rPr>
      </w:pPr>
      <w:r>
        <w:rPr>
          <w:rFonts w:hint="eastAsia" w:ascii="宋体" w:hAnsi="宋体" w:cs="宋体"/>
          <w:color w:val="auto"/>
          <w:sz w:val="24"/>
        </w:rPr>
        <w:t>若我司未按前述期限支付代理服务费，贵司有权直接在应付我司任何一笔款项中直接扣除。</w:t>
      </w:r>
    </w:p>
    <w:p w14:paraId="1B1992CF">
      <w:pPr>
        <w:spacing w:line="360" w:lineRule="auto"/>
        <w:ind w:firstLine="600"/>
        <w:jc w:val="left"/>
        <w:rPr>
          <w:rFonts w:ascii="宋体" w:hAnsi="宋体" w:cs="宋体"/>
          <w:color w:val="auto"/>
          <w:sz w:val="24"/>
        </w:rPr>
      </w:pPr>
      <w:r>
        <w:rPr>
          <w:rFonts w:hint="eastAsia" w:ascii="宋体" w:hAnsi="宋体" w:cs="宋体"/>
          <w:color w:val="auto"/>
          <w:sz w:val="24"/>
        </w:rPr>
        <w:t>因前述事项发生争议，我方同意将争议提交北海国际仲裁院华南庭审中心仲裁解决。</w:t>
      </w:r>
    </w:p>
    <w:p w14:paraId="39E059F8">
      <w:pPr>
        <w:spacing w:line="360" w:lineRule="auto"/>
        <w:ind w:firstLine="600"/>
        <w:jc w:val="right"/>
        <w:rPr>
          <w:rFonts w:ascii="宋体" w:hAnsi="宋体" w:cs="宋体"/>
          <w:color w:val="auto"/>
          <w:sz w:val="24"/>
        </w:rPr>
      </w:pPr>
      <w:r>
        <w:rPr>
          <w:rFonts w:hint="eastAsia" w:ascii="宋体" w:hAnsi="宋体" w:cs="宋体"/>
          <w:color w:val="auto"/>
          <w:sz w:val="24"/>
        </w:rPr>
        <w:t xml:space="preserve">                             投标人（盖章）：XXX公司</w:t>
      </w:r>
    </w:p>
    <w:p w14:paraId="23D8B78B">
      <w:pPr>
        <w:spacing w:line="360" w:lineRule="auto"/>
        <w:ind w:firstLine="4440" w:firstLineChars="1850"/>
        <w:jc w:val="right"/>
        <w:rPr>
          <w:rFonts w:ascii="宋体" w:hAnsi="宋体" w:cs="宋体"/>
          <w:color w:val="auto"/>
          <w:sz w:val="24"/>
        </w:rPr>
      </w:pPr>
      <w:r>
        <w:rPr>
          <w:rFonts w:hint="eastAsia" w:ascii="宋体" w:hAnsi="宋体" w:cs="宋体"/>
          <w:color w:val="auto"/>
          <w:sz w:val="24"/>
        </w:rPr>
        <w:t xml:space="preserve">         年  月  日 </w:t>
      </w:r>
    </w:p>
    <w:p w14:paraId="2089885F">
      <w:pPr>
        <w:pStyle w:val="3"/>
        <w:jc w:val="center"/>
        <w:rPr>
          <w:rFonts w:hint="eastAsia" w:ascii="宋体" w:hAnsi="宋体" w:eastAsia="宋体" w:cs="宋体"/>
          <w:color w:val="000000"/>
          <w:szCs w:val="24"/>
          <w:highlight w:val="none"/>
          <w:lang w:eastAsia="zh-CN"/>
        </w:rPr>
      </w:pPr>
      <w:r>
        <w:rPr>
          <w:rFonts w:hint="eastAsia" w:ascii="宋体" w:hAnsi="宋体" w:eastAsia="宋体" w:cs="宋体"/>
          <w:color w:val="000000"/>
          <w:highlight w:val="none"/>
        </w:rPr>
        <w:br w:type="page"/>
      </w:r>
      <w:bookmarkStart w:id="697" w:name="_Toc109124327"/>
      <w:bookmarkStart w:id="698" w:name="_Toc65683013"/>
      <w:bookmarkStart w:id="699" w:name="_Toc20302"/>
      <w:bookmarkStart w:id="700" w:name="_Toc30008"/>
      <w:r>
        <w:rPr>
          <w:rFonts w:hint="eastAsia" w:ascii="宋体" w:hAnsi="宋体" w:eastAsia="宋体" w:cs="宋体"/>
          <w:color w:val="000000"/>
          <w:szCs w:val="24"/>
          <w:highlight w:val="none"/>
        </w:rPr>
        <w:t>二、技术</w:t>
      </w:r>
      <w:bookmarkEnd w:id="697"/>
      <w:bookmarkEnd w:id="698"/>
      <w:bookmarkEnd w:id="699"/>
      <w:r>
        <w:rPr>
          <w:rFonts w:hint="eastAsia" w:hAnsi="宋体" w:eastAsia="宋体" w:cs="宋体"/>
          <w:color w:val="000000"/>
          <w:szCs w:val="24"/>
          <w:highlight w:val="none"/>
          <w:lang w:val="en-US" w:eastAsia="zh-CN"/>
        </w:rPr>
        <w:t>部分</w:t>
      </w:r>
      <w:bookmarkEnd w:id="700"/>
    </w:p>
    <w:p w14:paraId="63290EDE">
      <w:pPr>
        <w:pStyle w:val="4"/>
        <w:spacing w:line="360" w:lineRule="auto"/>
        <w:rPr>
          <w:rFonts w:hint="eastAsia" w:ascii="宋体" w:hAnsi="宋体" w:eastAsia="宋体" w:cs="宋体"/>
          <w:color w:val="000000"/>
          <w:szCs w:val="24"/>
          <w:highlight w:val="none"/>
        </w:rPr>
      </w:pPr>
      <w:bookmarkStart w:id="701" w:name="_Toc29153"/>
      <w:bookmarkStart w:id="702" w:name="_Toc65683014"/>
      <w:bookmarkStart w:id="703" w:name="_Toc28698"/>
      <w:bookmarkStart w:id="704" w:name="_Toc109124328"/>
      <w:r>
        <w:rPr>
          <w:rFonts w:hint="eastAsia" w:ascii="宋体" w:hAnsi="宋体" w:eastAsia="宋体" w:cs="宋体"/>
          <w:color w:val="000000"/>
          <w:szCs w:val="24"/>
          <w:highlight w:val="none"/>
        </w:rPr>
        <w:t>（一）技术规范书应答偏离表</w:t>
      </w:r>
      <w:bookmarkEnd w:id="701"/>
      <w:bookmarkEnd w:id="702"/>
      <w:bookmarkEnd w:id="703"/>
      <w:bookmarkEnd w:id="704"/>
    </w:p>
    <w:p w14:paraId="4F8FD4AC">
      <w:pPr>
        <w:spacing w:line="360" w:lineRule="auto"/>
        <w:jc w:val="center"/>
        <w:rPr>
          <w:rFonts w:hint="eastAsia" w:ascii="宋体" w:hAnsi="宋体" w:eastAsia="宋体" w:cs="宋体"/>
          <w:b/>
          <w:bCs/>
          <w:color w:val="000000"/>
          <w:sz w:val="24"/>
          <w:szCs w:val="24"/>
          <w:highlight w:val="none"/>
        </w:rPr>
      </w:pPr>
      <w:bookmarkStart w:id="705" w:name="_Toc125771198"/>
      <w:bookmarkStart w:id="706" w:name="_Toc125561188"/>
      <w:bookmarkStart w:id="707" w:name="_Toc293297544"/>
      <w:r>
        <w:rPr>
          <w:rFonts w:hint="eastAsia" w:ascii="宋体" w:hAnsi="宋体" w:eastAsia="宋体" w:cs="宋体"/>
          <w:b/>
          <w:bCs/>
          <w:color w:val="000000"/>
          <w:sz w:val="24"/>
          <w:szCs w:val="24"/>
          <w:highlight w:val="none"/>
        </w:rPr>
        <w:t>技术规范书应答偏离表</w:t>
      </w:r>
      <w:bookmarkEnd w:id="705"/>
      <w:bookmarkEnd w:id="706"/>
      <w:bookmarkEnd w:id="707"/>
    </w:p>
    <w:p w14:paraId="17FA0F63">
      <w:pPr>
        <w:spacing w:line="360" w:lineRule="auto"/>
        <w:rPr>
          <w:rFonts w:hint="eastAsia" w:ascii="宋体" w:hAnsi="宋体" w:eastAsia="宋体" w:cs="宋体"/>
          <w:color w:val="000000"/>
          <w:highlight w:val="none"/>
        </w:rPr>
      </w:pPr>
      <w:r>
        <w:rPr>
          <w:rFonts w:hint="eastAsia" w:ascii="宋体" w:hAnsi="宋体" w:eastAsia="宋体" w:cs="宋体"/>
          <w:color w:val="000000"/>
          <w:sz w:val="24"/>
          <w:szCs w:val="24"/>
          <w:highlight w:val="none"/>
        </w:rPr>
        <w:t>投标人名称：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w:t>
      </w:r>
    </w:p>
    <w:tbl>
      <w:tblPr>
        <w:tblStyle w:val="37"/>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2835"/>
        <w:gridCol w:w="2268"/>
        <w:gridCol w:w="2640"/>
        <w:gridCol w:w="1434"/>
      </w:tblGrid>
      <w:tr w14:paraId="10A9F3B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675" w:type="dxa"/>
            <w:tcBorders>
              <w:top w:val="double" w:color="auto" w:sz="4" w:space="0"/>
              <w:left w:val="double" w:color="auto" w:sz="4" w:space="0"/>
              <w:bottom w:val="single" w:color="auto" w:sz="4" w:space="0"/>
              <w:right w:val="single" w:color="auto" w:sz="4" w:space="0"/>
            </w:tcBorders>
            <w:noWrap w:val="0"/>
            <w:vAlign w:val="center"/>
          </w:tcPr>
          <w:p w14:paraId="7D14C2FD">
            <w:pPr>
              <w:keepNext w:val="0"/>
              <w:keepLines w:val="0"/>
              <w:suppressLineNumbers w:val="0"/>
              <w:spacing w:before="0" w:beforeAutospacing="0" w:after="0" w:afterAutospacing="0" w:line="360" w:lineRule="auto"/>
              <w:ind w:left="0" w:right="0"/>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序号</w:t>
            </w:r>
          </w:p>
        </w:tc>
        <w:tc>
          <w:tcPr>
            <w:tcW w:w="2835" w:type="dxa"/>
            <w:tcBorders>
              <w:top w:val="double" w:color="auto" w:sz="4" w:space="0"/>
              <w:left w:val="single" w:color="auto" w:sz="4" w:space="0"/>
              <w:bottom w:val="single" w:color="auto" w:sz="4" w:space="0"/>
              <w:right w:val="single" w:color="auto" w:sz="4" w:space="0"/>
            </w:tcBorders>
            <w:noWrap w:val="0"/>
            <w:vAlign w:val="center"/>
          </w:tcPr>
          <w:p w14:paraId="40F411EF">
            <w:pPr>
              <w:keepNext w:val="0"/>
              <w:keepLines w:val="0"/>
              <w:suppressLineNumbers w:val="0"/>
              <w:spacing w:before="0" w:beforeAutospacing="0" w:after="0" w:afterAutospacing="0"/>
              <w:ind w:left="0" w:right="0"/>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Cs w:val="20"/>
                <w:highlight w:val="none"/>
              </w:rPr>
              <w:t>技术偏离类型(正负偏离)</w:t>
            </w:r>
          </w:p>
        </w:tc>
        <w:tc>
          <w:tcPr>
            <w:tcW w:w="2268" w:type="dxa"/>
            <w:tcBorders>
              <w:top w:val="double" w:color="auto" w:sz="4" w:space="0"/>
              <w:left w:val="single" w:color="auto" w:sz="4" w:space="0"/>
              <w:bottom w:val="single" w:color="auto" w:sz="4" w:space="0"/>
              <w:right w:val="single" w:color="auto" w:sz="4" w:space="0"/>
            </w:tcBorders>
            <w:noWrap w:val="0"/>
            <w:vAlign w:val="center"/>
          </w:tcPr>
          <w:p w14:paraId="7635034F">
            <w:pPr>
              <w:keepNext w:val="0"/>
              <w:keepLines w:val="0"/>
              <w:suppressLineNumbers w:val="0"/>
              <w:spacing w:before="0" w:beforeAutospacing="0" w:after="0" w:afterAutospacing="0"/>
              <w:ind w:left="0" w:right="0"/>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Cs w:val="20"/>
                <w:highlight w:val="none"/>
              </w:rPr>
              <w:t>技术偏离的文档章节号及页号</w:t>
            </w:r>
          </w:p>
        </w:tc>
        <w:tc>
          <w:tcPr>
            <w:tcW w:w="2640" w:type="dxa"/>
            <w:tcBorders>
              <w:top w:val="double" w:color="auto" w:sz="4" w:space="0"/>
              <w:left w:val="single" w:color="auto" w:sz="4" w:space="0"/>
              <w:bottom w:val="single" w:color="auto" w:sz="4" w:space="0"/>
              <w:right w:val="single" w:color="auto" w:sz="4" w:space="0"/>
            </w:tcBorders>
            <w:noWrap w:val="0"/>
            <w:vAlign w:val="center"/>
          </w:tcPr>
          <w:p w14:paraId="065A01E1">
            <w:pPr>
              <w:keepNext w:val="0"/>
              <w:keepLines w:val="0"/>
              <w:suppressLineNumbers w:val="0"/>
              <w:spacing w:before="0" w:beforeAutospacing="0" w:after="0" w:afterAutospacing="0"/>
              <w:ind w:left="0" w:right="0"/>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Cs w:val="20"/>
                <w:highlight w:val="none"/>
              </w:rPr>
              <w:t>技术偏离的主要内容说明</w:t>
            </w:r>
          </w:p>
        </w:tc>
        <w:tc>
          <w:tcPr>
            <w:tcW w:w="1434" w:type="dxa"/>
            <w:tcBorders>
              <w:top w:val="double" w:color="auto" w:sz="4" w:space="0"/>
              <w:left w:val="single" w:color="auto" w:sz="4" w:space="0"/>
              <w:bottom w:val="single" w:color="auto" w:sz="4" w:space="0"/>
              <w:right w:val="double" w:color="auto" w:sz="4" w:space="0"/>
            </w:tcBorders>
            <w:noWrap w:val="0"/>
            <w:vAlign w:val="center"/>
          </w:tcPr>
          <w:p w14:paraId="0012AB10">
            <w:pPr>
              <w:keepNext w:val="0"/>
              <w:keepLines w:val="0"/>
              <w:suppressLineNumbers w:val="0"/>
              <w:spacing w:before="0" w:beforeAutospacing="0" w:after="0" w:afterAutospacing="0" w:line="360" w:lineRule="auto"/>
              <w:ind w:left="0" w:right="0"/>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备注</w:t>
            </w:r>
          </w:p>
        </w:tc>
      </w:tr>
      <w:tr w14:paraId="01A864C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675" w:type="dxa"/>
            <w:tcBorders>
              <w:top w:val="single" w:color="auto" w:sz="4" w:space="0"/>
              <w:left w:val="double" w:color="auto" w:sz="4" w:space="0"/>
              <w:bottom w:val="single" w:color="auto" w:sz="4" w:space="0"/>
              <w:right w:val="single" w:color="auto" w:sz="4" w:space="0"/>
            </w:tcBorders>
            <w:noWrap w:val="0"/>
            <w:vAlign w:val="top"/>
          </w:tcPr>
          <w:p w14:paraId="4D5ED8E3">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p>
        </w:tc>
        <w:tc>
          <w:tcPr>
            <w:tcW w:w="2835" w:type="dxa"/>
            <w:tcBorders>
              <w:top w:val="single" w:color="auto" w:sz="4" w:space="0"/>
              <w:left w:val="single" w:color="auto" w:sz="4" w:space="0"/>
              <w:bottom w:val="single" w:color="auto" w:sz="4" w:space="0"/>
              <w:right w:val="single" w:color="auto" w:sz="4" w:space="0"/>
            </w:tcBorders>
            <w:noWrap w:val="0"/>
            <w:vAlign w:val="top"/>
          </w:tcPr>
          <w:p w14:paraId="4DF83CD1">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负偏离(不满足)</w:t>
            </w:r>
          </w:p>
        </w:tc>
        <w:tc>
          <w:tcPr>
            <w:tcW w:w="2268" w:type="dxa"/>
            <w:tcBorders>
              <w:top w:val="single" w:color="auto" w:sz="4" w:space="0"/>
              <w:left w:val="single" w:color="auto" w:sz="4" w:space="0"/>
              <w:bottom w:val="single" w:color="auto" w:sz="4" w:space="0"/>
              <w:right w:val="single" w:color="auto" w:sz="4" w:space="0"/>
            </w:tcBorders>
            <w:noWrap w:val="0"/>
            <w:vAlign w:val="top"/>
          </w:tcPr>
          <w:p w14:paraId="5608702B">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p>
        </w:tc>
        <w:tc>
          <w:tcPr>
            <w:tcW w:w="2640" w:type="dxa"/>
            <w:tcBorders>
              <w:top w:val="single" w:color="auto" w:sz="4" w:space="0"/>
              <w:left w:val="single" w:color="auto" w:sz="4" w:space="0"/>
              <w:bottom w:val="single" w:color="auto" w:sz="4" w:space="0"/>
              <w:right w:val="single" w:color="auto" w:sz="4" w:space="0"/>
            </w:tcBorders>
            <w:noWrap w:val="0"/>
            <w:vAlign w:val="top"/>
          </w:tcPr>
          <w:p w14:paraId="47D2AFD7">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p>
        </w:tc>
        <w:tc>
          <w:tcPr>
            <w:tcW w:w="1434" w:type="dxa"/>
            <w:tcBorders>
              <w:top w:val="single" w:color="auto" w:sz="4" w:space="0"/>
              <w:left w:val="single" w:color="auto" w:sz="4" w:space="0"/>
              <w:bottom w:val="single" w:color="auto" w:sz="4" w:space="0"/>
              <w:right w:val="double" w:color="auto" w:sz="4" w:space="0"/>
            </w:tcBorders>
            <w:noWrap w:val="0"/>
            <w:vAlign w:val="top"/>
          </w:tcPr>
          <w:p w14:paraId="5BAF5B93">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p>
        </w:tc>
      </w:tr>
      <w:tr w14:paraId="40A7F77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675" w:type="dxa"/>
            <w:tcBorders>
              <w:top w:val="single" w:color="auto" w:sz="4" w:space="0"/>
              <w:left w:val="double" w:color="auto" w:sz="4" w:space="0"/>
              <w:bottom w:val="single" w:color="auto" w:sz="4" w:space="0"/>
              <w:right w:val="single" w:color="auto" w:sz="4" w:space="0"/>
            </w:tcBorders>
            <w:noWrap w:val="0"/>
            <w:vAlign w:val="top"/>
          </w:tcPr>
          <w:p w14:paraId="28FC238B">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p>
        </w:tc>
        <w:tc>
          <w:tcPr>
            <w:tcW w:w="2835" w:type="dxa"/>
            <w:tcBorders>
              <w:top w:val="single" w:color="auto" w:sz="4" w:space="0"/>
              <w:left w:val="single" w:color="auto" w:sz="4" w:space="0"/>
              <w:bottom w:val="single" w:color="auto" w:sz="4" w:space="0"/>
              <w:right w:val="single" w:color="auto" w:sz="4" w:space="0"/>
            </w:tcBorders>
            <w:noWrap w:val="0"/>
            <w:vAlign w:val="top"/>
          </w:tcPr>
          <w:p w14:paraId="4450263B">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p>
        </w:tc>
        <w:tc>
          <w:tcPr>
            <w:tcW w:w="2268" w:type="dxa"/>
            <w:tcBorders>
              <w:top w:val="single" w:color="auto" w:sz="4" w:space="0"/>
              <w:left w:val="single" w:color="auto" w:sz="4" w:space="0"/>
              <w:bottom w:val="single" w:color="auto" w:sz="4" w:space="0"/>
              <w:right w:val="single" w:color="auto" w:sz="4" w:space="0"/>
            </w:tcBorders>
            <w:noWrap w:val="0"/>
            <w:vAlign w:val="top"/>
          </w:tcPr>
          <w:p w14:paraId="66F62734">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p>
        </w:tc>
        <w:tc>
          <w:tcPr>
            <w:tcW w:w="2640" w:type="dxa"/>
            <w:tcBorders>
              <w:top w:val="single" w:color="auto" w:sz="4" w:space="0"/>
              <w:left w:val="single" w:color="auto" w:sz="4" w:space="0"/>
              <w:bottom w:val="single" w:color="auto" w:sz="4" w:space="0"/>
              <w:right w:val="single" w:color="auto" w:sz="4" w:space="0"/>
            </w:tcBorders>
            <w:noWrap w:val="0"/>
            <w:vAlign w:val="top"/>
          </w:tcPr>
          <w:p w14:paraId="55BDCDA7">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p>
        </w:tc>
        <w:tc>
          <w:tcPr>
            <w:tcW w:w="1434" w:type="dxa"/>
            <w:tcBorders>
              <w:top w:val="single" w:color="auto" w:sz="4" w:space="0"/>
              <w:left w:val="single" w:color="auto" w:sz="4" w:space="0"/>
              <w:bottom w:val="single" w:color="auto" w:sz="4" w:space="0"/>
              <w:right w:val="double" w:color="auto" w:sz="4" w:space="0"/>
            </w:tcBorders>
            <w:noWrap w:val="0"/>
            <w:vAlign w:val="top"/>
          </w:tcPr>
          <w:p w14:paraId="6E270A57">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p>
        </w:tc>
      </w:tr>
      <w:tr w14:paraId="3A52332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675" w:type="dxa"/>
            <w:tcBorders>
              <w:top w:val="single" w:color="auto" w:sz="4" w:space="0"/>
              <w:left w:val="double" w:color="auto" w:sz="4" w:space="0"/>
              <w:bottom w:val="single" w:color="auto" w:sz="4" w:space="0"/>
              <w:right w:val="single" w:color="auto" w:sz="4" w:space="0"/>
            </w:tcBorders>
            <w:noWrap w:val="0"/>
            <w:vAlign w:val="top"/>
          </w:tcPr>
          <w:p w14:paraId="03A8795C">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p>
        </w:tc>
        <w:tc>
          <w:tcPr>
            <w:tcW w:w="2835" w:type="dxa"/>
            <w:tcBorders>
              <w:top w:val="single" w:color="auto" w:sz="4" w:space="0"/>
              <w:left w:val="single" w:color="auto" w:sz="4" w:space="0"/>
              <w:bottom w:val="single" w:color="auto" w:sz="4" w:space="0"/>
              <w:right w:val="single" w:color="auto" w:sz="4" w:space="0"/>
            </w:tcBorders>
            <w:noWrap w:val="0"/>
            <w:vAlign w:val="top"/>
          </w:tcPr>
          <w:p w14:paraId="7D773A1E">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p>
        </w:tc>
        <w:tc>
          <w:tcPr>
            <w:tcW w:w="2268" w:type="dxa"/>
            <w:tcBorders>
              <w:top w:val="single" w:color="auto" w:sz="4" w:space="0"/>
              <w:left w:val="single" w:color="auto" w:sz="4" w:space="0"/>
              <w:bottom w:val="single" w:color="auto" w:sz="4" w:space="0"/>
              <w:right w:val="single" w:color="auto" w:sz="4" w:space="0"/>
            </w:tcBorders>
            <w:noWrap w:val="0"/>
            <w:vAlign w:val="top"/>
          </w:tcPr>
          <w:p w14:paraId="03F9CDFF">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p>
        </w:tc>
        <w:tc>
          <w:tcPr>
            <w:tcW w:w="2640" w:type="dxa"/>
            <w:tcBorders>
              <w:top w:val="single" w:color="auto" w:sz="4" w:space="0"/>
              <w:left w:val="single" w:color="auto" w:sz="4" w:space="0"/>
              <w:bottom w:val="single" w:color="auto" w:sz="4" w:space="0"/>
              <w:right w:val="single" w:color="auto" w:sz="4" w:space="0"/>
            </w:tcBorders>
            <w:noWrap w:val="0"/>
            <w:vAlign w:val="top"/>
          </w:tcPr>
          <w:p w14:paraId="4FC82CB6">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p>
        </w:tc>
        <w:tc>
          <w:tcPr>
            <w:tcW w:w="1434" w:type="dxa"/>
            <w:tcBorders>
              <w:top w:val="single" w:color="auto" w:sz="4" w:space="0"/>
              <w:left w:val="single" w:color="auto" w:sz="4" w:space="0"/>
              <w:bottom w:val="single" w:color="auto" w:sz="4" w:space="0"/>
              <w:right w:val="double" w:color="auto" w:sz="4" w:space="0"/>
            </w:tcBorders>
            <w:noWrap w:val="0"/>
            <w:vAlign w:val="top"/>
          </w:tcPr>
          <w:p w14:paraId="0B8BB41E">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p>
        </w:tc>
      </w:tr>
      <w:tr w14:paraId="413B32F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675" w:type="dxa"/>
            <w:tcBorders>
              <w:top w:val="single" w:color="auto" w:sz="4" w:space="0"/>
              <w:left w:val="double" w:color="auto" w:sz="4" w:space="0"/>
              <w:bottom w:val="single" w:color="auto" w:sz="4" w:space="0"/>
              <w:right w:val="single" w:color="auto" w:sz="4" w:space="0"/>
            </w:tcBorders>
            <w:noWrap w:val="0"/>
            <w:vAlign w:val="top"/>
          </w:tcPr>
          <w:p w14:paraId="33DF5073">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p>
        </w:tc>
        <w:tc>
          <w:tcPr>
            <w:tcW w:w="2835" w:type="dxa"/>
            <w:tcBorders>
              <w:top w:val="single" w:color="auto" w:sz="4" w:space="0"/>
              <w:left w:val="single" w:color="auto" w:sz="4" w:space="0"/>
              <w:bottom w:val="single" w:color="auto" w:sz="4" w:space="0"/>
              <w:right w:val="single" w:color="auto" w:sz="4" w:space="0"/>
            </w:tcBorders>
            <w:noWrap w:val="0"/>
            <w:vAlign w:val="top"/>
          </w:tcPr>
          <w:p w14:paraId="54EAA5F2">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p>
        </w:tc>
        <w:tc>
          <w:tcPr>
            <w:tcW w:w="2268" w:type="dxa"/>
            <w:tcBorders>
              <w:top w:val="single" w:color="auto" w:sz="4" w:space="0"/>
              <w:left w:val="single" w:color="auto" w:sz="4" w:space="0"/>
              <w:bottom w:val="single" w:color="auto" w:sz="4" w:space="0"/>
              <w:right w:val="single" w:color="auto" w:sz="4" w:space="0"/>
            </w:tcBorders>
            <w:noWrap w:val="0"/>
            <w:vAlign w:val="top"/>
          </w:tcPr>
          <w:p w14:paraId="4940AAD0">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p>
        </w:tc>
        <w:tc>
          <w:tcPr>
            <w:tcW w:w="2640" w:type="dxa"/>
            <w:tcBorders>
              <w:top w:val="single" w:color="auto" w:sz="4" w:space="0"/>
              <w:left w:val="single" w:color="auto" w:sz="4" w:space="0"/>
              <w:bottom w:val="single" w:color="auto" w:sz="4" w:space="0"/>
              <w:right w:val="single" w:color="auto" w:sz="4" w:space="0"/>
            </w:tcBorders>
            <w:noWrap w:val="0"/>
            <w:vAlign w:val="top"/>
          </w:tcPr>
          <w:p w14:paraId="647918B2">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p>
        </w:tc>
        <w:tc>
          <w:tcPr>
            <w:tcW w:w="1434" w:type="dxa"/>
            <w:tcBorders>
              <w:top w:val="single" w:color="auto" w:sz="4" w:space="0"/>
              <w:left w:val="single" w:color="auto" w:sz="4" w:space="0"/>
              <w:bottom w:val="single" w:color="auto" w:sz="4" w:space="0"/>
              <w:right w:val="double" w:color="auto" w:sz="4" w:space="0"/>
            </w:tcBorders>
            <w:noWrap w:val="0"/>
            <w:vAlign w:val="top"/>
          </w:tcPr>
          <w:p w14:paraId="05A1E754">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p>
        </w:tc>
      </w:tr>
      <w:tr w14:paraId="2A74EF0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675" w:type="dxa"/>
            <w:tcBorders>
              <w:top w:val="single" w:color="auto" w:sz="4" w:space="0"/>
              <w:left w:val="double" w:color="auto" w:sz="4" w:space="0"/>
              <w:bottom w:val="single" w:color="auto" w:sz="4" w:space="0"/>
              <w:right w:val="single" w:color="auto" w:sz="4" w:space="0"/>
            </w:tcBorders>
            <w:noWrap w:val="0"/>
            <w:vAlign w:val="top"/>
          </w:tcPr>
          <w:p w14:paraId="0E342AF6">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p>
        </w:tc>
        <w:tc>
          <w:tcPr>
            <w:tcW w:w="2835" w:type="dxa"/>
            <w:tcBorders>
              <w:top w:val="single" w:color="auto" w:sz="4" w:space="0"/>
              <w:left w:val="single" w:color="auto" w:sz="4" w:space="0"/>
              <w:bottom w:val="single" w:color="auto" w:sz="4" w:space="0"/>
              <w:right w:val="single" w:color="auto" w:sz="4" w:space="0"/>
            </w:tcBorders>
            <w:noWrap w:val="0"/>
            <w:vAlign w:val="top"/>
          </w:tcPr>
          <w:p w14:paraId="28B4D8DA">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p>
        </w:tc>
        <w:tc>
          <w:tcPr>
            <w:tcW w:w="2268" w:type="dxa"/>
            <w:tcBorders>
              <w:top w:val="single" w:color="auto" w:sz="4" w:space="0"/>
              <w:left w:val="single" w:color="auto" w:sz="4" w:space="0"/>
              <w:bottom w:val="single" w:color="auto" w:sz="4" w:space="0"/>
              <w:right w:val="single" w:color="auto" w:sz="4" w:space="0"/>
            </w:tcBorders>
            <w:noWrap w:val="0"/>
            <w:vAlign w:val="top"/>
          </w:tcPr>
          <w:p w14:paraId="65387537">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p>
        </w:tc>
        <w:tc>
          <w:tcPr>
            <w:tcW w:w="2640" w:type="dxa"/>
            <w:tcBorders>
              <w:top w:val="single" w:color="auto" w:sz="4" w:space="0"/>
              <w:left w:val="single" w:color="auto" w:sz="4" w:space="0"/>
              <w:bottom w:val="single" w:color="auto" w:sz="4" w:space="0"/>
              <w:right w:val="single" w:color="auto" w:sz="4" w:space="0"/>
            </w:tcBorders>
            <w:noWrap w:val="0"/>
            <w:vAlign w:val="top"/>
          </w:tcPr>
          <w:p w14:paraId="26AE3804">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p>
        </w:tc>
        <w:tc>
          <w:tcPr>
            <w:tcW w:w="1434" w:type="dxa"/>
            <w:tcBorders>
              <w:top w:val="single" w:color="auto" w:sz="4" w:space="0"/>
              <w:left w:val="single" w:color="auto" w:sz="4" w:space="0"/>
              <w:bottom w:val="single" w:color="auto" w:sz="4" w:space="0"/>
              <w:right w:val="double" w:color="auto" w:sz="4" w:space="0"/>
            </w:tcBorders>
            <w:noWrap w:val="0"/>
            <w:vAlign w:val="top"/>
          </w:tcPr>
          <w:p w14:paraId="7A3BA5C4">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p>
        </w:tc>
      </w:tr>
      <w:tr w14:paraId="1D408D5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675" w:type="dxa"/>
            <w:tcBorders>
              <w:top w:val="single" w:color="auto" w:sz="4" w:space="0"/>
              <w:left w:val="double" w:color="auto" w:sz="4" w:space="0"/>
              <w:bottom w:val="single" w:color="auto" w:sz="4" w:space="0"/>
              <w:right w:val="single" w:color="auto" w:sz="4" w:space="0"/>
            </w:tcBorders>
            <w:noWrap w:val="0"/>
            <w:vAlign w:val="top"/>
          </w:tcPr>
          <w:p w14:paraId="7F89C0FE">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w:t>
            </w:r>
          </w:p>
        </w:tc>
        <w:tc>
          <w:tcPr>
            <w:tcW w:w="2835" w:type="dxa"/>
            <w:tcBorders>
              <w:top w:val="single" w:color="auto" w:sz="4" w:space="0"/>
              <w:left w:val="single" w:color="auto" w:sz="4" w:space="0"/>
              <w:bottom w:val="single" w:color="auto" w:sz="4" w:space="0"/>
              <w:right w:val="single" w:color="auto" w:sz="4" w:space="0"/>
            </w:tcBorders>
            <w:noWrap w:val="0"/>
            <w:vAlign w:val="top"/>
          </w:tcPr>
          <w:p w14:paraId="5E9A034F">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w:t>
            </w:r>
          </w:p>
        </w:tc>
        <w:tc>
          <w:tcPr>
            <w:tcW w:w="2268" w:type="dxa"/>
            <w:tcBorders>
              <w:top w:val="single" w:color="auto" w:sz="4" w:space="0"/>
              <w:left w:val="single" w:color="auto" w:sz="4" w:space="0"/>
              <w:bottom w:val="single" w:color="auto" w:sz="4" w:space="0"/>
              <w:right w:val="single" w:color="auto" w:sz="4" w:space="0"/>
            </w:tcBorders>
            <w:noWrap w:val="0"/>
            <w:vAlign w:val="top"/>
          </w:tcPr>
          <w:p w14:paraId="1CEED0A7">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p>
        </w:tc>
        <w:tc>
          <w:tcPr>
            <w:tcW w:w="2640" w:type="dxa"/>
            <w:tcBorders>
              <w:top w:val="single" w:color="auto" w:sz="4" w:space="0"/>
              <w:left w:val="single" w:color="auto" w:sz="4" w:space="0"/>
              <w:bottom w:val="single" w:color="auto" w:sz="4" w:space="0"/>
              <w:right w:val="single" w:color="auto" w:sz="4" w:space="0"/>
            </w:tcBorders>
            <w:noWrap w:val="0"/>
            <w:vAlign w:val="top"/>
          </w:tcPr>
          <w:p w14:paraId="57CAF52E">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p>
        </w:tc>
        <w:tc>
          <w:tcPr>
            <w:tcW w:w="1434" w:type="dxa"/>
            <w:tcBorders>
              <w:top w:val="single" w:color="auto" w:sz="4" w:space="0"/>
              <w:left w:val="single" w:color="auto" w:sz="4" w:space="0"/>
              <w:bottom w:val="single" w:color="auto" w:sz="4" w:space="0"/>
              <w:right w:val="double" w:color="auto" w:sz="4" w:space="0"/>
            </w:tcBorders>
            <w:noWrap w:val="0"/>
            <w:vAlign w:val="top"/>
          </w:tcPr>
          <w:p w14:paraId="11BCF769">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p>
        </w:tc>
      </w:tr>
      <w:tr w14:paraId="6BA0CE8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675" w:type="dxa"/>
            <w:tcBorders>
              <w:top w:val="single" w:color="auto" w:sz="4" w:space="0"/>
              <w:left w:val="double" w:color="auto" w:sz="4" w:space="0"/>
              <w:bottom w:val="single" w:color="auto" w:sz="4" w:space="0"/>
              <w:right w:val="single" w:color="auto" w:sz="4" w:space="0"/>
            </w:tcBorders>
            <w:noWrap w:val="0"/>
            <w:vAlign w:val="top"/>
          </w:tcPr>
          <w:p w14:paraId="2235DEA1">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p>
        </w:tc>
        <w:tc>
          <w:tcPr>
            <w:tcW w:w="2835" w:type="dxa"/>
            <w:tcBorders>
              <w:top w:val="single" w:color="auto" w:sz="4" w:space="0"/>
              <w:left w:val="single" w:color="auto" w:sz="4" w:space="0"/>
              <w:bottom w:val="single" w:color="auto" w:sz="4" w:space="0"/>
              <w:right w:val="single" w:color="auto" w:sz="4" w:space="0"/>
            </w:tcBorders>
            <w:noWrap w:val="0"/>
            <w:vAlign w:val="top"/>
          </w:tcPr>
          <w:p w14:paraId="072EFC1B">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正偏离(优于)</w:t>
            </w:r>
          </w:p>
        </w:tc>
        <w:tc>
          <w:tcPr>
            <w:tcW w:w="2268" w:type="dxa"/>
            <w:tcBorders>
              <w:top w:val="single" w:color="auto" w:sz="4" w:space="0"/>
              <w:left w:val="single" w:color="auto" w:sz="4" w:space="0"/>
              <w:bottom w:val="single" w:color="auto" w:sz="4" w:space="0"/>
              <w:right w:val="single" w:color="auto" w:sz="4" w:space="0"/>
            </w:tcBorders>
            <w:noWrap w:val="0"/>
            <w:vAlign w:val="top"/>
          </w:tcPr>
          <w:p w14:paraId="03A7FB8F">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p>
        </w:tc>
        <w:tc>
          <w:tcPr>
            <w:tcW w:w="2640" w:type="dxa"/>
            <w:tcBorders>
              <w:top w:val="single" w:color="auto" w:sz="4" w:space="0"/>
              <w:left w:val="single" w:color="auto" w:sz="4" w:space="0"/>
              <w:bottom w:val="single" w:color="auto" w:sz="4" w:space="0"/>
              <w:right w:val="single" w:color="auto" w:sz="4" w:space="0"/>
            </w:tcBorders>
            <w:noWrap w:val="0"/>
            <w:vAlign w:val="top"/>
          </w:tcPr>
          <w:p w14:paraId="733BEC1F">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p>
        </w:tc>
        <w:tc>
          <w:tcPr>
            <w:tcW w:w="1434" w:type="dxa"/>
            <w:tcBorders>
              <w:top w:val="single" w:color="auto" w:sz="4" w:space="0"/>
              <w:left w:val="single" w:color="auto" w:sz="4" w:space="0"/>
              <w:bottom w:val="single" w:color="auto" w:sz="4" w:space="0"/>
              <w:right w:val="double" w:color="auto" w:sz="4" w:space="0"/>
            </w:tcBorders>
            <w:noWrap w:val="0"/>
            <w:vAlign w:val="top"/>
          </w:tcPr>
          <w:p w14:paraId="5A93F9FC">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p>
        </w:tc>
      </w:tr>
      <w:tr w14:paraId="49D1597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675" w:type="dxa"/>
            <w:tcBorders>
              <w:top w:val="single" w:color="auto" w:sz="4" w:space="0"/>
              <w:left w:val="double" w:color="auto" w:sz="4" w:space="0"/>
              <w:bottom w:val="single" w:color="auto" w:sz="4" w:space="0"/>
              <w:right w:val="single" w:color="auto" w:sz="4" w:space="0"/>
            </w:tcBorders>
            <w:noWrap w:val="0"/>
            <w:vAlign w:val="top"/>
          </w:tcPr>
          <w:p w14:paraId="7100D985">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p>
        </w:tc>
        <w:tc>
          <w:tcPr>
            <w:tcW w:w="2835" w:type="dxa"/>
            <w:tcBorders>
              <w:top w:val="single" w:color="auto" w:sz="4" w:space="0"/>
              <w:left w:val="single" w:color="auto" w:sz="4" w:space="0"/>
              <w:bottom w:val="single" w:color="auto" w:sz="4" w:space="0"/>
              <w:right w:val="single" w:color="auto" w:sz="4" w:space="0"/>
            </w:tcBorders>
            <w:noWrap w:val="0"/>
            <w:vAlign w:val="top"/>
          </w:tcPr>
          <w:p w14:paraId="28EE43D2">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p>
        </w:tc>
        <w:tc>
          <w:tcPr>
            <w:tcW w:w="2268" w:type="dxa"/>
            <w:tcBorders>
              <w:top w:val="single" w:color="auto" w:sz="4" w:space="0"/>
              <w:left w:val="single" w:color="auto" w:sz="4" w:space="0"/>
              <w:bottom w:val="single" w:color="auto" w:sz="4" w:space="0"/>
              <w:right w:val="single" w:color="auto" w:sz="4" w:space="0"/>
            </w:tcBorders>
            <w:noWrap w:val="0"/>
            <w:vAlign w:val="top"/>
          </w:tcPr>
          <w:p w14:paraId="4766E3F7">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p>
        </w:tc>
        <w:tc>
          <w:tcPr>
            <w:tcW w:w="2640" w:type="dxa"/>
            <w:tcBorders>
              <w:top w:val="single" w:color="auto" w:sz="4" w:space="0"/>
              <w:left w:val="single" w:color="auto" w:sz="4" w:space="0"/>
              <w:bottom w:val="single" w:color="auto" w:sz="4" w:space="0"/>
              <w:right w:val="single" w:color="auto" w:sz="4" w:space="0"/>
            </w:tcBorders>
            <w:noWrap w:val="0"/>
            <w:vAlign w:val="top"/>
          </w:tcPr>
          <w:p w14:paraId="73C569C9">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p>
        </w:tc>
        <w:tc>
          <w:tcPr>
            <w:tcW w:w="1434" w:type="dxa"/>
            <w:tcBorders>
              <w:top w:val="single" w:color="auto" w:sz="4" w:space="0"/>
              <w:left w:val="single" w:color="auto" w:sz="4" w:space="0"/>
              <w:bottom w:val="single" w:color="auto" w:sz="4" w:space="0"/>
              <w:right w:val="double" w:color="auto" w:sz="4" w:space="0"/>
            </w:tcBorders>
            <w:noWrap w:val="0"/>
            <w:vAlign w:val="top"/>
          </w:tcPr>
          <w:p w14:paraId="614F08F0">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p>
        </w:tc>
      </w:tr>
      <w:tr w14:paraId="2AACD49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675" w:type="dxa"/>
            <w:tcBorders>
              <w:top w:val="single" w:color="auto" w:sz="4" w:space="0"/>
              <w:left w:val="double" w:color="auto" w:sz="4" w:space="0"/>
              <w:bottom w:val="single" w:color="auto" w:sz="4" w:space="0"/>
              <w:right w:val="single" w:color="auto" w:sz="4" w:space="0"/>
            </w:tcBorders>
            <w:noWrap w:val="0"/>
            <w:vAlign w:val="top"/>
          </w:tcPr>
          <w:p w14:paraId="5ECCC9BC">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p>
        </w:tc>
        <w:tc>
          <w:tcPr>
            <w:tcW w:w="2835" w:type="dxa"/>
            <w:tcBorders>
              <w:top w:val="single" w:color="auto" w:sz="4" w:space="0"/>
              <w:left w:val="single" w:color="auto" w:sz="4" w:space="0"/>
              <w:bottom w:val="single" w:color="auto" w:sz="4" w:space="0"/>
              <w:right w:val="single" w:color="auto" w:sz="4" w:space="0"/>
            </w:tcBorders>
            <w:noWrap w:val="0"/>
            <w:vAlign w:val="top"/>
          </w:tcPr>
          <w:p w14:paraId="5ACA3976">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p>
        </w:tc>
        <w:tc>
          <w:tcPr>
            <w:tcW w:w="2268" w:type="dxa"/>
            <w:tcBorders>
              <w:top w:val="single" w:color="auto" w:sz="4" w:space="0"/>
              <w:left w:val="single" w:color="auto" w:sz="4" w:space="0"/>
              <w:bottom w:val="single" w:color="auto" w:sz="4" w:space="0"/>
              <w:right w:val="single" w:color="auto" w:sz="4" w:space="0"/>
            </w:tcBorders>
            <w:noWrap w:val="0"/>
            <w:vAlign w:val="top"/>
          </w:tcPr>
          <w:p w14:paraId="4A04DDE9">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p>
        </w:tc>
        <w:tc>
          <w:tcPr>
            <w:tcW w:w="2640" w:type="dxa"/>
            <w:tcBorders>
              <w:top w:val="single" w:color="auto" w:sz="4" w:space="0"/>
              <w:left w:val="single" w:color="auto" w:sz="4" w:space="0"/>
              <w:bottom w:val="single" w:color="auto" w:sz="4" w:space="0"/>
              <w:right w:val="single" w:color="auto" w:sz="4" w:space="0"/>
            </w:tcBorders>
            <w:noWrap w:val="0"/>
            <w:vAlign w:val="top"/>
          </w:tcPr>
          <w:p w14:paraId="79E858E5">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p>
        </w:tc>
        <w:tc>
          <w:tcPr>
            <w:tcW w:w="1434" w:type="dxa"/>
            <w:tcBorders>
              <w:top w:val="single" w:color="auto" w:sz="4" w:space="0"/>
              <w:left w:val="single" w:color="auto" w:sz="4" w:space="0"/>
              <w:bottom w:val="single" w:color="auto" w:sz="4" w:space="0"/>
              <w:right w:val="double" w:color="auto" w:sz="4" w:space="0"/>
            </w:tcBorders>
            <w:noWrap w:val="0"/>
            <w:vAlign w:val="top"/>
          </w:tcPr>
          <w:p w14:paraId="17C837E7">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p>
        </w:tc>
      </w:tr>
      <w:tr w14:paraId="58946D2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675" w:type="dxa"/>
            <w:tcBorders>
              <w:top w:val="single" w:color="auto" w:sz="4" w:space="0"/>
              <w:left w:val="double" w:color="auto" w:sz="4" w:space="0"/>
              <w:bottom w:val="single" w:color="auto" w:sz="4" w:space="0"/>
              <w:right w:val="single" w:color="auto" w:sz="4" w:space="0"/>
            </w:tcBorders>
            <w:noWrap w:val="0"/>
            <w:vAlign w:val="top"/>
          </w:tcPr>
          <w:p w14:paraId="6F987AA0">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p>
        </w:tc>
        <w:tc>
          <w:tcPr>
            <w:tcW w:w="2835" w:type="dxa"/>
            <w:tcBorders>
              <w:top w:val="single" w:color="auto" w:sz="4" w:space="0"/>
              <w:left w:val="single" w:color="auto" w:sz="4" w:space="0"/>
              <w:bottom w:val="single" w:color="auto" w:sz="4" w:space="0"/>
              <w:right w:val="single" w:color="auto" w:sz="4" w:space="0"/>
            </w:tcBorders>
            <w:noWrap w:val="0"/>
            <w:vAlign w:val="top"/>
          </w:tcPr>
          <w:p w14:paraId="2719C2EE">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p>
        </w:tc>
        <w:tc>
          <w:tcPr>
            <w:tcW w:w="2268" w:type="dxa"/>
            <w:tcBorders>
              <w:top w:val="single" w:color="auto" w:sz="4" w:space="0"/>
              <w:left w:val="single" w:color="auto" w:sz="4" w:space="0"/>
              <w:bottom w:val="single" w:color="auto" w:sz="4" w:space="0"/>
              <w:right w:val="single" w:color="auto" w:sz="4" w:space="0"/>
            </w:tcBorders>
            <w:noWrap w:val="0"/>
            <w:vAlign w:val="top"/>
          </w:tcPr>
          <w:p w14:paraId="048BA7FC">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p>
        </w:tc>
        <w:tc>
          <w:tcPr>
            <w:tcW w:w="2640" w:type="dxa"/>
            <w:tcBorders>
              <w:top w:val="single" w:color="auto" w:sz="4" w:space="0"/>
              <w:left w:val="single" w:color="auto" w:sz="4" w:space="0"/>
              <w:bottom w:val="single" w:color="auto" w:sz="4" w:space="0"/>
              <w:right w:val="single" w:color="auto" w:sz="4" w:space="0"/>
            </w:tcBorders>
            <w:noWrap w:val="0"/>
            <w:vAlign w:val="top"/>
          </w:tcPr>
          <w:p w14:paraId="207DAF47">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p>
        </w:tc>
        <w:tc>
          <w:tcPr>
            <w:tcW w:w="1434" w:type="dxa"/>
            <w:tcBorders>
              <w:top w:val="single" w:color="auto" w:sz="4" w:space="0"/>
              <w:left w:val="single" w:color="auto" w:sz="4" w:space="0"/>
              <w:bottom w:val="single" w:color="auto" w:sz="4" w:space="0"/>
              <w:right w:val="double" w:color="auto" w:sz="4" w:space="0"/>
            </w:tcBorders>
            <w:noWrap w:val="0"/>
            <w:vAlign w:val="top"/>
          </w:tcPr>
          <w:p w14:paraId="5925E154">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p>
        </w:tc>
      </w:tr>
      <w:tr w14:paraId="7B411F0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675" w:type="dxa"/>
            <w:tcBorders>
              <w:top w:val="single" w:color="auto" w:sz="4" w:space="0"/>
              <w:left w:val="double" w:color="auto" w:sz="4" w:space="0"/>
              <w:bottom w:val="single" w:color="auto" w:sz="4" w:space="0"/>
              <w:right w:val="single" w:color="auto" w:sz="4" w:space="0"/>
            </w:tcBorders>
            <w:noWrap w:val="0"/>
            <w:vAlign w:val="top"/>
          </w:tcPr>
          <w:p w14:paraId="7B875189">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w:t>
            </w:r>
          </w:p>
        </w:tc>
        <w:tc>
          <w:tcPr>
            <w:tcW w:w="2835" w:type="dxa"/>
            <w:tcBorders>
              <w:top w:val="single" w:color="auto" w:sz="4" w:space="0"/>
              <w:left w:val="single" w:color="auto" w:sz="4" w:space="0"/>
              <w:bottom w:val="single" w:color="auto" w:sz="4" w:space="0"/>
              <w:right w:val="single" w:color="auto" w:sz="4" w:space="0"/>
            </w:tcBorders>
            <w:noWrap w:val="0"/>
            <w:vAlign w:val="top"/>
          </w:tcPr>
          <w:p w14:paraId="2897A7E2">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w:t>
            </w:r>
          </w:p>
        </w:tc>
        <w:tc>
          <w:tcPr>
            <w:tcW w:w="2268" w:type="dxa"/>
            <w:tcBorders>
              <w:top w:val="single" w:color="auto" w:sz="4" w:space="0"/>
              <w:left w:val="single" w:color="auto" w:sz="4" w:space="0"/>
              <w:bottom w:val="single" w:color="auto" w:sz="4" w:space="0"/>
              <w:right w:val="single" w:color="auto" w:sz="4" w:space="0"/>
            </w:tcBorders>
            <w:noWrap w:val="0"/>
            <w:vAlign w:val="top"/>
          </w:tcPr>
          <w:p w14:paraId="0FF6AC69">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p>
        </w:tc>
        <w:tc>
          <w:tcPr>
            <w:tcW w:w="2640" w:type="dxa"/>
            <w:tcBorders>
              <w:top w:val="single" w:color="auto" w:sz="4" w:space="0"/>
              <w:left w:val="single" w:color="auto" w:sz="4" w:space="0"/>
              <w:bottom w:val="single" w:color="auto" w:sz="4" w:space="0"/>
              <w:right w:val="single" w:color="auto" w:sz="4" w:space="0"/>
            </w:tcBorders>
            <w:noWrap w:val="0"/>
            <w:vAlign w:val="top"/>
          </w:tcPr>
          <w:p w14:paraId="7A932D76">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p>
        </w:tc>
        <w:tc>
          <w:tcPr>
            <w:tcW w:w="1434" w:type="dxa"/>
            <w:tcBorders>
              <w:top w:val="single" w:color="auto" w:sz="4" w:space="0"/>
              <w:left w:val="single" w:color="auto" w:sz="4" w:space="0"/>
              <w:bottom w:val="single" w:color="auto" w:sz="4" w:space="0"/>
              <w:right w:val="double" w:color="auto" w:sz="4" w:space="0"/>
            </w:tcBorders>
            <w:noWrap w:val="0"/>
            <w:vAlign w:val="top"/>
          </w:tcPr>
          <w:p w14:paraId="1D91FB3B">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p>
        </w:tc>
      </w:tr>
      <w:tr w14:paraId="3818CED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675" w:type="dxa"/>
            <w:tcBorders>
              <w:top w:val="single" w:color="auto" w:sz="4" w:space="0"/>
              <w:left w:val="double" w:color="auto" w:sz="4" w:space="0"/>
              <w:bottom w:val="single" w:color="auto" w:sz="4" w:space="0"/>
              <w:right w:val="single" w:color="auto" w:sz="4" w:space="0"/>
            </w:tcBorders>
            <w:noWrap w:val="0"/>
            <w:vAlign w:val="top"/>
          </w:tcPr>
          <w:p w14:paraId="60CBC2D3">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p>
        </w:tc>
        <w:tc>
          <w:tcPr>
            <w:tcW w:w="2835" w:type="dxa"/>
            <w:tcBorders>
              <w:top w:val="single" w:color="auto" w:sz="4" w:space="0"/>
              <w:left w:val="single" w:color="auto" w:sz="4" w:space="0"/>
              <w:bottom w:val="single" w:color="auto" w:sz="4" w:space="0"/>
              <w:right w:val="single" w:color="auto" w:sz="4" w:space="0"/>
            </w:tcBorders>
            <w:noWrap w:val="0"/>
            <w:vAlign w:val="top"/>
          </w:tcPr>
          <w:p w14:paraId="3435EAD8">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p>
        </w:tc>
        <w:tc>
          <w:tcPr>
            <w:tcW w:w="2268" w:type="dxa"/>
            <w:tcBorders>
              <w:top w:val="single" w:color="auto" w:sz="4" w:space="0"/>
              <w:left w:val="single" w:color="auto" w:sz="4" w:space="0"/>
              <w:bottom w:val="single" w:color="auto" w:sz="4" w:space="0"/>
              <w:right w:val="single" w:color="auto" w:sz="4" w:space="0"/>
            </w:tcBorders>
            <w:noWrap w:val="0"/>
            <w:vAlign w:val="top"/>
          </w:tcPr>
          <w:p w14:paraId="0C18A3D9">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p>
        </w:tc>
        <w:tc>
          <w:tcPr>
            <w:tcW w:w="2640" w:type="dxa"/>
            <w:tcBorders>
              <w:top w:val="single" w:color="auto" w:sz="4" w:space="0"/>
              <w:left w:val="single" w:color="auto" w:sz="4" w:space="0"/>
              <w:bottom w:val="single" w:color="auto" w:sz="4" w:space="0"/>
              <w:right w:val="single" w:color="auto" w:sz="4" w:space="0"/>
            </w:tcBorders>
            <w:noWrap w:val="0"/>
            <w:vAlign w:val="top"/>
          </w:tcPr>
          <w:p w14:paraId="065F6650">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p>
        </w:tc>
        <w:tc>
          <w:tcPr>
            <w:tcW w:w="1434" w:type="dxa"/>
            <w:tcBorders>
              <w:top w:val="single" w:color="auto" w:sz="4" w:space="0"/>
              <w:left w:val="single" w:color="auto" w:sz="4" w:space="0"/>
              <w:bottom w:val="single" w:color="auto" w:sz="4" w:space="0"/>
              <w:right w:val="double" w:color="auto" w:sz="4" w:space="0"/>
            </w:tcBorders>
            <w:noWrap w:val="0"/>
            <w:vAlign w:val="top"/>
          </w:tcPr>
          <w:p w14:paraId="1ECCD661">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p>
        </w:tc>
      </w:tr>
      <w:tr w14:paraId="6679ED9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675" w:type="dxa"/>
            <w:tcBorders>
              <w:top w:val="single" w:color="auto" w:sz="4" w:space="0"/>
              <w:left w:val="double" w:color="auto" w:sz="4" w:space="0"/>
              <w:bottom w:val="single" w:color="auto" w:sz="4" w:space="0"/>
              <w:right w:val="single" w:color="auto" w:sz="4" w:space="0"/>
            </w:tcBorders>
            <w:noWrap w:val="0"/>
            <w:vAlign w:val="top"/>
          </w:tcPr>
          <w:p w14:paraId="12360959">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p>
        </w:tc>
        <w:tc>
          <w:tcPr>
            <w:tcW w:w="2835" w:type="dxa"/>
            <w:tcBorders>
              <w:top w:val="single" w:color="auto" w:sz="4" w:space="0"/>
              <w:left w:val="single" w:color="auto" w:sz="4" w:space="0"/>
              <w:bottom w:val="single" w:color="auto" w:sz="4" w:space="0"/>
              <w:right w:val="single" w:color="auto" w:sz="4" w:space="0"/>
            </w:tcBorders>
            <w:noWrap w:val="0"/>
            <w:vAlign w:val="top"/>
          </w:tcPr>
          <w:p w14:paraId="40A3472F">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p>
        </w:tc>
        <w:tc>
          <w:tcPr>
            <w:tcW w:w="2268" w:type="dxa"/>
            <w:tcBorders>
              <w:top w:val="single" w:color="auto" w:sz="4" w:space="0"/>
              <w:left w:val="single" w:color="auto" w:sz="4" w:space="0"/>
              <w:bottom w:val="single" w:color="auto" w:sz="4" w:space="0"/>
              <w:right w:val="single" w:color="auto" w:sz="4" w:space="0"/>
            </w:tcBorders>
            <w:noWrap w:val="0"/>
            <w:vAlign w:val="top"/>
          </w:tcPr>
          <w:p w14:paraId="53C1071F">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p>
        </w:tc>
        <w:tc>
          <w:tcPr>
            <w:tcW w:w="2640" w:type="dxa"/>
            <w:tcBorders>
              <w:top w:val="single" w:color="auto" w:sz="4" w:space="0"/>
              <w:left w:val="single" w:color="auto" w:sz="4" w:space="0"/>
              <w:bottom w:val="single" w:color="auto" w:sz="4" w:space="0"/>
              <w:right w:val="single" w:color="auto" w:sz="4" w:space="0"/>
            </w:tcBorders>
            <w:noWrap w:val="0"/>
            <w:vAlign w:val="top"/>
          </w:tcPr>
          <w:p w14:paraId="5CC80AB4">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p>
        </w:tc>
        <w:tc>
          <w:tcPr>
            <w:tcW w:w="1434" w:type="dxa"/>
            <w:tcBorders>
              <w:top w:val="single" w:color="auto" w:sz="4" w:space="0"/>
              <w:left w:val="single" w:color="auto" w:sz="4" w:space="0"/>
              <w:bottom w:val="single" w:color="auto" w:sz="4" w:space="0"/>
              <w:right w:val="double" w:color="auto" w:sz="4" w:space="0"/>
            </w:tcBorders>
            <w:noWrap w:val="0"/>
            <w:vAlign w:val="top"/>
          </w:tcPr>
          <w:p w14:paraId="22AC57E7">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p>
        </w:tc>
      </w:tr>
      <w:tr w14:paraId="3CC6798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675" w:type="dxa"/>
            <w:tcBorders>
              <w:top w:val="single" w:color="auto" w:sz="4" w:space="0"/>
              <w:left w:val="double" w:color="auto" w:sz="4" w:space="0"/>
              <w:bottom w:val="double" w:color="auto" w:sz="4" w:space="0"/>
              <w:right w:val="single" w:color="auto" w:sz="4" w:space="0"/>
            </w:tcBorders>
            <w:noWrap w:val="0"/>
            <w:vAlign w:val="top"/>
          </w:tcPr>
          <w:p w14:paraId="59784C8B">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p>
        </w:tc>
        <w:tc>
          <w:tcPr>
            <w:tcW w:w="2835" w:type="dxa"/>
            <w:tcBorders>
              <w:top w:val="single" w:color="auto" w:sz="4" w:space="0"/>
              <w:left w:val="single" w:color="auto" w:sz="4" w:space="0"/>
              <w:bottom w:val="double" w:color="auto" w:sz="4" w:space="0"/>
              <w:right w:val="single" w:color="auto" w:sz="4" w:space="0"/>
            </w:tcBorders>
            <w:noWrap w:val="0"/>
            <w:vAlign w:val="top"/>
          </w:tcPr>
          <w:p w14:paraId="03EE4788">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p>
        </w:tc>
        <w:tc>
          <w:tcPr>
            <w:tcW w:w="2268" w:type="dxa"/>
            <w:tcBorders>
              <w:top w:val="single" w:color="auto" w:sz="4" w:space="0"/>
              <w:left w:val="single" w:color="auto" w:sz="4" w:space="0"/>
              <w:bottom w:val="double" w:color="auto" w:sz="4" w:space="0"/>
              <w:right w:val="single" w:color="auto" w:sz="4" w:space="0"/>
            </w:tcBorders>
            <w:noWrap w:val="0"/>
            <w:vAlign w:val="top"/>
          </w:tcPr>
          <w:p w14:paraId="48C8ED5E">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p>
        </w:tc>
        <w:tc>
          <w:tcPr>
            <w:tcW w:w="2640" w:type="dxa"/>
            <w:tcBorders>
              <w:top w:val="single" w:color="auto" w:sz="4" w:space="0"/>
              <w:left w:val="single" w:color="auto" w:sz="4" w:space="0"/>
              <w:bottom w:val="double" w:color="auto" w:sz="4" w:space="0"/>
              <w:right w:val="single" w:color="auto" w:sz="4" w:space="0"/>
            </w:tcBorders>
            <w:noWrap w:val="0"/>
            <w:vAlign w:val="top"/>
          </w:tcPr>
          <w:p w14:paraId="0E6DCCDB">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p>
        </w:tc>
        <w:tc>
          <w:tcPr>
            <w:tcW w:w="1434" w:type="dxa"/>
            <w:tcBorders>
              <w:top w:val="single" w:color="auto" w:sz="4" w:space="0"/>
              <w:left w:val="single" w:color="auto" w:sz="4" w:space="0"/>
              <w:bottom w:val="double" w:color="auto" w:sz="4" w:space="0"/>
              <w:right w:val="double" w:color="auto" w:sz="4" w:space="0"/>
            </w:tcBorders>
            <w:noWrap w:val="0"/>
            <w:vAlign w:val="top"/>
          </w:tcPr>
          <w:p w14:paraId="3A31270E">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highlight w:val="none"/>
              </w:rPr>
            </w:pPr>
          </w:p>
        </w:tc>
      </w:tr>
    </w:tbl>
    <w:p w14:paraId="47D08EA3">
      <w:pPr>
        <w:spacing w:before="240" w:line="360" w:lineRule="auto"/>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rPr>
        <w:t>注：对于未列出的偏离内容视同投标人已完全接受招标文件的要求。</w:t>
      </w:r>
      <w:r>
        <w:rPr>
          <w:rFonts w:hint="eastAsia" w:ascii="宋体" w:hAnsi="宋体" w:eastAsia="宋体" w:cs="宋体"/>
          <w:b/>
          <w:bCs/>
          <w:color w:val="000000"/>
          <w:sz w:val="24"/>
          <w:highlight w:val="none"/>
        </w:rPr>
        <w:t>如全部满足，在偏离表中应答“全部满足”即可</w:t>
      </w:r>
      <w:r>
        <w:rPr>
          <w:rFonts w:hint="eastAsia" w:ascii="宋体" w:hAnsi="宋体" w:eastAsia="宋体" w:cs="宋体"/>
          <w:color w:val="000000"/>
          <w:sz w:val="24"/>
          <w:highlight w:val="none"/>
        </w:rPr>
        <w:t>。</w:t>
      </w:r>
    </w:p>
    <w:p w14:paraId="4D751E5E">
      <w:pPr>
        <w:spacing w:line="440" w:lineRule="exact"/>
        <w:ind w:firstLine="4080" w:firstLineChars="1700"/>
        <w:jc w:val="right"/>
        <w:rPr>
          <w:rFonts w:hint="eastAsia" w:ascii="宋体" w:hAnsi="宋体" w:eastAsia="宋体" w:cs="宋体"/>
          <w:color w:val="000000"/>
          <w:sz w:val="24"/>
          <w:szCs w:val="24"/>
          <w:highlight w:val="none"/>
        </w:rPr>
      </w:pPr>
    </w:p>
    <w:p w14:paraId="00F90EDC">
      <w:pPr>
        <w:spacing w:line="440" w:lineRule="exact"/>
        <w:ind w:firstLine="4080" w:firstLineChars="1700"/>
        <w:jc w:val="righ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投标人名称：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（盖章）</w:t>
      </w:r>
    </w:p>
    <w:p w14:paraId="709930DC">
      <w:pPr>
        <w:spacing w:line="440" w:lineRule="exact"/>
        <w:jc w:val="right"/>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日期：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日</w:t>
      </w:r>
    </w:p>
    <w:p w14:paraId="0D83EF41">
      <w:pPr>
        <w:spacing w:line="360" w:lineRule="auto"/>
        <w:rPr>
          <w:rFonts w:hint="eastAsia" w:ascii="宋体" w:hAnsi="宋体" w:eastAsia="宋体" w:cs="宋体"/>
          <w:color w:val="000000"/>
          <w:sz w:val="24"/>
          <w:szCs w:val="24"/>
          <w:highlight w:val="none"/>
        </w:rPr>
      </w:pPr>
    </w:p>
    <w:p w14:paraId="2E7C1C62">
      <w:pPr>
        <w:rPr>
          <w:rFonts w:hint="eastAsia" w:ascii="宋体" w:hAnsi="宋体" w:eastAsia="宋体" w:cs="宋体"/>
          <w:color w:val="000000"/>
          <w:szCs w:val="24"/>
          <w:highlight w:val="none"/>
        </w:rPr>
      </w:pPr>
      <w:bookmarkStart w:id="708" w:name="_Toc58177623"/>
      <w:bookmarkStart w:id="709" w:name="_Toc65683015"/>
      <w:bookmarkStart w:id="710" w:name="_Toc109124329"/>
      <w:bookmarkStart w:id="711" w:name="_Toc4895"/>
      <w:r>
        <w:rPr>
          <w:rFonts w:hint="eastAsia" w:ascii="宋体" w:hAnsi="宋体" w:eastAsia="宋体" w:cs="宋体"/>
          <w:color w:val="000000"/>
          <w:szCs w:val="24"/>
          <w:highlight w:val="none"/>
        </w:rPr>
        <w:br w:type="page"/>
      </w:r>
    </w:p>
    <w:p w14:paraId="24FE6FFB">
      <w:pPr>
        <w:pStyle w:val="4"/>
        <w:spacing w:line="360" w:lineRule="auto"/>
        <w:ind w:firstLine="0" w:firstLineChars="0"/>
        <w:rPr>
          <w:rFonts w:hint="eastAsia" w:ascii="宋体" w:hAnsi="宋体" w:eastAsia="宋体" w:cs="宋体"/>
          <w:color w:val="000000"/>
          <w:szCs w:val="24"/>
          <w:highlight w:val="none"/>
        </w:rPr>
      </w:pPr>
      <w:bookmarkStart w:id="712" w:name="_Toc23702"/>
      <w:r>
        <w:rPr>
          <w:rFonts w:hint="eastAsia" w:ascii="宋体" w:hAnsi="宋体" w:eastAsia="宋体" w:cs="宋体"/>
          <w:color w:val="000000"/>
          <w:szCs w:val="24"/>
          <w:highlight w:val="none"/>
        </w:rPr>
        <w:t>（二）技术方案</w:t>
      </w:r>
      <w:bookmarkEnd w:id="708"/>
      <w:bookmarkEnd w:id="709"/>
      <w:bookmarkEnd w:id="710"/>
      <w:bookmarkEnd w:id="711"/>
      <w:bookmarkEnd w:id="712"/>
    </w:p>
    <w:p w14:paraId="4079DCCB">
      <w:pPr>
        <w:spacing w:line="360" w:lineRule="auto"/>
        <w:ind w:firstLine="480" w:firstLineChars="200"/>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在充分响应技术规范书各项要求</w:t>
      </w:r>
      <w:r>
        <w:rPr>
          <w:rFonts w:hint="eastAsia" w:ascii="宋体" w:hAnsi="宋体" w:eastAsia="宋体" w:cs="宋体"/>
          <w:color w:val="000000"/>
          <w:sz w:val="24"/>
          <w:szCs w:val="24"/>
          <w:highlight w:val="none"/>
          <w:lang w:eastAsia="zh-CN" w:bidi="ar"/>
        </w:rPr>
        <w:t>、</w:t>
      </w:r>
      <w:r>
        <w:rPr>
          <w:rFonts w:hint="eastAsia" w:ascii="宋体" w:hAnsi="宋体" w:eastAsia="宋体" w:cs="宋体"/>
          <w:color w:val="000000"/>
          <w:sz w:val="24"/>
          <w:szCs w:val="24"/>
          <w:highlight w:val="none"/>
          <w:lang w:val="en-US" w:eastAsia="zh-CN" w:bidi="ar"/>
        </w:rPr>
        <w:t>详细评审标准</w:t>
      </w:r>
      <w:r>
        <w:rPr>
          <w:rFonts w:hint="eastAsia" w:ascii="宋体" w:hAnsi="宋体" w:eastAsia="宋体" w:cs="宋体"/>
          <w:color w:val="000000"/>
          <w:sz w:val="24"/>
          <w:szCs w:val="24"/>
          <w:highlight w:val="none"/>
          <w:lang w:bidi="ar"/>
        </w:rPr>
        <w:t>的基础上，编制技术方案。</w:t>
      </w:r>
    </w:p>
    <w:p w14:paraId="0DC71BD4">
      <w:pPr>
        <w:rPr>
          <w:rFonts w:hint="eastAsia" w:ascii="宋体" w:hAnsi="宋体" w:eastAsia="宋体" w:cs="宋体"/>
          <w:b/>
          <w:color w:val="000000"/>
          <w:sz w:val="24"/>
          <w:szCs w:val="24"/>
          <w:highlight w:val="none"/>
          <w:lang w:bidi="ar"/>
        </w:rPr>
      </w:pPr>
      <w:r>
        <w:rPr>
          <w:rFonts w:hint="eastAsia" w:ascii="宋体" w:hAnsi="宋体" w:eastAsia="宋体" w:cs="宋体"/>
          <w:color w:val="000000"/>
          <w:highlight w:val="none"/>
          <w:lang w:bidi="ar"/>
        </w:rPr>
        <w:br w:type="page"/>
      </w:r>
    </w:p>
    <w:p w14:paraId="2D7AAF64">
      <w:pPr>
        <w:ind w:firstLine="482" w:firstLineChars="200"/>
        <w:rPr>
          <w:rFonts w:hint="eastAsia" w:ascii="宋体" w:hAnsi="宋体" w:eastAsia="宋体" w:cs="宋体"/>
          <w:b/>
          <w:bCs/>
          <w:color w:val="000000"/>
          <w:sz w:val="24"/>
          <w:highlight w:val="none"/>
        </w:rPr>
        <w:sectPr>
          <w:pgSz w:w="11906" w:h="16838"/>
          <w:pgMar w:top="1417" w:right="1134" w:bottom="1134" w:left="1134" w:header="851" w:footer="992" w:gutter="0"/>
          <w:cols w:space="720" w:num="1"/>
          <w:titlePg/>
          <w:docGrid w:type="lines" w:linePitch="312" w:charSpace="0"/>
        </w:sectPr>
      </w:pPr>
    </w:p>
    <w:p w14:paraId="2B151D19">
      <w:pPr>
        <w:pStyle w:val="4"/>
        <w:numPr>
          <w:ilvl w:val="0"/>
          <w:numId w:val="12"/>
        </w:numPr>
        <w:ind w:firstLine="0" w:firstLineChars="0"/>
        <w:rPr>
          <w:rFonts w:hint="eastAsia" w:ascii="宋体" w:hAnsi="宋体" w:eastAsia="宋体" w:cs="宋体"/>
          <w:color w:val="000000"/>
          <w:szCs w:val="24"/>
          <w:highlight w:val="none"/>
        </w:rPr>
      </w:pPr>
      <w:bookmarkStart w:id="713" w:name="_Toc30059"/>
      <w:bookmarkStart w:id="714" w:name="_Toc23092"/>
      <w:bookmarkStart w:id="715" w:name="_Toc109124330"/>
      <w:bookmarkStart w:id="716" w:name="_Toc65683016"/>
      <w:r>
        <w:rPr>
          <w:rFonts w:hint="eastAsia" w:ascii="宋体" w:hAnsi="宋体" w:eastAsia="宋体" w:cs="宋体"/>
          <w:color w:val="000000"/>
          <w:szCs w:val="24"/>
          <w:highlight w:val="none"/>
        </w:rPr>
        <w:t>其他材料</w:t>
      </w:r>
      <w:bookmarkEnd w:id="713"/>
      <w:bookmarkEnd w:id="714"/>
      <w:bookmarkEnd w:id="715"/>
      <w:bookmarkEnd w:id="716"/>
      <w:r>
        <w:rPr>
          <w:rFonts w:hint="eastAsia" w:ascii="宋体" w:hAnsi="宋体" w:eastAsia="宋体" w:cs="宋体"/>
          <w:color w:val="000000"/>
          <w:szCs w:val="24"/>
          <w:highlight w:val="none"/>
        </w:rPr>
        <w:tab/>
      </w:r>
    </w:p>
    <w:p w14:paraId="28A62E74">
      <w:pPr>
        <w:numPr>
          <w:ilvl w:val="0"/>
          <w:numId w:val="0"/>
        </w:numPr>
        <w:ind w:firstLine="480" w:firstLineChars="20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详细评审中技术部分涉及的文件及证明材料、</w:t>
      </w:r>
      <w:r>
        <w:rPr>
          <w:rFonts w:hint="eastAsia" w:ascii="宋体" w:hAnsi="宋体" w:eastAsia="宋体" w:cs="宋体"/>
          <w:color w:val="000000"/>
          <w:sz w:val="24"/>
          <w:szCs w:val="24"/>
          <w:highlight w:val="none"/>
        </w:rPr>
        <w:t>投标人认为需提供的其他材料。</w:t>
      </w:r>
    </w:p>
    <w:p w14:paraId="219FC015">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r>
    </w:p>
    <w:p w14:paraId="6E375FD7">
      <w:pPr>
        <w:rPr>
          <w:rFonts w:hint="eastAsia" w:ascii="宋体" w:hAnsi="宋体" w:eastAsia="宋体" w:cs="宋体"/>
          <w:color w:val="000000"/>
          <w:sz w:val="24"/>
          <w:szCs w:val="24"/>
          <w:highlight w:val="none"/>
        </w:rPr>
        <w:sectPr>
          <w:pgSz w:w="11906" w:h="16838"/>
          <w:pgMar w:top="1417" w:right="1134" w:bottom="1134" w:left="1134" w:header="851" w:footer="992" w:gutter="0"/>
          <w:cols w:space="720" w:num="1"/>
          <w:titlePg/>
          <w:docGrid w:type="lines" w:linePitch="312" w:charSpace="0"/>
        </w:sectPr>
      </w:pPr>
    </w:p>
    <w:p w14:paraId="3DF0BAAD">
      <w:pPr>
        <w:pStyle w:val="3"/>
        <w:jc w:val="center"/>
        <w:rPr>
          <w:rFonts w:hint="eastAsia" w:ascii="宋体" w:hAnsi="宋体" w:eastAsia="宋体" w:cs="宋体"/>
          <w:color w:val="000000"/>
          <w:szCs w:val="24"/>
          <w:highlight w:val="none"/>
          <w:lang w:eastAsia="zh-CN"/>
        </w:rPr>
      </w:pPr>
      <w:bookmarkStart w:id="717" w:name="_Toc109124331"/>
      <w:bookmarkStart w:id="718" w:name="_Toc29561"/>
      <w:bookmarkStart w:id="719" w:name="_Toc65683017"/>
      <w:bookmarkStart w:id="720" w:name="_Toc28412"/>
      <w:r>
        <w:rPr>
          <w:rFonts w:hint="eastAsia" w:ascii="宋体" w:hAnsi="宋体" w:eastAsia="宋体" w:cs="宋体"/>
          <w:color w:val="000000"/>
          <w:szCs w:val="24"/>
          <w:highlight w:val="none"/>
        </w:rPr>
        <w:t>三、报价</w:t>
      </w:r>
      <w:bookmarkEnd w:id="717"/>
      <w:bookmarkEnd w:id="718"/>
      <w:bookmarkEnd w:id="719"/>
      <w:r>
        <w:rPr>
          <w:rFonts w:hint="eastAsia" w:hAnsi="宋体" w:eastAsia="宋体" w:cs="宋体"/>
          <w:color w:val="000000"/>
          <w:szCs w:val="24"/>
          <w:highlight w:val="none"/>
          <w:lang w:val="en-US" w:eastAsia="zh-CN"/>
        </w:rPr>
        <w:t>部分</w:t>
      </w:r>
      <w:bookmarkEnd w:id="720"/>
    </w:p>
    <w:p w14:paraId="2FD497C7">
      <w:pPr>
        <w:pStyle w:val="4"/>
        <w:spacing w:line="360" w:lineRule="auto"/>
        <w:ind w:firstLine="0" w:firstLineChars="0"/>
        <w:jc w:val="center"/>
        <w:rPr>
          <w:rFonts w:hint="eastAsia" w:ascii="宋体" w:hAnsi="宋体" w:eastAsia="宋体" w:cs="宋体"/>
          <w:color w:val="000000"/>
          <w:szCs w:val="24"/>
          <w:highlight w:val="none"/>
        </w:rPr>
      </w:pPr>
      <w:bookmarkStart w:id="721" w:name="_Toc20305"/>
      <w:bookmarkStart w:id="722" w:name="_Toc65683018"/>
      <w:bookmarkStart w:id="723" w:name="_Toc22860"/>
      <w:bookmarkStart w:id="724" w:name="_Toc109124332"/>
      <w:r>
        <w:rPr>
          <w:rFonts w:hint="eastAsia" w:ascii="宋体" w:hAnsi="宋体" w:eastAsia="宋体" w:cs="宋体"/>
          <w:color w:val="000000"/>
          <w:szCs w:val="24"/>
          <w:highlight w:val="none"/>
        </w:rPr>
        <w:t>（一）投标一览表</w:t>
      </w:r>
      <w:bookmarkEnd w:id="721"/>
      <w:bookmarkEnd w:id="722"/>
      <w:bookmarkEnd w:id="723"/>
      <w:bookmarkEnd w:id="724"/>
    </w:p>
    <w:tbl>
      <w:tblPr>
        <w:tblStyle w:val="37"/>
        <w:tblW w:w="91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77"/>
        <w:gridCol w:w="5039"/>
      </w:tblGrid>
      <w:tr w14:paraId="0394B0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trPr>
        <w:tc>
          <w:tcPr>
            <w:tcW w:w="4077" w:type="dxa"/>
            <w:noWrap w:val="0"/>
            <w:vAlign w:val="center"/>
          </w:tcPr>
          <w:p w14:paraId="77192265">
            <w:pPr>
              <w:keepNext w:val="0"/>
              <w:keepLines w:val="0"/>
              <w:numPr>
                <w:ilvl w:val="0"/>
                <w:numId w:val="0"/>
              </w:numPr>
              <w:suppressLineNumbers w:val="0"/>
              <w:spacing w:before="0" w:beforeAutospacing="0" w:after="0" w:afterAutospacing="0"/>
              <w:ind w:left="0" w:right="0" w:firstLine="480" w:firstLineChars="200"/>
              <w:jc w:val="center"/>
              <w:outlineLvl w:val="9"/>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投标人名称</w:t>
            </w:r>
          </w:p>
        </w:tc>
        <w:tc>
          <w:tcPr>
            <w:tcW w:w="5039" w:type="dxa"/>
            <w:noWrap w:val="0"/>
            <w:vAlign w:val="center"/>
          </w:tcPr>
          <w:p w14:paraId="38A95E42">
            <w:pPr>
              <w:keepNext w:val="0"/>
              <w:keepLines w:val="0"/>
              <w:numPr>
                <w:ilvl w:val="0"/>
                <w:numId w:val="0"/>
              </w:numPr>
              <w:suppressLineNumbers w:val="0"/>
              <w:spacing w:before="0" w:beforeAutospacing="0" w:after="0" w:afterAutospacing="0"/>
              <w:ind w:left="0" w:right="0" w:firstLine="480" w:firstLineChars="200"/>
              <w:outlineLvl w:val="9"/>
              <w:rPr>
                <w:rFonts w:hint="eastAsia" w:ascii="宋体" w:hAnsi="宋体" w:eastAsia="宋体" w:cs="宋体"/>
                <w:color w:val="000000"/>
                <w:sz w:val="24"/>
                <w:szCs w:val="20"/>
                <w:highlight w:val="none"/>
                <w:lang w:val="en-US" w:eastAsia="zh-CN"/>
              </w:rPr>
            </w:pPr>
          </w:p>
        </w:tc>
      </w:tr>
      <w:tr w14:paraId="03D2F3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4" w:hRule="atLeast"/>
        </w:trPr>
        <w:tc>
          <w:tcPr>
            <w:tcW w:w="4077" w:type="dxa"/>
            <w:noWrap w:val="0"/>
            <w:vAlign w:val="center"/>
          </w:tcPr>
          <w:p w14:paraId="6DA66BD3">
            <w:pPr>
              <w:keepNext w:val="0"/>
              <w:keepLines w:val="0"/>
              <w:numPr>
                <w:ilvl w:val="0"/>
                <w:numId w:val="0"/>
              </w:numPr>
              <w:suppressLineNumbers w:val="0"/>
              <w:spacing w:before="0" w:beforeAutospacing="0" w:after="0" w:afterAutospacing="0"/>
              <w:ind w:left="0" w:right="0" w:firstLine="480" w:firstLineChars="200"/>
              <w:jc w:val="center"/>
              <w:outlineLvl w:val="9"/>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报价（含税）</w:t>
            </w:r>
          </w:p>
        </w:tc>
        <w:tc>
          <w:tcPr>
            <w:tcW w:w="5039" w:type="dxa"/>
            <w:noWrap w:val="0"/>
            <w:vAlign w:val="center"/>
          </w:tcPr>
          <w:p w14:paraId="1FA6DF9A">
            <w:pPr>
              <w:keepNext w:val="0"/>
              <w:keepLines w:val="0"/>
              <w:numPr>
                <w:ilvl w:val="0"/>
                <w:numId w:val="0"/>
              </w:numPr>
              <w:suppressLineNumbers w:val="0"/>
              <w:spacing w:before="0" w:beforeAutospacing="0" w:after="0" w:afterAutospacing="0"/>
              <w:ind w:left="0" w:right="0" w:firstLine="480" w:firstLineChars="200"/>
              <w:outlineLvl w:val="9"/>
              <w:rPr>
                <w:rFonts w:hint="eastAsia" w:ascii="宋体" w:hAnsi="宋体" w:eastAsia="宋体" w:cs="宋体"/>
                <w:color w:val="000000"/>
                <w:sz w:val="24"/>
                <w:szCs w:val="20"/>
                <w:highlight w:val="none"/>
                <w:lang w:val="en-US" w:eastAsia="zh-CN"/>
              </w:rPr>
            </w:pPr>
          </w:p>
        </w:tc>
      </w:tr>
      <w:tr w14:paraId="24A0B7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trPr>
        <w:tc>
          <w:tcPr>
            <w:tcW w:w="4077" w:type="dxa"/>
            <w:noWrap w:val="0"/>
            <w:vAlign w:val="center"/>
          </w:tcPr>
          <w:p w14:paraId="2B6D2F0C">
            <w:pPr>
              <w:keepNext w:val="0"/>
              <w:keepLines w:val="0"/>
              <w:numPr>
                <w:ilvl w:val="0"/>
                <w:numId w:val="0"/>
              </w:numPr>
              <w:suppressLineNumbers w:val="0"/>
              <w:spacing w:before="0" w:beforeAutospacing="0" w:after="0" w:afterAutospacing="0"/>
              <w:ind w:left="0" w:right="0" w:firstLine="480" w:firstLineChars="200"/>
              <w:jc w:val="center"/>
              <w:outlineLvl w:val="9"/>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发票类型</w:t>
            </w:r>
          </w:p>
        </w:tc>
        <w:tc>
          <w:tcPr>
            <w:tcW w:w="5039" w:type="dxa"/>
            <w:noWrap w:val="0"/>
            <w:vAlign w:val="center"/>
          </w:tcPr>
          <w:p w14:paraId="0EE9C3F9">
            <w:pPr>
              <w:keepNext w:val="0"/>
              <w:keepLines w:val="0"/>
              <w:numPr>
                <w:ilvl w:val="0"/>
                <w:numId w:val="0"/>
              </w:numPr>
              <w:suppressLineNumbers w:val="0"/>
              <w:spacing w:before="0" w:beforeAutospacing="0" w:after="0" w:afterAutospacing="0"/>
              <w:ind w:left="0" w:right="0" w:firstLine="480" w:firstLineChars="200"/>
              <w:jc w:val="center"/>
              <w:outlineLvl w:val="9"/>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□增值税专用发票</w:t>
            </w:r>
          </w:p>
          <w:p w14:paraId="43312A03">
            <w:pPr>
              <w:keepNext w:val="0"/>
              <w:keepLines w:val="0"/>
              <w:numPr>
                <w:ilvl w:val="0"/>
                <w:numId w:val="0"/>
              </w:numPr>
              <w:suppressLineNumbers w:val="0"/>
              <w:spacing w:before="0" w:beforeAutospacing="0" w:after="0" w:afterAutospacing="0"/>
              <w:ind w:left="0" w:right="0" w:firstLine="480" w:firstLineChars="200"/>
              <w:jc w:val="center"/>
              <w:outlineLvl w:val="9"/>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□增值税普通发票</w:t>
            </w:r>
          </w:p>
        </w:tc>
      </w:tr>
      <w:tr w14:paraId="17A0FE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77" w:type="dxa"/>
            <w:noWrap w:val="0"/>
            <w:vAlign w:val="center"/>
          </w:tcPr>
          <w:p w14:paraId="1388F118">
            <w:pPr>
              <w:keepNext w:val="0"/>
              <w:keepLines w:val="0"/>
              <w:numPr>
                <w:ilvl w:val="0"/>
                <w:numId w:val="0"/>
              </w:numPr>
              <w:suppressLineNumbers w:val="0"/>
              <w:spacing w:before="0" w:beforeAutospacing="0" w:after="0" w:afterAutospacing="0"/>
              <w:ind w:left="0" w:right="0" w:firstLine="480" w:firstLineChars="200"/>
              <w:jc w:val="center"/>
              <w:outlineLvl w:val="9"/>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税率（％）</w:t>
            </w:r>
          </w:p>
        </w:tc>
        <w:tc>
          <w:tcPr>
            <w:tcW w:w="5039" w:type="dxa"/>
            <w:noWrap w:val="0"/>
            <w:vAlign w:val="center"/>
          </w:tcPr>
          <w:p w14:paraId="6F7F15CF">
            <w:pPr>
              <w:keepNext w:val="0"/>
              <w:keepLines w:val="0"/>
              <w:numPr>
                <w:ilvl w:val="0"/>
                <w:numId w:val="0"/>
              </w:numPr>
              <w:suppressLineNumbers w:val="0"/>
              <w:spacing w:before="0" w:beforeAutospacing="0" w:after="0" w:afterAutospacing="0"/>
              <w:ind w:left="0" w:right="0" w:firstLine="480" w:firstLineChars="200"/>
              <w:jc w:val="center"/>
              <w:outlineLvl w:val="9"/>
              <w:rPr>
                <w:rFonts w:hint="eastAsia" w:ascii="宋体" w:hAnsi="宋体" w:eastAsia="宋体" w:cs="宋体"/>
                <w:color w:val="000000"/>
                <w:sz w:val="24"/>
                <w:szCs w:val="20"/>
                <w:highlight w:val="none"/>
                <w:lang w:val="en-US" w:eastAsia="zh-CN"/>
              </w:rPr>
            </w:pPr>
          </w:p>
        </w:tc>
      </w:tr>
      <w:tr w14:paraId="35A55C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77" w:type="dxa"/>
            <w:noWrap w:val="0"/>
            <w:vAlign w:val="center"/>
          </w:tcPr>
          <w:p w14:paraId="0B5D5E49">
            <w:pPr>
              <w:keepNext w:val="0"/>
              <w:keepLines w:val="0"/>
              <w:numPr>
                <w:ilvl w:val="0"/>
                <w:numId w:val="0"/>
              </w:numPr>
              <w:suppressLineNumbers w:val="0"/>
              <w:spacing w:before="0" w:beforeAutospacing="0" w:after="0" w:afterAutospacing="0"/>
              <w:ind w:left="0" w:right="0" w:firstLine="480" w:firstLineChars="200"/>
              <w:jc w:val="center"/>
              <w:outlineLvl w:val="9"/>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其他声明</w:t>
            </w:r>
          </w:p>
        </w:tc>
        <w:tc>
          <w:tcPr>
            <w:tcW w:w="5039" w:type="dxa"/>
            <w:noWrap w:val="0"/>
            <w:vAlign w:val="center"/>
          </w:tcPr>
          <w:p w14:paraId="315412DF">
            <w:pPr>
              <w:keepNext w:val="0"/>
              <w:keepLines w:val="0"/>
              <w:numPr>
                <w:ilvl w:val="0"/>
                <w:numId w:val="0"/>
              </w:numPr>
              <w:suppressLineNumbers w:val="0"/>
              <w:spacing w:before="0" w:beforeAutospacing="0" w:after="0" w:afterAutospacing="0"/>
              <w:ind w:left="0" w:right="0" w:firstLine="480" w:firstLineChars="200"/>
              <w:jc w:val="center"/>
              <w:outlineLvl w:val="9"/>
              <w:rPr>
                <w:rFonts w:hint="eastAsia" w:ascii="宋体" w:hAnsi="宋体" w:eastAsia="宋体" w:cs="宋体"/>
                <w:color w:val="000000"/>
                <w:sz w:val="24"/>
                <w:szCs w:val="20"/>
                <w:highlight w:val="none"/>
                <w:lang w:val="en-US" w:eastAsia="zh-CN"/>
              </w:rPr>
            </w:pPr>
          </w:p>
        </w:tc>
      </w:tr>
    </w:tbl>
    <w:p w14:paraId="25840ACC">
      <w:pPr>
        <w:pStyle w:val="19"/>
        <w:tabs>
          <w:tab w:val="left" w:pos="5580"/>
        </w:tabs>
        <w:spacing w:line="360" w:lineRule="auto"/>
        <w:ind w:left="680" w:hanging="680"/>
        <w:jc w:val="left"/>
        <w:rPr>
          <w:rFonts w:hint="eastAsia" w:hAnsi="宋体" w:cs="宋体"/>
          <w:b/>
          <w:bCs/>
          <w:sz w:val="24"/>
          <w:szCs w:val="24"/>
        </w:rPr>
      </w:pPr>
    </w:p>
    <w:p w14:paraId="13820FA4">
      <w:pPr>
        <w:pStyle w:val="19"/>
        <w:tabs>
          <w:tab w:val="left" w:pos="5580"/>
        </w:tabs>
        <w:spacing w:line="360" w:lineRule="auto"/>
        <w:ind w:left="680" w:hanging="680"/>
        <w:jc w:val="left"/>
        <w:rPr>
          <w:rFonts w:hAnsi="宋体" w:cs="宋体"/>
          <w:b/>
          <w:bCs/>
          <w:sz w:val="24"/>
          <w:szCs w:val="24"/>
        </w:rPr>
      </w:pPr>
      <w:r>
        <w:rPr>
          <w:rFonts w:hint="eastAsia" w:hAnsi="宋体" w:cs="宋体"/>
          <w:b/>
          <w:bCs/>
          <w:sz w:val="24"/>
          <w:szCs w:val="24"/>
        </w:rPr>
        <w:t>注：</w:t>
      </w:r>
    </w:p>
    <w:p w14:paraId="73E16564">
      <w:pPr>
        <w:numPr>
          <w:ilvl w:val="0"/>
          <w:numId w:val="0"/>
        </w:numPr>
        <w:ind w:firstLine="480" w:firstLineChars="200"/>
        <w:outlineLvl w:val="9"/>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1、本次报价精确到小数点后两位（四舍五入）。</w:t>
      </w:r>
    </w:p>
    <w:p w14:paraId="4DD498FE">
      <w:pPr>
        <w:numPr>
          <w:ilvl w:val="0"/>
          <w:numId w:val="0"/>
        </w:numPr>
        <w:ind w:firstLine="480" w:firstLineChars="200"/>
        <w:outlineLvl w:val="9"/>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2、本项目提供的清单为模拟清单，本次含税报价仅用作评审，</w:t>
      </w:r>
      <w:r>
        <w:rPr>
          <w:rFonts w:hint="eastAsia" w:ascii="宋体" w:hAnsi="宋体" w:cs="宋体"/>
          <w:color w:val="000000"/>
          <w:sz w:val="24"/>
          <w:highlight w:val="none"/>
          <w:lang w:val="en-US" w:eastAsia="zh-CN"/>
        </w:rPr>
        <w:t>招标人</w:t>
      </w:r>
      <w:r>
        <w:rPr>
          <w:rFonts w:hint="eastAsia" w:ascii="宋体" w:hAnsi="宋体" w:eastAsia="宋体" w:cs="宋体"/>
          <w:color w:val="000000"/>
          <w:sz w:val="24"/>
          <w:highlight w:val="none"/>
          <w:lang w:val="en-US" w:eastAsia="zh-CN"/>
        </w:rPr>
        <w:t>不对入围后的工程数量及金额做任何承诺。</w:t>
      </w:r>
    </w:p>
    <w:p w14:paraId="7AF01110">
      <w:pPr>
        <w:numPr>
          <w:ilvl w:val="0"/>
          <w:numId w:val="0"/>
        </w:numPr>
        <w:ind w:firstLine="480" w:firstLineChars="200"/>
        <w:outlineLvl w:val="9"/>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3、以上报价是</w:t>
      </w:r>
      <w:r>
        <w:rPr>
          <w:rFonts w:hint="eastAsia" w:ascii="宋体" w:hAnsi="宋体" w:cs="宋体"/>
          <w:color w:val="000000"/>
          <w:sz w:val="24"/>
          <w:highlight w:val="none"/>
          <w:lang w:val="en-US" w:eastAsia="zh-CN"/>
        </w:rPr>
        <w:t>投标人</w:t>
      </w:r>
      <w:r>
        <w:rPr>
          <w:rFonts w:hint="eastAsia" w:ascii="宋体" w:hAnsi="宋体" w:eastAsia="宋体" w:cs="宋体"/>
          <w:color w:val="000000"/>
          <w:sz w:val="24"/>
          <w:highlight w:val="none"/>
          <w:lang w:val="en-US" w:eastAsia="zh-CN"/>
        </w:rPr>
        <w:t>为完成本项目并达到</w:t>
      </w:r>
      <w:r>
        <w:rPr>
          <w:rFonts w:hint="eastAsia" w:ascii="宋体" w:hAnsi="宋体" w:cs="宋体"/>
          <w:color w:val="000000"/>
          <w:sz w:val="24"/>
          <w:highlight w:val="none"/>
          <w:lang w:val="en-US" w:eastAsia="zh-CN"/>
        </w:rPr>
        <w:t>招标</w:t>
      </w:r>
      <w:r>
        <w:rPr>
          <w:rFonts w:hint="eastAsia" w:ascii="宋体" w:hAnsi="宋体" w:eastAsia="宋体" w:cs="宋体"/>
          <w:color w:val="000000"/>
          <w:sz w:val="24"/>
          <w:highlight w:val="none"/>
          <w:lang w:val="en-US" w:eastAsia="zh-CN"/>
        </w:rPr>
        <w:t>文件第五章技术规范书所有费用及按照国家现行税法和有关部门现行规定需缴纳的一切税费。</w:t>
      </w:r>
    </w:p>
    <w:p w14:paraId="176A4913">
      <w:pPr>
        <w:numPr>
          <w:ilvl w:val="0"/>
          <w:numId w:val="0"/>
        </w:numPr>
        <w:ind w:firstLine="480" w:firstLineChars="200"/>
        <w:outlineLvl w:val="9"/>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4、“发票类型”应注明“增值税专用发票”或“增值税普通发票”。</w:t>
      </w:r>
    </w:p>
    <w:p w14:paraId="1B9C6DDA">
      <w:pPr>
        <w:numPr>
          <w:ilvl w:val="0"/>
          <w:numId w:val="13"/>
        </w:numPr>
        <w:spacing w:line="440" w:lineRule="exact"/>
        <w:jc w:val="right"/>
        <w:rPr>
          <w:rFonts w:hint="eastAsia" w:ascii="宋体" w:hAnsi="宋体" w:eastAsia="宋体" w:cs="宋体"/>
          <w:color w:val="000000"/>
          <w:sz w:val="24"/>
          <w:highlight w:val="none"/>
        </w:rPr>
      </w:pPr>
    </w:p>
    <w:p w14:paraId="21E72DD5">
      <w:pPr>
        <w:numPr>
          <w:ilvl w:val="0"/>
          <w:numId w:val="13"/>
        </w:numPr>
        <w:spacing w:line="440" w:lineRule="exact"/>
        <w:jc w:val="righ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投标人</w:t>
      </w:r>
      <w:r>
        <w:rPr>
          <w:rFonts w:hint="eastAsia" w:ascii="宋体" w:hAnsi="宋体" w:eastAsia="宋体" w:cs="宋体"/>
          <w:color w:val="000000"/>
          <w:sz w:val="24"/>
          <w:highlight w:val="none"/>
        </w:rPr>
        <w:t>名称：</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（盖章）</w:t>
      </w:r>
    </w:p>
    <w:p w14:paraId="7C99D3A4">
      <w:pPr>
        <w:numPr>
          <w:ilvl w:val="0"/>
          <w:numId w:val="13"/>
        </w:numPr>
        <w:spacing w:line="440" w:lineRule="exact"/>
        <w:jc w:val="right"/>
        <w:rPr>
          <w:rFonts w:hint="eastAsia" w:ascii="宋体" w:hAnsi="宋体" w:eastAsia="宋体" w:cs="宋体"/>
          <w:color w:val="000000"/>
          <w:sz w:val="24"/>
          <w:highlight w:val="none"/>
        </w:rPr>
      </w:pPr>
      <w:r>
        <w:rPr>
          <w:rFonts w:hint="eastAsia" w:ascii="宋体" w:hAnsi="宋体" w:eastAsia="宋体" w:cs="宋体"/>
          <w:color w:val="000000"/>
          <w:sz w:val="24"/>
          <w:highlight w:val="none"/>
        </w:rPr>
        <w:t>法定代表人或其授权代理人：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（盖章</w:t>
      </w:r>
      <w:r>
        <w:rPr>
          <w:rFonts w:hint="eastAsia" w:ascii="宋体" w:hAnsi="宋体" w:cs="宋体"/>
          <w:color w:val="000000"/>
          <w:sz w:val="24"/>
          <w:highlight w:val="none"/>
          <w:lang w:val="en-US" w:eastAsia="zh-CN"/>
        </w:rPr>
        <w:t>或</w:t>
      </w:r>
      <w:r>
        <w:rPr>
          <w:rFonts w:hint="eastAsia" w:ascii="宋体" w:hAnsi="宋体" w:eastAsia="宋体" w:cs="宋体"/>
          <w:color w:val="000000"/>
          <w:sz w:val="24"/>
          <w:highlight w:val="none"/>
        </w:rPr>
        <w:t>签字）</w:t>
      </w:r>
    </w:p>
    <w:p w14:paraId="013F842F">
      <w:pPr>
        <w:numPr>
          <w:ilvl w:val="0"/>
          <w:numId w:val="13"/>
        </w:numPr>
        <w:spacing w:line="440" w:lineRule="exact"/>
        <w:jc w:val="right"/>
        <w:rPr>
          <w:rFonts w:hint="eastAsia" w:ascii="宋体" w:hAnsi="宋体" w:eastAsia="宋体" w:cs="宋体"/>
          <w:color w:val="000000"/>
          <w:sz w:val="24"/>
          <w:szCs w:val="24"/>
          <w:highlight w:val="none"/>
        </w:rPr>
        <w:sectPr>
          <w:type w:val="continuous"/>
          <w:pgSz w:w="11906" w:h="16838"/>
          <w:pgMar w:top="1417" w:right="1134" w:bottom="1134" w:left="1134" w:header="851" w:footer="992" w:gutter="0"/>
          <w:cols w:space="720" w:num="1"/>
          <w:titlePg/>
          <w:docGrid w:type="lines" w:linePitch="312" w:charSpace="0"/>
        </w:sectPr>
      </w:pPr>
      <w:r>
        <w:rPr>
          <w:rFonts w:hint="eastAsia" w:ascii="宋体" w:hAnsi="宋体" w:eastAsia="宋体" w:cs="宋体"/>
          <w:color w:val="000000"/>
          <w:sz w:val="24"/>
          <w:highlight w:val="none"/>
        </w:rPr>
        <w:t>日期：</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none"/>
          <w:lang w:val="en-US" w:eastAsia="zh-CN"/>
        </w:rPr>
        <w:t>日</w:t>
      </w:r>
    </w:p>
    <w:p w14:paraId="47545C30">
      <w:pPr>
        <w:keepNext w:val="0"/>
        <w:keepLines w:val="0"/>
        <w:pageBreakBefore w:val="0"/>
        <w:widowControl w:val="0"/>
        <w:kinsoku/>
        <w:wordWrap/>
        <w:overflowPunct/>
        <w:topLinePunct w:val="0"/>
        <w:autoSpaceDE/>
        <w:autoSpaceDN/>
        <w:bidi w:val="0"/>
        <w:adjustRightInd/>
        <w:snapToGrid/>
        <w:spacing w:line="20" w:lineRule="exact"/>
        <w:textAlignment w:val="auto"/>
        <w:rPr>
          <w:rFonts w:hint="eastAsia" w:ascii="宋体" w:hAnsi="宋体" w:cs="宋体"/>
          <w:color w:val="000000"/>
          <w:szCs w:val="21"/>
          <w:highlight w:val="none"/>
          <w:lang w:val="en-US" w:eastAsia="zh-CN"/>
        </w:rPr>
      </w:pPr>
    </w:p>
    <w:p w14:paraId="6DC184F5">
      <w:pPr>
        <w:keepNext w:val="0"/>
        <w:keepLines w:val="0"/>
        <w:pageBreakBefore w:val="0"/>
        <w:widowControl w:val="0"/>
        <w:kinsoku/>
        <w:wordWrap/>
        <w:overflowPunct/>
        <w:topLinePunct w:val="0"/>
        <w:autoSpaceDE/>
        <w:autoSpaceDN/>
        <w:bidi w:val="0"/>
        <w:adjustRightInd/>
        <w:snapToGrid/>
        <w:spacing w:line="20" w:lineRule="exact"/>
        <w:textAlignment w:val="auto"/>
        <w:rPr>
          <w:rFonts w:hint="eastAsia" w:ascii="宋体" w:hAnsi="宋体" w:cs="宋体"/>
          <w:color w:val="000000"/>
          <w:szCs w:val="21"/>
          <w:highlight w:val="none"/>
          <w:lang w:val="en-US" w:eastAsia="zh-CN"/>
        </w:rPr>
      </w:pPr>
    </w:p>
    <w:sectPr>
      <w:headerReference r:id="rId14" w:type="first"/>
      <w:headerReference r:id="rId13" w:type="default"/>
      <w:type w:val="continuous"/>
      <w:pgSz w:w="11906" w:h="16838"/>
      <w:pgMar w:top="1418" w:right="1134" w:bottom="1134" w:left="1134" w:header="851" w:footer="992" w:gutter="0"/>
      <w:cols w:space="720" w:num="2"/>
      <w:titlePg/>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Calibri Light">
    <w:panose1 w:val="020F0302020204030204"/>
    <w:charset w:val="00"/>
    <w:family w:val="swiss"/>
    <w:pitch w:val="default"/>
    <w:sig w:usb0="E4002EFF" w:usb1="C200247B" w:usb2="00000009" w:usb3="00000000" w:csb0="200001FF" w:csb1="00000000"/>
  </w:font>
  <w:font w:name="Monaco">
    <w:altName w:val="Courier New"/>
    <w:panose1 w:val="00000000000000000000"/>
    <w:charset w:val="00"/>
    <w:family w:val="modern"/>
    <w:pitch w:val="default"/>
    <w:sig w:usb0="00000000" w:usb1="00000000" w:usb2="00000000"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Cambria Math">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7BKN_gb2312">
    <w:altName w:val="Times New Roman"/>
    <w:panose1 w:val="00000000000000000000"/>
    <w:charset w:val="00"/>
    <w:family w:val="roman"/>
    <w:pitch w:val="default"/>
    <w:sig w:usb0="00000000" w:usb1="00000000" w:usb2="00000000" w:usb3="00000000" w:csb0="00040001" w:csb1="00000000"/>
  </w:font>
  <w:font w:name="Wingdings 2">
    <w:panose1 w:val="05020102010507070707"/>
    <w:charset w:val="02"/>
    <w:family w:val="roman"/>
    <w:pitch w:val="default"/>
    <w:sig w:usb0="00000000" w:usb1="00000000" w:usb2="00000000" w:usb3="00000000" w:csb0="80000000"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4ED08D">
    <w:pPr>
      <w:pStyle w:val="24"/>
      <w:jc w:val="center"/>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7C13A5">
    <w:pPr>
      <w:pStyle w:val="24"/>
      <w:jc w:val="center"/>
      <w:rPr>
        <w:rFonts w:ascii="黑体" w:hAnsi="黑体" w:eastAsia="黑体"/>
        <w:szCs w:val="18"/>
      </w:rPr>
    </w:pPr>
  </w:p>
  <w:p w14:paraId="373319DB">
    <w:pPr>
      <w:pStyle w:val="2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045BF8">
    <w:pPr>
      <w:pStyle w:val="24"/>
      <w:rPr>
        <w:rFonts w:hint="eastAsia"/>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38100</wp:posOffset>
              </wp:positionV>
              <wp:extent cx="210185" cy="132715"/>
              <wp:effectExtent l="0" t="0" r="0" b="0"/>
              <wp:wrapNone/>
              <wp:docPr id="5" name="文本框 5"/>
              <wp:cNvGraphicFramePr/>
              <a:graphic xmlns:a="http://schemas.openxmlformats.org/drawingml/2006/main">
                <a:graphicData uri="http://schemas.microsoft.com/office/word/2010/wordprocessingShape">
                  <wps:wsp>
                    <wps:cNvSpPr txBox="1"/>
                    <wps:spPr>
                      <a:xfrm>
                        <a:off x="0" y="0"/>
                        <a:ext cx="210185" cy="132715"/>
                      </a:xfrm>
                      <a:prstGeom prst="rect">
                        <a:avLst/>
                      </a:prstGeom>
                      <a:noFill/>
                      <a:ln>
                        <a:noFill/>
                      </a:ln>
                    </wps:spPr>
                    <wps:txbx>
                      <w:txbxContent>
                        <w:p w14:paraId="04227CA9">
                          <w:pPr>
                            <w:pStyle w:val="24"/>
                            <w:rPr>
                              <w:rFonts w:hint="eastAsia"/>
                            </w:rPr>
                          </w:pPr>
                          <w:r>
                            <w:rPr>
                              <w:rFonts w:hint="eastAsia"/>
                            </w:rPr>
                            <w:fldChar w:fldCharType="begin"/>
                          </w:r>
                          <w:r>
                            <w:rPr>
                              <w:rFonts w:hint="eastAsia"/>
                            </w:rPr>
                            <w:instrText xml:space="preserve"> PAGE  \* MERGEFORMAT </w:instrText>
                          </w:r>
                          <w:r>
                            <w:rPr>
                              <w:rFonts w:hint="eastAsia"/>
                            </w:rPr>
                            <w:fldChar w:fldCharType="separate"/>
                          </w:r>
                          <w:r>
                            <w:t>20</w:t>
                          </w:r>
                          <w:r>
                            <w:rPr>
                              <w:rFonts w:hint="eastAsia"/>
                            </w:rPr>
                            <w:fldChar w:fldCharType="end"/>
                          </w:r>
                        </w:p>
                      </w:txbxContent>
                    </wps:txbx>
                    <wps:bodyPr wrap="square" lIns="0" tIns="0" rIns="0" bIns="0" upright="0"/>
                  </wps:wsp>
                </a:graphicData>
              </a:graphic>
            </wp:anchor>
          </w:drawing>
        </mc:Choice>
        <mc:Fallback>
          <w:pict>
            <v:shape id="_x0000_s1026" o:spid="_x0000_s1026" o:spt="202" type="#_x0000_t202" style="position:absolute;left:0pt;margin-top:3pt;height:10.45pt;width:16.55pt;mso-position-horizontal:center;mso-position-horizontal-relative:margin;z-index:251660288;mso-width-relative:page;mso-height-relative:page;" filled="f" stroked="f" coordsize="21600,21600" o:gfxdata="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J6zRGTUAAAABAEAAA8AAAAAAAAAAQAgAAAAIgAAAGRycy9kb3ducmV2Lnht&#10;bFBLAQIUABQAAAAIAIdO4kAw7za9xAEAAH8DAAAOAAAAAAAAAAEAIAAAACMBAABkcnMvZTJvRG9j&#10;LnhtbFBLBQYAAAAABgAGAFkBAABZBQAAAAA=&#10;">
              <v:fill on="f" focussize="0,0"/>
              <v:stroke on="f"/>
              <v:imagedata o:title=""/>
              <o:lock v:ext="edit" aspectratio="f"/>
              <v:textbox inset="0mm,0mm,0mm,0mm">
                <w:txbxContent>
                  <w:p w14:paraId="04227CA9">
                    <w:pPr>
                      <w:pStyle w:val="24"/>
                      <w:rPr>
                        <w:rFonts w:hint="eastAsia"/>
                      </w:rPr>
                    </w:pPr>
                    <w:r>
                      <w:rPr>
                        <w:rFonts w:hint="eastAsia"/>
                      </w:rPr>
                      <w:fldChar w:fldCharType="begin"/>
                    </w:r>
                    <w:r>
                      <w:rPr>
                        <w:rFonts w:hint="eastAsia"/>
                      </w:rPr>
                      <w:instrText xml:space="preserve"> PAGE  \* MERGEFORMAT </w:instrText>
                    </w:r>
                    <w:r>
                      <w:rPr>
                        <w:rFonts w:hint="eastAsia"/>
                      </w:rPr>
                      <w:fldChar w:fldCharType="separate"/>
                    </w:r>
                    <w:r>
                      <w:t>20</w:t>
                    </w:r>
                    <w:r>
                      <w:rPr>
                        <w:rFonts w:hint="eastAsia"/>
                      </w:rPr>
                      <w:fldChar w:fldCharType="end"/>
                    </w:r>
                  </w:p>
                </w:txbxContent>
              </v:textbox>
            </v:shape>
          </w:pict>
        </mc:Fallback>
      </mc:AlternateContent>
    </w:r>
  </w:p>
  <w:p w14:paraId="53206EBA"/>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70BECA">
    <w:pPr>
      <w:pStyle w:val="24"/>
      <w:jc w:val="center"/>
      <w:rPr>
        <w:rFonts w:ascii="黑体" w:hAnsi="黑体" w:eastAsia="黑体"/>
        <w:szCs w:val="18"/>
      </w:rP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94310" cy="159385"/>
              <wp:effectExtent l="0" t="0" r="0" b="0"/>
              <wp:wrapNone/>
              <wp:docPr id="6" name="文本框 6"/>
              <wp:cNvGraphicFramePr/>
              <a:graphic xmlns:a="http://schemas.openxmlformats.org/drawingml/2006/main">
                <a:graphicData uri="http://schemas.microsoft.com/office/word/2010/wordprocessingShape">
                  <wps:wsp>
                    <wps:cNvSpPr txBox="1"/>
                    <wps:spPr>
                      <a:xfrm>
                        <a:off x="0" y="0"/>
                        <a:ext cx="194310" cy="159385"/>
                      </a:xfrm>
                      <a:prstGeom prst="rect">
                        <a:avLst/>
                      </a:prstGeom>
                      <a:noFill/>
                      <a:ln>
                        <a:noFill/>
                      </a:ln>
                    </wps:spPr>
                    <wps:txbx>
                      <w:txbxContent>
                        <w:p w14:paraId="22B58605">
                          <w:pPr>
                            <w:pStyle w:val="24"/>
                            <w:rPr>
                              <w:rFonts w:hint="eastAsia" w:ascii="仿宋" w:hAnsi="仿宋" w:eastAsia="仿宋" w:cs="仿宋"/>
                            </w:rPr>
                          </w:pPr>
                          <w:r>
                            <w:rPr>
                              <w:rFonts w:hint="eastAsia" w:ascii="仿宋" w:hAnsi="仿宋" w:eastAsia="仿宋" w:cs="仿宋"/>
                            </w:rPr>
                            <w:fldChar w:fldCharType="begin"/>
                          </w:r>
                          <w:r>
                            <w:rPr>
                              <w:rFonts w:hint="eastAsia" w:ascii="仿宋" w:hAnsi="仿宋" w:eastAsia="仿宋" w:cs="仿宋"/>
                            </w:rPr>
                            <w:instrText xml:space="preserve"> PAGE  \* MERGEFORMAT </w:instrText>
                          </w:r>
                          <w:r>
                            <w:rPr>
                              <w:rFonts w:hint="eastAsia" w:ascii="仿宋" w:hAnsi="仿宋" w:eastAsia="仿宋" w:cs="仿宋"/>
                            </w:rPr>
                            <w:fldChar w:fldCharType="separate"/>
                          </w:r>
                          <w:r>
                            <w:rPr>
                              <w:rFonts w:ascii="仿宋" w:hAnsi="仿宋" w:eastAsia="仿宋" w:cs="仿宋"/>
                            </w:rPr>
                            <w:t>1</w:t>
                          </w:r>
                          <w:r>
                            <w:rPr>
                              <w:rFonts w:hint="eastAsia" w:ascii="仿宋" w:hAnsi="仿宋" w:eastAsia="仿宋" w:cs="仿宋"/>
                            </w:rPr>
                            <w:fldChar w:fldCharType="end"/>
                          </w:r>
                        </w:p>
                      </w:txbxContent>
                    </wps:txbx>
                    <wps:bodyPr wrap="square" lIns="0" tIns="0" rIns="0" bIns="0" upright="0"/>
                  </wps:wsp>
                </a:graphicData>
              </a:graphic>
            </wp:anchor>
          </w:drawing>
        </mc:Choice>
        <mc:Fallback>
          <w:pict>
            <v:shape id="_x0000_s1026" o:spid="_x0000_s1026" o:spt="202" type="#_x0000_t202" style="position:absolute;left:0pt;margin-top:0pt;height:12.55pt;width:15.3pt;mso-position-horizontal:center;mso-position-horizontal-relative:margin;z-index:251661312;mso-width-relative:page;mso-height-relative:page;" filled="f" stroked="f" coordsize="21600,21600" o:gfxdata="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w0jvN9MAAAADAQAADwAAAAAAAAABACAAAAAiAAAAZHJzL2Rvd25yZXYueG1s&#10;UEsBAhQAFAAAAAgAh07iQCIcqCfEAQAAfwMAAA4AAAAAAAAAAQAgAAAAIgEAAGRycy9lMm9Eb2Mu&#10;eG1sUEsFBgAAAAAGAAYAWQEAAFgFAAAAAA==&#10;">
              <v:fill on="f" focussize="0,0"/>
              <v:stroke on="f"/>
              <v:imagedata o:title=""/>
              <o:lock v:ext="edit" aspectratio="f"/>
              <v:textbox inset="0mm,0mm,0mm,0mm">
                <w:txbxContent>
                  <w:p w14:paraId="22B58605">
                    <w:pPr>
                      <w:pStyle w:val="24"/>
                      <w:rPr>
                        <w:rFonts w:hint="eastAsia" w:ascii="仿宋" w:hAnsi="仿宋" w:eastAsia="仿宋" w:cs="仿宋"/>
                      </w:rPr>
                    </w:pPr>
                    <w:r>
                      <w:rPr>
                        <w:rFonts w:hint="eastAsia" w:ascii="仿宋" w:hAnsi="仿宋" w:eastAsia="仿宋" w:cs="仿宋"/>
                      </w:rPr>
                      <w:fldChar w:fldCharType="begin"/>
                    </w:r>
                    <w:r>
                      <w:rPr>
                        <w:rFonts w:hint="eastAsia" w:ascii="仿宋" w:hAnsi="仿宋" w:eastAsia="仿宋" w:cs="仿宋"/>
                      </w:rPr>
                      <w:instrText xml:space="preserve"> PAGE  \* MERGEFORMAT </w:instrText>
                    </w:r>
                    <w:r>
                      <w:rPr>
                        <w:rFonts w:hint="eastAsia" w:ascii="仿宋" w:hAnsi="仿宋" w:eastAsia="仿宋" w:cs="仿宋"/>
                      </w:rPr>
                      <w:fldChar w:fldCharType="separate"/>
                    </w:r>
                    <w:r>
                      <w:rPr>
                        <w:rFonts w:ascii="仿宋" w:hAnsi="仿宋" w:eastAsia="仿宋" w:cs="仿宋"/>
                      </w:rPr>
                      <w:t>1</w:t>
                    </w:r>
                    <w:r>
                      <w:rPr>
                        <w:rFonts w:hint="eastAsia" w:ascii="仿宋" w:hAnsi="仿宋" w:eastAsia="仿宋" w:cs="仿宋"/>
                      </w:rPr>
                      <w:fldChar w:fldCharType="end"/>
                    </w:r>
                  </w:p>
                </w:txbxContent>
              </v:textbox>
            </v:shape>
          </w:pict>
        </mc:Fallback>
      </mc:AlternateContent>
    </w:r>
  </w:p>
  <w:p w14:paraId="31CC7F52">
    <w:pPr>
      <w:pStyle w:val="24"/>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FC79EB">
    <w:pPr>
      <w:pStyle w:val="24"/>
      <w:jc w:val="center"/>
    </w:pPr>
    <w:r>
      <w:fldChar w:fldCharType="begin"/>
    </w:r>
    <w:r>
      <w:instrText xml:space="preserve">PAGE   \* MERGEFORMAT</w:instrText>
    </w:r>
    <w:r>
      <w:fldChar w:fldCharType="separate"/>
    </w:r>
    <w:r>
      <w:rPr>
        <w:lang w:val="zh-CN"/>
      </w:rPr>
      <w:t>6</w:t>
    </w:r>
    <w:r>
      <w:rPr>
        <w:lang w:val="zh-CN"/>
      </w:rPr>
      <w:fldChar w:fldCharType="end"/>
    </w:r>
  </w:p>
  <w:p w14:paraId="6DAE12FC">
    <w:pPr>
      <w:pStyle w:val="2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12" w:lineRule="auto"/>
      </w:pPr>
      <w:r>
        <w:separator/>
      </w:r>
    </w:p>
  </w:footnote>
  <w:footnote w:type="continuationSeparator" w:id="1">
    <w:p>
      <w:pPr>
        <w:spacing w:line="312"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A4BEDF">
    <w:pPr>
      <w:pStyle w:val="25"/>
      <w:pBdr>
        <w:top w:val="none" w:color="auto" w:sz="0" w:space="0"/>
        <w:left w:val="none" w:color="auto" w:sz="0" w:space="0"/>
        <w:bottom w:val="single" w:color="auto" w:sz="4" w:space="1"/>
        <w:right w:val="none" w:color="auto" w:sz="0" w:space="0"/>
      </w:pBdr>
      <w:jc w:val="center"/>
      <w:rPr>
        <w:rFonts w:hint="eastAsia" w:ascii="仿宋" w:hAnsi="仿宋" w:eastAsia="仿宋" w:cs="仿宋"/>
      </w:rPr>
    </w:pPr>
    <w:r>
      <w:rPr>
        <w:rFonts w:hint="eastAsia" w:ascii="仿宋" w:hAnsi="仿宋" w:eastAsia="仿宋" w:cs="仿宋"/>
      </w:rPr>
      <w:t>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5C996B">
    <w:pPr>
      <w:pStyle w:val="25"/>
      <w:pBdr>
        <w:top w:val="none" w:color="auto" w:sz="0" w:space="0"/>
        <w:left w:val="none" w:color="auto" w:sz="0" w:space="0"/>
        <w:bottom w:val="single" w:color="auto" w:sz="4" w:space="1"/>
        <w:right w:val="none" w:color="auto" w:sz="0" w:space="0"/>
      </w:pBdr>
      <w:jc w:val="center"/>
      <w:rPr>
        <w:rFonts w:hint="eastAsia" w:ascii="仿宋" w:hAnsi="仿宋" w:eastAsia="仿宋" w:cs="仿宋"/>
      </w:rPr>
    </w:pPr>
    <w:r>
      <w:rPr>
        <w:rFonts w:hint="eastAsia" w:ascii="仿宋" w:hAnsi="仿宋" w:eastAsia="仿宋" w:cs="仿宋"/>
      </w:rPr>
      <w:t>招标文件</w:t>
    </w:r>
  </w:p>
  <w:p w14:paraId="1EC0FF8B">
    <w:pPr>
      <w:pStyle w:val="25"/>
      <w:rPr>
        <w:rFonts w:hint="eastAsia" w:ascii="仿宋" w:hAnsi="仿宋" w:eastAsia="仿宋" w:cs="仿宋"/>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A17952">
    <w:pPr>
      <w:pStyle w:val="25"/>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E2B711">
    <w:pPr>
      <w:pStyle w:val="25"/>
      <w:pBdr>
        <w:top w:val="none" w:color="auto" w:sz="0" w:space="0"/>
        <w:left w:val="none" w:color="auto" w:sz="0" w:space="0"/>
        <w:bottom w:val="single" w:color="auto" w:sz="4" w:space="1"/>
        <w:right w:val="none" w:color="auto" w:sz="0" w:space="0"/>
      </w:pBdr>
      <w:jc w:val="center"/>
      <w:rPr>
        <w:rFonts w:hint="eastAsia" w:ascii="仿宋" w:hAnsi="仿宋" w:eastAsia="仿宋" w:cs="仿宋"/>
      </w:rPr>
    </w:pPr>
    <w:r>
      <w:rPr>
        <w:rFonts w:hint="eastAsia" w:ascii="仿宋" w:hAnsi="仿宋" w:eastAsia="仿宋" w:cs="仿宋"/>
      </w:rPr>
      <w:t>招标文件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C871A">
    <w:pPr>
      <w:pStyle w:val="25"/>
      <w:pBdr>
        <w:top w:val="none" w:color="auto" w:sz="0" w:space="0"/>
        <w:left w:val="none" w:color="auto" w:sz="0" w:space="0"/>
        <w:bottom w:val="single" w:color="auto" w:sz="4" w:space="1"/>
        <w:right w:val="none" w:color="auto" w:sz="0" w:space="0"/>
      </w:pBdr>
      <w:jc w:val="center"/>
      <w:rPr>
        <w:rFonts w:hint="eastAsia" w:ascii="仿宋" w:hAnsi="仿宋" w:eastAsia="仿宋" w:cs="仿宋"/>
      </w:rPr>
    </w:pPr>
    <w:r>
      <w:rPr>
        <w:rFonts w:hint="eastAsia" w:ascii="仿宋" w:hAnsi="仿宋" w:eastAsia="仿宋" w:cs="仿宋"/>
      </w:rPr>
      <w:t>招标文件</w:t>
    </w:r>
  </w:p>
  <w:p w14:paraId="3DA6514E">
    <w:pPr>
      <w:pStyle w:val="25"/>
      <w:rPr>
        <w:rFonts w:hint="eastAsia" w:ascii="仿宋" w:hAnsi="仿宋" w:eastAsia="仿宋" w:cs="仿宋"/>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18F6DF0"/>
    <w:multiLevelType w:val="singleLevel"/>
    <w:tmpl w:val="818F6DF0"/>
    <w:lvl w:ilvl="0" w:tentative="0">
      <w:start w:val="5"/>
      <w:numFmt w:val="chineseCounting"/>
      <w:suff w:val="space"/>
      <w:lvlText w:val="第%1章"/>
      <w:lvlJc w:val="left"/>
      <w:rPr>
        <w:rFonts w:hint="eastAsia"/>
      </w:rPr>
    </w:lvl>
  </w:abstractNum>
  <w:abstractNum w:abstractNumId="1">
    <w:nsid w:val="9DFE4D3A"/>
    <w:multiLevelType w:val="singleLevel"/>
    <w:tmpl w:val="9DFE4D3A"/>
    <w:lvl w:ilvl="0" w:tentative="0">
      <w:start w:val="1"/>
      <w:numFmt w:val="decimal"/>
      <w:lvlText w:val="%1."/>
      <w:lvlJc w:val="left"/>
      <w:pPr>
        <w:ind w:left="425" w:hanging="425"/>
      </w:pPr>
      <w:rPr>
        <w:rFonts w:hint="default"/>
      </w:rPr>
    </w:lvl>
  </w:abstractNum>
  <w:abstractNum w:abstractNumId="2">
    <w:nsid w:val="A81C3CB0"/>
    <w:multiLevelType w:val="singleLevel"/>
    <w:tmpl w:val="A81C3CB0"/>
    <w:lvl w:ilvl="0" w:tentative="0">
      <w:start w:val="11"/>
      <w:numFmt w:val="decimal"/>
      <w:suff w:val="space"/>
      <w:lvlText w:val="%1."/>
      <w:lvlJc w:val="left"/>
    </w:lvl>
  </w:abstractNum>
  <w:abstractNum w:abstractNumId="3">
    <w:nsid w:val="D649A8F3"/>
    <w:multiLevelType w:val="singleLevel"/>
    <w:tmpl w:val="D649A8F3"/>
    <w:lvl w:ilvl="0" w:tentative="0">
      <w:start w:val="3"/>
      <w:numFmt w:val="chineseCounting"/>
      <w:suff w:val="nothing"/>
      <w:lvlText w:val="（%1）"/>
      <w:lvlJc w:val="left"/>
      <w:rPr>
        <w:rFonts w:hint="eastAsia"/>
      </w:rPr>
    </w:lvl>
  </w:abstractNum>
  <w:abstractNum w:abstractNumId="4">
    <w:nsid w:val="E7845AB5"/>
    <w:multiLevelType w:val="singleLevel"/>
    <w:tmpl w:val="E7845AB5"/>
    <w:lvl w:ilvl="0" w:tentative="0">
      <w:start w:val="1"/>
      <w:numFmt w:val="decimal"/>
      <w:suff w:val="space"/>
      <w:lvlText w:val="(%1)"/>
      <w:lvlJc w:val="left"/>
    </w:lvl>
  </w:abstractNum>
  <w:abstractNum w:abstractNumId="5">
    <w:nsid w:val="00000016"/>
    <w:multiLevelType w:val="multilevel"/>
    <w:tmpl w:val="00000016"/>
    <w:lvl w:ilvl="0" w:tentative="0">
      <w:start w:val="1"/>
      <w:numFmt w:val="none"/>
      <w:lvlText w:val=""/>
      <w:lvlJc w:val="left"/>
      <w:pPr>
        <w:tabs>
          <w:tab w:val="left" w:pos="432"/>
        </w:tabs>
        <w:ind w:left="432" w:hanging="432"/>
      </w:pPr>
      <w:rPr>
        <w:rFonts w:hint="eastAsia"/>
      </w:rPr>
    </w:lvl>
    <w:lvl w:ilvl="1" w:tentative="0">
      <w:start w:val="1"/>
      <w:numFmt w:val="none"/>
      <w:lvlText w:val=" "/>
      <w:lvlJc w:val="left"/>
      <w:pPr>
        <w:tabs>
          <w:tab w:val="left" w:pos="576"/>
        </w:tabs>
        <w:ind w:left="576" w:hanging="576"/>
      </w:pPr>
      <w:rPr>
        <w:rFonts w:hint="eastAsia"/>
      </w:rPr>
    </w:lvl>
    <w:lvl w:ilvl="2" w:tentative="0">
      <w:start w:val="1"/>
      <w:numFmt w:val="none"/>
      <w:lvlText w:val=""/>
      <w:lvlJc w:val="left"/>
      <w:pPr>
        <w:tabs>
          <w:tab w:val="left" w:pos="720"/>
        </w:tabs>
        <w:ind w:left="720" w:hanging="720"/>
      </w:pPr>
      <w:rPr>
        <w:rFonts w:hint="eastAsia"/>
      </w:rPr>
    </w:lvl>
    <w:lvl w:ilvl="3" w:tentative="0">
      <w:start w:val="1"/>
      <w:numFmt w:val="none"/>
      <w:lvlText w:val="    "/>
      <w:lvlJc w:val="left"/>
      <w:pPr>
        <w:tabs>
          <w:tab w:val="left" w:pos="864"/>
        </w:tabs>
        <w:ind w:left="864" w:hanging="864"/>
      </w:pPr>
      <w:rPr>
        <w:rFonts w:hint="eastAsia"/>
      </w:rPr>
    </w:lvl>
    <w:lvl w:ilvl="4" w:tentative="0">
      <w:start w:val="1"/>
      <w:numFmt w:val="none"/>
      <w:lvlText w:val="      "/>
      <w:lvlJc w:val="left"/>
      <w:pPr>
        <w:tabs>
          <w:tab w:val="left" w:pos="1008"/>
        </w:tabs>
        <w:ind w:left="1008" w:hanging="1008"/>
      </w:pPr>
      <w:rPr>
        <w:rFonts w:hint="eastAsia"/>
      </w:rPr>
    </w:lvl>
    <w:lvl w:ilvl="5" w:tentative="0">
      <w:start w:val="1"/>
      <w:numFmt w:val="none"/>
      <w:lvlText w:val="           "/>
      <w:lvlJc w:val="left"/>
      <w:pPr>
        <w:tabs>
          <w:tab w:val="left" w:pos="1440"/>
        </w:tabs>
        <w:ind w:left="1152" w:hanging="1152"/>
      </w:pPr>
      <w:rPr>
        <w:rFonts w:hint="eastAsia"/>
      </w:rPr>
    </w:lvl>
    <w:lvl w:ilvl="6" w:tentative="0">
      <w:start w:val="1"/>
      <w:numFmt w:val="decimal"/>
      <w:lvlText w:val="%1.%2.%3.%4.%5.%6.%7"/>
      <w:lvlJc w:val="left"/>
      <w:pPr>
        <w:tabs>
          <w:tab w:val="left" w:pos="2520"/>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6">
    <w:nsid w:val="15BEAEAF"/>
    <w:multiLevelType w:val="singleLevel"/>
    <w:tmpl w:val="15BEAEAF"/>
    <w:lvl w:ilvl="0" w:tentative="0">
      <w:start w:val="1"/>
      <w:numFmt w:val="decimal"/>
      <w:suff w:val="space"/>
      <w:lvlText w:val="(%1)"/>
      <w:lvlJc w:val="left"/>
      <w:pPr>
        <w:ind w:left="0" w:leftChars="0" w:firstLine="0" w:firstLineChars="0"/>
      </w:pPr>
      <w:rPr>
        <w:rFonts w:hint="default"/>
      </w:rPr>
    </w:lvl>
  </w:abstractNum>
  <w:abstractNum w:abstractNumId="7">
    <w:nsid w:val="23276C85"/>
    <w:multiLevelType w:val="singleLevel"/>
    <w:tmpl w:val="23276C85"/>
    <w:lvl w:ilvl="0" w:tentative="0">
      <w:start w:val="2"/>
      <w:numFmt w:val="decimal"/>
      <w:suff w:val="nothing"/>
      <w:lvlText w:val="（%1）"/>
      <w:lvlJc w:val="left"/>
    </w:lvl>
  </w:abstractNum>
  <w:abstractNum w:abstractNumId="8">
    <w:nsid w:val="3BF7E4EB"/>
    <w:multiLevelType w:val="singleLevel"/>
    <w:tmpl w:val="3BF7E4EB"/>
    <w:lvl w:ilvl="0" w:tentative="0">
      <w:start w:val="1"/>
      <w:numFmt w:val="decimal"/>
      <w:suff w:val="nothing"/>
      <w:lvlText w:val="%1．"/>
      <w:lvlJc w:val="left"/>
      <w:pPr>
        <w:ind w:left="0" w:firstLine="400"/>
      </w:pPr>
      <w:rPr>
        <w:rFonts w:hint="default"/>
      </w:rPr>
    </w:lvl>
  </w:abstractNum>
  <w:abstractNum w:abstractNumId="9">
    <w:nsid w:val="3E5F8760"/>
    <w:multiLevelType w:val="singleLevel"/>
    <w:tmpl w:val="3E5F8760"/>
    <w:lvl w:ilvl="0" w:tentative="0">
      <w:start w:val="3"/>
      <w:numFmt w:val="decimal"/>
      <w:suff w:val="nothing"/>
      <w:lvlText w:val="%1、"/>
      <w:lvlJc w:val="left"/>
    </w:lvl>
  </w:abstractNum>
  <w:abstractNum w:abstractNumId="10">
    <w:nsid w:val="4E73A690"/>
    <w:multiLevelType w:val="multilevel"/>
    <w:tmpl w:val="4E73A690"/>
    <w:lvl w:ilvl="0" w:tentative="0">
      <w:start w:val="1"/>
      <w:numFmt w:val="decimal"/>
      <w:pStyle w:val="2"/>
      <w:suff w:val="space"/>
      <w:lvlText w:val="%1."/>
      <w:lvlJc w:val="left"/>
      <w:pPr>
        <w:tabs>
          <w:tab w:val="left" w:pos="0"/>
        </w:tabs>
        <w:ind w:left="0" w:leftChars="0" w:firstLine="0" w:firstLineChars="0"/>
      </w:pPr>
      <w:rPr>
        <w:rFonts w:hint="default"/>
      </w:rPr>
    </w:lvl>
    <w:lvl w:ilvl="1" w:tentative="0">
      <w:start w:val="1"/>
      <w:numFmt w:val="decimal"/>
      <w:lvlText w:val="%1.%2."/>
      <w:lvlJc w:val="left"/>
      <w:pPr>
        <w:ind w:left="567" w:hanging="567"/>
      </w:pPr>
      <w:rPr>
        <w:rFonts w:hint="default"/>
      </w:rPr>
    </w:lvl>
    <w:lvl w:ilvl="2" w:tentative="0">
      <w:start w:val="1"/>
      <w:numFmt w:val="decimal"/>
      <w:lvlText w:val="%1.%2.%3."/>
      <w:lvlJc w:val="left"/>
      <w:pPr>
        <w:ind w:left="709" w:hanging="709"/>
      </w:pPr>
      <w:rPr>
        <w:rFonts w:hint="default"/>
      </w:rPr>
    </w:lvl>
    <w:lvl w:ilvl="3" w:tentative="0">
      <w:start w:val="1"/>
      <w:numFmt w:val="decimal"/>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11">
    <w:nsid w:val="767693F5"/>
    <w:multiLevelType w:val="singleLevel"/>
    <w:tmpl w:val="767693F5"/>
    <w:lvl w:ilvl="0" w:tentative="0">
      <w:start w:val="4"/>
      <w:numFmt w:val="chineseCounting"/>
      <w:suff w:val="nothing"/>
      <w:lvlText w:val="%1、"/>
      <w:lvlJc w:val="left"/>
      <w:rPr>
        <w:rFonts w:hint="eastAsia"/>
      </w:rPr>
    </w:lvl>
  </w:abstractNum>
  <w:abstractNum w:abstractNumId="12">
    <w:nsid w:val="7EDE5AF5"/>
    <w:multiLevelType w:val="multilevel"/>
    <w:tmpl w:val="7EDE5AF5"/>
    <w:lvl w:ilvl="0" w:tentative="0">
      <w:start w:val="1"/>
      <w:numFmt w:val="decimal"/>
      <w:lvlText w:val="%1."/>
      <w:lvlJc w:val="left"/>
      <w:pPr>
        <w:ind w:left="840" w:hanging="360"/>
      </w:pPr>
      <w:rPr>
        <w:rFonts w:hint="default"/>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num w:numId="1">
    <w:abstractNumId w:val="10"/>
  </w:num>
  <w:num w:numId="2">
    <w:abstractNumId w:val="6"/>
  </w:num>
  <w:num w:numId="3">
    <w:abstractNumId w:val="4"/>
  </w:num>
  <w:num w:numId="4">
    <w:abstractNumId w:val="2"/>
  </w:num>
  <w:num w:numId="5">
    <w:abstractNumId w:val="9"/>
  </w:num>
  <w:num w:numId="6">
    <w:abstractNumId w:val="12"/>
  </w:num>
  <w:num w:numId="7">
    <w:abstractNumId w:val="0"/>
  </w:num>
  <w:num w:numId="8">
    <w:abstractNumId w:val="11"/>
  </w:num>
  <w:num w:numId="9">
    <w:abstractNumId w:val="8"/>
  </w:num>
  <w:num w:numId="10">
    <w:abstractNumId w:val="1"/>
  </w:num>
  <w:num w:numId="11">
    <w:abstractNumId w:val="7"/>
  </w:num>
  <w:num w:numId="12">
    <w:abstractNumId w:val="3"/>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isplayBackgroundShape w:val="1"/>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E3NDhhZTMxN2IwZjg1OGE5ZGE4Yzc5MzJkZTg3MmUifQ=="/>
  </w:docVars>
  <w:rsids>
    <w:rsidRoot w:val="00172A27"/>
    <w:rsid w:val="000001C4"/>
    <w:rsid w:val="00000C81"/>
    <w:rsid w:val="00000EAA"/>
    <w:rsid w:val="0000139C"/>
    <w:rsid w:val="000016E8"/>
    <w:rsid w:val="00003FC1"/>
    <w:rsid w:val="00004A95"/>
    <w:rsid w:val="00004F37"/>
    <w:rsid w:val="000050AE"/>
    <w:rsid w:val="00006707"/>
    <w:rsid w:val="000068F2"/>
    <w:rsid w:val="0000699B"/>
    <w:rsid w:val="00006B2B"/>
    <w:rsid w:val="00006F75"/>
    <w:rsid w:val="00010234"/>
    <w:rsid w:val="00011607"/>
    <w:rsid w:val="00012105"/>
    <w:rsid w:val="00013761"/>
    <w:rsid w:val="000151FB"/>
    <w:rsid w:val="0001709E"/>
    <w:rsid w:val="00021824"/>
    <w:rsid w:val="00022109"/>
    <w:rsid w:val="00024256"/>
    <w:rsid w:val="00024350"/>
    <w:rsid w:val="000243B2"/>
    <w:rsid w:val="000252D2"/>
    <w:rsid w:val="0002645E"/>
    <w:rsid w:val="00026C1C"/>
    <w:rsid w:val="00026C66"/>
    <w:rsid w:val="00027DA6"/>
    <w:rsid w:val="000312AD"/>
    <w:rsid w:val="00032A4D"/>
    <w:rsid w:val="000335FC"/>
    <w:rsid w:val="00033C35"/>
    <w:rsid w:val="00034D22"/>
    <w:rsid w:val="000352ED"/>
    <w:rsid w:val="00035B05"/>
    <w:rsid w:val="00037ECD"/>
    <w:rsid w:val="0004355F"/>
    <w:rsid w:val="00044E20"/>
    <w:rsid w:val="00044F68"/>
    <w:rsid w:val="00045339"/>
    <w:rsid w:val="00045927"/>
    <w:rsid w:val="00045B07"/>
    <w:rsid w:val="000479A4"/>
    <w:rsid w:val="00047FE6"/>
    <w:rsid w:val="000515DB"/>
    <w:rsid w:val="00051BFE"/>
    <w:rsid w:val="000523F6"/>
    <w:rsid w:val="00052EBC"/>
    <w:rsid w:val="0005366F"/>
    <w:rsid w:val="00054842"/>
    <w:rsid w:val="00054BC2"/>
    <w:rsid w:val="00055A7F"/>
    <w:rsid w:val="0005610E"/>
    <w:rsid w:val="00060DE9"/>
    <w:rsid w:val="00061265"/>
    <w:rsid w:val="0006160A"/>
    <w:rsid w:val="00062034"/>
    <w:rsid w:val="000629FD"/>
    <w:rsid w:val="00063375"/>
    <w:rsid w:val="0006458B"/>
    <w:rsid w:val="0006524F"/>
    <w:rsid w:val="0006708E"/>
    <w:rsid w:val="000676F4"/>
    <w:rsid w:val="00067701"/>
    <w:rsid w:val="00067C40"/>
    <w:rsid w:val="000739F8"/>
    <w:rsid w:val="0007443C"/>
    <w:rsid w:val="00074AB1"/>
    <w:rsid w:val="00074F22"/>
    <w:rsid w:val="000767AC"/>
    <w:rsid w:val="000767DF"/>
    <w:rsid w:val="00077111"/>
    <w:rsid w:val="00081825"/>
    <w:rsid w:val="00082F19"/>
    <w:rsid w:val="00084FF4"/>
    <w:rsid w:val="00086193"/>
    <w:rsid w:val="00087142"/>
    <w:rsid w:val="00087E33"/>
    <w:rsid w:val="000903F5"/>
    <w:rsid w:val="0009075B"/>
    <w:rsid w:val="00090AE3"/>
    <w:rsid w:val="00090D3B"/>
    <w:rsid w:val="00091DCE"/>
    <w:rsid w:val="000925AF"/>
    <w:rsid w:val="0009613B"/>
    <w:rsid w:val="000963DE"/>
    <w:rsid w:val="00097B9F"/>
    <w:rsid w:val="000A073A"/>
    <w:rsid w:val="000A3063"/>
    <w:rsid w:val="000A38E9"/>
    <w:rsid w:val="000A499E"/>
    <w:rsid w:val="000A4ADD"/>
    <w:rsid w:val="000A616D"/>
    <w:rsid w:val="000A6A7C"/>
    <w:rsid w:val="000A73A9"/>
    <w:rsid w:val="000A7841"/>
    <w:rsid w:val="000A7896"/>
    <w:rsid w:val="000B36D6"/>
    <w:rsid w:val="000B44D3"/>
    <w:rsid w:val="000B5486"/>
    <w:rsid w:val="000B700F"/>
    <w:rsid w:val="000C0CFB"/>
    <w:rsid w:val="000C0FC6"/>
    <w:rsid w:val="000C2AD8"/>
    <w:rsid w:val="000C3CC6"/>
    <w:rsid w:val="000C4137"/>
    <w:rsid w:val="000C75E9"/>
    <w:rsid w:val="000C7872"/>
    <w:rsid w:val="000D079E"/>
    <w:rsid w:val="000D2C19"/>
    <w:rsid w:val="000D3528"/>
    <w:rsid w:val="000D3953"/>
    <w:rsid w:val="000D4B03"/>
    <w:rsid w:val="000D4D9F"/>
    <w:rsid w:val="000D5661"/>
    <w:rsid w:val="000D628B"/>
    <w:rsid w:val="000D644C"/>
    <w:rsid w:val="000D7E11"/>
    <w:rsid w:val="000E0407"/>
    <w:rsid w:val="000E18A1"/>
    <w:rsid w:val="000E259E"/>
    <w:rsid w:val="000E369E"/>
    <w:rsid w:val="000E3CF6"/>
    <w:rsid w:val="000E5233"/>
    <w:rsid w:val="000E586E"/>
    <w:rsid w:val="000E61DA"/>
    <w:rsid w:val="000F3605"/>
    <w:rsid w:val="000F3B51"/>
    <w:rsid w:val="000F3BBD"/>
    <w:rsid w:val="000F3C06"/>
    <w:rsid w:val="000F3F3E"/>
    <w:rsid w:val="000F45C4"/>
    <w:rsid w:val="000F46D5"/>
    <w:rsid w:val="000F61EE"/>
    <w:rsid w:val="000F7110"/>
    <w:rsid w:val="000F790F"/>
    <w:rsid w:val="000F7E6D"/>
    <w:rsid w:val="0010147B"/>
    <w:rsid w:val="001015DB"/>
    <w:rsid w:val="001026CD"/>
    <w:rsid w:val="001049FD"/>
    <w:rsid w:val="001061DB"/>
    <w:rsid w:val="00110277"/>
    <w:rsid w:val="00110EDE"/>
    <w:rsid w:val="00111D8D"/>
    <w:rsid w:val="00112169"/>
    <w:rsid w:val="001125F7"/>
    <w:rsid w:val="00113131"/>
    <w:rsid w:val="00114EC3"/>
    <w:rsid w:val="00116821"/>
    <w:rsid w:val="00116E5C"/>
    <w:rsid w:val="0011762E"/>
    <w:rsid w:val="0011797C"/>
    <w:rsid w:val="00117B54"/>
    <w:rsid w:val="00120076"/>
    <w:rsid w:val="00120253"/>
    <w:rsid w:val="00121851"/>
    <w:rsid w:val="00122A54"/>
    <w:rsid w:val="00124F11"/>
    <w:rsid w:val="00125019"/>
    <w:rsid w:val="00126C7E"/>
    <w:rsid w:val="00126CE7"/>
    <w:rsid w:val="00130D12"/>
    <w:rsid w:val="001310E5"/>
    <w:rsid w:val="00131208"/>
    <w:rsid w:val="001315B3"/>
    <w:rsid w:val="001315FE"/>
    <w:rsid w:val="00131681"/>
    <w:rsid w:val="00133387"/>
    <w:rsid w:val="001335CE"/>
    <w:rsid w:val="00134630"/>
    <w:rsid w:val="00135174"/>
    <w:rsid w:val="00135531"/>
    <w:rsid w:val="0014075B"/>
    <w:rsid w:val="00142288"/>
    <w:rsid w:val="001425CB"/>
    <w:rsid w:val="0014286F"/>
    <w:rsid w:val="001442A6"/>
    <w:rsid w:val="00146BDC"/>
    <w:rsid w:val="001471AD"/>
    <w:rsid w:val="001512A0"/>
    <w:rsid w:val="0015276A"/>
    <w:rsid w:val="001541A3"/>
    <w:rsid w:val="001570FF"/>
    <w:rsid w:val="001574F6"/>
    <w:rsid w:val="00164FA4"/>
    <w:rsid w:val="00165099"/>
    <w:rsid w:val="0016661C"/>
    <w:rsid w:val="00167F84"/>
    <w:rsid w:val="00177E38"/>
    <w:rsid w:val="00181527"/>
    <w:rsid w:val="00181732"/>
    <w:rsid w:val="00184CCD"/>
    <w:rsid w:val="00185C2F"/>
    <w:rsid w:val="00186BF0"/>
    <w:rsid w:val="00187293"/>
    <w:rsid w:val="001877DD"/>
    <w:rsid w:val="00190A02"/>
    <w:rsid w:val="00190C5A"/>
    <w:rsid w:val="0019442B"/>
    <w:rsid w:val="001A0890"/>
    <w:rsid w:val="001A19D2"/>
    <w:rsid w:val="001A1C87"/>
    <w:rsid w:val="001A1F38"/>
    <w:rsid w:val="001A3857"/>
    <w:rsid w:val="001A4F0D"/>
    <w:rsid w:val="001A5E58"/>
    <w:rsid w:val="001A6377"/>
    <w:rsid w:val="001A6A87"/>
    <w:rsid w:val="001A7699"/>
    <w:rsid w:val="001A77C6"/>
    <w:rsid w:val="001B29DD"/>
    <w:rsid w:val="001B32F5"/>
    <w:rsid w:val="001B4523"/>
    <w:rsid w:val="001B5337"/>
    <w:rsid w:val="001C0D18"/>
    <w:rsid w:val="001C28D2"/>
    <w:rsid w:val="001C4F00"/>
    <w:rsid w:val="001C543F"/>
    <w:rsid w:val="001C569A"/>
    <w:rsid w:val="001C65C1"/>
    <w:rsid w:val="001C6D9E"/>
    <w:rsid w:val="001C7899"/>
    <w:rsid w:val="001D076F"/>
    <w:rsid w:val="001D23AF"/>
    <w:rsid w:val="001D23B6"/>
    <w:rsid w:val="001D3757"/>
    <w:rsid w:val="001D3A3C"/>
    <w:rsid w:val="001D5E2F"/>
    <w:rsid w:val="001D6FE1"/>
    <w:rsid w:val="001D7261"/>
    <w:rsid w:val="001D7701"/>
    <w:rsid w:val="001D7AA1"/>
    <w:rsid w:val="001E2456"/>
    <w:rsid w:val="001E3189"/>
    <w:rsid w:val="001E3D4C"/>
    <w:rsid w:val="001E3E86"/>
    <w:rsid w:val="001F2953"/>
    <w:rsid w:val="001F3F80"/>
    <w:rsid w:val="001F4609"/>
    <w:rsid w:val="001F7B1B"/>
    <w:rsid w:val="0020115E"/>
    <w:rsid w:val="00201575"/>
    <w:rsid w:val="00203CDC"/>
    <w:rsid w:val="00203FC1"/>
    <w:rsid w:val="00204A32"/>
    <w:rsid w:val="00206322"/>
    <w:rsid w:val="0020688B"/>
    <w:rsid w:val="00206ACA"/>
    <w:rsid w:val="00207D3B"/>
    <w:rsid w:val="002124EF"/>
    <w:rsid w:val="00212967"/>
    <w:rsid w:val="00212A52"/>
    <w:rsid w:val="00212AEE"/>
    <w:rsid w:val="00213736"/>
    <w:rsid w:val="0021403B"/>
    <w:rsid w:val="00214FDB"/>
    <w:rsid w:val="00215FF1"/>
    <w:rsid w:val="00216402"/>
    <w:rsid w:val="00217033"/>
    <w:rsid w:val="0021729F"/>
    <w:rsid w:val="00217F9A"/>
    <w:rsid w:val="002207FA"/>
    <w:rsid w:val="00221931"/>
    <w:rsid w:val="0022202B"/>
    <w:rsid w:val="00222CCB"/>
    <w:rsid w:val="00225E48"/>
    <w:rsid w:val="00226E29"/>
    <w:rsid w:val="0022792D"/>
    <w:rsid w:val="00230C7F"/>
    <w:rsid w:val="00231390"/>
    <w:rsid w:val="00232123"/>
    <w:rsid w:val="002329BA"/>
    <w:rsid w:val="00232AA2"/>
    <w:rsid w:val="00232AAB"/>
    <w:rsid w:val="002346E9"/>
    <w:rsid w:val="00236429"/>
    <w:rsid w:val="00236DA6"/>
    <w:rsid w:val="00237699"/>
    <w:rsid w:val="00237869"/>
    <w:rsid w:val="00237EED"/>
    <w:rsid w:val="002406AC"/>
    <w:rsid w:val="00242173"/>
    <w:rsid w:val="002439E8"/>
    <w:rsid w:val="00243A60"/>
    <w:rsid w:val="00245799"/>
    <w:rsid w:val="00250A52"/>
    <w:rsid w:val="00250DB4"/>
    <w:rsid w:val="002512C9"/>
    <w:rsid w:val="00251EF0"/>
    <w:rsid w:val="00252704"/>
    <w:rsid w:val="00252B10"/>
    <w:rsid w:val="00253CB6"/>
    <w:rsid w:val="00254037"/>
    <w:rsid w:val="00254EA1"/>
    <w:rsid w:val="00255444"/>
    <w:rsid w:val="002575A1"/>
    <w:rsid w:val="00257B18"/>
    <w:rsid w:val="0026035F"/>
    <w:rsid w:val="00261D4D"/>
    <w:rsid w:val="00262C07"/>
    <w:rsid w:val="00262D23"/>
    <w:rsid w:val="0026340E"/>
    <w:rsid w:val="00264B7B"/>
    <w:rsid w:val="002675F1"/>
    <w:rsid w:val="00270522"/>
    <w:rsid w:val="00273999"/>
    <w:rsid w:val="002753BD"/>
    <w:rsid w:val="00276E33"/>
    <w:rsid w:val="00277663"/>
    <w:rsid w:val="0028413A"/>
    <w:rsid w:val="00284617"/>
    <w:rsid w:val="00286A3E"/>
    <w:rsid w:val="00287A9F"/>
    <w:rsid w:val="002900A1"/>
    <w:rsid w:val="00291F2A"/>
    <w:rsid w:val="00293253"/>
    <w:rsid w:val="00293FFB"/>
    <w:rsid w:val="00296707"/>
    <w:rsid w:val="00296B57"/>
    <w:rsid w:val="00297182"/>
    <w:rsid w:val="0029781A"/>
    <w:rsid w:val="00297FA6"/>
    <w:rsid w:val="002A0528"/>
    <w:rsid w:val="002A0871"/>
    <w:rsid w:val="002A08A9"/>
    <w:rsid w:val="002A29D5"/>
    <w:rsid w:val="002A3645"/>
    <w:rsid w:val="002A5816"/>
    <w:rsid w:val="002A59D8"/>
    <w:rsid w:val="002A6404"/>
    <w:rsid w:val="002A6CA1"/>
    <w:rsid w:val="002A6F20"/>
    <w:rsid w:val="002A6F8B"/>
    <w:rsid w:val="002A7397"/>
    <w:rsid w:val="002A74AC"/>
    <w:rsid w:val="002B284D"/>
    <w:rsid w:val="002B2F7A"/>
    <w:rsid w:val="002B3116"/>
    <w:rsid w:val="002B3356"/>
    <w:rsid w:val="002B3722"/>
    <w:rsid w:val="002B4923"/>
    <w:rsid w:val="002B604E"/>
    <w:rsid w:val="002B7C9A"/>
    <w:rsid w:val="002C0D19"/>
    <w:rsid w:val="002C15D2"/>
    <w:rsid w:val="002C243E"/>
    <w:rsid w:val="002C2771"/>
    <w:rsid w:val="002C2E36"/>
    <w:rsid w:val="002C3120"/>
    <w:rsid w:val="002C3D1E"/>
    <w:rsid w:val="002C4B6A"/>
    <w:rsid w:val="002C4DC4"/>
    <w:rsid w:val="002C6826"/>
    <w:rsid w:val="002D00D8"/>
    <w:rsid w:val="002D17D7"/>
    <w:rsid w:val="002D672A"/>
    <w:rsid w:val="002D6B06"/>
    <w:rsid w:val="002D764A"/>
    <w:rsid w:val="002D76A9"/>
    <w:rsid w:val="002E07B7"/>
    <w:rsid w:val="002E1286"/>
    <w:rsid w:val="002E153E"/>
    <w:rsid w:val="002E1C7B"/>
    <w:rsid w:val="002E2D72"/>
    <w:rsid w:val="002E336F"/>
    <w:rsid w:val="002E4C41"/>
    <w:rsid w:val="002E56F8"/>
    <w:rsid w:val="002E5D16"/>
    <w:rsid w:val="002F0299"/>
    <w:rsid w:val="002F29C3"/>
    <w:rsid w:val="002F3452"/>
    <w:rsid w:val="002F6CC1"/>
    <w:rsid w:val="003008A4"/>
    <w:rsid w:val="00301A76"/>
    <w:rsid w:val="00304544"/>
    <w:rsid w:val="00306024"/>
    <w:rsid w:val="00306366"/>
    <w:rsid w:val="003074D7"/>
    <w:rsid w:val="0030768D"/>
    <w:rsid w:val="0031082E"/>
    <w:rsid w:val="003110A2"/>
    <w:rsid w:val="003129B0"/>
    <w:rsid w:val="00312A4D"/>
    <w:rsid w:val="00313685"/>
    <w:rsid w:val="00313E5A"/>
    <w:rsid w:val="00313F53"/>
    <w:rsid w:val="00314FEF"/>
    <w:rsid w:val="00315070"/>
    <w:rsid w:val="003154D6"/>
    <w:rsid w:val="00320097"/>
    <w:rsid w:val="00320423"/>
    <w:rsid w:val="0032047C"/>
    <w:rsid w:val="0032264D"/>
    <w:rsid w:val="00323E67"/>
    <w:rsid w:val="003254D7"/>
    <w:rsid w:val="003264ED"/>
    <w:rsid w:val="003270C6"/>
    <w:rsid w:val="00327AB4"/>
    <w:rsid w:val="00332AEA"/>
    <w:rsid w:val="00332E12"/>
    <w:rsid w:val="00333B4D"/>
    <w:rsid w:val="00333C26"/>
    <w:rsid w:val="00335187"/>
    <w:rsid w:val="00340A6B"/>
    <w:rsid w:val="00341088"/>
    <w:rsid w:val="0034186F"/>
    <w:rsid w:val="00341D12"/>
    <w:rsid w:val="00341E25"/>
    <w:rsid w:val="00342CD4"/>
    <w:rsid w:val="00343528"/>
    <w:rsid w:val="0034554B"/>
    <w:rsid w:val="00346017"/>
    <w:rsid w:val="00347120"/>
    <w:rsid w:val="00350901"/>
    <w:rsid w:val="0035152A"/>
    <w:rsid w:val="00351579"/>
    <w:rsid w:val="003610E4"/>
    <w:rsid w:val="003618A1"/>
    <w:rsid w:val="00362263"/>
    <w:rsid w:val="00362507"/>
    <w:rsid w:val="00363A11"/>
    <w:rsid w:val="00363E37"/>
    <w:rsid w:val="00365FB4"/>
    <w:rsid w:val="00366DED"/>
    <w:rsid w:val="00367063"/>
    <w:rsid w:val="003676AE"/>
    <w:rsid w:val="003721DF"/>
    <w:rsid w:val="0037437C"/>
    <w:rsid w:val="003743C4"/>
    <w:rsid w:val="00375F12"/>
    <w:rsid w:val="003767A0"/>
    <w:rsid w:val="00377423"/>
    <w:rsid w:val="00377636"/>
    <w:rsid w:val="00377970"/>
    <w:rsid w:val="00380A93"/>
    <w:rsid w:val="00381978"/>
    <w:rsid w:val="003822CD"/>
    <w:rsid w:val="00383C4B"/>
    <w:rsid w:val="003854B0"/>
    <w:rsid w:val="003859FD"/>
    <w:rsid w:val="00386D20"/>
    <w:rsid w:val="00387A30"/>
    <w:rsid w:val="00391172"/>
    <w:rsid w:val="00392E3A"/>
    <w:rsid w:val="00393F5A"/>
    <w:rsid w:val="003944F6"/>
    <w:rsid w:val="00396011"/>
    <w:rsid w:val="003973C4"/>
    <w:rsid w:val="00397EC0"/>
    <w:rsid w:val="003A078F"/>
    <w:rsid w:val="003A1256"/>
    <w:rsid w:val="003A2726"/>
    <w:rsid w:val="003A3056"/>
    <w:rsid w:val="003A353C"/>
    <w:rsid w:val="003A35AE"/>
    <w:rsid w:val="003A3AD6"/>
    <w:rsid w:val="003A7214"/>
    <w:rsid w:val="003A7C2B"/>
    <w:rsid w:val="003B09D9"/>
    <w:rsid w:val="003B244B"/>
    <w:rsid w:val="003B3BB4"/>
    <w:rsid w:val="003B406D"/>
    <w:rsid w:val="003B4CB2"/>
    <w:rsid w:val="003B5B88"/>
    <w:rsid w:val="003B5C8D"/>
    <w:rsid w:val="003B7BF1"/>
    <w:rsid w:val="003C0809"/>
    <w:rsid w:val="003C1A69"/>
    <w:rsid w:val="003C1EED"/>
    <w:rsid w:val="003C24F3"/>
    <w:rsid w:val="003C2CC6"/>
    <w:rsid w:val="003C3683"/>
    <w:rsid w:val="003C3F26"/>
    <w:rsid w:val="003C486E"/>
    <w:rsid w:val="003C4B52"/>
    <w:rsid w:val="003C4F36"/>
    <w:rsid w:val="003C6380"/>
    <w:rsid w:val="003C7512"/>
    <w:rsid w:val="003C7A1C"/>
    <w:rsid w:val="003D0AC8"/>
    <w:rsid w:val="003D24C5"/>
    <w:rsid w:val="003D30DD"/>
    <w:rsid w:val="003D3CC3"/>
    <w:rsid w:val="003D41FB"/>
    <w:rsid w:val="003D59DD"/>
    <w:rsid w:val="003D5CA2"/>
    <w:rsid w:val="003D6103"/>
    <w:rsid w:val="003E1E87"/>
    <w:rsid w:val="003E31A1"/>
    <w:rsid w:val="003E332E"/>
    <w:rsid w:val="003E3691"/>
    <w:rsid w:val="003E520B"/>
    <w:rsid w:val="003E52BB"/>
    <w:rsid w:val="003F0758"/>
    <w:rsid w:val="003F07D0"/>
    <w:rsid w:val="003F108A"/>
    <w:rsid w:val="003F2A3D"/>
    <w:rsid w:val="003F2F9E"/>
    <w:rsid w:val="003F38AD"/>
    <w:rsid w:val="003F3CB4"/>
    <w:rsid w:val="003F41E1"/>
    <w:rsid w:val="003F4C05"/>
    <w:rsid w:val="003F4DBE"/>
    <w:rsid w:val="00400EA9"/>
    <w:rsid w:val="0040189E"/>
    <w:rsid w:val="00401BE0"/>
    <w:rsid w:val="00401EFD"/>
    <w:rsid w:val="00402334"/>
    <w:rsid w:val="00402F29"/>
    <w:rsid w:val="00403FC1"/>
    <w:rsid w:val="004043FD"/>
    <w:rsid w:val="0040553E"/>
    <w:rsid w:val="004057DD"/>
    <w:rsid w:val="00405CD6"/>
    <w:rsid w:val="00410763"/>
    <w:rsid w:val="00411048"/>
    <w:rsid w:val="00412281"/>
    <w:rsid w:val="00412DBA"/>
    <w:rsid w:val="0041352C"/>
    <w:rsid w:val="004137E6"/>
    <w:rsid w:val="004141BE"/>
    <w:rsid w:val="00415995"/>
    <w:rsid w:val="00421CE4"/>
    <w:rsid w:val="00422CF1"/>
    <w:rsid w:val="00424391"/>
    <w:rsid w:val="004246AA"/>
    <w:rsid w:val="00425AC4"/>
    <w:rsid w:val="00426E30"/>
    <w:rsid w:val="004275DC"/>
    <w:rsid w:val="00427660"/>
    <w:rsid w:val="00430CD5"/>
    <w:rsid w:val="00430E84"/>
    <w:rsid w:val="00431F4B"/>
    <w:rsid w:val="004347E5"/>
    <w:rsid w:val="00435287"/>
    <w:rsid w:val="00440AC7"/>
    <w:rsid w:val="00440F2E"/>
    <w:rsid w:val="00441326"/>
    <w:rsid w:val="004416AA"/>
    <w:rsid w:val="004416D2"/>
    <w:rsid w:val="00442DB7"/>
    <w:rsid w:val="00443CDC"/>
    <w:rsid w:val="004442DD"/>
    <w:rsid w:val="00445F86"/>
    <w:rsid w:val="004460F1"/>
    <w:rsid w:val="004469DB"/>
    <w:rsid w:val="00446C8E"/>
    <w:rsid w:val="00450005"/>
    <w:rsid w:val="004501FD"/>
    <w:rsid w:val="004515B3"/>
    <w:rsid w:val="004537B2"/>
    <w:rsid w:val="00453BE3"/>
    <w:rsid w:val="00454FF0"/>
    <w:rsid w:val="0046260D"/>
    <w:rsid w:val="00462CE5"/>
    <w:rsid w:val="0046466C"/>
    <w:rsid w:val="00465093"/>
    <w:rsid w:val="0046549F"/>
    <w:rsid w:val="00467E6C"/>
    <w:rsid w:val="004707EC"/>
    <w:rsid w:val="00470D2E"/>
    <w:rsid w:val="00471C9E"/>
    <w:rsid w:val="00471E49"/>
    <w:rsid w:val="00472DA4"/>
    <w:rsid w:val="00473191"/>
    <w:rsid w:val="0047331B"/>
    <w:rsid w:val="00473B30"/>
    <w:rsid w:val="004742AE"/>
    <w:rsid w:val="0047460A"/>
    <w:rsid w:val="004753B4"/>
    <w:rsid w:val="00477783"/>
    <w:rsid w:val="00477AB0"/>
    <w:rsid w:val="004812DE"/>
    <w:rsid w:val="00481624"/>
    <w:rsid w:val="00484786"/>
    <w:rsid w:val="00485755"/>
    <w:rsid w:val="00485FF4"/>
    <w:rsid w:val="0048796B"/>
    <w:rsid w:val="00487C7A"/>
    <w:rsid w:val="0049302E"/>
    <w:rsid w:val="004944F7"/>
    <w:rsid w:val="00494679"/>
    <w:rsid w:val="004947F1"/>
    <w:rsid w:val="0049487A"/>
    <w:rsid w:val="00495419"/>
    <w:rsid w:val="004960AA"/>
    <w:rsid w:val="004960EA"/>
    <w:rsid w:val="0049628A"/>
    <w:rsid w:val="004976AB"/>
    <w:rsid w:val="00497E7C"/>
    <w:rsid w:val="004A5C7D"/>
    <w:rsid w:val="004A7F15"/>
    <w:rsid w:val="004B00D9"/>
    <w:rsid w:val="004B1287"/>
    <w:rsid w:val="004B1357"/>
    <w:rsid w:val="004B162F"/>
    <w:rsid w:val="004B186D"/>
    <w:rsid w:val="004B7CEF"/>
    <w:rsid w:val="004C1099"/>
    <w:rsid w:val="004C2A70"/>
    <w:rsid w:val="004C2DDC"/>
    <w:rsid w:val="004C356A"/>
    <w:rsid w:val="004C4046"/>
    <w:rsid w:val="004C42E3"/>
    <w:rsid w:val="004C676F"/>
    <w:rsid w:val="004C7026"/>
    <w:rsid w:val="004D0721"/>
    <w:rsid w:val="004D0F69"/>
    <w:rsid w:val="004D1AFE"/>
    <w:rsid w:val="004D1BA7"/>
    <w:rsid w:val="004D2FB7"/>
    <w:rsid w:val="004D35F3"/>
    <w:rsid w:val="004D3D72"/>
    <w:rsid w:val="004D3F41"/>
    <w:rsid w:val="004D5703"/>
    <w:rsid w:val="004E0470"/>
    <w:rsid w:val="004E2C4F"/>
    <w:rsid w:val="004E3876"/>
    <w:rsid w:val="004E3BBF"/>
    <w:rsid w:val="004E585E"/>
    <w:rsid w:val="004E646C"/>
    <w:rsid w:val="004E64DE"/>
    <w:rsid w:val="004F0580"/>
    <w:rsid w:val="004F1032"/>
    <w:rsid w:val="004F18DA"/>
    <w:rsid w:val="004F1E5E"/>
    <w:rsid w:val="004F3A50"/>
    <w:rsid w:val="004F4BE6"/>
    <w:rsid w:val="004F5E89"/>
    <w:rsid w:val="004F60C5"/>
    <w:rsid w:val="004F6784"/>
    <w:rsid w:val="005014A6"/>
    <w:rsid w:val="00501AF0"/>
    <w:rsid w:val="005036C3"/>
    <w:rsid w:val="00503AE7"/>
    <w:rsid w:val="00503B5E"/>
    <w:rsid w:val="00505E27"/>
    <w:rsid w:val="0050690F"/>
    <w:rsid w:val="0051272C"/>
    <w:rsid w:val="00514D95"/>
    <w:rsid w:val="005156F6"/>
    <w:rsid w:val="00516180"/>
    <w:rsid w:val="0051663E"/>
    <w:rsid w:val="0051716D"/>
    <w:rsid w:val="00517241"/>
    <w:rsid w:val="00517E5C"/>
    <w:rsid w:val="00520135"/>
    <w:rsid w:val="005204D0"/>
    <w:rsid w:val="005207A5"/>
    <w:rsid w:val="00520D65"/>
    <w:rsid w:val="00521412"/>
    <w:rsid w:val="0052195D"/>
    <w:rsid w:val="00522848"/>
    <w:rsid w:val="005260F6"/>
    <w:rsid w:val="005267F9"/>
    <w:rsid w:val="00526F10"/>
    <w:rsid w:val="005273CD"/>
    <w:rsid w:val="005312CC"/>
    <w:rsid w:val="00531809"/>
    <w:rsid w:val="00533DEF"/>
    <w:rsid w:val="00534BE8"/>
    <w:rsid w:val="005355AA"/>
    <w:rsid w:val="00535A6B"/>
    <w:rsid w:val="00536E63"/>
    <w:rsid w:val="0053757F"/>
    <w:rsid w:val="005375FD"/>
    <w:rsid w:val="0054076C"/>
    <w:rsid w:val="005411A1"/>
    <w:rsid w:val="005426FD"/>
    <w:rsid w:val="00543768"/>
    <w:rsid w:val="005444F6"/>
    <w:rsid w:val="00544D80"/>
    <w:rsid w:val="00546B54"/>
    <w:rsid w:val="00550BB6"/>
    <w:rsid w:val="0055160B"/>
    <w:rsid w:val="005525B7"/>
    <w:rsid w:val="005577F4"/>
    <w:rsid w:val="00557AAB"/>
    <w:rsid w:val="00562694"/>
    <w:rsid w:val="00563850"/>
    <w:rsid w:val="00565FE7"/>
    <w:rsid w:val="005709A2"/>
    <w:rsid w:val="00570AC5"/>
    <w:rsid w:val="00573B57"/>
    <w:rsid w:val="00574F13"/>
    <w:rsid w:val="005811DF"/>
    <w:rsid w:val="00581787"/>
    <w:rsid w:val="00581A29"/>
    <w:rsid w:val="00581BFB"/>
    <w:rsid w:val="00581EB8"/>
    <w:rsid w:val="00583D61"/>
    <w:rsid w:val="00583D82"/>
    <w:rsid w:val="00584436"/>
    <w:rsid w:val="0058482D"/>
    <w:rsid w:val="00584A9B"/>
    <w:rsid w:val="00585881"/>
    <w:rsid w:val="00585C2E"/>
    <w:rsid w:val="00586650"/>
    <w:rsid w:val="00586F6A"/>
    <w:rsid w:val="00590674"/>
    <w:rsid w:val="00590D38"/>
    <w:rsid w:val="00591D0B"/>
    <w:rsid w:val="0059358C"/>
    <w:rsid w:val="00593C7A"/>
    <w:rsid w:val="00593D0E"/>
    <w:rsid w:val="00594695"/>
    <w:rsid w:val="00594E24"/>
    <w:rsid w:val="00595A0A"/>
    <w:rsid w:val="005967D1"/>
    <w:rsid w:val="00596AA4"/>
    <w:rsid w:val="00596E1D"/>
    <w:rsid w:val="005972B1"/>
    <w:rsid w:val="005A3129"/>
    <w:rsid w:val="005A579D"/>
    <w:rsid w:val="005A62FB"/>
    <w:rsid w:val="005A6510"/>
    <w:rsid w:val="005A6AE3"/>
    <w:rsid w:val="005A7121"/>
    <w:rsid w:val="005B0E95"/>
    <w:rsid w:val="005B175D"/>
    <w:rsid w:val="005B2C65"/>
    <w:rsid w:val="005B3FBF"/>
    <w:rsid w:val="005B405D"/>
    <w:rsid w:val="005B447B"/>
    <w:rsid w:val="005B5599"/>
    <w:rsid w:val="005B796E"/>
    <w:rsid w:val="005B7FF6"/>
    <w:rsid w:val="005C0E17"/>
    <w:rsid w:val="005C1784"/>
    <w:rsid w:val="005C2492"/>
    <w:rsid w:val="005C2791"/>
    <w:rsid w:val="005C340A"/>
    <w:rsid w:val="005C3F2E"/>
    <w:rsid w:val="005C6082"/>
    <w:rsid w:val="005C7BEF"/>
    <w:rsid w:val="005D11E5"/>
    <w:rsid w:val="005D4977"/>
    <w:rsid w:val="005D5C1C"/>
    <w:rsid w:val="005D6144"/>
    <w:rsid w:val="005D753A"/>
    <w:rsid w:val="005D7D43"/>
    <w:rsid w:val="005D7E4E"/>
    <w:rsid w:val="005E0A0F"/>
    <w:rsid w:val="005E113E"/>
    <w:rsid w:val="005E1E83"/>
    <w:rsid w:val="005E2F78"/>
    <w:rsid w:val="005E3B9B"/>
    <w:rsid w:val="005E4B3D"/>
    <w:rsid w:val="005E4E01"/>
    <w:rsid w:val="005E58AB"/>
    <w:rsid w:val="005E7467"/>
    <w:rsid w:val="005F0532"/>
    <w:rsid w:val="005F06A9"/>
    <w:rsid w:val="005F23CA"/>
    <w:rsid w:val="005F28B5"/>
    <w:rsid w:val="005F4867"/>
    <w:rsid w:val="005F55AF"/>
    <w:rsid w:val="005F5A8C"/>
    <w:rsid w:val="005F5F5A"/>
    <w:rsid w:val="005F6D8A"/>
    <w:rsid w:val="005F7031"/>
    <w:rsid w:val="005F7451"/>
    <w:rsid w:val="00602570"/>
    <w:rsid w:val="006041D9"/>
    <w:rsid w:val="00604516"/>
    <w:rsid w:val="00604A91"/>
    <w:rsid w:val="0060688E"/>
    <w:rsid w:val="00607974"/>
    <w:rsid w:val="00611618"/>
    <w:rsid w:val="006133CE"/>
    <w:rsid w:val="006141BE"/>
    <w:rsid w:val="0061641E"/>
    <w:rsid w:val="00617819"/>
    <w:rsid w:val="006238B9"/>
    <w:rsid w:val="00623924"/>
    <w:rsid w:val="00623944"/>
    <w:rsid w:val="00623D88"/>
    <w:rsid w:val="00624A69"/>
    <w:rsid w:val="00624FFC"/>
    <w:rsid w:val="0062553A"/>
    <w:rsid w:val="00626B07"/>
    <w:rsid w:val="00627546"/>
    <w:rsid w:val="00630F55"/>
    <w:rsid w:val="00634610"/>
    <w:rsid w:val="00634AE6"/>
    <w:rsid w:val="00635383"/>
    <w:rsid w:val="00635D44"/>
    <w:rsid w:val="00637EA6"/>
    <w:rsid w:val="006404AB"/>
    <w:rsid w:val="00641500"/>
    <w:rsid w:val="00642E68"/>
    <w:rsid w:val="00643DE7"/>
    <w:rsid w:val="006459A9"/>
    <w:rsid w:val="00647497"/>
    <w:rsid w:val="00647AF8"/>
    <w:rsid w:val="0065029B"/>
    <w:rsid w:val="0065052C"/>
    <w:rsid w:val="00651949"/>
    <w:rsid w:val="006529FC"/>
    <w:rsid w:val="00653FB4"/>
    <w:rsid w:val="00654DA8"/>
    <w:rsid w:val="006557E7"/>
    <w:rsid w:val="00657CE4"/>
    <w:rsid w:val="00660FDD"/>
    <w:rsid w:val="00662B03"/>
    <w:rsid w:val="006642D5"/>
    <w:rsid w:val="00667144"/>
    <w:rsid w:val="006679AB"/>
    <w:rsid w:val="00670912"/>
    <w:rsid w:val="00671842"/>
    <w:rsid w:val="006718A7"/>
    <w:rsid w:val="00674CC4"/>
    <w:rsid w:val="00677615"/>
    <w:rsid w:val="00677B3E"/>
    <w:rsid w:val="0068003B"/>
    <w:rsid w:val="00680896"/>
    <w:rsid w:val="00683BFF"/>
    <w:rsid w:val="0068542A"/>
    <w:rsid w:val="00685671"/>
    <w:rsid w:val="00685906"/>
    <w:rsid w:val="00686A31"/>
    <w:rsid w:val="00686D0D"/>
    <w:rsid w:val="006902F4"/>
    <w:rsid w:val="00690ED3"/>
    <w:rsid w:val="00692025"/>
    <w:rsid w:val="00694021"/>
    <w:rsid w:val="00694F47"/>
    <w:rsid w:val="006950E9"/>
    <w:rsid w:val="00696F3E"/>
    <w:rsid w:val="00696FEC"/>
    <w:rsid w:val="006A01DF"/>
    <w:rsid w:val="006A0453"/>
    <w:rsid w:val="006A2362"/>
    <w:rsid w:val="006A2E13"/>
    <w:rsid w:val="006A314A"/>
    <w:rsid w:val="006A3A09"/>
    <w:rsid w:val="006A3B0B"/>
    <w:rsid w:val="006A7573"/>
    <w:rsid w:val="006A7E7A"/>
    <w:rsid w:val="006B036F"/>
    <w:rsid w:val="006B1D23"/>
    <w:rsid w:val="006B2994"/>
    <w:rsid w:val="006B2DFA"/>
    <w:rsid w:val="006B4BCF"/>
    <w:rsid w:val="006B5AD9"/>
    <w:rsid w:val="006B6460"/>
    <w:rsid w:val="006B6CA7"/>
    <w:rsid w:val="006B6D6B"/>
    <w:rsid w:val="006B7ADD"/>
    <w:rsid w:val="006C0167"/>
    <w:rsid w:val="006C02AB"/>
    <w:rsid w:val="006C0981"/>
    <w:rsid w:val="006C1F0B"/>
    <w:rsid w:val="006C27BA"/>
    <w:rsid w:val="006C311C"/>
    <w:rsid w:val="006C3FCD"/>
    <w:rsid w:val="006C5AA2"/>
    <w:rsid w:val="006C5CA0"/>
    <w:rsid w:val="006C5DBC"/>
    <w:rsid w:val="006C6688"/>
    <w:rsid w:val="006D0CD0"/>
    <w:rsid w:val="006D115D"/>
    <w:rsid w:val="006D1303"/>
    <w:rsid w:val="006D472C"/>
    <w:rsid w:val="006D7121"/>
    <w:rsid w:val="006E28DC"/>
    <w:rsid w:val="006E54C5"/>
    <w:rsid w:val="006E6833"/>
    <w:rsid w:val="006E6BFE"/>
    <w:rsid w:val="006F091D"/>
    <w:rsid w:val="006F1572"/>
    <w:rsid w:val="006F1809"/>
    <w:rsid w:val="006F1930"/>
    <w:rsid w:val="006F1FF1"/>
    <w:rsid w:val="006F32BA"/>
    <w:rsid w:val="006F6C4A"/>
    <w:rsid w:val="006F7EC3"/>
    <w:rsid w:val="00700795"/>
    <w:rsid w:val="00700C05"/>
    <w:rsid w:val="00700F7E"/>
    <w:rsid w:val="00701A53"/>
    <w:rsid w:val="00703422"/>
    <w:rsid w:val="00704521"/>
    <w:rsid w:val="007062DA"/>
    <w:rsid w:val="00706DFA"/>
    <w:rsid w:val="00707C84"/>
    <w:rsid w:val="00707E8B"/>
    <w:rsid w:val="00710017"/>
    <w:rsid w:val="00712D3B"/>
    <w:rsid w:val="00713718"/>
    <w:rsid w:val="00714FFB"/>
    <w:rsid w:val="0071631D"/>
    <w:rsid w:val="0071647F"/>
    <w:rsid w:val="007164C8"/>
    <w:rsid w:val="00716C41"/>
    <w:rsid w:val="00716DB7"/>
    <w:rsid w:val="007205DE"/>
    <w:rsid w:val="00720ACC"/>
    <w:rsid w:val="00721480"/>
    <w:rsid w:val="00721776"/>
    <w:rsid w:val="00721C70"/>
    <w:rsid w:val="0072257C"/>
    <w:rsid w:val="00723EB5"/>
    <w:rsid w:val="00731FC7"/>
    <w:rsid w:val="00732320"/>
    <w:rsid w:val="00734005"/>
    <w:rsid w:val="00736553"/>
    <w:rsid w:val="0073670E"/>
    <w:rsid w:val="00737E72"/>
    <w:rsid w:val="00740B4C"/>
    <w:rsid w:val="00740D20"/>
    <w:rsid w:val="00740E0A"/>
    <w:rsid w:val="0074113C"/>
    <w:rsid w:val="00741D7B"/>
    <w:rsid w:val="007421F5"/>
    <w:rsid w:val="00744791"/>
    <w:rsid w:val="00745331"/>
    <w:rsid w:val="007454FD"/>
    <w:rsid w:val="00746A54"/>
    <w:rsid w:val="00746B09"/>
    <w:rsid w:val="007478DE"/>
    <w:rsid w:val="00747A63"/>
    <w:rsid w:val="00750055"/>
    <w:rsid w:val="007517A0"/>
    <w:rsid w:val="00751AD1"/>
    <w:rsid w:val="00751B1D"/>
    <w:rsid w:val="00752B3A"/>
    <w:rsid w:val="00752E78"/>
    <w:rsid w:val="007540A5"/>
    <w:rsid w:val="00755CC2"/>
    <w:rsid w:val="007566E4"/>
    <w:rsid w:val="007578FD"/>
    <w:rsid w:val="00760F13"/>
    <w:rsid w:val="00761FDE"/>
    <w:rsid w:val="00762ECA"/>
    <w:rsid w:val="007649BB"/>
    <w:rsid w:val="00766415"/>
    <w:rsid w:val="0077091D"/>
    <w:rsid w:val="0077145C"/>
    <w:rsid w:val="00771541"/>
    <w:rsid w:val="007720C9"/>
    <w:rsid w:val="00774CF8"/>
    <w:rsid w:val="00775211"/>
    <w:rsid w:val="007758AE"/>
    <w:rsid w:val="007758D7"/>
    <w:rsid w:val="00776AD9"/>
    <w:rsid w:val="0077718D"/>
    <w:rsid w:val="00777CC8"/>
    <w:rsid w:val="00781C5D"/>
    <w:rsid w:val="00782236"/>
    <w:rsid w:val="00783D45"/>
    <w:rsid w:val="00787801"/>
    <w:rsid w:val="00790013"/>
    <w:rsid w:val="00791FF6"/>
    <w:rsid w:val="007927D5"/>
    <w:rsid w:val="00792D30"/>
    <w:rsid w:val="00793AC2"/>
    <w:rsid w:val="00793D6E"/>
    <w:rsid w:val="00794BEB"/>
    <w:rsid w:val="007950B2"/>
    <w:rsid w:val="007975D4"/>
    <w:rsid w:val="00797882"/>
    <w:rsid w:val="007A384D"/>
    <w:rsid w:val="007A3BCC"/>
    <w:rsid w:val="007B00A6"/>
    <w:rsid w:val="007B67C9"/>
    <w:rsid w:val="007C0533"/>
    <w:rsid w:val="007C0A64"/>
    <w:rsid w:val="007C1725"/>
    <w:rsid w:val="007C4CB6"/>
    <w:rsid w:val="007C76F8"/>
    <w:rsid w:val="007D001C"/>
    <w:rsid w:val="007D14C2"/>
    <w:rsid w:val="007D19AC"/>
    <w:rsid w:val="007D1A06"/>
    <w:rsid w:val="007D2112"/>
    <w:rsid w:val="007D266B"/>
    <w:rsid w:val="007D316E"/>
    <w:rsid w:val="007D375E"/>
    <w:rsid w:val="007D3ADC"/>
    <w:rsid w:val="007D3C92"/>
    <w:rsid w:val="007D44B9"/>
    <w:rsid w:val="007D5338"/>
    <w:rsid w:val="007D5875"/>
    <w:rsid w:val="007D58B1"/>
    <w:rsid w:val="007D71D9"/>
    <w:rsid w:val="007E0C2D"/>
    <w:rsid w:val="007E1714"/>
    <w:rsid w:val="007E2B90"/>
    <w:rsid w:val="007E34F9"/>
    <w:rsid w:val="007E4EFD"/>
    <w:rsid w:val="007E56D9"/>
    <w:rsid w:val="007E7D1C"/>
    <w:rsid w:val="007F3263"/>
    <w:rsid w:val="007F35DB"/>
    <w:rsid w:val="007F48EB"/>
    <w:rsid w:val="007F4F3A"/>
    <w:rsid w:val="007F5A25"/>
    <w:rsid w:val="007F6174"/>
    <w:rsid w:val="007F6C60"/>
    <w:rsid w:val="007F76F9"/>
    <w:rsid w:val="007F7B86"/>
    <w:rsid w:val="008016BE"/>
    <w:rsid w:val="00802869"/>
    <w:rsid w:val="008031B2"/>
    <w:rsid w:val="008037A3"/>
    <w:rsid w:val="0080579D"/>
    <w:rsid w:val="00806631"/>
    <w:rsid w:val="00807824"/>
    <w:rsid w:val="00811FC5"/>
    <w:rsid w:val="0081309B"/>
    <w:rsid w:val="00813511"/>
    <w:rsid w:val="00813C46"/>
    <w:rsid w:val="008175A2"/>
    <w:rsid w:val="008176A7"/>
    <w:rsid w:val="00821978"/>
    <w:rsid w:val="0082538C"/>
    <w:rsid w:val="00825958"/>
    <w:rsid w:val="00830843"/>
    <w:rsid w:val="00831A1D"/>
    <w:rsid w:val="008326F0"/>
    <w:rsid w:val="00833647"/>
    <w:rsid w:val="00834BE0"/>
    <w:rsid w:val="00834C8A"/>
    <w:rsid w:val="00835BB8"/>
    <w:rsid w:val="008362BF"/>
    <w:rsid w:val="008363C1"/>
    <w:rsid w:val="00836C5A"/>
    <w:rsid w:val="008402B9"/>
    <w:rsid w:val="00841E24"/>
    <w:rsid w:val="00843EE5"/>
    <w:rsid w:val="008446C2"/>
    <w:rsid w:val="008449ED"/>
    <w:rsid w:val="00844C19"/>
    <w:rsid w:val="00845173"/>
    <w:rsid w:val="00845ABD"/>
    <w:rsid w:val="00845E60"/>
    <w:rsid w:val="008472E2"/>
    <w:rsid w:val="0085067C"/>
    <w:rsid w:val="00850E25"/>
    <w:rsid w:val="00851458"/>
    <w:rsid w:val="00852D75"/>
    <w:rsid w:val="00854D8F"/>
    <w:rsid w:val="008557FE"/>
    <w:rsid w:val="008559BB"/>
    <w:rsid w:val="00855ECD"/>
    <w:rsid w:val="00855F5A"/>
    <w:rsid w:val="00856330"/>
    <w:rsid w:val="00860909"/>
    <w:rsid w:val="008618C2"/>
    <w:rsid w:val="00861E7C"/>
    <w:rsid w:val="00865373"/>
    <w:rsid w:val="00866A08"/>
    <w:rsid w:val="00867360"/>
    <w:rsid w:val="00870052"/>
    <w:rsid w:val="0087079D"/>
    <w:rsid w:val="00871086"/>
    <w:rsid w:val="00871AC9"/>
    <w:rsid w:val="00872D0B"/>
    <w:rsid w:val="00874568"/>
    <w:rsid w:val="00874A14"/>
    <w:rsid w:val="008754C4"/>
    <w:rsid w:val="00877905"/>
    <w:rsid w:val="00880029"/>
    <w:rsid w:val="00880752"/>
    <w:rsid w:val="008814F8"/>
    <w:rsid w:val="008816DB"/>
    <w:rsid w:val="008821ED"/>
    <w:rsid w:val="00883698"/>
    <w:rsid w:val="008838C4"/>
    <w:rsid w:val="00883F6C"/>
    <w:rsid w:val="00884273"/>
    <w:rsid w:val="008844A3"/>
    <w:rsid w:val="00884957"/>
    <w:rsid w:val="00884A85"/>
    <w:rsid w:val="008851D9"/>
    <w:rsid w:val="0088613B"/>
    <w:rsid w:val="00887515"/>
    <w:rsid w:val="0089000B"/>
    <w:rsid w:val="008913EE"/>
    <w:rsid w:val="0089161B"/>
    <w:rsid w:val="008931CE"/>
    <w:rsid w:val="008941AF"/>
    <w:rsid w:val="00894E74"/>
    <w:rsid w:val="00895333"/>
    <w:rsid w:val="008959DF"/>
    <w:rsid w:val="00895C76"/>
    <w:rsid w:val="00895E49"/>
    <w:rsid w:val="008A097C"/>
    <w:rsid w:val="008A3CE7"/>
    <w:rsid w:val="008A569B"/>
    <w:rsid w:val="008A5818"/>
    <w:rsid w:val="008A68F6"/>
    <w:rsid w:val="008A70C0"/>
    <w:rsid w:val="008A7D63"/>
    <w:rsid w:val="008A7DF3"/>
    <w:rsid w:val="008B041C"/>
    <w:rsid w:val="008B13F5"/>
    <w:rsid w:val="008B1E9A"/>
    <w:rsid w:val="008B28F9"/>
    <w:rsid w:val="008B33F1"/>
    <w:rsid w:val="008B43F9"/>
    <w:rsid w:val="008B5AE1"/>
    <w:rsid w:val="008B5C25"/>
    <w:rsid w:val="008B72D7"/>
    <w:rsid w:val="008C169B"/>
    <w:rsid w:val="008C41AA"/>
    <w:rsid w:val="008C4EA0"/>
    <w:rsid w:val="008C509F"/>
    <w:rsid w:val="008C5C32"/>
    <w:rsid w:val="008C6AF0"/>
    <w:rsid w:val="008D10A7"/>
    <w:rsid w:val="008D3A0F"/>
    <w:rsid w:val="008D3AEF"/>
    <w:rsid w:val="008D5DD7"/>
    <w:rsid w:val="008D77C0"/>
    <w:rsid w:val="008D7927"/>
    <w:rsid w:val="008D7B7E"/>
    <w:rsid w:val="008E1FE4"/>
    <w:rsid w:val="008E231B"/>
    <w:rsid w:val="008E36E7"/>
    <w:rsid w:val="008E468A"/>
    <w:rsid w:val="008F0032"/>
    <w:rsid w:val="008F0265"/>
    <w:rsid w:val="008F1850"/>
    <w:rsid w:val="008F2FDA"/>
    <w:rsid w:val="008F3B0E"/>
    <w:rsid w:val="008F5577"/>
    <w:rsid w:val="008F5B71"/>
    <w:rsid w:val="008F5FA0"/>
    <w:rsid w:val="008F6F94"/>
    <w:rsid w:val="008F6F98"/>
    <w:rsid w:val="008F768C"/>
    <w:rsid w:val="008F7693"/>
    <w:rsid w:val="0090379D"/>
    <w:rsid w:val="00903890"/>
    <w:rsid w:val="00904F94"/>
    <w:rsid w:val="009068A6"/>
    <w:rsid w:val="00907173"/>
    <w:rsid w:val="009149C5"/>
    <w:rsid w:val="009154DF"/>
    <w:rsid w:val="00920DC3"/>
    <w:rsid w:val="00922185"/>
    <w:rsid w:val="009238F8"/>
    <w:rsid w:val="009260EB"/>
    <w:rsid w:val="00930CD4"/>
    <w:rsid w:val="00931E72"/>
    <w:rsid w:val="00932427"/>
    <w:rsid w:val="0093296D"/>
    <w:rsid w:val="00933CC4"/>
    <w:rsid w:val="00933F31"/>
    <w:rsid w:val="00934057"/>
    <w:rsid w:val="0093468B"/>
    <w:rsid w:val="009354BD"/>
    <w:rsid w:val="009355A0"/>
    <w:rsid w:val="009362F8"/>
    <w:rsid w:val="009405DE"/>
    <w:rsid w:val="009416BC"/>
    <w:rsid w:val="00942279"/>
    <w:rsid w:val="0094256D"/>
    <w:rsid w:val="009425A5"/>
    <w:rsid w:val="00942F7F"/>
    <w:rsid w:val="009431D4"/>
    <w:rsid w:val="009434A2"/>
    <w:rsid w:val="009463CF"/>
    <w:rsid w:val="009464BA"/>
    <w:rsid w:val="00950822"/>
    <w:rsid w:val="00951262"/>
    <w:rsid w:val="00951D54"/>
    <w:rsid w:val="00956488"/>
    <w:rsid w:val="00956E20"/>
    <w:rsid w:val="0096137B"/>
    <w:rsid w:val="0096311B"/>
    <w:rsid w:val="00964B7F"/>
    <w:rsid w:val="0096504B"/>
    <w:rsid w:val="00965078"/>
    <w:rsid w:val="009667C7"/>
    <w:rsid w:val="0096692C"/>
    <w:rsid w:val="00973D31"/>
    <w:rsid w:val="00974E3B"/>
    <w:rsid w:val="00977C3E"/>
    <w:rsid w:val="00977E7D"/>
    <w:rsid w:val="00980FC3"/>
    <w:rsid w:val="0098158A"/>
    <w:rsid w:val="0098353C"/>
    <w:rsid w:val="00983FE2"/>
    <w:rsid w:val="0098473C"/>
    <w:rsid w:val="0098708E"/>
    <w:rsid w:val="00987374"/>
    <w:rsid w:val="00992312"/>
    <w:rsid w:val="00992F9B"/>
    <w:rsid w:val="00993264"/>
    <w:rsid w:val="00993BDA"/>
    <w:rsid w:val="00993DEA"/>
    <w:rsid w:val="00994B3F"/>
    <w:rsid w:val="00994C1A"/>
    <w:rsid w:val="00996467"/>
    <w:rsid w:val="00997859"/>
    <w:rsid w:val="009A0D30"/>
    <w:rsid w:val="009A3DB5"/>
    <w:rsid w:val="009A4809"/>
    <w:rsid w:val="009A7AEF"/>
    <w:rsid w:val="009B06F5"/>
    <w:rsid w:val="009B1061"/>
    <w:rsid w:val="009B2DA2"/>
    <w:rsid w:val="009B2E51"/>
    <w:rsid w:val="009B2F5F"/>
    <w:rsid w:val="009B4AB0"/>
    <w:rsid w:val="009B6753"/>
    <w:rsid w:val="009C0C90"/>
    <w:rsid w:val="009C16A8"/>
    <w:rsid w:val="009C1F2E"/>
    <w:rsid w:val="009C4317"/>
    <w:rsid w:val="009C5169"/>
    <w:rsid w:val="009C553B"/>
    <w:rsid w:val="009C5E99"/>
    <w:rsid w:val="009C5F27"/>
    <w:rsid w:val="009C636F"/>
    <w:rsid w:val="009C7A62"/>
    <w:rsid w:val="009C7BBD"/>
    <w:rsid w:val="009D0196"/>
    <w:rsid w:val="009D0557"/>
    <w:rsid w:val="009D0A1B"/>
    <w:rsid w:val="009D255A"/>
    <w:rsid w:val="009D3FF6"/>
    <w:rsid w:val="009D45AF"/>
    <w:rsid w:val="009D6B14"/>
    <w:rsid w:val="009D7C04"/>
    <w:rsid w:val="009E0597"/>
    <w:rsid w:val="009E0D55"/>
    <w:rsid w:val="009E20FD"/>
    <w:rsid w:val="009E286C"/>
    <w:rsid w:val="009E31AD"/>
    <w:rsid w:val="009E4C27"/>
    <w:rsid w:val="009E4D29"/>
    <w:rsid w:val="009E5519"/>
    <w:rsid w:val="009E5EBF"/>
    <w:rsid w:val="009E61FE"/>
    <w:rsid w:val="009E75D8"/>
    <w:rsid w:val="009F0833"/>
    <w:rsid w:val="009F14E9"/>
    <w:rsid w:val="009F17EE"/>
    <w:rsid w:val="009F28DC"/>
    <w:rsid w:val="009F300D"/>
    <w:rsid w:val="009F3026"/>
    <w:rsid w:val="009F3EE5"/>
    <w:rsid w:val="009F41E2"/>
    <w:rsid w:val="009F4537"/>
    <w:rsid w:val="009F6429"/>
    <w:rsid w:val="009F69C9"/>
    <w:rsid w:val="009F751C"/>
    <w:rsid w:val="00A02CA1"/>
    <w:rsid w:val="00A04538"/>
    <w:rsid w:val="00A0573A"/>
    <w:rsid w:val="00A05AA4"/>
    <w:rsid w:val="00A12B2E"/>
    <w:rsid w:val="00A13CD1"/>
    <w:rsid w:val="00A1427A"/>
    <w:rsid w:val="00A14889"/>
    <w:rsid w:val="00A15346"/>
    <w:rsid w:val="00A15BC7"/>
    <w:rsid w:val="00A179A5"/>
    <w:rsid w:val="00A17B51"/>
    <w:rsid w:val="00A201DD"/>
    <w:rsid w:val="00A21E8C"/>
    <w:rsid w:val="00A2287D"/>
    <w:rsid w:val="00A22FB1"/>
    <w:rsid w:val="00A23DD9"/>
    <w:rsid w:val="00A24E1D"/>
    <w:rsid w:val="00A25802"/>
    <w:rsid w:val="00A25947"/>
    <w:rsid w:val="00A260E7"/>
    <w:rsid w:val="00A26B08"/>
    <w:rsid w:val="00A273C8"/>
    <w:rsid w:val="00A27521"/>
    <w:rsid w:val="00A30619"/>
    <w:rsid w:val="00A31BCE"/>
    <w:rsid w:val="00A32849"/>
    <w:rsid w:val="00A33A4C"/>
    <w:rsid w:val="00A36137"/>
    <w:rsid w:val="00A36334"/>
    <w:rsid w:val="00A36D93"/>
    <w:rsid w:val="00A37C1C"/>
    <w:rsid w:val="00A400F9"/>
    <w:rsid w:val="00A41C83"/>
    <w:rsid w:val="00A442BF"/>
    <w:rsid w:val="00A4634C"/>
    <w:rsid w:val="00A4642B"/>
    <w:rsid w:val="00A47681"/>
    <w:rsid w:val="00A47E10"/>
    <w:rsid w:val="00A51ECD"/>
    <w:rsid w:val="00A53588"/>
    <w:rsid w:val="00A54391"/>
    <w:rsid w:val="00A574BB"/>
    <w:rsid w:val="00A57A4D"/>
    <w:rsid w:val="00A62FCD"/>
    <w:rsid w:val="00A631F1"/>
    <w:rsid w:val="00A636A2"/>
    <w:rsid w:val="00A6386E"/>
    <w:rsid w:val="00A64675"/>
    <w:rsid w:val="00A64745"/>
    <w:rsid w:val="00A64D41"/>
    <w:rsid w:val="00A64FC4"/>
    <w:rsid w:val="00A653FB"/>
    <w:rsid w:val="00A65DCE"/>
    <w:rsid w:val="00A66F8F"/>
    <w:rsid w:val="00A67B27"/>
    <w:rsid w:val="00A7011B"/>
    <w:rsid w:val="00A7029C"/>
    <w:rsid w:val="00A71337"/>
    <w:rsid w:val="00A71E0F"/>
    <w:rsid w:val="00A7332E"/>
    <w:rsid w:val="00A7560C"/>
    <w:rsid w:val="00A757BF"/>
    <w:rsid w:val="00A75E95"/>
    <w:rsid w:val="00A75F12"/>
    <w:rsid w:val="00A76F13"/>
    <w:rsid w:val="00A7790D"/>
    <w:rsid w:val="00A80C81"/>
    <w:rsid w:val="00A80E37"/>
    <w:rsid w:val="00A81A7A"/>
    <w:rsid w:val="00A81CFB"/>
    <w:rsid w:val="00A82965"/>
    <w:rsid w:val="00A849B4"/>
    <w:rsid w:val="00A85247"/>
    <w:rsid w:val="00A8529D"/>
    <w:rsid w:val="00A86D3C"/>
    <w:rsid w:val="00A9228A"/>
    <w:rsid w:val="00A9430F"/>
    <w:rsid w:val="00A95514"/>
    <w:rsid w:val="00A95711"/>
    <w:rsid w:val="00A97C78"/>
    <w:rsid w:val="00AA0C8A"/>
    <w:rsid w:val="00AA268C"/>
    <w:rsid w:val="00AA2D72"/>
    <w:rsid w:val="00AA2F8D"/>
    <w:rsid w:val="00AA500C"/>
    <w:rsid w:val="00AA59D0"/>
    <w:rsid w:val="00AA5E46"/>
    <w:rsid w:val="00AA6307"/>
    <w:rsid w:val="00AA6340"/>
    <w:rsid w:val="00AA7982"/>
    <w:rsid w:val="00AB4965"/>
    <w:rsid w:val="00AB4CB6"/>
    <w:rsid w:val="00AB5641"/>
    <w:rsid w:val="00AB69B1"/>
    <w:rsid w:val="00AC1940"/>
    <w:rsid w:val="00AC227F"/>
    <w:rsid w:val="00AD0193"/>
    <w:rsid w:val="00AD0288"/>
    <w:rsid w:val="00AD1653"/>
    <w:rsid w:val="00AD1693"/>
    <w:rsid w:val="00AD55D3"/>
    <w:rsid w:val="00AD5A3D"/>
    <w:rsid w:val="00AD7ED1"/>
    <w:rsid w:val="00AE3663"/>
    <w:rsid w:val="00AE392A"/>
    <w:rsid w:val="00AE4990"/>
    <w:rsid w:val="00AE5A06"/>
    <w:rsid w:val="00AE60C5"/>
    <w:rsid w:val="00AF0B49"/>
    <w:rsid w:val="00AF250B"/>
    <w:rsid w:val="00AF2B40"/>
    <w:rsid w:val="00AF3199"/>
    <w:rsid w:val="00AF5447"/>
    <w:rsid w:val="00AF55D6"/>
    <w:rsid w:val="00AF5AB9"/>
    <w:rsid w:val="00AF6991"/>
    <w:rsid w:val="00AF6A53"/>
    <w:rsid w:val="00B02B7E"/>
    <w:rsid w:val="00B02C7C"/>
    <w:rsid w:val="00B03EE6"/>
    <w:rsid w:val="00B04B08"/>
    <w:rsid w:val="00B06BC0"/>
    <w:rsid w:val="00B10AC0"/>
    <w:rsid w:val="00B113DB"/>
    <w:rsid w:val="00B12C76"/>
    <w:rsid w:val="00B131FC"/>
    <w:rsid w:val="00B15E4E"/>
    <w:rsid w:val="00B164C3"/>
    <w:rsid w:val="00B17B63"/>
    <w:rsid w:val="00B17ED5"/>
    <w:rsid w:val="00B20FDD"/>
    <w:rsid w:val="00B21881"/>
    <w:rsid w:val="00B21CDA"/>
    <w:rsid w:val="00B22AAF"/>
    <w:rsid w:val="00B24DF1"/>
    <w:rsid w:val="00B260EE"/>
    <w:rsid w:val="00B26DF9"/>
    <w:rsid w:val="00B2728F"/>
    <w:rsid w:val="00B32A19"/>
    <w:rsid w:val="00B32C77"/>
    <w:rsid w:val="00B3335C"/>
    <w:rsid w:val="00B33DBC"/>
    <w:rsid w:val="00B341A8"/>
    <w:rsid w:val="00B34C17"/>
    <w:rsid w:val="00B367D0"/>
    <w:rsid w:val="00B40827"/>
    <w:rsid w:val="00B414B7"/>
    <w:rsid w:val="00B41EB2"/>
    <w:rsid w:val="00B42995"/>
    <w:rsid w:val="00B42E7E"/>
    <w:rsid w:val="00B44136"/>
    <w:rsid w:val="00B46391"/>
    <w:rsid w:val="00B46737"/>
    <w:rsid w:val="00B47BC4"/>
    <w:rsid w:val="00B504DD"/>
    <w:rsid w:val="00B532F6"/>
    <w:rsid w:val="00B53F3C"/>
    <w:rsid w:val="00B54385"/>
    <w:rsid w:val="00B54AF2"/>
    <w:rsid w:val="00B568A7"/>
    <w:rsid w:val="00B57621"/>
    <w:rsid w:val="00B6063F"/>
    <w:rsid w:val="00B60934"/>
    <w:rsid w:val="00B61B81"/>
    <w:rsid w:val="00B646D6"/>
    <w:rsid w:val="00B64F95"/>
    <w:rsid w:val="00B65C02"/>
    <w:rsid w:val="00B65D3D"/>
    <w:rsid w:val="00B67216"/>
    <w:rsid w:val="00B67622"/>
    <w:rsid w:val="00B711AE"/>
    <w:rsid w:val="00B719BF"/>
    <w:rsid w:val="00B71BBD"/>
    <w:rsid w:val="00B735E1"/>
    <w:rsid w:val="00B73822"/>
    <w:rsid w:val="00B752F4"/>
    <w:rsid w:val="00B763E7"/>
    <w:rsid w:val="00B778A1"/>
    <w:rsid w:val="00B80715"/>
    <w:rsid w:val="00B81B39"/>
    <w:rsid w:val="00B81C0B"/>
    <w:rsid w:val="00B81CAB"/>
    <w:rsid w:val="00B82352"/>
    <w:rsid w:val="00B82E2A"/>
    <w:rsid w:val="00B860E2"/>
    <w:rsid w:val="00B8646E"/>
    <w:rsid w:val="00B866E0"/>
    <w:rsid w:val="00B87D06"/>
    <w:rsid w:val="00B92C0D"/>
    <w:rsid w:val="00B93598"/>
    <w:rsid w:val="00B94800"/>
    <w:rsid w:val="00B953C4"/>
    <w:rsid w:val="00B95793"/>
    <w:rsid w:val="00B96615"/>
    <w:rsid w:val="00B96E16"/>
    <w:rsid w:val="00B9777B"/>
    <w:rsid w:val="00BA098A"/>
    <w:rsid w:val="00BA4704"/>
    <w:rsid w:val="00BA4CD9"/>
    <w:rsid w:val="00BA5B09"/>
    <w:rsid w:val="00BA605C"/>
    <w:rsid w:val="00BA6E6D"/>
    <w:rsid w:val="00BA7F64"/>
    <w:rsid w:val="00BB04F2"/>
    <w:rsid w:val="00BB2D83"/>
    <w:rsid w:val="00BB462C"/>
    <w:rsid w:val="00BB4DBC"/>
    <w:rsid w:val="00BB5BBA"/>
    <w:rsid w:val="00BB5D2C"/>
    <w:rsid w:val="00BB6833"/>
    <w:rsid w:val="00BC074D"/>
    <w:rsid w:val="00BC14E8"/>
    <w:rsid w:val="00BC2CDA"/>
    <w:rsid w:val="00BC2E56"/>
    <w:rsid w:val="00BC3449"/>
    <w:rsid w:val="00BC4A81"/>
    <w:rsid w:val="00BC5ACE"/>
    <w:rsid w:val="00BC6024"/>
    <w:rsid w:val="00BC6B38"/>
    <w:rsid w:val="00BC7AC3"/>
    <w:rsid w:val="00BD1702"/>
    <w:rsid w:val="00BD18EA"/>
    <w:rsid w:val="00BD2932"/>
    <w:rsid w:val="00BD297C"/>
    <w:rsid w:val="00BD2A7B"/>
    <w:rsid w:val="00BD35F5"/>
    <w:rsid w:val="00BD38CF"/>
    <w:rsid w:val="00BD4D3F"/>
    <w:rsid w:val="00BD6CAE"/>
    <w:rsid w:val="00BE0695"/>
    <w:rsid w:val="00BE1E51"/>
    <w:rsid w:val="00BE4723"/>
    <w:rsid w:val="00BE4840"/>
    <w:rsid w:val="00BE5365"/>
    <w:rsid w:val="00BE62AD"/>
    <w:rsid w:val="00BE7E67"/>
    <w:rsid w:val="00BF24C7"/>
    <w:rsid w:val="00BF41D5"/>
    <w:rsid w:val="00BF42B8"/>
    <w:rsid w:val="00BF52BD"/>
    <w:rsid w:val="00BF5706"/>
    <w:rsid w:val="00BF5F14"/>
    <w:rsid w:val="00BF641F"/>
    <w:rsid w:val="00BF762E"/>
    <w:rsid w:val="00BF78FD"/>
    <w:rsid w:val="00BF7CB5"/>
    <w:rsid w:val="00C01423"/>
    <w:rsid w:val="00C02205"/>
    <w:rsid w:val="00C0258F"/>
    <w:rsid w:val="00C02766"/>
    <w:rsid w:val="00C03DF7"/>
    <w:rsid w:val="00C06F17"/>
    <w:rsid w:val="00C07049"/>
    <w:rsid w:val="00C10189"/>
    <w:rsid w:val="00C106FF"/>
    <w:rsid w:val="00C1077A"/>
    <w:rsid w:val="00C122DF"/>
    <w:rsid w:val="00C12325"/>
    <w:rsid w:val="00C13607"/>
    <w:rsid w:val="00C137C4"/>
    <w:rsid w:val="00C13801"/>
    <w:rsid w:val="00C14BAC"/>
    <w:rsid w:val="00C14F25"/>
    <w:rsid w:val="00C153B3"/>
    <w:rsid w:val="00C15C7E"/>
    <w:rsid w:val="00C1621A"/>
    <w:rsid w:val="00C1739B"/>
    <w:rsid w:val="00C2280D"/>
    <w:rsid w:val="00C229B8"/>
    <w:rsid w:val="00C22BC4"/>
    <w:rsid w:val="00C23845"/>
    <w:rsid w:val="00C23BCD"/>
    <w:rsid w:val="00C2442B"/>
    <w:rsid w:val="00C25E26"/>
    <w:rsid w:val="00C26EC6"/>
    <w:rsid w:val="00C32ACF"/>
    <w:rsid w:val="00C33B3D"/>
    <w:rsid w:val="00C33B49"/>
    <w:rsid w:val="00C35136"/>
    <w:rsid w:val="00C3717A"/>
    <w:rsid w:val="00C37AD5"/>
    <w:rsid w:val="00C37F64"/>
    <w:rsid w:val="00C406E2"/>
    <w:rsid w:val="00C41193"/>
    <w:rsid w:val="00C44039"/>
    <w:rsid w:val="00C44417"/>
    <w:rsid w:val="00C45B6E"/>
    <w:rsid w:val="00C4732E"/>
    <w:rsid w:val="00C47743"/>
    <w:rsid w:val="00C50711"/>
    <w:rsid w:val="00C50D0C"/>
    <w:rsid w:val="00C51266"/>
    <w:rsid w:val="00C520B2"/>
    <w:rsid w:val="00C54A44"/>
    <w:rsid w:val="00C54C8E"/>
    <w:rsid w:val="00C54CB1"/>
    <w:rsid w:val="00C5546E"/>
    <w:rsid w:val="00C554DA"/>
    <w:rsid w:val="00C55CEA"/>
    <w:rsid w:val="00C56D4E"/>
    <w:rsid w:val="00C57E81"/>
    <w:rsid w:val="00C60C55"/>
    <w:rsid w:val="00C60E2D"/>
    <w:rsid w:val="00C61467"/>
    <w:rsid w:val="00C6158E"/>
    <w:rsid w:val="00C617B9"/>
    <w:rsid w:val="00C62651"/>
    <w:rsid w:val="00C6320E"/>
    <w:rsid w:val="00C6664C"/>
    <w:rsid w:val="00C70959"/>
    <w:rsid w:val="00C71A7D"/>
    <w:rsid w:val="00C7235A"/>
    <w:rsid w:val="00C723D8"/>
    <w:rsid w:val="00C728AF"/>
    <w:rsid w:val="00C72BBF"/>
    <w:rsid w:val="00C72FBE"/>
    <w:rsid w:val="00C738F8"/>
    <w:rsid w:val="00C745CE"/>
    <w:rsid w:val="00C746FA"/>
    <w:rsid w:val="00C762FD"/>
    <w:rsid w:val="00C770C9"/>
    <w:rsid w:val="00C81B54"/>
    <w:rsid w:val="00C83183"/>
    <w:rsid w:val="00C8399B"/>
    <w:rsid w:val="00C83B4B"/>
    <w:rsid w:val="00C83D1A"/>
    <w:rsid w:val="00C84D62"/>
    <w:rsid w:val="00C85BBD"/>
    <w:rsid w:val="00C85D68"/>
    <w:rsid w:val="00C864A2"/>
    <w:rsid w:val="00C86AA7"/>
    <w:rsid w:val="00C870F8"/>
    <w:rsid w:val="00C871C5"/>
    <w:rsid w:val="00C87B13"/>
    <w:rsid w:val="00C90630"/>
    <w:rsid w:val="00C90AD5"/>
    <w:rsid w:val="00C96667"/>
    <w:rsid w:val="00C973F2"/>
    <w:rsid w:val="00C975D9"/>
    <w:rsid w:val="00CA067D"/>
    <w:rsid w:val="00CA0845"/>
    <w:rsid w:val="00CA0A07"/>
    <w:rsid w:val="00CA1214"/>
    <w:rsid w:val="00CA13BE"/>
    <w:rsid w:val="00CA1CAF"/>
    <w:rsid w:val="00CA4238"/>
    <w:rsid w:val="00CA51A6"/>
    <w:rsid w:val="00CA596B"/>
    <w:rsid w:val="00CA5E22"/>
    <w:rsid w:val="00CA6B7F"/>
    <w:rsid w:val="00CA6BB6"/>
    <w:rsid w:val="00CA6E3D"/>
    <w:rsid w:val="00CA734D"/>
    <w:rsid w:val="00CA7B89"/>
    <w:rsid w:val="00CA7D59"/>
    <w:rsid w:val="00CB0897"/>
    <w:rsid w:val="00CB0E56"/>
    <w:rsid w:val="00CB109E"/>
    <w:rsid w:val="00CB299C"/>
    <w:rsid w:val="00CB3CC7"/>
    <w:rsid w:val="00CB4361"/>
    <w:rsid w:val="00CB4A74"/>
    <w:rsid w:val="00CB51C7"/>
    <w:rsid w:val="00CB5902"/>
    <w:rsid w:val="00CB636C"/>
    <w:rsid w:val="00CB6CDC"/>
    <w:rsid w:val="00CC157B"/>
    <w:rsid w:val="00CC232F"/>
    <w:rsid w:val="00CC2C85"/>
    <w:rsid w:val="00CC4203"/>
    <w:rsid w:val="00CC522E"/>
    <w:rsid w:val="00CC5687"/>
    <w:rsid w:val="00CC5A18"/>
    <w:rsid w:val="00CC6648"/>
    <w:rsid w:val="00CC67DC"/>
    <w:rsid w:val="00CD0F90"/>
    <w:rsid w:val="00CD142C"/>
    <w:rsid w:val="00CD1561"/>
    <w:rsid w:val="00CD233F"/>
    <w:rsid w:val="00CD3484"/>
    <w:rsid w:val="00CD4DBE"/>
    <w:rsid w:val="00CD4E76"/>
    <w:rsid w:val="00CD5A5F"/>
    <w:rsid w:val="00CD5ADB"/>
    <w:rsid w:val="00CD5E34"/>
    <w:rsid w:val="00CD6632"/>
    <w:rsid w:val="00CE17FC"/>
    <w:rsid w:val="00CE1809"/>
    <w:rsid w:val="00CE251B"/>
    <w:rsid w:val="00CE2BD4"/>
    <w:rsid w:val="00CE4A45"/>
    <w:rsid w:val="00CE5721"/>
    <w:rsid w:val="00CF243F"/>
    <w:rsid w:val="00CF3142"/>
    <w:rsid w:val="00CF341D"/>
    <w:rsid w:val="00CF5500"/>
    <w:rsid w:val="00CF5D10"/>
    <w:rsid w:val="00CF7128"/>
    <w:rsid w:val="00CF741F"/>
    <w:rsid w:val="00CF79FD"/>
    <w:rsid w:val="00D00119"/>
    <w:rsid w:val="00D036E3"/>
    <w:rsid w:val="00D03930"/>
    <w:rsid w:val="00D04198"/>
    <w:rsid w:val="00D04B95"/>
    <w:rsid w:val="00D05B09"/>
    <w:rsid w:val="00D068D9"/>
    <w:rsid w:val="00D068F6"/>
    <w:rsid w:val="00D13C18"/>
    <w:rsid w:val="00D16BBA"/>
    <w:rsid w:val="00D16D7F"/>
    <w:rsid w:val="00D16F0B"/>
    <w:rsid w:val="00D2045C"/>
    <w:rsid w:val="00D209C6"/>
    <w:rsid w:val="00D211A4"/>
    <w:rsid w:val="00D2262F"/>
    <w:rsid w:val="00D23067"/>
    <w:rsid w:val="00D24CDA"/>
    <w:rsid w:val="00D2685B"/>
    <w:rsid w:val="00D27C18"/>
    <w:rsid w:val="00D310E4"/>
    <w:rsid w:val="00D3284C"/>
    <w:rsid w:val="00D35022"/>
    <w:rsid w:val="00D35FF1"/>
    <w:rsid w:val="00D36993"/>
    <w:rsid w:val="00D4050E"/>
    <w:rsid w:val="00D418A8"/>
    <w:rsid w:val="00D419C4"/>
    <w:rsid w:val="00D4287F"/>
    <w:rsid w:val="00D431B5"/>
    <w:rsid w:val="00D435F3"/>
    <w:rsid w:val="00D45D5A"/>
    <w:rsid w:val="00D45D5F"/>
    <w:rsid w:val="00D478A6"/>
    <w:rsid w:val="00D47C10"/>
    <w:rsid w:val="00D50F8E"/>
    <w:rsid w:val="00D5124E"/>
    <w:rsid w:val="00D51454"/>
    <w:rsid w:val="00D5160D"/>
    <w:rsid w:val="00D51612"/>
    <w:rsid w:val="00D516B4"/>
    <w:rsid w:val="00D538D9"/>
    <w:rsid w:val="00D5490F"/>
    <w:rsid w:val="00D5496D"/>
    <w:rsid w:val="00D55968"/>
    <w:rsid w:val="00D55B20"/>
    <w:rsid w:val="00D55EA0"/>
    <w:rsid w:val="00D614C8"/>
    <w:rsid w:val="00D6198E"/>
    <w:rsid w:val="00D61D70"/>
    <w:rsid w:val="00D6217B"/>
    <w:rsid w:val="00D623AD"/>
    <w:rsid w:val="00D6421E"/>
    <w:rsid w:val="00D645ED"/>
    <w:rsid w:val="00D64DB8"/>
    <w:rsid w:val="00D66675"/>
    <w:rsid w:val="00D66811"/>
    <w:rsid w:val="00D67E3C"/>
    <w:rsid w:val="00D72307"/>
    <w:rsid w:val="00D745DC"/>
    <w:rsid w:val="00D770E0"/>
    <w:rsid w:val="00D77B9B"/>
    <w:rsid w:val="00D812FF"/>
    <w:rsid w:val="00D814EA"/>
    <w:rsid w:val="00D826F1"/>
    <w:rsid w:val="00D82732"/>
    <w:rsid w:val="00D82E83"/>
    <w:rsid w:val="00D83281"/>
    <w:rsid w:val="00D832CD"/>
    <w:rsid w:val="00D849A1"/>
    <w:rsid w:val="00D8612B"/>
    <w:rsid w:val="00D872BF"/>
    <w:rsid w:val="00D87BD1"/>
    <w:rsid w:val="00D903D9"/>
    <w:rsid w:val="00D9088E"/>
    <w:rsid w:val="00D93BDE"/>
    <w:rsid w:val="00D94037"/>
    <w:rsid w:val="00D94071"/>
    <w:rsid w:val="00D95D41"/>
    <w:rsid w:val="00D95FD5"/>
    <w:rsid w:val="00D96F03"/>
    <w:rsid w:val="00DA216A"/>
    <w:rsid w:val="00DA3201"/>
    <w:rsid w:val="00DA4654"/>
    <w:rsid w:val="00DA4D91"/>
    <w:rsid w:val="00DB059E"/>
    <w:rsid w:val="00DB0E1B"/>
    <w:rsid w:val="00DB2598"/>
    <w:rsid w:val="00DB507A"/>
    <w:rsid w:val="00DB58CD"/>
    <w:rsid w:val="00DB5989"/>
    <w:rsid w:val="00DB5C32"/>
    <w:rsid w:val="00DC0461"/>
    <w:rsid w:val="00DC0A67"/>
    <w:rsid w:val="00DC0E3A"/>
    <w:rsid w:val="00DC17C6"/>
    <w:rsid w:val="00DC4415"/>
    <w:rsid w:val="00DC45CC"/>
    <w:rsid w:val="00DC4E85"/>
    <w:rsid w:val="00DC5051"/>
    <w:rsid w:val="00DC53A8"/>
    <w:rsid w:val="00DC6795"/>
    <w:rsid w:val="00DC6A6B"/>
    <w:rsid w:val="00DD1C75"/>
    <w:rsid w:val="00DD25E3"/>
    <w:rsid w:val="00DD2A23"/>
    <w:rsid w:val="00DD320D"/>
    <w:rsid w:val="00DD4130"/>
    <w:rsid w:val="00DD5534"/>
    <w:rsid w:val="00DD5A0B"/>
    <w:rsid w:val="00DD5C72"/>
    <w:rsid w:val="00DD7CDF"/>
    <w:rsid w:val="00DE05DC"/>
    <w:rsid w:val="00DE25D4"/>
    <w:rsid w:val="00DE31C5"/>
    <w:rsid w:val="00DE3A35"/>
    <w:rsid w:val="00DE4F41"/>
    <w:rsid w:val="00DE4F8E"/>
    <w:rsid w:val="00DE584F"/>
    <w:rsid w:val="00DF0733"/>
    <w:rsid w:val="00DF07CC"/>
    <w:rsid w:val="00DF13EA"/>
    <w:rsid w:val="00DF4226"/>
    <w:rsid w:val="00DF443C"/>
    <w:rsid w:val="00DF46EB"/>
    <w:rsid w:val="00DF5354"/>
    <w:rsid w:val="00DF642E"/>
    <w:rsid w:val="00DF6581"/>
    <w:rsid w:val="00DF7577"/>
    <w:rsid w:val="00E00A78"/>
    <w:rsid w:val="00E00D18"/>
    <w:rsid w:val="00E01163"/>
    <w:rsid w:val="00E0534B"/>
    <w:rsid w:val="00E1048C"/>
    <w:rsid w:val="00E10CB1"/>
    <w:rsid w:val="00E11289"/>
    <w:rsid w:val="00E11496"/>
    <w:rsid w:val="00E11B3A"/>
    <w:rsid w:val="00E120C5"/>
    <w:rsid w:val="00E142B5"/>
    <w:rsid w:val="00E1451A"/>
    <w:rsid w:val="00E147C9"/>
    <w:rsid w:val="00E14AC5"/>
    <w:rsid w:val="00E14E13"/>
    <w:rsid w:val="00E14FB4"/>
    <w:rsid w:val="00E201D0"/>
    <w:rsid w:val="00E20A48"/>
    <w:rsid w:val="00E25416"/>
    <w:rsid w:val="00E26235"/>
    <w:rsid w:val="00E278AF"/>
    <w:rsid w:val="00E27FD2"/>
    <w:rsid w:val="00E30E9B"/>
    <w:rsid w:val="00E32843"/>
    <w:rsid w:val="00E32BBC"/>
    <w:rsid w:val="00E35858"/>
    <w:rsid w:val="00E368D3"/>
    <w:rsid w:val="00E37015"/>
    <w:rsid w:val="00E40642"/>
    <w:rsid w:val="00E40DDA"/>
    <w:rsid w:val="00E41D5A"/>
    <w:rsid w:val="00E440C6"/>
    <w:rsid w:val="00E4421C"/>
    <w:rsid w:val="00E45E08"/>
    <w:rsid w:val="00E45E64"/>
    <w:rsid w:val="00E47930"/>
    <w:rsid w:val="00E5122C"/>
    <w:rsid w:val="00E52050"/>
    <w:rsid w:val="00E54AFE"/>
    <w:rsid w:val="00E5765F"/>
    <w:rsid w:val="00E579EF"/>
    <w:rsid w:val="00E6053C"/>
    <w:rsid w:val="00E60CCD"/>
    <w:rsid w:val="00E61828"/>
    <w:rsid w:val="00E627F8"/>
    <w:rsid w:val="00E62ACA"/>
    <w:rsid w:val="00E62CC8"/>
    <w:rsid w:val="00E63632"/>
    <w:rsid w:val="00E64EAC"/>
    <w:rsid w:val="00E65C4A"/>
    <w:rsid w:val="00E65D0F"/>
    <w:rsid w:val="00E660E6"/>
    <w:rsid w:val="00E66481"/>
    <w:rsid w:val="00E668C6"/>
    <w:rsid w:val="00E71473"/>
    <w:rsid w:val="00E750E5"/>
    <w:rsid w:val="00E7569C"/>
    <w:rsid w:val="00E76AD0"/>
    <w:rsid w:val="00E80760"/>
    <w:rsid w:val="00E80E86"/>
    <w:rsid w:val="00E80F1C"/>
    <w:rsid w:val="00E81520"/>
    <w:rsid w:val="00E81BAF"/>
    <w:rsid w:val="00E83DA2"/>
    <w:rsid w:val="00E8425D"/>
    <w:rsid w:val="00E848F5"/>
    <w:rsid w:val="00E8542D"/>
    <w:rsid w:val="00E8686E"/>
    <w:rsid w:val="00E86C74"/>
    <w:rsid w:val="00E86EF6"/>
    <w:rsid w:val="00E87C15"/>
    <w:rsid w:val="00E93570"/>
    <w:rsid w:val="00E9363F"/>
    <w:rsid w:val="00E93F17"/>
    <w:rsid w:val="00E944A0"/>
    <w:rsid w:val="00E94B1A"/>
    <w:rsid w:val="00EA35DE"/>
    <w:rsid w:val="00EA4C05"/>
    <w:rsid w:val="00EA75E5"/>
    <w:rsid w:val="00EA774A"/>
    <w:rsid w:val="00EB1504"/>
    <w:rsid w:val="00EB169D"/>
    <w:rsid w:val="00EB1F03"/>
    <w:rsid w:val="00EB1F95"/>
    <w:rsid w:val="00EB4A68"/>
    <w:rsid w:val="00EB56D3"/>
    <w:rsid w:val="00EB594D"/>
    <w:rsid w:val="00EB5E38"/>
    <w:rsid w:val="00EB737B"/>
    <w:rsid w:val="00EC1525"/>
    <w:rsid w:val="00EC2BFE"/>
    <w:rsid w:val="00EC303D"/>
    <w:rsid w:val="00EC3590"/>
    <w:rsid w:val="00EC6C0E"/>
    <w:rsid w:val="00EC7BD8"/>
    <w:rsid w:val="00ED025E"/>
    <w:rsid w:val="00ED02EA"/>
    <w:rsid w:val="00ED04ED"/>
    <w:rsid w:val="00ED0CC3"/>
    <w:rsid w:val="00ED1958"/>
    <w:rsid w:val="00ED2480"/>
    <w:rsid w:val="00ED2E53"/>
    <w:rsid w:val="00ED40E9"/>
    <w:rsid w:val="00ED4824"/>
    <w:rsid w:val="00ED5CE6"/>
    <w:rsid w:val="00ED669E"/>
    <w:rsid w:val="00ED6EC1"/>
    <w:rsid w:val="00ED783F"/>
    <w:rsid w:val="00EE0971"/>
    <w:rsid w:val="00EE0B96"/>
    <w:rsid w:val="00EE0CB8"/>
    <w:rsid w:val="00EE122F"/>
    <w:rsid w:val="00EE2192"/>
    <w:rsid w:val="00EE2838"/>
    <w:rsid w:val="00EE5A97"/>
    <w:rsid w:val="00EE616B"/>
    <w:rsid w:val="00EE66BB"/>
    <w:rsid w:val="00EF1DB1"/>
    <w:rsid w:val="00EF32B3"/>
    <w:rsid w:val="00EF4542"/>
    <w:rsid w:val="00EF4818"/>
    <w:rsid w:val="00EF50E8"/>
    <w:rsid w:val="00EF5229"/>
    <w:rsid w:val="00EF5945"/>
    <w:rsid w:val="00EF5976"/>
    <w:rsid w:val="00EF5AA7"/>
    <w:rsid w:val="00EF7857"/>
    <w:rsid w:val="00F01B30"/>
    <w:rsid w:val="00F01DBB"/>
    <w:rsid w:val="00F02AE7"/>
    <w:rsid w:val="00F02EDD"/>
    <w:rsid w:val="00F04F3E"/>
    <w:rsid w:val="00F05DF2"/>
    <w:rsid w:val="00F0730D"/>
    <w:rsid w:val="00F1124C"/>
    <w:rsid w:val="00F1191B"/>
    <w:rsid w:val="00F13DE9"/>
    <w:rsid w:val="00F14964"/>
    <w:rsid w:val="00F160FF"/>
    <w:rsid w:val="00F1673C"/>
    <w:rsid w:val="00F167AC"/>
    <w:rsid w:val="00F1712E"/>
    <w:rsid w:val="00F20F53"/>
    <w:rsid w:val="00F20F60"/>
    <w:rsid w:val="00F22B2D"/>
    <w:rsid w:val="00F22F14"/>
    <w:rsid w:val="00F2505B"/>
    <w:rsid w:val="00F253EE"/>
    <w:rsid w:val="00F31DD8"/>
    <w:rsid w:val="00F33401"/>
    <w:rsid w:val="00F340AD"/>
    <w:rsid w:val="00F34511"/>
    <w:rsid w:val="00F34ABE"/>
    <w:rsid w:val="00F34C2B"/>
    <w:rsid w:val="00F3569E"/>
    <w:rsid w:val="00F3595C"/>
    <w:rsid w:val="00F3630D"/>
    <w:rsid w:val="00F37D3A"/>
    <w:rsid w:val="00F40743"/>
    <w:rsid w:val="00F41833"/>
    <w:rsid w:val="00F41D8E"/>
    <w:rsid w:val="00F42021"/>
    <w:rsid w:val="00F4240C"/>
    <w:rsid w:val="00F4291E"/>
    <w:rsid w:val="00F42A56"/>
    <w:rsid w:val="00F43512"/>
    <w:rsid w:val="00F4622C"/>
    <w:rsid w:val="00F46B81"/>
    <w:rsid w:val="00F5046C"/>
    <w:rsid w:val="00F50902"/>
    <w:rsid w:val="00F50F22"/>
    <w:rsid w:val="00F51168"/>
    <w:rsid w:val="00F5119C"/>
    <w:rsid w:val="00F5431E"/>
    <w:rsid w:val="00F544C8"/>
    <w:rsid w:val="00F55432"/>
    <w:rsid w:val="00F558C4"/>
    <w:rsid w:val="00F5607E"/>
    <w:rsid w:val="00F57973"/>
    <w:rsid w:val="00F608BA"/>
    <w:rsid w:val="00F60F6C"/>
    <w:rsid w:val="00F6293F"/>
    <w:rsid w:val="00F62E47"/>
    <w:rsid w:val="00F64E36"/>
    <w:rsid w:val="00F6544D"/>
    <w:rsid w:val="00F65873"/>
    <w:rsid w:val="00F67883"/>
    <w:rsid w:val="00F7078F"/>
    <w:rsid w:val="00F72EE6"/>
    <w:rsid w:val="00F72EFC"/>
    <w:rsid w:val="00F74231"/>
    <w:rsid w:val="00F742FB"/>
    <w:rsid w:val="00F75D78"/>
    <w:rsid w:val="00F75DA8"/>
    <w:rsid w:val="00F76383"/>
    <w:rsid w:val="00F777D4"/>
    <w:rsid w:val="00F77CA9"/>
    <w:rsid w:val="00F82AFB"/>
    <w:rsid w:val="00F82E66"/>
    <w:rsid w:val="00F832A6"/>
    <w:rsid w:val="00F84FD4"/>
    <w:rsid w:val="00F92749"/>
    <w:rsid w:val="00F93957"/>
    <w:rsid w:val="00F94386"/>
    <w:rsid w:val="00F95B57"/>
    <w:rsid w:val="00F96D57"/>
    <w:rsid w:val="00FA03C1"/>
    <w:rsid w:val="00FA137C"/>
    <w:rsid w:val="00FA16F4"/>
    <w:rsid w:val="00FA1FEA"/>
    <w:rsid w:val="00FA2461"/>
    <w:rsid w:val="00FA67C9"/>
    <w:rsid w:val="00FA6B40"/>
    <w:rsid w:val="00FB2453"/>
    <w:rsid w:val="00FB2829"/>
    <w:rsid w:val="00FB28AA"/>
    <w:rsid w:val="00FB3986"/>
    <w:rsid w:val="00FB491D"/>
    <w:rsid w:val="00FB49C0"/>
    <w:rsid w:val="00FB5ACA"/>
    <w:rsid w:val="00FB602B"/>
    <w:rsid w:val="00FB620E"/>
    <w:rsid w:val="00FC10F7"/>
    <w:rsid w:val="00FC1312"/>
    <w:rsid w:val="00FC227B"/>
    <w:rsid w:val="00FC5454"/>
    <w:rsid w:val="00FC5991"/>
    <w:rsid w:val="00FC77B5"/>
    <w:rsid w:val="00FC793D"/>
    <w:rsid w:val="00FC7C63"/>
    <w:rsid w:val="00FD016B"/>
    <w:rsid w:val="00FD0A80"/>
    <w:rsid w:val="00FD0BEF"/>
    <w:rsid w:val="00FD1CC1"/>
    <w:rsid w:val="00FD27B0"/>
    <w:rsid w:val="00FD2C3C"/>
    <w:rsid w:val="00FD2EF3"/>
    <w:rsid w:val="00FD32A1"/>
    <w:rsid w:val="00FD3BAB"/>
    <w:rsid w:val="00FD4495"/>
    <w:rsid w:val="00FD4866"/>
    <w:rsid w:val="00FD6C6B"/>
    <w:rsid w:val="00FE17C8"/>
    <w:rsid w:val="00FE23E7"/>
    <w:rsid w:val="00FE296E"/>
    <w:rsid w:val="00FE3329"/>
    <w:rsid w:val="00FE4037"/>
    <w:rsid w:val="00FE4234"/>
    <w:rsid w:val="00FE602F"/>
    <w:rsid w:val="00FE6C56"/>
    <w:rsid w:val="00FE6E34"/>
    <w:rsid w:val="00FE7199"/>
    <w:rsid w:val="00FE79CF"/>
    <w:rsid w:val="00FF0118"/>
    <w:rsid w:val="00FF0594"/>
    <w:rsid w:val="00FF1B03"/>
    <w:rsid w:val="00FF1DF2"/>
    <w:rsid w:val="00FF214C"/>
    <w:rsid w:val="00FF36DE"/>
    <w:rsid w:val="00FF4A28"/>
    <w:rsid w:val="00FF4D71"/>
    <w:rsid w:val="00FF4E71"/>
    <w:rsid w:val="00FF5608"/>
    <w:rsid w:val="00FF66B5"/>
    <w:rsid w:val="01017684"/>
    <w:rsid w:val="010334B8"/>
    <w:rsid w:val="01110512"/>
    <w:rsid w:val="01260E98"/>
    <w:rsid w:val="012F3F26"/>
    <w:rsid w:val="0131333F"/>
    <w:rsid w:val="013B7EF0"/>
    <w:rsid w:val="013D282B"/>
    <w:rsid w:val="01401F5A"/>
    <w:rsid w:val="015B3238"/>
    <w:rsid w:val="015C48BA"/>
    <w:rsid w:val="016320EC"/>
    <w:rsid w:val="016814B1"/>
    <w:rsid w:val="017165B7"/>
    <w:rsid w:val="01877E8E"/>
    <w:rsid w:val="01A7022B"/>
    <w:rsid w:val="01A85D51"/>
    <w:rsid w:val="01C0753F"/>
    <w:rsid w:val="01C70C78"/>
    <w:rsid w:val="01D134FA"/>
    <w:rsid w:val="01DD1E9F"/>
    <w:rsid w:val="01DD3C4D"/>
    <w:rsid w:val="01E74ACC"/>
    <w:rsid w:val="01F66EC4"/>
    <w:rsid w:val="0202104C"/>
    <w:rsid w:val="02021952"/>
    <w:rsid w:val="020434B6"/>
    <w:rsid w:val="021138F7"/>
    <w:rsid w:val="022573A2"/>
    <w:rsid w:val="023127B7"/>
    <w:rsid w:val="02317AF5"/>
    <w:rsid w:val="023F2526"/>
    <w:rsid w:val="02456EC8"/>
    <w:rsid w:val="024A0BB7"/>
    <w:rsid w:val="024F56D9"/>
    <w:rsid w:val="02587777"/>
    <w:rsid w:val="025C1016"/>
    <w:rsid w:val="0261662C"/>
    <w:rsid w:val="02987B74"/>
    <w:rsid w:val="02A747E8"/>
    <w:rsid w:val="02BC3862"/>
    <w:rsid w:val="02C941D1"/>
    <w:rsid w:val="02D64528"/>
    <w:rsid w:val="02E01C47"/>
    <w:rsid w:val="02F82ED5"/>
    <w:rsid w:val="02F92D08"/>
    <w:rsid w:val="02FA438B"/>
    <w:rsid w:val="030A4873"/>
    <w:rsid w:val="0313544C"/>
    <w:rsid w:val="0314369E"/>
    <w:rsid w:val="032B6C3A"/>
    <w:rsid w:val="03327ECA"/>
    <w:rsid w:val="03502647"/>
    <w:rsid w:val="036363D4"/>
    <w:rsid w:val="03652CA2"/>
    <w:rsid w:val="036E6EA7"/>
    <w:rsid w:val="03771E7F"/>
    <w:rsid w:val="037759DB"/>
    <w:rsid w:val="03830824"/>
    <w:rsid w:val="038720C2"/>
    <w:rsid w:val="038C12F2"/>
    <w:rsid w:val="039008D9"/>
    <w:rsid w:val="03920A67"/>
    <w:rsid w:val="03A04F32"/>
    <w:rsid w:val="03B140D4"/>
    <w:rsid w:val="03CB4CAD"/>
    <w:rsid w:val="040530EF"/>
    <w:rsid w:val="041871BE"/>
    <w:rsid w:val="041D47D5"/>
    <w:rsid w:val="042042C5"/>
    <w:rsid w:val="04275653"/>
    <w:rsid w:val="04324791"/>
    <w:rsid w:val="043E553B"/>
    <w:rsid w:val="04406715"/>
    <w:rsid w:val="04625319"/>
    <w:rsid w:val="04842AA6"/>
    <w:rsid w:val="04A722F0"/>
    <w:rsid w:val="04AD0A3B"/>
    <w:rsid w:val="04D330E5"/>
    <w:rsid w:val="04DF7CDC"/>
    <w:rsid w:val="04F433AE"/>
    <w:rsid w:val="04F73278"/>
    <w:rsid w:val="05087233"/>
    <w:rsid w:val="050B3701"/>
    <w:rsid w:val="051B139A"/>
    <w:rsid w:val="052A53FB"/>
    <w:rsid w:val="0547151B"/>
    <w:rsid w:val="05485881"/>
    <w:rsid w:val="05542478"/>
    <w:rsid w:val="055E1B86"/>
    <w:rsid w:val="05616943"/>
    <w:rsid w:val="05665D07"/>
    <w:rsid w:val="056A57F8"/>
    <w:rsid w:val="056C5A14"/>
    <w:rsid w:val="05720B50"/>
    <w:rsid w:val="058C1C12"/>
    <w:rsid w:val="05902396"/>
    <w:rsid w:val="05AA653C"/>
    <w:rsid w:val="05B41169"/>
    <w:rsid w:val="05E337FC"/>
    <w:rsid w:val="05ED3DA2"/>
    <w:rsid w:val="05F81055"/>
    <w:rsid w:val="05F872A7"/>
    <w:rsid w:val="05FD666C"/>
    <w:rsid w:val="061F2A86"/>
    <w:rsid w:val="062F259D"/>
    <w:rsid w:val="06420D31"/>
    <w:rsid w:val="064424ED"/>
    <w:rsid w:val="06451DC1"/>
    <w:rsid w:val="06486493"/>
    <w:rsid w:val="06516819"/>
    <w:rsid w:val="068154EF"/>
    <w:rsid w:val="06954AF6"/>
    <w:rsid w:val="06982838"/>
    <w:rsid w:val="06A72FF5"/>
    <w:rsid w:val="06A833D6"/>
    <w:rsid w:val="06B2082D"/>
    <w:rsid w:val="06C278B5"/>
    <w:rsid w:val="06F86E33"/>
    <w:rsid w:val="07082B86"/>
    <w:rsid w:val="071F2612"/>
    <w:rsid w:val="07200408"/>
    <w:rsid w:val="07207806"/>
    <w:rsid w:val="07230354"/>
    <w:rsid w:val="073541BD"/>
    <w:rsid w:val="073562D9"/>
    <w:rsid w:val="073E6F3C"/>
    <w:rsid w:val="073F2CB4"/>
    <w:rsid w:val="07593D76"/>
    <w:rsid w:val="07666493"/>
    <w:rsid w:val="077B78D4"/>
    <w:rsid w:val="07837045"/>
    <w:rsid w:val="079052BE"/>
    <w:rsid w:val="07914B3D"/>
    <w:rsid w:val="079B25E0"/>
    <w:rsid w:val="07AF1BE8"/>
    <w:rsid w:val="07B76CEE"/>
    <w:rsid w:val="07C32F0C"/>
    <w:rsid w:val="07ED0962"/>
    <w:rsid w:val="07F41CF0"/>
    <w:rsid w:val="07FA7E23"/>
    <w:rsid w:val="08234384"/>
    <w:rsid w:val="082442EE"/>
    <w:rsid w:val="08253C58"/>
    <w:rsid w:val="083640B7"/>
    <w:rsid w:val="08422A5C"/>
    <w:rsid w:val="08514A4D"/>
    <w:rsid w:val="0858227F"/>
    <w:rsid w:val="085E716A"/>
    <w:rsid w:val="08601134"/>
    <w:rsid w:val="08643CB0"/>
    <w:rsid w:val="08730E67"/>
    <w:rsid w:val="08732C15"/>
    <w:rsid w:val="088F5575"/>
    <w:rsid w:val="089332B7"/>
    <w:rsid w:val="089550C8"/>
    <w:rsid w:val="08B11B50"/>
    <w:rsid w:val="09023F99"/>
    <w:rsid w:val="09110C6F"/>
    <w:rsid w:val="091D19C7"/>
    <w:rsid w:val="09242161"/>
    <w:rsid w:val="09246605"/>
    <w:rsid w:val="092E2FE0"/>
    <w:rsid w:val="093211A4"/>
    <w:rsid w:val="095073FA"/>
    <w:rsid w:val="095673F5"/>
    <w:rsid w:val="09616F12"/>
    <w:rsid w:val="09622C8A"/>
    <w:rsid w:val="0977182B"/>
    <w:rsid w:val="097906FF"/>
    <w:rsid w:val="09926C3F"/>
    <w:rsid w:val="099E65FE"/>
    <w:rsid w:val="09BB20D2"/>
    <w:rsid w:val="09E35B78"/>
    <w:rsid w:val="09EB2C7F"/>
    <w:rsid w:val="0A083831"/>
    <w:rsid w:val="0A0A57FB"/>
    <w:rsid w:val="0A0A75A9"/>
    <w:rsid w:val="0A0F2E11"/>
    <w:rsid w:val="0A1C2427"/>
    <w:rsid w:val="0A3245DB"/>
    <w:rsid w:val="0A402FCB"/>
    <w:rsid w:val="0A5C592B"/>
    <w:rsid w:val="0A6767AA"/>
    <w:rsid w:val="0A717EF0"/>
    <w:rsid w:val="0A940DEC"/>
    <w:rsid w:val="0AA96DC2"/>
    <w:rsid w:val="0AAF1EFF"/>
    <w:rsid w:val="0AB530F7"/>
    <w:rsid w:val="0ABA2D7D"/>
    <w:rsid w:val="0ABB3F83"/>
    <w:rsid w:val="0AC104F6"/>
    <w:rsid w:val="0AC736EC"/>
    <w:rsid w:val="0ADB0F46"/>
    <w:rsid w:val="0AE0202E"/>
    <w:rsid w:val="0AF04A48"/>
    <w:rsid w:val="0AF50259"/>
    <w:rsid w:val="0B183F48"/>
    <w:rsid w:val="0B187AA4"/>
    <w:rsid w:val="0B3D39AE"/>
    <w:rsid w:val="0B410F04"/>
    <w:rsid w:val="0B462863"/>
    <w:rsid w:val="0B6D4B9E"/>
    <w:rsid w:val="0B7A2363"/>
    <w:rsid w:val="0B7D6BB3"/>
    <w:rsid w:val="0B7F5D75"/>
    <w:rsid w:val="0BA650B0"/>
    <w:rsid w:val="0BB952B6"/>
    <w:rsid w:val="0BC74660"/>
    <w:rsid w:val="0BD9237C"/>
    <w:rsid w:val="0BEB340A"/>
    <w:rsid w:val="0BEB6F66"/>
    <w:rsid w:val="0C0369A6"/>
    <w:rsid w:val="0C0F7455"/>
    <w:rsid w:val="0C1110C3"/>
    <w:rsid w:val="0C2606EF"/>
    <w:rsid w:val="0C476893"/>
    <w:rsid w:val="0C601702"/>
    <w:rsid w:val="0C6A2581"/>
    <w:rsid w:val="0C6C00A7"/>
    <w:rsid w:val="0C787F8A"/>
    <w:rsid w:val="0C7B478E"/>
    <w:rsid w:val="0C83093A"/>
    <w:rsid w:val="0C8C699B"/>
    <w:rsid w:val="0C927091"/>
    <w:rsid w:val="0CA57A5D"/>
    <w:rsid w:val="0CB3217A"/>
    <w:rsid w:val="0CB67574"/>
    <w:rsid w:val="0CC10761"/>
    <w:rsid w:val="0CC47EE3"/>
    <w:rsid w:val="0CE20369"/>
    <w:rsid w:val="0CE74614"/>
    <w:rsid w:val="0CE9383E"/>
    <w:rsid w:val="0CFD1664"/>
    <w:rsid w:val="0CFF0F1B"/>
    <w:rsid w:val="0D076022"/>
    <w:rsid w:val="0D0C3638"/>
    <w:rsid w:val="0D270472"/>
    <w:rsid w:val="0D3F3A0E"/>
    <w:rsid w:val="0D4C0A39"/>
    <w:rsid w:val="0D4D2ED2"/>
    <w:rsid w:val="0D8536BD"/>
    <w:rsid w:val="0D9C49BC"/>
    <w:rsid w:val="0DA73361"/>
    <w:rsid w:val="0DBA3094"/>
    <w:rsid w:val="0DC43F13"/>
    <w:rsid w:val="0DC66082"/>
    <w:rsid w:val="0DC83A03"/>
    <w:rsid w:val="0DC86327"/>
    <w:rsid w:val="0DCD1019"/>
    <w:rsid w:val="0DCF42FB"/>
    <w:rsid w:val="0DDF0D4D"/>
    <w:rsid w:val="0DDF6F9F"/>
    <w:rsid w:val="0E15651D"/>
    <w:rsid w:val="0E233290"/>
    <w:rsid w:val="0E286250"/>
    <w:rsid w:val="0E2E2597"/>
    <w:rsid w:val="0E4017EB"/>
    <w:rsid w:val="0E4312DC"/>
    <w:rsid w:val="0E572473"/>
    <w:rsid w:val="0E572FD9"/>
    <w:rsid w:val="0E6B707E"/>
    <w:rsid w:val="0E6F0323"/>
    <w:rsid w:val="0E736559"/>
    <w:rsid w:val="0E7E0566"/>
    <w:rsid w:val="0E7E5FC5"/>
    <w:rsid w:val="0E8A515C"/>
    <w:rsid w:val="0EA26E0B"/>
    <w:rsid w:val="0EAD2BF9"/>
    <w:rsid w:val="0EB61AAE"/>
    <w:rsid w:val="0EE7435D"/>
    <w:rsid w:val="0EE83C31"/>
    <w:rsid w:val="0EF752E4"/>
    <w:rsid w:val="0F0547E3"/>
    <w:rsid w:val="0F20786F"/>
    <w:rsid w:val="0F380290"/>
    <w:rsid w:val="0F3D21CF"/>
    <w:rsid w:val="0F490B74"/>
    <w:rsid w:val="0F4C41C0"/>
    <w:rsid w:val="0F4D3916"/>
    <w:rsid w:val="0F6239E3"/>
    <w:rsid w:val="0F6C4862"/>
    <w:rsid w:val="0F6E32CF"/>
    <w:rsid w:val="0F753717"/>
    <w:rsid w:val="0F76123D"/>
    <w:rsid w:val="0F917E25"/>
    <w:rsid w:val="0F957915"/>
    <w:rsid w:val="0FB56209"/>
    <w:rsid w:val="0FC770AD"/>
    <w:rsid w:val="0FD22917"/>
    <w:rsid w:val="0FD91EF8"/>
    <w:rsid w:val="0FE20680"/>
    <w:rsid w:val="0FE8258B"/>
    <w:rsid w:val="100D1BA1"/>
    <w:rsid w:val="100E1475"/>
    <w:rsid w:val="101507B9"/>
    <w:rsid w:val="101E5B5C"/>
    <w:rsid w:val="10207B26"/>
    <w:rsid w:val="10251AC8"/>
    <w:rsid w:val="103435D2"/>
    <w:rsid w:val="103E1D5B"/>
    <w:rsid w:val="10594DE6"/>
    <w:rsid w:val="106B4B1A"/>
    <w:rsid w:val="107D1AA2"/>
    <w:rsid w:val="10A02A15"/>
    <w:rsid w:val="10B77D5F"/>
    <w:rsid w:val="10BB439B"/>
    <w:rsid w:val="10BE733F"/>
    <w:rsid w:val="10D26947"/>
    <w:rsid w:val="10E2302E"/>
    <w:rsid w:val="10FE239E"/>
    <w:rsid w:val="11050ACA"/>
    <w:rsid w:val="11103220"/>
    <w:rsid w:val="111A671C"/>
    <w:rsid w:val="11230F50"/>
    <w:rsid w:val="112626DD"/>
    <w:rsid w:val="11277FB0"/>
    <w:rsid w:val="114A2981"/>
    <w:rsid w:val="11520EE3"/>
    <w:rsid w:val="11550756"/>
    <w:rsid w:val="11632FCB"/>
    <w:rsid w:val="117F6ACF"/>
    <w:rsid w:val="11977C51"/>
    <w:rsid w:val="119B239A"/>
    <w:rsid w:val="11B60016"/>
    <w:rsid w:val="11C4136F"/>
    <w:rsid w:val="11CE710E"/>
    <w:rsid w:val="11D54078"/>
    <w:rsid w:val="11DD06AB"/>
    <w:rsid w:val="11DD37F5"/>
    <w:rsid w:val="11FC011F"/>
    <w:rsid w:val="12046FD4"/>
    <w:rsid w:val="120D4DF6"/>
    <w:rsid w:val="121F3E0E"/>
    <w:rsid w:val="122B75B6"/>
    <w:rsid w:val="1232769D"/>
    <w:rsid w:val="12425A0D"/>
    <w:rsid w:val="1243022B"/>
    <w:rsid w:val="12633CFA"/>
    <w:rsid w:val="12647A72"/>
    <w:rsid w:val="12695089"/>
    <w:rsid w:val="126F6B43"/>
    <w:rsid w:val="127A3E77"/>
    <w:rsid w:val="12900868"/>
    <w:rsid w:val="12913354"/>
    <w:rsid w:val="12AA1929"/>
    <w:rsid w:val="12C624DB"/>
    <w:rsid w:val="12C81DAF"/>
    <w:rsid w:val="12D20E80"/>
    <w:rsid w:val="12D70244"/>
    <w:rsid w:val="12E65F6D"/>
    <w:rsid w:val="12F6691D"/>
    <w:rsid w:val="130152C1"/>
    <w:rsid w:val="13135720"/>
    <w:rsid w:val="131555DD"/>
    <w:rsid w:val="131B05CE"/>
    <w:rsid w:val="131D659F"/>
    <w:rsid w:val="13380D73"/>
    <w:rsid w:val="134C56A9"/>
    <w:rsid w:val="134E6759"/>
    <w:rsid w:val="135C1124"/>
    <w:rsid w:val="136A01E4"/>
    <w:rsid w:val="137B1518"/>
    <w:rsid w:val="13800018"/>
    <w:rsid w:val="138008DC"/>
    <w:rsid w:val="139F6FB4"/>
    <w:rsid w:val="13A44930"/>
    <w:rsid w:val="13B54A2A"/>
    <w:rsid w:val="13CE5AEB"/>
    <w:rsid w:val="13D44784"/>
    <w:rsid w:val="13D51308"/>
    <w:rsid w:val="13DD7ADC"/>
    <w:rsid w:val="13E97E92"/>
    <w:rsid w:val="13F015BE"/>
    <w:rsid w:val="13F14830"/>
    <w:rsid w:val="13F60B9E"/>
    <w:rsid w:val="140908D1"/>
    <w:rsid w:val="14261483"/>
    <w:rsid w:val="14665D24"/>
    <w:rsid w:val="14771CDF"/>
    <w:rsid w:val="147A1696"/>
    <w:rsid w:val="147B4610"/>
    <w:rsid w:val="148443FC"/>
    <w:rsid w:val="14847F58"/>
    <w:rsid w:val="14856738"/>
    <w:rsid w:val="148F29C6"/>
    <w:rsid w:val="149503B7"/>
    <w:rsid w:val="14981823"/>
    <w:rsid w:val="14BA370F"/>
    <w:rsid w:val="14CE1EF8"/>
    <w:rsid w:val="14D659A8"/>
    <w:rsid w:val="14D7277E"/>
    <w:rsid w:val="14EF3F6B"/>
    <w:rsid w:val="150F3E5F"/>
    <w:rsid w:val="15233C15"/>
    <w:rsid w:val="15267261"/>
    <w:rsid w:val="154D47EE"/>
    <w:rsid w:val="154F0574"/>
    <w:rsid w:val="155142DE"/>
    <w:rsid w:val="155E2E9F"/>
    <w:rsid w:val="15687DA2"/>
    <w:rsid w:val="15730ED9"/>
    <w:rsid w:val="15747FCD"/>
    <w:rsid w:val="157F3B63"/>
    <w:rsid w:val="158108CE"/>
    <w:rsid w:val="15816CBF"/>
    <w:rsid w:val="15844E19"/>
    <w:rsid w:val="15A703A2"/>
    <w:rsid w:val="15A80C9F"/>
    <w:rsid w:val="15A9236C"/>
    <w:rsid w:val="15B46403"/>
    <w:rsid w:val="15D53161"/>
    <w:rsid w:val="15DA0777"/>
    <w:rsid w:val="15E74C42"/>
    <w:rsid w:val="15F35395"/>
    <w:rsid w:val="15FB41C4"/>
    <w:rsid w:val="160E7877"/>
    <w:rsid w:val="161F262E"/>
    <w:rsid w:val="16224F3C"/>
    <w:rsid w:val="162C6AF9"/>
    <w:rsid w:val="16353C00"/>
    <w:rsid w:val="16394E85"/>
    <w:rsid w:val="167B36D8"/>
    <w:rsid w:val="16873D30"/>
    <w:rsid w:val="168801D3"/>
    <w:rsid w:val="16882D6F"/>
    <w:rsid w:val="16895CFA"/>
    <w:rsid w:val="16966BA2"/>
    <w:rsid w:val="16AB3EC2"/>
    <w:rsid w:val="16AE7042"/>
    <w:rsid w:val="16B0772A"/>
    <w:rsid w:val="16B1711F"/>
    <w:rsid w:val="16B74615"/>
    <w:rsid w:val="16BF056C"/>
    <w:rsid w:val="16C67F1D"/>
    <w:rsid w:val="16D57191"/>
    <w:rsid w:val="16DF3B6C"/>
    <w:rsid w:val="170D06D9"/>
    <w:rsid w:val="172577D0"/>
    <w:rsid w:val="17550AD5"/>
    <w:rsid w:val="17562080"/>
    <w:rsid w:val="175E0F34"/>
    <w:rsid w:val="176104DD"/>
    <w:rsid w:val="177E3384"/>
    <w:rsid w:val="17807C5D"/>
    <w:rsid w:val="1787048B"/>
    <w:rsid w:val="178B03C2"/>
    <w:rsid w:val="178C3CF3"/>
    <w:rsid w:val="17A821AF"/>
    <w:rsid w:val="17B71779"/>
    <w:rsid w:val="17D07906"/>
    <w:rsid w:val="17E4768B"/>
    <w:rsid w:val="17F17FFA"/>
    <w:rsid w:val="17F453F5"/>
    <w:rsid w:val="17FA31CA"/>
    <w:rsid w:val="17FD2ADD"/>
    <w:rsid w:val="180F54BF"/>
    <w:rsid w:val="18155A97"/>
    <w:rsid w:val="181F6915"/>
    <w:rsid w:val="18297794"/>
    <w:rsid w:val="182F71BE"/>
    <w:rsid w:val="18356139"/>
    <w:rsid w:val="184439B2"/>
    <w:rsid w:val="1853036D"/>
    <w:rsid w:val="18561C0B"/>
    <w:rsid w:val="18664544"/>
    <w:rsid w:val="188744BB"/>
    <w:rsid w:val="189C0FC8"/>
    <w:rsid w:val="18BD132A"/>
    <w:rsid w:val="18C179CD"/>
    <w:rsid w:val="18C82B09"/>
    <w:rsid w:val="18E90CD1"/>
    <w:rsid w:val="19031D93"/>
    <w:rsid w:val="190B3A42"/>
    <w:rsid w:val="192D0BBE"/>
    <w:rsid w:val="194F4112"/>
    <w:rsid w:val="194F4FD8"/>
    <w:rsid w:val="19650358"/>
    <w:rsid w:val="196A334B"/>
    <w:rsid w:val="19743821"/>
    <w:rsid w:val="1988673C"/>
    <w:rsid w:val="199155F1"/>
    <w:rsid w:val="19A04370"/>
    <w:rsid w:val="19A05834"/>
    <w:rsid w:val="19AD7F51"/>
    <w:rsid w:val="19B7283D"/>
    <w:rsid w:val="19BE5CBA"/>
    <w:rsid w:val="19C84D8B"/>
    <w:rsid w:val="19D1627E"/>
    <w:rsid w:val="19E54205"/>
    <w:rsid w:val="1A014B84"/>
    <w:rsid w:val="1A077661"/>
    <w:rsid w:val="1A0C35CC"/>
    <w:rsid w:val="1A0E6C42"/>
    <w:rsid w:val="1A277D03"/>
    <w:rsid w:val="1A2E0B73"/>
    <w:rsid w:val="1A3A03E9"/>
    <w:rsid w:val="1A402B73"/>
    <w:rsid w:val="1A4B1C44"/>
    <w:rsid w:val="1A4B4CC9"/>
    <w:rsid w:val="1A501008"/>
    <w:rsid w:val="1A5328A6"/>
    <w:rsid w:val="1A534654"/>
    <w:rsid w:val="1A5773F0"/>
    <w:rsid w:val="1A5B79AD"/>
    <w:rsid w:val="1A614149"/>
    <w:rsid w:val="1A654388"/>
    <w:rsid w:val="1A6C5716"/>
    <w:rsid w:val="1A7840BB"/>
    <w:rsid w:val="1A8C6E4F"/>
    <w:rsid w:val="1AA16AAD"/>
    <w:rsid w:val="1AB23A71"/>
    <w:rsid w:val="1AB908CE"/>
    <w:rsid w:val="1AC35C7E"/>
    <w:rsid w:val="1AD734D7"/>
    <w:rsid w:val="1AE14356"/>
    <w:rsid w:val="1AED2CFB"/>
    <w:rsid w:val="1B1E1106"/>
    <w:rsid w:val="1B232DD2"/>
    <w:rsid w:val="1B2F50C2"/>
    <w:rsid w:val="1B302BE8"/>
    <w:rsid w:val="1B4F12C0"/>
    <w:rsid w:val="1B4F7512"/>
    <w:rsid w:val="1B6537C0"/>
    <w:rsid w:val="1B6D2D79"/>
    <w:rsid w:val="1B6F3710"/>
    <w:rsid w:val="1B723200"/>
    <w:rsid w:val="1B7C5480"/>
    <w:rsid w:val="1B803B6F"/>
    <w:rsid w:val="1B80591D"/>
    <w:rsid w:val="1B83C617"/>
    <w:rsid w:val="1B8F09E8"/>
    <w:rsid w:val="1B9211AC"/>
    <w:rsid w:val="1B9238A2"/>
    <w:rsid w:val="1B9A2B6F"/>
    <w:rsid w:val="1B9A62B3"/>
    <w:rsid w:val="1BA55384"/>
    <w:rsid w:val="1BB11F7A"/>
    <w:rsid w:val="1BB630ED"/>
    <w:rsid w:val="1BCCDB89"/>
    <w:rsid w:val="1BDB0DA5"/>
    <w:rsid w:val="1BE063BC"/>
    <w:rsid w:val="1BEB0EA0"/>
    <w:rsid w:val="1BEFAF36"/>
    <w:rsid w:val="1BF9122C"/>
    <w:rsid w:val="1BFF5757"/>
    <w:rsid w:val="1C053387"/>
    <w:rsid w:val="1C0A1EEA"/>
    <w:rsid w:val="1C167AAF"/>
    <w:rsid w:val="1C281B11"/>
    <w:rsid w:val="1C33473D"/>
    <w:rsid w:val="1C46068E"/>
    <w:rsid w:val="1C567B70"/>
    <w:rsid w:val="1C7C20CC"/>
    <w:rsid w:val="1C7F5BD5"/>
    <w:rsid w:val="1C8319E5"/>
    <w:rsid w:val="1C8B7AE5"/>
    <w:rsid w:val="1C964CCC"/>
    <w:rsid w:val="1C984EE8"/>
    <w:rsid w:val="1C990B07"/>
    <w:rsid w:val="1CAE2016"/>
    <w:rsid w:val="1CCC06EE"/>
    <w:rsid w:val="1CCE4466"/>
    <w:rsid w:val="1CCF4FB5"/>
    <w:rsid w:val="1CD929D4"/>
    <w:rsid w:val="1CDC7DE0"/>
    <w:rsid w:val="1D0E6F59"/>
    <w:rsid w:val="1D1502E7"/>
    <w:rsid w:val="1D172BD3"/>
    <w:rsid w:val="1D291FE4"/>
    <w:rsid w:val="1D7468DE"/>
    <w:rsid w:val="1D764A7B"/>
    <w:rsid w:val="1D8368C1"/>
    <w:rsid w:val="1D851279"/>
    <w:rsid w:val="1D856DD7"/>
    <w:rsid w:val="1D9C27B6"/>
    <w:rsid w:val="1DA77C4B"/>
    <w:rsid w:val="1DAD0520"/>
    <w:rsid w:val="1DC15D79"/>
    <w:rsid w:val="1DC37D43"/>
    <w:rsid w:val="1DCF493A"/>
    <w:rsid w:val="1DD45AAC"/>
    <w:rsid w:val="1DE026A3"/>
    <w:rsid w:val="1DEA52D0"/>
    <w:rsid w:val="1DFE0D7B"/>
    <w:rsid w:val="1E1504DD"/>
    <w:rsid w:val="1E167A51"/>
    <w:rsid w:val="1E4F7829"/>
    <w:rsid w:val="1E5913F5"/>
    <w:rsid w:val="1E64416A"/>
    <w:rsid w:val="1E7159FF"/>
    <w:rsid w:val="1E7344F9"/>
    <w:rsid w:val="1E85324A"/>
    <w:rsid w:val="1E8F5E77"/>
    <w:rsid w:val="1E9A4F48"/>
    <w:rsid w:val="1E9B2DB3"/>
    <w:rsid w:val="1E9D3448"/>
    <w:rsid w:val="1EA23DFC"/>
    <w:rsid w:val="1EAE27A1"/>
    <w:rsid w:val="1EC1343B"/>
    <w:rsid w:val="1EC93137"/>
    <w:rsid w:val="1ECB3353"/>
    <w:rsid w:val="1ECC0E79"/>
    <w:rsid w:val="1ED15897"/>
    <w:rsid w:val="1EDB2E6A"/>
    <w:rsid w:val="1EDD6BE3"/>
    <w:rsid w:val="1EE12B77"/>
    <w:rsid w:val="1EE71BE2"/>
    <w:rsid w:val="1EFF2FFD"/>
    <w:rsid w:val="1F2E7CAC"/>
    <w:rsid w:val="1F3A2287"/>
    <w:rsid w:val="1F3F789D"/>
    <w:rsid w:val="1F444EB4"/>
    <w:rsid w:val="1F4B7FF0"/>
    <w:rsid w:val="1F567358"/>
    <w:rsid w:val="1F661DE6"/>
    <w:rsid w:val="1F7237CF"/>
    <w:rsid w:val="1F761A29"/>
    <w:rsid w:val="1FA6791C"/>
    <w:rsid w:val="1FBE07C2"/>
    <w:rsid w:val="1FC97167"/>
    <w:rsid w:val="1FC97281"/>
    <w:rsid w:val="1FD224BF"/>
    <w:rsid w:val="1FD7CA57"/>
    <w:rsid w:val="1FDF6801"/>
    <w:rsid w:val="1FE43FA1"/>
    <w:rsid w:val="1FF4E560"/>
    <w:rsid w:val="1FF6C78D"/>
    <w:rsid w:val="1FFCF853"/>
    <w:rsid w:val="201A79C2"/>
    <w:rsid w:val="2027280B"/>
    <w:rsid w:val="202D6FD9"/>
    <w:rsid w:val="203E70ED"/>
    <w:rsid w:val="20452C91"/>
    <w:rsid w:val="20474300"/>
    <w:rsid w:val="205253AE"/>
    <w:rsid w:val="20564E9E"/>
    <w:rsid w:val="205E01F7"/>
    <w:rsid w:val="20653ACF"/>
    <w:rsid w:val="2066046D"/>
    <w:rsid w:val="20910690"/>
    <w:rsid w:val="209460BE"/>
    <w:rsid w:val="209928D1"/>
    <w:rsid w:val="209D46FE"/>
    <w:rsid w:val="20C067BC"/>
    <w:rsid w:val="20D65FDF"/>
    <w:rsid w:val="20D66A29"/>
    <w:rsid w:val="20E31D07"/>
    <w:rsid w:val="20E932C7"/>
    <w:rsid w:val="20F67376"/>
    <w:rsid w:val="20FD531A"/>
    <w:rsid w:val="212B00D9"/>
    <w:rsid w:val="212E298C"/>
    <w:rsid w:val="212F0B22"/>
    <w:rsid w:val="214E3DC8"/>
    <w:rsid w:val="21505E37"/>
    <w:rsid w:val="216E6218"/>
    <w:rsid w:val="21712C8B"/>
    <w:rsid w:val="217B0E7A"/>
    <w:rsid w:val="218D0BA4"/>
    <w:rsid w:val="219E6AFD"/>
    <w:rsid w:val="21B77BBF"/>
    <w:rsid w:val="21B83D27"/>
    <w:rsid w:val="21C115EE"/>
    <w:rsid w:val="21D342CD"/>
    <w:rsid w:val="21E87D78"/>
    <w:rsid w:val="22032E04"/>
    <w:rsid w:val="22056B7C"/>
    <w:rsid w:val="222041F2"/>
    <w:rsid w:val="22356DAF"/>
    <w:rsid w:val="223728B2"/>
    <w:rsid w:val="22482F0D"/>
    <w:rsid w:val="224946A5"/>
    <w:rsid w:val="22556A28"/>
    <w:rsid w:val="226B5F53"/>
    <w:rsid w:val="227D2BB6"/>
    <w:rsid w:val="229121BE"/>
    <w:rsid w:val="22955FEA"/>
    <w:rsid w:val="229D6DB5"/>
    <w:rsid w:val="22A30143"/>
    <w:rsid w:val="22B440FE"/>
    <w:rsid w:val="22B53180"/>
    <w:rsid w:val="22DF561F"/>
    <w:rsid w:val="22EC5646"/>
    <w:rsid w:val="22FE5379"/>
    <w:rsid w:val="231E77CA"/>
    <w:rsid w:val="23203542"/>
    <w:rsid w:val="23241284"/>
    <w:rsid w:val="23253EB9"/>
    <w:rsid w:val="23623B5A"/>
    <w:rsid w:val="236553F8"/>
    <w:rsid w:val="237A0EBC"/>
    <w:rsid w:val="238B1303"/>
    <w:rsid w:val="23A8781B"/>
    <w:rsid w:val="23BE21BE"/>
    <w:rsid w:val="23CE11F0"/>
    <w:rsid w:val="23D63116"/>
    <w:rsid w:val="23DC390D"/>
    <w:rsid w:val="23E462A2"/>
    <w:rsid w:val="23F24A28"/>
    <w:rsid w:val="24092228"/>
    <w:rsid w:val="240A022E"/>
    <w:rsid w:val="241430A6"/>
    <w:rsid w:val="24271D5D"/>
    <w:rsid w:val="24523BCF"/>
    <w:rsid w:val="247E2C16"/>
    <w:rsid w:val="2480073C"/>
    <w:rsid w:val="248014F2"/>
    <w:rsid w:val="24831FDA"/>
    <w:rsid w:val="248A15BB"/>
    <w:rsid w:val="249146F7"/>
    <w:rsid w:val="24AD52A9"/>
    <w:rsid w:val="24B07D05"/>
    <w:rsid w:val="24B623B0"/>
    <w:rsid w:val="24C7636B"/>
    <w:rsid w:val="24D42836"/>
    <w:rsid w:val="24D942F0"/>
    <w:rsid w:val="24DD5B8E"/>
    <w:rsid w:val="24E16D01"/>
    <w:rsid w:val="24E45993"/>
    <w:rsid w:val="24EE1B49"/>
    <w:rsid w:val="24F070AA"/>
    <w:rsid w:val="24FF3D57"/>
    <w:rsid w:val="250A44A9"/>
    <w:rsid w:val="251D5F8B"/>
    <w:rsid w:val="253413E5"/>
    <w:rsid w:val="25387269"/>
    <w:rsid w:val="255E47A3"/>
    <w:rsid w:val="256736AA"/>
    <w:rsid w:val="25783B09"/>
    <w:rsid w:val="257F6C45"/>
    <w:rsid w:val="25853B30"/>
    <w:rsid w:val="25926C2E"/>
    <w:rsid w:val="259C15A5"/>
    <w:rsid w:val="25A16BBC"/>
    <w:rsid w:val="25B12B77"/>
    <w:rsid w:val="25B6149B"/>
    <w:rsid w:val="25B74631"/>
    <w:rsid w:val="25B83F05"/>
    <w:rsid w:val="25C951D7"/>
    <w:rsid w:val="25E60A73"/>
    <w:rsid w:val="25EE5B79"/>
    <w:rsid w:val="25EE7D3A"/>
    <w:rsid w:val="25F413E1"/>
    <w:rsid w:val="25FC1810"/>
    <w:rsid w:val="26040EF9"/>
    <w:rsid w:val="26084E8D"/>
    <w:rsid w:val="26163C4F"/>
    <w:rsid w:val="262D66A1"/>
    <w:rsid w:val="26437C73"/>
    <w:rsid w:val="26446854"/>
    <w:rsid w:val="26520498"/>
    <w:rsid w:val="26571970"/>
    <w:rsid w:val="2657371E"/>
    <w:rsid w:val="26720558"/>
    <w:rsid w:val="268B161A"/>
    <w:rsid w:val="26BE379D"/>
    <w:rsid w:val="26DD2E47"/>
    <w:rsid w:val="26E31456"/>
    <w:rsid w:val="26EA6341"/>
    <w:rsid w:val="27032D56"/>
    <w:rsid w:val="270C62B7"/>
    <w:rsid w:val="27221F7E"/>
    <w:rsid w:val="272B3E20"/>
    <w:rsid w:val="27327946"/>
    <w:rsid w:val="27433CA3"/>
    <w:rsid w:val="274F0899"/>
    <w:rsid w:val="277B1D73"/>
    <w:rsid w:val="27987506"/>
    <w:rsid w:val="27AE736E"/>
    <w:rsid w:val="27B94C74"/>
    <w:rsid w:val="27BD6D7E"/>
    <w:rsid w:val="27C6290A"/>
    <w:rsid w:val="27CE5C62"/>
    <w:rsid w:val="27FE6547"/>
    <w:rsid w:val="28200BC3"/>
    <w:rsid w:val="28285B9C"/>
    <w:rsid w:val="282910EA"/>
    <w:rsid w:val="282B09BF"/>
    <w:rsid w:val="28392891"/>
    <w:rsid w:val="28447CD2"/>
    <w:rsid w:val="286E6AFD"/>
    <w:rsid w:val="28706D19"/>
    <w:rsid w:val="287A1946"/>
    <w:rsid w:val="28884063"/>
    <w:rsid w:val="288F719F"/>
    <w:rsid w:val="28C11323"/>
    <w:rsid w:val="28DB0637"/>
    <w:rsid w:val="28EC45F2"/>
    <w:rsid w:val="28F72F97"/>
    <w:rsid w:val="28F9286B"/>
    <w:rsid w:val="29001E4B"/>
    <w:rsid w:val="29148838"/>
    <w:rsid w:val="291B6C85"/>
    <w:rsid w:val="29253660"/>
    <w:rsid w:val="292875F4"/>
    <w:rsid w:val="292C49EE"/>
    <w:rsid w:val="293336BB"/>
    <w:rsid w:val="29437F8A"/>
    <w:rsid w:val="29712D49"/>
    <w:rsid w:val="29787C34"/>
    <w:rsid w:val="297D0908"/>
    <w:rsid w:val="29A504DF"/>
    <w:rsid w:val="29AA1DB7"/>
    <w:rsid w:val="29AC1FD3"/>
    <w:rsid w:val="29B11398"/>
    <w:rsid w:val="29C94933"/>
    <w:rsid w:val="29CA2459"/>
    <w:rsid w:val="29D60DFE"/>
    <w:rsid w:val="29DF1B62"/>
    <w:rsid w:val="29EE6148"/>
    <w:rsid w:val="29F319B0"/>
    <w:rsid w:val="2A1A518F"/>
    <w:rsid w:val="2A375D41"/>
    <w:rsid w:val="2A497822"/>
    <w:rsid w:val="2A571F3F"/>
    <w:rsid w:val="2A61691A"/>
    <w:rsid w:val="2A7E3970"/>
    <w:rsid w:val="2A8645D2"/>
    <w:rsid w:val="2A8940C2"/>
    <w:rsid w:val="2A983B65"/>
    <w:rsid w:val="2AB253C7"/>
    <w:rsid w:val="2AB32EED"/>
    <w:rsid w:val="2AC923B3"/>
    <w:rsid w:val="2AEB2687"/>
    <w:rsid w:val="2B011EAB"/>
    <w:rsid w:val="2B05199B"/>
    <w:rsid w:val="2B1D51AB"/>
    <w:rsid w:val="2B2A7653"/>
    <w:rsid w:val="2B457FE9"/>
    <w:rsid w:val="2B541CD3"/>
    <w:rsid w:val="2B541FB4"/>
    <w:rsid w:val="2B6568DD"/>
    <w:rsid w:val="2B667F60"/>
    <w:rsid w:val="2B675381"/>
    <w:rsid w:val="2B683CD8"/>
    <w:rsid w:val="2B7C3D4A"/>
    <w:rsid w:val="2B822FEC"/>
    <w:rsid w:val="2B9351F9"/>
    <w:rsid w:val="2B963063"/>
    <w:rsid w:val="2BA967CA"/>
    <w:rsid w:val="2BB0561E"/>
    <w:rsid w:val="2BB1742D"/>
    <w:rsid w:val="2BB60EE7"/>
    <w:rsid w:val="2BB807BB"/>
    <w:rsid w:val="2BBE1B4A"/>
    <w:rsid w:val="2BBF7C01"/>
    <w:rsid w:val="2BCE6231"/>
    <w:rsid w:val="2BD40FC2"/>
    <w:rsid w:val="2BE710A1"/>
    <w:rsid w:val="2BEE68D3"/>
    <w:rsid w:val="2BF734FA"/>
    <w:rsid w:val="2BFC09A7"/>
    <w:rsid w:val="2C275941"/>
    <w:rsid w:val="2C475FE3"/>
    <w:rsid w:val="2C506C46"/>
    <w:rsid w:val="2C7843EE"/>
    <w:rsid w:val="2C8114F5"/>
    <w:rsid w:val="2C820DC9"/>
    <w:rsid w:val="2C8B2374"/>
    <w:rsid w:val="2C901738"/>
    <w:rsid w:val="2CB847EB"/>
    <w:rsid w:val="2CCB451E"/>
    <w:rsid w:val="2CDC497D"/>
    <w:rsid w:val="2CDD2F47"/>
    <w:rsid w:val="2CDE7399"/>
    <w:rsid w:val="2CDF5740"/>
    <w:rsid w:val="2CDF621C"/>
    <w:rsid w:val="2CE90E48"/>
    <w:rsid w:val="2CEF679C"/>
    <w:rsid w:val="2CF63C91"/>
    <w:rsid w:val="2CFA4760"/>
    <w:rsid w:val="2D0619FA"/>
    <w:rsid w:val="2D0637A8"/>
    <w:rsid w:val="2D0A07F1"/>
    <w:rsid w:val="2D157E8F"/>
    <w:rsid w:val="2D1A587D"/>
    <w:rsid w:val="2D510EC7"/>
    <w:rsid w:val="2D7723FE"/>
    <w:rsid w:val="2D7838E8"/>
    <w:rsid w:val="2D850B71"/>
    <w:rsid w:val="2DA43948"/>
    <w:rsid w:val="2DB476A8"/>
    <w:rsid w:val="2DC028EA"/>
    <w:rsid w:val="2DCA2A28"/>
    <w:rsid w:val="2DF223B9"/>
    <w:rsid w:val="2DF53F49"/>
    <w:rsid w:val="2DFF6B75"/>
    <w:rsid w:val="2E075A2A"/>
    <w:rsid w:val="2E141EF5"/>
    <w:rsid w:val="2E206AEC"/>
    <w:rsid w:val="2E2425C2"/>
    <w:rsid w:val="2E2E745B"/>
    <w:rsid w:val="2E312AA7"/>
    <w:rsid w:val="2E314855"/>
    <w:rsid w:val="2E3B2B96"/>
    <w:rsid w:val="2E444588"/>
    <w:rsid w:val="2E454CF5"/>
    <w:rsid w:val="2E4F2F2D"/>
    <w:rsid w:val="2E7110F5"/>
    <w:rsid w:val="2E821554"/>
    <w:rsid w:val="2EA7FCA6"/>
    <w:rsid w:val="2EBF6305"/>
    <w:rsid w:val="2EED4C20"/>
    <w:rsid w:val="2F022843"/>
    <w:rsid w:val="2F305F78"/>
    <w:rsid w:val="2F3350DA"/>
    <w:rsid w:val="2F4405B8"/>
    <w:rsid w:val="2F4F58DB"/>
    <w:rsid w:val="2F7470EF"/>
    <w:rsid w:val="2F803CE6"/>
    <w:rsid w:val="2F8957A0"/>
    <w:rsid w:val="2FB45D90"/>
    <w:rsid w:val="2FBF99C0"/>
    <w:rsid w:val="2FC25681"/>
    <w:rsid w:val="2FC43A36"/>
    <w:rsid w:val="2FC82F97"/>
    <w:rsid w:val="2FCF7B1D"/>
    <w:rsid w:val="2FD86909"/>
    <w:rsid w:val="2FD933F6"/>
    <w:rsid w:val="2FDFB2A7"/>
    <w:rsid w:val="2FEC3129"/>
    <w:rsid w:val="2FEE19FC"/>
    <w:rsid w:val="2FF81ACE"/>
    <w:rsid w:val="30032221"/>
    <w:rsid w:val="300C37CC"/>
    <w:rsid w:val="300F7D73"/>
    <w:rsid w:val="301B2E73"/>
    <w:rsid w:val="303C654E"/>
    <w:rsid w:val="305D5DD5"/>
    <w:rsid w:val="30844326"/>
    <w:rsid w:val="3088272F"/>
    <w:rsid w:val="309D2676"/>
    <w:rsid w:val="309D4424"/>
    <w:rsid w:val="30E3452C"/>
    <w:rsid w:val="30F304E8"/>
    <w:rsid w:val="30F57DBC"/>
    <w:rsid w:val="3106646D"/>
    <w:rsid w:val="311913D7"/>
    <w:rsid w:val="311F752F"/>
    <w:rsid w:val="312E383F"/>
    <w:rsid w:val="313B4368"/>
    <w:rsid w:val="313E0256"/>
    <w:rsid w:val="31470B66"/>
    <w:rsid w:val="31561180"/>
    <w:rsid w:val="315C608D"/>
    <w:rsid w:val="315F16D9"/>
    <w:rsid w:val="316118F5"/>
    <w:rsid w:val="31665236"/>
    <w:rsid w:val="31712A4F"/>
    <w:rsid w:val="317FFE95"/>
    <w:rsid w:val="318C5DD7"/>
    <w:rsid w:val="31A43407"/>
    <w:rsid w:val="31B373F4"/>
    <w:rsid w:val="31B47C77"/>
    <w:rsid w:val="31BB2DB3"/>
    <w:rsid w:val="31C0661C"/>
    <w:rsid w:val="31D15E2F"/>
    <w:rsid w:val="31DA2D13"/>
    <w:rsid w:val="32316565"/>
    <w:rsid w:val="325176EF"/>
    <w:rsid w:val="3262046B"/>
    <w:rsid w:val="3264169D"/>
    <w:rsid w:val="32743B56"/>
    <w:rsid w:val="327B69E7"/>
    <w:rsid w:val="328B705E"/>
    <w:rsid w:val="328F5FEE"/>
    <w:rsid w:val="32DA733F"/>
    <w:rsid w:val="330B3CCA"/>
    <w:rsid w:val="3341378C"/>
    <w:rsid w:val="33574D5E"/>
    <w:rsid w:val="33705E1F"/>
    <w:rsid w:val="339715FE"/>
    <w:rsid w:val="339935C8"/>
    <w:rsid w:val="339F73A0"/>
    <w:rsid w:val="33A72ED9"/>
    <w:rsid w:val="33A87367"/>
    <w:rsid w:val="33AA1331"/>
    <w:rsid w:val="33B51F64"/>
    <w:rsid w:val="33B605E0"/>
    <w:rsid w:val="33B75F17"/>
    <w:rsid w:val="33B80537"/>
    <w:rsid w:val="33BC38CE"/>
    <w:rsid w:val="33C85C5B"/>
    <w:rsid w:val="33DA14EB"/>
    <w:rsid w:val="33DF0A33"/>
    <w:rsid w:val="33E222C5"/>
    <w:rsid w:val="33E74B70"/>
    <w:rsid w:val="33EB6BBB"/>
    <w:rsid w:val="33F407FF"/>
    <w:rsid w:val="34060532"/>
    <w:rsid w:val="340A7C17"/>
    <w:rsid w:val="34142C4F"/>
    <w:rsid w:val="342D3D10"/>
    <w:rsid w:val="344057F2"/>
    <w:rsid w:val="34480B4A"/>
    <w:rsid w:val="345614B9"/>
    <w:rsid w:val="345E3ECA"/>
    <w:rsid w:val="346516FC"/>
    <w:rsid w:val="34757B91"/>
    <w:rsid w:val="34781430"/>
    <w:rsid w:val="347C35F2"/>
    <w:rsid w:val="3486483B"/>
    <w:rsid w:val="348A4CBF"/>
    <w:rsid w:val="348D2EC8"/>
    <w:rsid w:val="34F07218"/>
    <w:rsid w:val="34FA58D6"/>
    <w:rsid w:val="35245113"/>
    <w:rsid w:val="35380BBF"/>
    <w:rsid w:val="353942DE"/>
    <w:rsid w:val="35415CC5"/>
    <w:rsid w:val="35431A3E"/>
    <w:rsid w:val="35611EC4"/>
    <w:rsid w:val="356B689E"/>
    <w:rsid w:val="35792B4A"/>
    <w:rsid w:val="35935DF5"/>
    <w:rsid w:val="35A16C14"/>
    <w:rsid w:val="35A2048B"/>
    <w:rsid w:val="35A3072E"/>
    <w:rsid w:val="35BC359E"/>
    <w:rsid w:val="35D72186"/>
    <w:rsid w:val="35F5085E"/>
    <w:rsid w:val="35F76384"/>
    <w:rsid w:val="3601311E"/>
    <w:rsid w:val="361B02C4"/>
    <w:rsid w:val="36252EF1"/>
    <w:rsid w:val="362A675A"/>
    <w:rsid w:val="364A6DFC"/>
    <w:rsid w:val="364C2B74"/>
    <w:rsid w:val="365D49E4"/>
    <w:rsid w:val="36637EBD"/>
    <w:rsid w:val="36687282"/>
    <w:rsid w:val="368E59E9"/>
    <w:rsid w:val="36A007CA"/>
    <w:rsid w:val="36AC53C0"/>
    <w:rsid w:val="36B10201"/>
    <w:rsid w:val="36BD5820"/>
    <w:rsid w:val="36C02C1A"/>
    <w:rsid w:val="36EF52AD"/>
    <w:rsid w:val="36FB1EA4"/>
    <w:rsid w:val="36FD3E6E"/>
    <w:rsid w:val="37026FA5"/>
    <w:rsid w:val="37215DAE"/>
    <w:rsid w:val="37294C63"/>
    <w:rsid w:val="374455F9"/>
    <w:rsid w:val="374E6478"/>
    <w:rsid w:val="376143FD"/>
    <w:rsid w:val="37781747"/>
    <w:rsid w:val="379320DC"/>
    <w:rsid w:val="37976AC4"/>
    <w:rsid w:val="379F4B4D"/>
    <w:rsid w:val="37AA17C2"/>
    <w:rsid w:val="37B02C8E"/>
    <w:rsid w:val="37B704C1"/>
    <w:rsid w:val="37D746BF"/>
    <w:rsid w:val="37E447F4"/>
    <w:rsid w:val="37E82392"/>
    <w:rsid w:val="37EA3B69"/>
    <w:rsid w:val="37FD6DAF"/>
    <w:rsid w:val="37FE7E9E"/>
    <w:rsid w:val="38143DCD"/>
    <w:rsid w:val="38152863"/>
    <w:rsid w:val="38190834"/>
    <w:rsid w:val="38233460"/>
    <w:rsid w:val="3831783F"/>
    <w:rsid w:val="383513E6"/>
    <w:rsid w:val="384F4255"/>
    <w:rsid w:val="385775AE"/>
    <w:rsid w:val="3860343D"/>
    <w:rsid w:val="3885411B"/>
    <w:rsid w:val="388C36FB"/>
    <w:rsid w:val="3890049B"/>
    <w:rsid w:val="38925CB0"/>
    <w:rsid w:val="38991F2F"/>
    <w:rsid w:val="38B62526"/>
    <w:rsid w:val="38BD38B5"/>
    <w:rsid w:val="38BF587F"/>
    <w:rsid w:val="38D330D8"/>
    <w:rsid w:val="38E272C7"/>
    <w:rsid w:val="38F152DB"/>
    <w:rsid w:val="38F848ED"/>
    <w:rsid w:val="38FE5C7B"/>
    <w:rsid w:val="390513B5"/>
    <w:rsid w:val="391D25A6"/>
    <w:rsid w:val="392014DE"/>
    <w:rsid w:val="39396CB4"/>
    <w:rsid w:val="393D2C48"/>
    <w:rsid w:val="39442D14"/>
    <w:rsid w:val="394C4C39"/>
    <w:rsid w:val="396A637E"/>
    <w:rsid w:val="396B184F"/>
    <w:rsid w:val="39761CB6"/>
    <w:rsid w:val="397A17A6"/>
    <w:rsid w:val="399C171C"/>
    <w:rsid w:val="399C6A91"/>
    <w:rsid w:val="39A81DCF"/>
    <w:rsid w:val="39BC24D5"/>
    <w:rsid w:val="39BD52B4"/>
    <w:rsid w:val="39CD7B28"/>
    <w:rsid w:val="39E65C0C"/>
    <w:rsid w:val="39F33306"/>
    <w:rsid w:val="3A25472B"/>
    <w:rsid w:val="3A2F2590"/>
    <w:rsid w:val="3A37307B"/>
    <w:rsid w:val="3A3E4582"/>
    <w:rsid w:val="3A436859"/>
    <w:rsid w:val="3A4A561C"/>
    <w:rsid w:val="3A4D6EBA"/>
    <w:rsid w:val="3A541FF7"/>
    <w:rsid w:val="3A55759E"/>
    <w:rsid w:val="3A627756"/>
    <w:rsid w:val="3A661D2A"/>
    <w:rsid w:val="3A8B11B8"/>
    <w:rsid w:val="3A914FF9"/>
    <w:rsid w:val="3A9B5E78"/>
    <w:rsid w:val="3AA50AA5"/>
    <w:rsid w:val="3AB24F6F"/>
    <w:rsid w:val="3AB90945"/>
    <w:rsid w:val="3ABB4729"/>
    <w:rsid w:val="3AC53FE9"/>
    <w:rsid w:val="3ACA22B9"/>
    <w:rsid w:val="3AD57AD7"/>
    <w:rsid w:val="3ADB2718"/>
    <w:rsid w:val="3AE77312"/>
    <w:rsid w:val="3AF37A62"/>
    <w:rsid w:val="3AF70D19"/>
    <w:rsid w:val="3B027CA5"/>
    <w:rsid w:val="3B075CE3"/>
    <w:rsid w:val="3B077069"/>
    <w:rsid w:val="3B0D21A6"/>
    <w:rsid w:val="3B194FEF"/>
    <w:rsid w:val="3B266598"/>
    <w:rsid w:val="3B4D3EA5"/>
    <w:rsid w:val="3B530501"/>
    <w:rsid w:val="3B733361"/>
    <w:rsid w:val="3B7C7E71"/>
    <w:rsid w:val="3B824942"/>
    <w:rsid w:val="3B857597"/>
    <w:rsid w:val="3B9E73D3"/>
    <w:rsid w:val="3BAF391F"/>
    <w:rsid w:val="3BB03082"/>
    <w:rsid w:val="3BBF16F2"/>
    <w:rsid w:val="3BBF5B96"/>
    <w:rsid w:val="3BC91625"/>
    <w:rsid w:val="3BD553B9"/>
    <w:rsid w:val="3BE556D1"/>
    <w:rsid w:val="3BF5780A"/>
    <w:rsid w:val="3BFF41E4"/>
    <w:rsid w:val="3C0813D9"/>
    <w:rsid w:val="3C14073A"/>
    <w:rsid w:val="3C196E25"/>
    <w:rsid w:val="3C290978"/>
    <w:rsid w:val="3C410359"/>
    <w:rsid w:val="3C4340D1"/>
    <w:rsid w:val="3C4936B2"/>
    <w:rsid w:val="3C4B567C"/>
    <w:rsid w:val="3C756E43"/>
    <w:rsid w:val="3C7C4964"/>
    <w:rsid w:val="3C7F0E81"/>
    <w:rsid w:val="3C7F70D3"/>
    <w:rsid w:val="3C900B1D"/>
    <w:rsid w:val="3C991F43"/>
    <w:rsid w:val="3C9963E7"/>
    <w:rsid w:val="3CA116E0"/>
    <w:rsid w:val="3CAC611A"/>
    <w:rsid w:val="3CB5E8A7"/>
    <w:rsid w:val="3CBF37BC"/>
    <w:rsid w:val="3CC80D88"/>
    <w:rsid w:val="3CCD42E3"/>
    <w:rsid w:val="3CD613E9"/>
    <w:rsid w:val="3CE04670"/>
    <w:rsid w:val="3CEC4769"/>
    <w:rsid w:val="3CF20A77"/>
    <w:rsid w:val="3CF61143"/>
    <w:rsid w:val="3CFDCA63"/>
    <w:rsid w:val="3CFEA4A8"/>
    <w:rsid w:val="3D026DA3"/>
    <w:rsid w:val="3D2B5047"/>
    <w:rsid w:val="3D361E88"/>
    <w:rsid w:val="3D4A76E1"/>
    <w:rsid w:val="3D4C16AB"/>
    <w:rsid w:val="3D5347E8"/>
    <w:rsid w:val="3D580050"/>
    <w:rsid w:val="3D5A3DC8"/>
    <w:rsid w:val="3D5A48FB"/>
    <w:rsid w:val="3D5D3C39"/>
    <w:rsid w:val="3D5F318D"/>
    <w:rsid w:val="3D653D41"/>
    <w:rsid w:val="3D69E6AC"/>
    <w:rsid w:val="3D6DE757"/>
    <w:rsid w:val="3D712EC0"/>
    <w:rsid w:val="3D8B6303"/>
    <w:rsid w:val="3D9C03D6"/>
    <w:rsid w:val="3DAC5CA6"/>
    <w:rsid w:val="3DAD4CBD"/>
    <w:rsid w:val="3DAEC812"/>
    <w:rsid w:val="3DB87FDB"/>
    <w:rsid w:val="3DC70D32"/>
    <w:rsid w:val="3DD82F3F"/>
    <w:rsid w:val="3DFD6502"/>
    <w:rsid w:val="3E0943BD"/>
    <w:rsid w:val="3E1321C9"/>
    <w:rsid w:val="3E133F77"/>
    <w:rsid w:val="3E14209A"/>
    <w:rsid w:val="3E2148E6"/>
    <w:rsid w:val="3E287A22"/>
    <w:rsid w:val="3E2B306F"/>
    <w:rsid w:val="3E3671A0"/>
    <w:rsid w:val="3E3C527C"/>
    <w:rsid w:val="3E432768"/>
    <w:rsid w:val="3E4E12D0"/>
    <w:rsid w:val="3E612F34"/>
    <w:rsid w:val="3E693B97"/>
    <w:rsid w:val="3E6D18D9"/>
    <w:rsid w:val="3E6F2FA9"/>
    <w:rsid w:val="3E815385"/>
    <w:rsid w:val="3EA177D5"/>
    <w:rsid w:val="3EA846BF"/>
    <w:rsid w:val="3EE10AA9"/>
    <w:rsid w:val="3EF9316D"/>
    <w:rsid w:val="3EFF237A"/>
    <w:rsid w:val="3F00274D"/>
    <w:rsid w:val="3F0F98C3"/>
    <w:rsid w:val="3F1C08AF"/>
    <w:rsid w:val="3F275F2C"/>
    <w:rsid w:val="3F2F0A6C"/>
    <w:rsid w:val="3F32667F"/>
    <w:rsid w:val="3F340649"/>
    <w:rsid w:val="3F4179B2"/>
    <w:rsid w:val="3F454604"/>
    <w:rsid w:val="3F4A39C9"/>
    <w:rsid w:val="3F536D21"/>
    <w:rsid w:val="3F5ECFBF"/>
    <w:rsid w:val="3F632CDC"/>
    <w:rsid w:val="3F746C97"/>
    <w:rsid w:val="3F7B4780"/>
    <w:rsid w:val="3F7E18C4"/>
    <w:rsid w:val="3F7E85CC"/>
    <w:rsid w:val="3F9F0D41"/>
    <w:rsid w:val="3FB35063"/>
    <w:rsid w:val="3FB47094"/>
    <w:rsid w:val="3FC612EB"/>
    <w:rsid w:val="3FD61700"/>
    <w:rsid w:val="3FD6525C"/>
    <w:rsid w:val="3FDD65EB"/>
    <w:rsid w:val="3FE0432D"/>
    <w:rsid w:val="3FE77469"/>
    <w:rsid w:val="3FF0B015"/>
    <w:rsid w:val="3FF7826E"/>
    <w:rsid w:val="3FF878C8"/>
    <w:rsid w:val="3FFCEEDE"/>
    <w:rsid w:val="3FFF80BA"/>
    <w:rsid w:val="40030A15"/>
    <w:rsid w:val="40037546"/>
    <w:rsid w:val="40041DC9"/>
    <w:rsid w:val="400718BA"/>
    <w:rsid w:val="400C0C7E"/>
    <w:rsid w:val="401A6732"/>
    <w:rsid w:val="401F30A7"/>
    <w:rsid w:val="402B1A4C"/>
    <w:rsid w:val="4039319A"/>
    <w:rsid w:val="4050500F"/>
    <w:rsid w:val="40512725"/>
    <w:rsid w:val="405D597D"/>
    <w:rsid w:val="40692574"/>
    <w:rsid w:val="406B7F41"/>
    <w:rsid w:val="40866C82"/>
    <w:rsid w:val="40921BCC"/>
    <w:rsid w:val="40A47108"/>
    <w:rsid w:val="40A959C8"/>
    <w:rsid w:val="40B52A37"/>
    <w:rsid w:val="40BC08F6"/>
    <w:rsid w:val="40C67010"/>
    <w:rsid w:val="40CB0B39"/>
    <w:rsid w:val="40E83499"/>
    <w:rsid w:val="40F736DC"/>
    <w:rsid w:val="41006A35"/>
    <w:rsid w:val="41210759"/>
    <w:rsid w:val="413C37E5"/>
    <w:rsid w:val="4143359F"/>
    <w:rsid w:val="414E51B4"/>
    <w:rsid w:val="414F176A"/>
    <w:rsid w:val="41517290"/>
    <w:rsid w:val="415C79E3"/>
    <w:rsid w:val="415E5D0C"/>
    <w:rsid w:val="416A65A4"/>
    <w:rsid w:val="417D62FA"/>
    <w:rsid w:val="4182744A"/>
    <w:rsid w:val="41831414"/>
    <w:rsid w:val="418F600A"/>
    <w:rsid w:val="418F7DB9"/>
    <w:rsid w:val="41990C37"/>
    <w:rsid w:val="41A13939"/>
    <w:rsid w:val="41AD1CDA"/>
    <w:rsid w:val="41AE628C"/>
    <w:rsid w:val="41AF2209"/>
    <w:rsid w:val="41BC53EC"/>
    <w:rsid w:val="41CC21FF"/>
    <w:rsid w:val="41D103D1"/>
    <w:rsid w:val="41E03B4E"/>
    <w:rsid w:val="422B001A"/>
    <w:rsid w:val="422B7AE1"/>
    <w:rsid w:val="42442951"/>
    <w:rsid w:val="424961B9"/>
    <w:rsid w:val="42524C1A"/>
    <w:rsid w:val="42613503"/>
    <w:rsid w:val="42664FBD"/>
    <w:rsid w:val="426D00FA"/>
    <w:rsid w:val="42876CE2"/>
    <w:rsid w:val="4288086F"/>
    <w:rsid w:val="4292190E"/>
    <w:rsid w:val="42B850ED"/>
    <w:rsid w:val="42BE0955"/>
    <w:rsid w:val="42D737C5"/>
    <w:rsid w:val="42DF08CC"/>
    <w:rsid w:val="42E30F10"/>
    <w:rsid w:val="42E6775D"/>
    <w:rsid w:val="43094082"/>
    <w:rsid w:val="430B7913"/>
    <w:rsid w:val="430F11B1"/>
    <w:rsid w:val="431D5CC6"/>
    <w:rsid w:val="431D66A9"/>
    <w:rsid w:val="43324E9F"/>
    <w:rsid w:val="433E3844"/>
    <w:rsid w:val="434846C3"/>
    <w:rsid w:val="43494C8F"/>
    <w:rsid w:val="435272F0"/>
    <w:rsid w:val="435B6CCA"/>
    <w:rsid w:val="436D237B"/>
    <w:rsid w:val="43747266"/>
    <w:rsid w:val="437CB373"/>
    <w:rsid w:val="43811983"/>
    <w:rsid w:val="43866F99"/>
    <w:rsid w:val="438B3949"/>
    <w:rsid w:val="439E0787"/>
    <w:rsid w:val="439E597D"/>
    <w:rsid w:val="43A51B15"/>
    <w:rsid w:val="43BC29BB"/>
    <w:rsid w:val="43C31F9B"/>
    <w:rsid w:val="43CC0E50"/>
    <w:rsid w:val="43CC70A2"/>
    <w:rsid w:val="43F263DD"/>
    <w:rsid w:val="43FD54AD"/>
    <w:rsid w:val="440F5CF9"/>
    <w:rsid w:val="44146C41"/>
    <w:rsid w:val="44167FBB"/>
    <w:rsid w:val="44204C51"/>
    <w:rsid w:val="4427252A"/>
    <w:rsid w:val="442E1B0B"/>
    <w:rsid w:val="443D37D4"/>
    <w:rsid w:val="443D58AA"/>
    <w:rsid w:val="444255B6"/>
    <w:rsid w:val="444430DC"/>
    <w:rsid w:val="44520388"/>
    <w:rsid w:val="445D7CFA"/>
    <w:rsid w:val="4469669F"/>
    <w:rsid w:val="446E1F07"/>
    <w:rsid w:val="447137A5"/>
    <w:rsid w:val="447174D3"/>
    <w:rsid w:val="44913E48"/>
    <w:rsid w:val="44A17B34"/>
    <w:rsid w:val="44C34AB0"/>
    <w:rsid w:val="44EC2702"/>
    <w:rsid w:val="44EC5230"/>
    <w:rsid w:val="44FE772F"/>
    <w:rsid w:val="45066BBD"/>
    <w:rsid w:val="45264590"/>
    <w:rsid w:val="4528655A"/>
    <w:rsid w:val="45336CAD"/>
    <w:rsid w:val="453942C3"/>
    <w:rsid w:val="45465B73"/>
    <w:rsid w:val="454669E0"/>
    <w:rsid w:val="455A06DD"/>
    <w:rsid w:val="456A4DC4"/>
    <w:rsid w:val="457C2402"/>
    <w:rsid w:val="457C68A6"/>
    <w:rsid w:val="45813BAC"/>
    <w:rsid w:val="4586587B"/>
    <w:rsid w:val="458713BE"/>
    <w:rsid w:val="45A977B7"/>
    <w:rsid w:val="45BA50C5"/>
    <w:rsid w:val="45D109A0"/>
    <w:rsid w:val="45E85CE9"/>
    <w:rsid w:val="45ED3300"/>
    <w:rsid w:val="45EE3F48"/>
    <w:rsid w:val="45F4643C"/>
    <w:rsid w:val="45F97EF6"/>
    <w:rsid w:val="45FB1277"/>
    <w:rsid w:val="45FF375F"/>
    <w:rsid w:val="461A372F"/>
    <w:rsid w:val="461F5BAF"/>
    <w:rsid w:val="462211FB"/>
    <w:rsid w:val="46250CEB"/>
    <w:rsid w:val="46454EEA"/>
    <w:rsid w:val="46456C98"/>
    <w:rsid w:val="46601D24"/>
    <w:rsid w:val="4660447C"/>
    <w:rsid w:val="4678706D"/>
    <w:rsid w:val="468772B0"/>
    <w:rsid w:val="468B476A"/>
    <w:rsid w:val="4697524D"/>
    <w:rsid w:val="46B300A5"/>
    <w:rsid w:val="46CB3641"/>
    <w:rsid w:val="46D71FE6"/>
    <w:rsid w:val="46E110B6"/>
    <w:rsid w:val="46E95BE0"/>
    <w:rsid w:val="46F32B98"/>
    <w:rsid w:val="472B1978"/>
    <w:rsid w:val="472E3BD0"/>
    <w:rsid w:val="4730365B"/>
    <w:rsid w:val="474D04FA"/>
    <w:rsid w:val="474F270C"/>
    <w:rsid w:val="47775577"/>
    <w:rsid w:val="477D0CB9"/>
    <w:rsid w:val="478A34FC"/>
    <w:rsid w:val="47A143A2"/>
    <w:rsid w:val="47A345BE"/>
    <w:rsid w:val="47BF62BB"/>
    <w:rsid w:val="47C3256A"/>
    <w:rsid w:val="47D4536A"/>
    <w:rsid w:val="47DE55F6"/>
    <w:rsid w:val="47E38F4A"/>
    <w:rsid w:val="47E66258"/>
    <w:rsid w:val="47F079DF"/>
    <w:rsid w:val="47F5B470"/>
    <w:rsid w:val="48046056"/>
    <w:rsid w:val="4810456E"/>
    <w:rsid w:val="4840005F"/>
    <w:rsid w:val="485E04E5"/>
    <w:rsid w:val="48657AC5"/>
    <w:rsid w:val="486E5261"/>
    <w:rsid w:val="48786E75"/>
    <w:rsid w:val="48790E7B"/>
    <w:rsid w:val="489108BA"/>
    <w:rsid w:val="48987F0A"/>
    <w:rsid w:val="489F38EC"/>
    <w:rsid w:val="48BA396D"/>
    <w:rsid w:val="48DF33D4"/>
    <w:rsid w:val="48E1714C"/>
    <w:rsid w:val="48E924A4"/>
    <w:rsid w:val="48F50EEE"/>
    <w:rsid w:val="48FB40DF"/>
    <w:rsid w:val="49114A22"/>
    <w:rsid w:val="4933371F"/>
    <w:rsid w:val="49431BB4"/>
    <w:rsid w:val="494476DB"/>
    <w:rsid w:val="495E079C"/>
    <w:rsid w:val="495E25EB"/>
    <w:rsid w:val="49605AEE"/>
    <w:rsid w:val="4968786D"/>
    <w:rsid w:val="497E2BEC"/>
    <w:rsid w:val="49845D29"/>
    <w:rsid w:val="49A61CC7"/>
    <w:rsid w:val="49DC6357"/>
    <w:rsid w:val="49E62540"/>
    <w:rsid w:val="4A1011E6"/>
    <w:rsid w:val="4A143551"/>
    <w:rsid w:val="4A1452FF"/>
    <w:rsid w:val="4A45370A"/>
    <w:rsid w:val="4A5E657A"/>
    <w:rsid w:val="4A5F1294"/>
    <w:rsid w:val="4A614C81"/>
    <w:rsid w:val="4A722025"/>
    <w:rsid w:val="4A730277"/>
    <w:rsid w:val="4A7319F4"/>
    <w:rsid w:val="4A9B5A20"/>
    <w:rsid w:val="4A9B77CE"/>
    <w:rsid w:val="4ABB39CC"/>
    <w:rsid w:val="4AD0649A"/>
    <w:rsid w:val="4ADA02F6"/>
    <w:rsid w:val="4ADFB618"/>
    <w:rsid w:val="4AE41175"/>
    <w:rsid w:val="4AE66C9B"/>
    <w:rsid w:val="4AFA62A3"/>
    <w:rsid w:val="4B013AD5"/>
    <w:rsid w:val="4B0A4A82"/>
    <w:rsid w:val="4B0A68BA"/>
    <w:rsid w:val="4B0E7FA0"/>
    <w:rsid w:val="4B49722A"/>
    <w:rsid w:val="4B533C05"/>
    <w:rsid w:val="4B756271"/>
    <w:rsid w:val="4B7778F3"/>
    <w:rsid w:val="4B7BE624"/>
    <w:rsid w:val="4B83273C"/>
    <w:rsid w:val="4B893ACB"/>
    <w:rsid w:val="4B8A1D1C"/>
    <w:rsid w:val="4BBA024C"/>
    <w:rsid w:val="4BC114B6"/>
    <w:rsid w:val="4BC32B39"/>
    <w:rsid w:val="4BD444F6"/>
    <w:rsid w:val="4BD8527D"/>
    <w:rsid w:val="4BDE0179"/>
    <w:rsid w:val="4BDF6F7B"/>
    <w:rsid w:val="4BE56F53"/>
    <w:rsid w:val="4BEB6533"/>
    <w:rsid w:val="4BEC3A7E"/>
    <w:rsid w:val="4BF70A34"/>
    <w:rsid w:val="4BFF5B3B"/>
    <w:rsid w:val="4C473333"/>
    <w:rsid w:val="4C4F261E"/>
    <w:rsid w:val="4C6065D9"/>
    <w:rsid w:val="4C816990"/>
    <w:rsid w:val="4C883D82"/>
    <w:rsid w:val="4C9D782D"/>
    <w:rsid w:val="4CA7016C"/>
    <w:rsid w:val="4CB12AEA"/>
    <w:rsid w:val="4CB23482"/>
    <w:rsid w:val="4CB23FAD"/>
    <w:rsid w:val="4CCD0371"/>
    <w:rsid w:val="4CDFDCED"/>
    <w:rsid w:val="4CE30FB8"/>
    <w:rsid w:val="4CF03D27"/>
    <w:rsid w:val="4D2770F7"/>
    <w:rsid w:val="4D4001B9"/>
    <w:rsid w:val="4D4354F8"/>
    <w:rsid w:val="4D5123C6"/>
    <w:rsid w:val="4D5D5079"/>
    <w:rsid w:val="4D6E2F78"/>
    <w:rsid w:val="4D705EB3"/>
    <w:rsid w:val="4D7C49BF"/>
    <w:rsid w:val="4D9D1201"/>
    <w:rsid w:val="4DAC584E"/>
    <w:rsid w:val="4DD94895"/>
    <w:rsid w:val="4DEA1C16"/>
    <w:rsid w:val="4DED20EF"/>
    <w:rsid w:val="4DF01A8D"/>
    <w:rsid w:val="4E07961D"/>
    <w:rsid w:val="4E2552CD"/>
    <w:rsid w:val="4E255D2C"/>
    <w:rsid w:val="4E257ADB"/>
    <w:rsid w:val="4E263D32"/>
    <w:rsid w:val="4E286CB3"/>
    <w:rsid w:val="4E345F70"/>
    <w:rsid w:val="4E516B22"/>
    <w:rsid w:val="4E5C081F"/>
    <w:rsid w:val="4E6362B4"/>
    <w:rsid w:val="4E6A1991"/>
    <w:rsid w:val="4E7740AE"/>
    <w:rsid w:val="4E992277"/>
    <w:rsid w:val="4EAD12F4"/>
    <w:rsid w:val="4EC17E99"/>
    <w:rsid w:val="4EC2357B"/>
    <w:rsid w:val="4EC8055E"/>
    <w:rsid w:val="4EC8490A"/>
    <w:rsid w:val="4ED13B11"/>
    <w:rsid w:val="4EE96D5A"/>
    <w:rsid w:val="4EF13E61"/>
    <w:rsid w:val="4EFFC0D9"/>
    <w:rsid w:val="4F043B94"/>
    <w:rsid w:val="4F161B19"/>
    <w:rsid w:val="4F1B0EDE"/>
    <w:rsid w:val="4F1E3EDA"/>
    <w:rsid w:val="4F1F5413"/>
    <w:rsid w:val="4F271630"/>
    <w:rsid w:val="4F2E6E63"/>
    <w:rsid w:val="4F3504E4"/>
    <w:rsid w:val="4F373BA2"/>
    <w:rsid w:val="4F3855EC"/>
    <w:rsid w:val="4F42290E"/>
    <w:rsid w:val="4F457D08"/>
    <w:rsid w:val="4F503982"/>
    <w:rsid w:val="4F552641"/>
    <w:rsid w:val="4F563CC4"/>
    <w:rsid w:val="4F637BD2"/>
    <w:rsid w:val="4F667EBB"/>
    <w:rsid w:val="4F7F146C"/>
    <w:rsid w:val="4F963F07"/>
    <w:rsid w:val="4F9A62A6"/>
    <w:rsid w:val="4F9D33AA"/>
    <w:rsid w:val="4F9D7B44"/>
    <w:rsid w:val="4FA669F9"/>
    <w:rsid w:val="4FB2281C"/>
    <w:rsid w:val="4FD11201"/>
    <w:rsid w:val="4FDA6B31"/>
    <w:rsid w:val="4FDB6AC3"/>
    <w:rsid w:val="4FDFB145"/>
    <w:rsid w:val="4FEE03A0"/>
    <w:rsid w:val="4FFA4CCB"/>
    <w:rsid w:val="4FFB47F8"/>
    <w:rsid w:val="4FFF8B31"/>
    <w:rsid w:val="50100316"/>
    <w:rsid w:val="503B0253"/>
    <w:rsid w:val="50463D38"/>
    <w:rsid w:val="50487AB0"/>
    <w:rsid w:val="50493828"/>
    <w:rsid w:val="5051105B"/>
    <w:rsid w:val="506348EA"/>
    <w:rsid w:val="506568B4"/>
    <w:rsid w:val="506D5769"/>
    <w:rsid w:val="50A15412"/>
    <w:rsid w:val="50AD4CB0"/>
    <w:rsid w:val="50B138A7"/>
    <w:rsid w:val="50CE26AB"/>
    <w:rsid w:val="50CE6F9F"/>
    <w:rsid w:val="50E23A41"/>
    <w:rsid w:val="50E24577"/>
    <w:rsid w:val="50E90E4D"/>
    <w:rsid w:val="50F6750C"/>
    <w:rsid w:val="51085492"/>
    <w:rsid w:val="511F4786"/>
    <w:rsid w:val="51293414"/>
    <w:rsid w:val="512E4EF8"/>
    <w:rsid w:val="51450494"/>
    <w:rsid w:val="51477AF7"/>
    <w:rsid w:val="514C1822"/>
    <w:rsid w:val="514F07F2"/>
    <w:rsid w:val="51586419"/>
    <w:rsid w:val="515B1A65"/>
    <w:rsid w:val="516C4861"/>
    <w:rsid w:val="51844B18"/>
    <w:rsid w:val="518C7E71"/>
    <w:rsid w:val="519D33E8"/>
    <w:rsid w:val="51A21442"/>
    <w:rsid w:val="51AD665B"/>
    <w:rsid w:val="51B726A1"/>
    <w:rsid w:val="51C25640"/>
    <w:rsid w:val="51DA6E2E"/>
    <w:rsid w:val="51E27A91"/>
    <w:rsid w:val="51E31065"/>
    <w:rsid w:val="51F4603A"/>
    <w:rsid w:val="51FC6DA4"/>
    <w:rsid w:val="5208399B"/>
    <w:rsid w:val="521F0CE5"/>
    <w:rsid w:val="522A69FD"/>
    <w:rsid w:val="522D1C14"/>
    <w:rsid w:val="52352AF2"/>
    <w:rsid w:val="52391A74"/>
    <w:rsid w:val="52395732"/>
    <w:rsid w:val="524349D3"/>
    <w:rsid w:val="526E7576"/>
    <w:rsid w:val="52854FEC"/>
    <w:rsid w:val="52DD2582"/>
    <w:rsid w:val="52E03507"/>
    <w:rsid w:val="52E2243E"/>
    <w:rsid w:val="52E5CFE7"/>
    <w:rsid w:val="52EF06B7"/>
    <w:rsid w:val="52F21F55"/>
    <w:rsid w:val="52F42F00"/>
    <w:rsid w:val="53004672"/>
    <w:rsid w:val="531F0DC4"/>
    <w:rsid w:val="532742F5"/>
    <w:rsid w:val="5327679F"/>
    <w:rsid w:val="532F3286"/>
    <w:rsid w:val="535E63FC"/>
    <w:rsid w:val="535F6276"/>
    <w:rsid w:val="537A0DDF"/>
    <w:rsid w:val="5382108B"/>
    <w:rsid w:val="539239D5"/>
    <w:rsid w:val="539574B0"/>
    <w:rsid w:val="53AA7564"/>
    <w:rsid w:val="53AF708C"/>
    <w:rsid w:val="53BD4EA8"/>
    <w:rsid w:val="53C02053"/>
    <w:rsid w:val="53EC4BF7"/>
    <w:rsid w:val="53F96732"/>
    <w:rsid w:val="53FD503B"/>
    <w:rsid w:val="54041F40"/>
    <w:rsid w:val="541D2076"/>
    <w:rsid w:val="541F57C4"/>
    <w:rsid w:val="544113E6"/>
    <w:rsid w:val="546A1731"/>
    <w:rsid w:val="546E1A14"/>
    <w:rsid w:val="5472334E"/>
    <w:rsid w:val="5476101E"/>
    <w:rsid w:val="54823ACB"/>
    <w:rsid w:val="54A31759"/>
    <w:rsid w:val="54A37834"/>
    <w:rsid w:val="54AC462D"/>
    <w:rsid w:val="54BC71D4"/>
    <w:rsid w:val="54BE6593"/>
    <w:rsid w:val="54C16083"/>
    <w:rsid w:val="54CC5B08"/>
    <w:rsid w:val="54D44008"/>
    <w:rsid w:val="54D51B2F"/>
    <w:rsid w:val="54E1752E"/>
    <w:rsid w:val="54E67898"/>
    <w:rsid w:val="54F93A6F"/>
    <w:rsid w:val="55086644"/>
    <w:rsid w:val="55144405"/>
    <w:rsid w:val="55164621"/>
    <w:rsid w:val="55230AEC"/>
    <w:rsid w:val="552D196B"/>
    <w:rsid w:val="55306FE0"/>
    <w:rsid w:val="55384E01"/>
    <w:rsid w:val="5540344C"/>
    <w:rsid w:val="55456DCF"/>
    <w:rsid w:val="55482300"/>
    <w:rsid w:val="555D5DAC"/>
    <w:rsid w:val="556E620B"/>
    <w:rsid w:val="557D644E"/>
    <w:rsid w:val="5580671C"/>
    <w:rsid w:val="55807CEC"/>
    <w:rsid w:val="55A05BCE"/>
    <w:rsid w:val="55AA6B17"/>
    <w:rsid w:val="55AF412E"/>
    <w:rsid w:val="55CA0F67"/>
    <w:rsid w:val="55D02A22"/>
    <w:rsid w:val="55D9149E"/>
    <w:rsid w:val="55DB13C7"/>
    <w:rsid w:val="55DC3A47"/>
    <w:rsid w:val="55DD2EEF"/>
    <w:rsid w:val="55E24503"/>
    <w:rsid w:val="55F67FAE"/>
    <w:rsid w:val="55FAA0EC"/>
    <w:rsid w:val="563034C0"/>
    <w:rsid w:val="5632548A"/>
    <w:rsid w:val="5646212F"/>
    <w:rsid w:val="56486A5C"/>
    <w:rsid w:val="564927D4"/>
    <w:rsid w:val="564B3E56"/>
    <w:rsid w:val="564C5E20"/>
    <w:rsid w:val="565A053D"/>
    <w:rsid w:val="56643532"/>
    <w:rsid w:val="566A2753"/>
    <w:rsid w:val="56717635"/>
    <w:rsid w:val="567E33A4"/>
    <w:rsid w:val="5697709C"/>
    <w:rsid w:val="569B07CE"/>
    <w:rsid w:val="569D042A"/>
    <w:rsid w:val="569F41A2"/>
    <w:rsid w:val="56A94582"/>
    <w:rsid w:val="56C67981"/>
    <w:rsid w:val="56ED13B1"/>
    <w:rsid w:val="56FB3887"/>
    <w:rsid w:val="56FF5D39"/>
    <w:rsid w:val="57052952"/>
    <w:rsid w:val="5706158F"/>
    <w:rsid w:val="571921A6"/>
    <w:rsid w:val="57272B15"/>
    <w:rsid w:val="572A6162"/>
    <w:rsid w:val="57315742"/>
    <w:rsid w:val="574B7E86"/>
    <w:rsid w:val="57596BC3"/>
    <w:rsid w:val="575B631B"/>
    <w:rsid w:val="575E405D"/>
    <w:rsid w:val="576D6CEE"/>
    <w:rsid w:val="57907415"/>
    <w:rsid w:val="579637F7"/>
    <w:rsid w:val="57AF2B0B"/>
    <w:rsid w:val="57BD0D84"/>
    <w:rsid w:val="57D04F5B"/>
    <w:rsid w:val="57DE0CFA"/>
    <w:rsid w:val="57F31DEF"/>
    <w:rsid w:val="57F4E729"/>
    <w:rsid w:val="58003366"/>
    <w:rsid w:val="5807127B"/>
    <w:rsid w:val="582137F9"/>
    <w:rsid w:val="58296419"/>
    <w:rsid w:val="582E3A30"/>
    <w:rsid w:val="5844565B"/>
    <w:rsid w:val="586C27AA"/>
    <w:rsid w:val="5875165E"/>
    <w:rsid w:val="587800F2"/>
    <w:rsid w:val="587C0B99"/>
    <w:rsid w:val="587D0513"/>
    <w:rsid w:val="588D4BFA"/>
    <w:rsid w:val="589037A1"/>
    <w:rsid w:val="589E6E07"/>
    <w:rsid w:val="58B765E7"/>
    <w:rsid w:val="58C425E6"/>
    <w:rsid w:val="58E541D3"/>
    <w:rsid w:val="59142C25"/>
    <w:rsid w:val="593B28A8"/>
    <w:rsid w:val="59660712"/>
    <w:rsid w:val="59745DBA"/>
    <w:rsid w:val="59912248"/>
    <w:rsid w:val="5992585E"/>
    <w:rsid w:val="59A35698"/>
    <w:rsid w:val="59B61F2F"/>
    <w:rsid w:val="59B63DBD"/>
    <w:rsid w:val="59C303C1"/>
    <w:rsid w:val="59C77642"/>
    <w:rsid w:val="59D33B74"/>
    <w:rsid w:val="59EFDFB2"/>
    <w:rsid w:val="59F667CF"/>
    <w:rsid w:val="5A030EFA"/>
    <w:rsid w:val="5A04713E"/>
    <w:rsid w:val="5A0507C0"/>
    <w:rsid w:val="5A200140"/>
    <w:rsid w:val="5A201D86"/>
    <w:rsid w:val="5A250E62"/>
    <w:rsid w:val="5A33357F"/>
    <w:rsid w:val="5A3572F7"/>
    <w:rsid w:val="5A5359CF"/>
    <w:rsid w:val="5A64198B"/>
    <w:rsid w:val="5A9F6E67"/>
    <w:rsid w:val="5AB04BD0"/>
    <w:rsid w:val="5ABA15AB"/>
    <w:rsid w:val="5AC4067B"/>
    <w:rsid w:val="5AC62645"/>
    <w:rsid w:val="5AE90E31"/>
    <w:rsid w:val="5AFF7905"/>
    <w:rsid w:val="5B0453E0"/>
    <w:rsid w:val="5B0E18F6"/>
    <w:rsid w:val="5B351579"/>
    <w:rsid w:val="5B362056"/>
    <w:rsid w:val="5B4B35D6"/>
    <w:rsid w:val="5B545C61"/>
    <w:rsid w:val="5B5C08B4"/>
    <w:rsid w:val="5B5E790E"/>
    <w:rsid w:val="5B5FB9AE"/>
    <w:rsid w:val="5B70610D"/>
    <w:rsid w:val="5B7976B8"/>
    <w:rsid w:val="5B7FBC1C"/>
    <w:rsid w:val="5B8C403F"/>
    <w:rsid w:val="5BA02E96"/>
    <w:rsid w:val="5BA96C40"/>
    <w:rsid w:val="5BB406F0"/>
    <w:rsid w:val="5BD3501A"/>
    <w:rsid w:val="5BD4669C"/>
    <w:rsid w:val="5BE07737"/>
    <w:rsid w:val="5BE36FFD"/>
    <w:rsid w:val="5BEA4111"/>
    <w:rsid w:val="5BEF2741"/>
    <w:rsid w:val="5BFA0087"/>
    <w:rsid w:val="5BFEBFF7"/>
    <w:rsid w:val="5BFF8BB8"/>
    <w:rsid w:val="5C072027"/>
    <w:rsid w:val="5C115B42"/>
    <w:rsid w:val="5C2E2250"/>
    <w:rsid w:val="5C317F92"/>
    <w:rsid w:val="5C412946"/>
    <w:rsid w:val="5C473312"/>
    <w:rsid w:val="5C4E644E"/>
    <w:rsid w:val="5C533A65"/>
    <w:rsid w:val="5C5872CD"/>
    <w:rsid w:val="5C5B75A4"/>
    <w:rsid w:val="5C5F08E6"/>
    <w:rsid w:val="5C844566"/>
    <w:rsid w:val="5C851ABC"/>
    <w:rsid w:val="5C926447"/>
    <w:rsid w:val="5CA16EC6"/>
    <w:rsid w:val="5CAE5FD4"/>
    <w:rsid w:val="5CB47325"/>
    <w:rsid w:val="5CB63FF4"/>
    <w:rsid w:val="5CF1327E"/>
    <w:rsid w:val="5CF35248"/>
    <w:rsid w:val="5CF52B7F"/>
    <w:rsid w:val="5D123920"/>
    <w:rsid w:val="5D153410"/>
    <w:rsid w:val="5D165457"/>
    <w:rsid w:val="5D1D4073"/>
    <w:rsid w:val="5D1F2257"/>
    <w:rsid w:val="5D283143"/>
    <w:rsid w:val="5D456C14"/>
    <w:rsid w:val="5D4705D0"/>
    <w:rsid w:val="5D487342"/>
    <w:rsid w:val="5D537A94"/>
    <w:rsid w:val="5D6D6DA8"/>
    <w:rsid w:val="5D6E48CE"/>
    <w:rsid w:val="5D722610"/>
    <w:rsid w:val="5D8D2FA6"/>
    <w:rsid w:val="5D8F55DF"/>
    <w:rsid w:val="5D9E51B4"/>
    <w:rsid w:val="5DA0717E"/>
    <w:rsid w:val="5DAFD236"/>
    <w:rsid w:val="5DCDF051"/>
    <w:rsid w:val="5DDEA683"/>
    <w:rsid w:val="5DEBAC04"/>
    <w:rsid w:val="5DEBCBAF"/>
    <w:rsid w:val="5DFBDDD7"/>
    <w:rsid w:val="5DFF5B7B"/>
    <w:rsid w:val="5DFF7B56"/>
    <w:rsid w:val="5DFFB025"/>
    <w:rsid w:val="5E03770C"/>
    <w:rsid w:val="5E122AE4"/>
    <w:rsid w:val="5E1501E6"/>
    <w:rsid w:val="5E1E671C"/>
    <w:rsid w:val="5E230800"/>
    <w:rsid w:val="5E59732C"/>
    <w:rsid w:val="5E5F0DE7"/>
    <w:rsid w:val="5E6FBB37"/>
    <w:rsid w:val="5E7E0E34"/>
    <w:rsid w:val="5E801C8C"/>
    <w:rsid w:val="5E840981"/>
    <w:rsid w:val="5E8E5228"/>
    <w:rsid w:val="5EA93E10"/>
    <w:rsid w:val="5EAE7678"/>
    <w:rsid w:val="5EB22AF1"/>
    <w:rsid w:val="5EB50A07"/>
    <w:rsid w:val="5EB84053"/>
    <w:rsid w:val="5EDD0429"/>
    <w:rsid w:val="5EEE8772"/>
    <w:rsid w:val="5EF99371"/>
    <w:rsid w:val="5F176F53"/>
    <w:rsid w:val="5F1B6809"/>
    <w:rsid w:val="5F1D65AC"/>
    <w:rsid w:val="5F335DCF"/>
    <w:rsid w:val="5F3E404E"/>
    <w:rsid w:val="5F3FDDED"/>
    <w:rsid w:val="5F462C47"/>
    <w:rsid w:val="5F5F0216"/>
    <w:rsid w:val="5F653D10"/>
    <w:rsid w:val="5F702A21"/>
    <w:rsid w:val="5F7104A2"/>
    <w:rsid w:val="5F7A755A"/>
    <w:rsid w:val="5F9955BE"/>
    <w:rsid w:val="5F9A19AB"/>
    <w:rsid w:val="5F9B531E"/>
    <w:rsid w:val="5FB05672"/>
    <w:rsid w:val="5FC30DAF"/>
    <w:rsid w:val="5FCD8A84"/>
    <w:rsid w:val="5FD5EBF1"/>
    <w:rsid w:val="5FD924D3"/>
    <w:rsid w:val="5FE825A0"/>
    <w:rsid w:val="5FEA7D81"/>
    <w:rsid w:val="5FEF7F48"/>
    <w:rsid w:val="5FFB8D2C"/>
    <w:rsid w:val="60011A2A"/>
    <w:rsid w:val="601479AF"/>
    <w:rsid w:val="6017688D"/>
    <w:rsid w:val="6018207D"/>
    <w:rsid w:val="601B2AEB"/>
    <w:rsid w:val="603D6F06"/>
    <w:rsid w:val="60661CB4"/>
    <w:rsid w:val="6072051B"/>
    <w:rsid w:val="6073198F"/>
    <w:rsid w:val="60883EF9"/>
    <w:rsid w:val="609E0F14"/>
    <w:rsid w:val="60A76149"/>
    <w:rsid w:val="60B66CB8"/>
    <w:rsid w:val="60D10BE7"/>
    <w:rsid w:val="60D23614"/>
    <w:rsid w:val="60E455D3"/>
    <w:rsid w:val="60F670B5"/>
    <w:rsid w:val="60F87024"/>
    <w:rsid w:val="61023CAB"/>
    <w:rsid w:val="6111696E"/>
    <w:rsid w:val="611834CF"/>
    <w:rsid w:val="6129748A"/>
    <w:rsid w:val="61314591"/>
    <w:rsid w:val="613622D6"/>
    <w:rsid w:val="6141140F"/>
    <w:rsid w:val="6169605F"/>
    <w:rsid w:val="61753344"/>
    <w:rsid w:val="617D1584"/>
    <w:rsid w:val="618518AD"/>
    <w:rsid w:val="61970FC4"/>
    <w:rsid w:val="61B2747F"/>
    <w:rsid w:val="61C827FF"/>
    <w:rsid w:val="61F0503E"/>
    <w:rsid w:val="61F23D20"/>
    <w:rsid w:val="61F47A98"/>
    <w:rsid w:val="6201784E"/>
    <w:rsid w:val="620677CB"/>
    <w:rsid w:val="620A1069"/>
    <w:rsid w:val="620F6680"/>
    <w:rsid w:val="621E68C3"/>
    <w:rsid w:val="62570027"/>
    <w:rsid w:val="625978FB"/>
    <w:rsid w:val="626544F2"/>
    <w:rsid w:val="62663996"/>
    <w:rsid w:val="627209BD"/>
    <w:rsid w:val="62776E6D"/>
    <w:rsid w:val="628A21AA"/>
    <w:rsid w:val="62943029"/>
    <w:rsid w:val="629E48DB"/>
    <w:rsid w:val="62AC3ECF"/>
    <w:rsid w:val="62B64D4D"/>
    <w:rsid w:val="62B965EC"/>
    <w:rsid w:val="62BD432E"/>
    <w:rsid w:val="62C51434"/>
    <w:rsid w:val="62C90F25"/>
    <w:rsid w:val="62E33669"/>
    <w:rsid w:val="62E6447A"/>
    <w:rsid w:val="62EE2739"/>
    <w:rsid w:val="62F277E6"/>
    <w:rsid w:val="62FA7330"/>
    <w:rsid w:val="63181564"/>
    <w:rsid w:val="632552BD"/>
    <w:rsid w:val="633F2F95"/>
    <w:rsid w:val="6355235E"/>
    <w:rsid w:val="635A1B7D"/>
    <w:rsid w:val="6370314E"/>
    <w:rsid w:val="63715118"/>
    <w:rsid w:val="637815D0"/>
    <w:rsid w:val="637F327F"/>
    <w:rsid w:val="63844E4C"/>
    <w:rsid w:val="63901A42"/>
    <w:rsid w:val="63A70B3A"/>
    <w:rsid w:val="63B84AF5"/>
    <w:rsid w:val="63DD630A"/>
    <w:rsid w:val="63DE0FE6"/>
    <w:rsid w:val="63E853BE"/>
    <w:rsid w:val="63FA13A3"/>
    <w:rsid w:val="64047D3A"/>
    <w:rsid w:val="64264155"/>
    <w:rsid w:val="64416899"/>
    <w:rsid w:val="64440FCE"/>
    <w:rsid w:val="644C4E9D"/>
    <w:rsid w:val="6460554D"/>
    <w:rsid w:val="64610CE9"/>
    <w:rsid w:val="646507D9"/>
    <w:rsid w:val="646733D7"/>
    <w:rsid w:val="646D768E"/>
    <w:rsid w:val="646F1658"/>
    <w:rsid w:val="647D1DE9"/>
    <w:rsid w:val="648F1CFA"/>
    <w:rsid w:val="64917820"/>
    <w:rsid w:val="64942B01"/>
    <w:rsid w:val="64B4350F"/>
    <w:rsid w:val="64C5571C"/>
    <w:rsid w:val="64CA2D32"/>
    <w:rsid w:val="64CD45D0"/>
    <w:rsid w:val="64DD2A65"/>
    <w:rsid w:val="64ED07CF"/>
    <w:rsid w:val="64F962AD"/>
    <w:rsid w:val="64FA7C33"/>
    <w:rsid w:val="651A759E"/>
    <w:rsid w:val="651B358E"/>
    <w:rsid w:val="651C2B51"/>
    <w:rsid w:val="654318AF"/>
    <w:rsid w:val="65557753"/>
    <w:rsid w:val="65870C23"/>
    <w:rsid w:val="65B20905"/>
    <w:rsid w:val="65B456E9"/>
    <w:rsid w:val="65BC08CD"/>
    <w:rsid w:val="65C422DB"/>
    <w:rsid w:val="65C435EA"/>
    <w:rsid w:val="65CC6636"/>
    <w:rsid w:val="65D73958"/>
    <w:rsid w:val="65E46075"/>
    <w:rsid w:val="65FFAEAF"/>
    <w:rsid w:val="660F2F38"/>
    <w:rsid w:val="66100C18"/>
    <w:rsid w:val="66171FA7"/>
    <w:rsid w:val="66212E26"/>
    <w:rsid w:val="66236B9E"/>
    <w:rsid w:val="66303069"/>
    <w:rsid w:val="66360241"/>
    <w:rsid w:val="6645292C"/>
    <w:rsid w:val="664D7A74"/>
    <w:rsid w:val="66525C9F"/>
    <w:rsid w:val="667C4FE2"/>
    <w:rsid w:val="66893500"/>
    <w:rsid w:val="669B4986"/>
    <w:rsid w:val="66A852F5"/>
    <w:rsid w:val="66BF9386"/>
    <w:rsid w:val="66CC2B8D"/>
    <w:rsid w:val="66CC2D91"/>
    <w:rsid w:val="66CD2666"/>
    <w:rsid w:val="66D37D3F"/>
    <w:rsid w:val="66F66060"/>
    <w:rsid w:val="66F916AD"/>
    <w:rsid w:val="66FDBC74"/>
    <w:rsid w:val="670047E9"/>
    <w:rsid w:val="6703252B"/>
    <w:rsid w:val="67090D47"/>
    <w:rsid w:val="672023DA"/>
    <w:rsid w:val="67206C39"/>
    <w:rsid w:val="67242BCD"/>
    <w:rsid w:val="6727621A"/>
    <w:rsid w:val="672C74D4"/>
    <w:rsid w:val="672C7CD4"/>
    <w:rsid w:val="673E274D"/>
    <w:rsid w:val="674C7A2E"/>
    <w:rsid w:val="676F7BC1"/>
    <w:rsid w:val="6775142A"/>
    <w:rsid w:val="67796A91"/>
    <w:rsid w:val="678377BA"/>
    <w:rsid w:val="67876CB8"/>
    <w:rsid w:val="67A4264C"/>
    <w:rsid w:val="67BF28F6"/>
    <w:rsid w:val="67CE0D8B"/>
    <w:rsid w:val="67CE2B39"/>
    <w:rsid w:val="67D77C40"/>
    <w:rsid w:val="67E07486"/>
    <w:rsid w:val="67E31201"/>
    <w:rsid w:val="67E501F3"/>
    <w:rsid w:val="67E67E83"/>
    <w:rsid w:val="67EC2FBF"/>
    <w:rsid w:val="67ED3000"/>
    <w:rsid w:val="67F75E6D"/>
    <w:rsid w:val="67F78D05"/>
    <w:rsid w:val="67FC76A6"/>
    <w:rsid w:val="68045C9E"/>
    <w:rsid w:val="68126ECA"/>
    <w:rsid w:val="68863414"/>
    <w:rsid w:val="68B47F81"/>
    <w:rsid w:val="68C305E8"/>
    <w:rsid w:val="68DC1286"/>
    <w:rsid w:val="68DE6DAC"/>
    <w:rsid w:val="68E3340F"/>
    <w:rsid w:val="68E82DDB"/>
    <w:rsid w:val="68F16ADF"/>
    <w:rsid w:val="68F17B2F"/>
    <w:rsid w:val="69196036"/>
    <w:rsid w:val="69216C99"/>
    <w:rsid w:val="694063BD"/>
    <w:rsid w:val="69491767"/>
    <w:rsid w:val="697414BE"/>
    <w:rsid w:val="69796AD5"/>
    <w:rsid w:val="697B284D"/>
    <w:rsid w:val="69887333"/>
    <w:rsid w:val="69A16E5D"/>
    <w:rsid w:val="69A27DD9"/>
    <w:rsid w:val="69AE49D0"/>
    <w:rsid w:val="69BD4C13"/>
    <w:rsid w:val="69CB37D4"/>
    <w:rsid w:val="69DFC411"/>
    <w:rsid w:val="69E34D6C"/>
    <w:rsid w:val="69E61B07"/>
    <w:rsid w:val="69E87526"/>
    <w:rsid w:val="69EC54F9"/>
    <w:rsid w:val="69F148BD"/>
    <w:rsid w:val="69F8F1BB"/>
    <w:rsid w:val="6A0311FB"/>
    <w:rsid w:val="6A3749C6"/>
    <w:rsid w:val="6A38073E"/>
    <w:rsid w:val="6A4B46B5"/>
    <w:rsid w:val="6A5E6092"/>
    <w:rsid w:val="6A617C95"/>
    <w:rsid w:val="6A6B0B13"/>
    <w:rsid w:val="6A773014"/>
    <w:rsid w:val="6A816043"/>
    <w:rsid w:val="6A8E035E"/>
    <w:rsid w:val="6AA656A7"/>
    <w:rsid w:val="6AAB53B4"/>
    <w:rsid w:val="6AAF3179"/>
    <w:rsid w:val="6AB04778"/>
    <w:rsid w:val="6AB204F0"/>
    <w:rsid w:val="6AB25B1C"/>
    <w:rsid w:val="6AB82BB0"/>
    <w:rsid w:val="6AC12A02"/>
    <w:rsid w:val="6AC326FD"/>
    <w:rsid w:val="6AC87D14"/>
    <w:rsid w:val="6AC975E8"/>
    <w:rsid w:val="6ACD70D8"/>
    <w:rsid w:val="6AD202EA"/>
    <w:rsid w:val="6AD20C96"/>
    <w:rsid w:val="6AE3353E"/>
    <w:rsid w:val="6AF7EA9B"/>
    <w:rsid w:val="6B014FD4"/>
    <w:rsid w:val="6B0625EA"/>
    <w:rsid w:val="6B264A3A"/>
    <w:rsid w:val="6B362FBA"/>
    <w:rsid w:val="6B403D4E"/>
    <w:rsid w:val="6B462871"/>
    <w:rsid w:val="6B76AEF9"/>
    <w:rsid w:val="6B8861B4"/>
    <w:rsid w:val="6B910106"/>
    <w:rsid w:val="6B945E48"/>
    <w:rsid w:val="6B960ADB"/>
    <w:rsid w:val="6B985110"/>
    <w:rsid w:val="6BA352CE"/>
    <w:rsid w:val="6BA66561"/>
    <w:rsid w:val="6BAA7419"/>
    <w:rsid w:val="6BB32772"/>
    <w:rsid w:val="6BB87D88"/>
    <w:rsid w:val="6BD05458"/>
    <w:rsid w:val="6BD21A70"/>
    <w:rsid w:val="6BED2021"/>
    <w:rsid w:val="6BF3EAB1"/>
    <w:rsid w:val="6BF52C3B"/>
    <w:rsid w:val="6BFF3D72"/>
    <w:rsid w:val="6BFF7343"/>
    <w:rsid w:val="6C1F1BB5"/>
    <w:rsid w:val="6C2077F5"/>
    <w:rsid w:val="6C3C5623"/>
    <w:rsid w:val="6C691554"/>
    <w:rsid w:val="6C8B6DBB"/>
    <w:rsid w:val="6C9854C4"/>
    <w:rsid w:val="6CA200F0"/>
    <w:rsid w:val="6CBF0CA2"/>
    <w:rsid w:val="6CE0342C"/>
    <w:rsid w:val="6CE10C19"/>
    <w:rsid w:val="6CE81FA7"/>
    <w:rsid w:val="6D061455"/>
    <w:rsid w:val="6D215542"/>
    <w:rsid w:val="6D237483"/>
    <w:rsid w:val="6D370D3E"/>
    <w:rsid w:val="6D3E5E9A"/>
    <w:rsid w:val="6D571C1E"/>
    <w:rsid w:val="6D592EA5"/>
    <w:rsid w:val="6D5FF211"/>
    <w:rsid w:val="6D6C2BD7"/>
    <w:rsid w:val="6D710A84"/>
    <w:rsid w:val="6D7E0B5E"/>
    <w:rsid w:val="6D7F6B76"/>
    <w:rsid w:val="6D8617C0"/>
    <w:rsid w:val="6D883FC0"/>
    <w:rsid w:val="6D9A5389"/>
    <w:rsid w:val="6D9B170F"/>
    <w:rsid w:val="6DBF7B2E"/>
    <w:rsid w:val="6DC26230"/>
    <w:rsid w:val="6DCD80E4"/>
    <w:rsid w:val="6DDE33AA"/>
    <w:rsid w:val="6DE20E17"/>
    <w:rsid w:val="6DEB7DF0"/>
    <w:rsid w:val="6DF90A2D"/>
    <w:rsid w:val="6E041063"/>
    <w:rsid w:val="6E076DA5"/>
    <w:rsid w:val="6E0E1EE1"/>
    <w:rsid w:val="6E113780"/>
    <w:rsid w:val="6E1729FF"/>
    <w:rsid w:val="6E2434B3"/>
    <w:rsid w:val="6E2C660A"/>
    <w:rsid w:val="6E315BD0"/>
    <w:rsid w:val="6E387342"/>
    <w:rsid w:val="6E4B6C92"/>
    <w:rsid w:val="6E50356B"/>
    <w:rsid w:val="6E723A4A"/>
    <w:rsid w:val="6E7F4B8D"/>
    <w:rsid w:val="6E9F2B3A"/>
    <w:rsid w:val="6EB39598"/>
    <w:rsid w:val="6EB56801"/>
    <w:rsid w:val="6EB81E4D"/>
    <w:rsid w:val="6EC61449"/>
    <w:rsid w:val="6EC627BC"/>
    <w:rsid w:val="6EC63F2A"/>
    <w:rsid w:val="6EDD753D"/>
    <w:rsid w:val="6EE60768"/>
    <w:rsid w:val="6EE669BA"/>
    <w:rsid w:val="6EE739AB"/>
    <w:rsid w:val="6EE82732"/>
    <w:rsid w:val="6EEE3AC1"/>
    <w:rsid w:val="6EEE586F"/>
    <w:rsid w:val="6EF70BC7"/>
    <w:rsid w:val="6EFC1D3A"/>
    <w:rsid w:val="6F080FB9"/>
    <w:rsid w:val="6F0B6421"/>
    <w:rsid w:val="6F354B24"/>
    <w:rsid w:val="6F394D3C"/>
    <w:rsid w:val="6F3F5BAB"/>
    <w:rsid w:val="6F6B6019"/>
    <w:rsid w:val="6F745D74"/>
    <w:rsid w:val="6F7B3BF5"/>
    <w:rsid w:val="6F7C731F"/>
    <w:rsid w:val="6F7F9E18"/>
    <w:rsid w:val="6FAF3250"/>
    <w:rsid w:val="6FBDF22D"/>
    <w:rsid w:val="6FBF0126"/>
    <w:rsid w:val="6FDF2C0C"/>
    <w:rsid w:val="6FE253D4"/>
    <w:rsid w:val="6FE351E0"/>
    <w:rsid w:val="6FE7DF74"/>
    <w:rsid w:val="6FF83C47"/>
    <w:rsid w:val="6FF9D30E"/>
    <w:rsid w:val="6FFB311D"/>
    <w:rsid w:val="6FFCF3E1"/>
    <w:rsid w:val="6FFE7A12"/>
    <w:rsid w:val="6FFF69A6"/>
    <w:rsid w:val="6FFFB32B"/>
    <w:rsid w:val="702552C0"/>
    <w:rsid w:val="70337704"/>
    <w:rsid w:val="705231B5"/>
    <w:rsid w:val="706A7F50"/>
    <w:rsid w:val="70A24B63"/>
    <w:rsid w:val="70AC59E2"/>
    <w:rsid w:val="70BA63CA"/>
    <w:rsid w:val="70D06252"/>
    <w:rsid w:val="70E07055"/>
    <w:rsid w:val="70EE7DA8"/>
    <w:rsid w:val="70EF5D31"/>
    <w:rsid w:val="71021E3C"/>
    <w:rsid w:val="710651EE"/>
    <w:rsid w:val="712B4B58"/>
    <w:rsid w:val="71301831"/>
    <w:rsid w:val="71534A45"/>
    <w:rsid w:val="71593474"/>
    <w:rsid w:val="7169742F"/>
    <w:rsid w:val="71A010A2"/>
    <w:rsid w:val="71DB032D"/>
    <w:rsid w:val="71E05943"/>
    <w:rsid w:val="71E26A6B"/>
    <w:rsid w:val="71E76C8F"/>
    <w:rsid w:val="71F548B7"/>
    <w:rsid w:val="71FE11D9"/>
    <w:rsid w:val="720D425E"/>
    <w:rsid w:val="721365E8"/>
    <w:rsid w:val="7214563D"/>
    <w:rsid w:val="722021E3"/>
    <w:rsid w:val="72331F17"/>
    <w:rsid w:val="72343EE1"/>
    <w:rsid w:val="723D0FE7"/>
    <w:rsid w:val="723F4D5F"/>
    <w:rsid w:val="72516841"/>
    <w:rsid w:val="726A16B0"/>
    <w:rsid w:val="728C5ACB"/>
    <w:rsid w:val="728E1843"/>
    <w:rsid w:val="72A3715A"/>
    <w:rsid w:val="72B4738A"/>
    <w:rsid w:val="72B702B0"/>
    <w:rsid w:val="72CE60E3"/>
    <w:rsid w:val="72CE7E91"/>
    <w:rsid w:val="72DF3E4C"/>
    <w:rsid w:val="7300181A"/>
    <w:rsid w:val="73011B3E"/>
    <w:rsid w:val="73124222"/>
    <w:rsid w:val="73214465"/>
    <w:rsid w:val="73306456"/>
    <w:rsid w:val="7355410F"/>
    <w:rsid w:val="737B3E9F"/>
    <w:rsid w:val="73933B8C"/>
    <w:rsid w:val="73935A63"/>
    <w:rsid w:val="73CF7C0D"/>
    <w:rsid w:val="73D74B32"/>
    <w:rsid w:val="73DD1B54"/>
    <w:rsid w:val="73DE4104"/>
    <w:rsid w:val="73F64AAB"/>
    <w:rsid w:val="73FFD3B5"/>
    <w:rsid w:val="74033B6B"/>
    <w:rsid w:val="740500E7"/>
    <w:rsid w:val="741717EC"/>
    <w:rsid w:val="741915E0"/>
    <w:rsid w:val="742D1D9A"/>
    <w:rsid w:val="7434641A"/>
    <w:rsid w:val="74346C5B"/>
    <w:rsid w:val="74381A66"/>
    <w:rsid w:val="744028AD"/>
    <w:rsid w:val="74424693"/>
    <w:rsid w:val="74546174"/>
    <w:rsid w:val="745774B6"/>
    <w:rsid w:val="74652E24"/>
    <w:rsid w:val="74654825"/>
    <w:rsid w:val="747131CA"/>
    <w:rsid w:val="74776FD1"/>
    <w:rsid w:val="74792B65"/>
    <w:rsid w:val="749B1FF5"/>
    <w:rsid w:val="74AE1D28"/>
    <w:rsid w:val="74B310ED"/>
    <w:rsid w:val="74B64D90"/>
    <w:rsid w:val="74B85EAD"/>
    <w:rsid w:val="74C26852"/>
    <w:rsid w:val="74C4779E"/>
    <w:rsid w:val="74E41AE4"/>
    <w:rsid w:val="74EE65C9"/>
    <w:rsid w:val="74F33BDF"/>
    <w:rsid w:val="74FF06DA"/>
    <w:rsid w:val="7510653F"/>
    <w:rsid w:val="753F00FB"/>
    <w:rsid w:val="75481BD4"/>
    <w:rsid w:val="754E350B"/>
    <w:rsid w:val="75510906"/>
    <w:rsid w:val="75706FDE"/>
    <w:rsid w:val="757545F4"/>
    <w:rsid w:val="757C1E26"/>
    <w:rsid w:val="75882579"/>
    <w:rsid w:val="7592164A"/>
    <w:rsid w:val="75956274"/>
    <w:rsid w:val="759A04FF"/>
    <w:rsid w:val="759E3629"/>
    <w:rsid w:val="75A31161"/>
    <w:rsid w:val="75B774E3"/>
    <w:rsid w:val="75BF8449"/>
    <w:rsid w:val="75DA47EA"/>
    <w:rsid w:val="75E43174"/>
    <w:rsid w:val="75EB142F"/>
    <w:rsid w:val="75ED433D"/>
    <w:rsid w:val="75F06371"/>
    <w:rsid w:val="75FAB938"/>
    <w:rsid w:val="75FACCD0"/>
    <w:rsid w:val="75FE6CDF"/>
    <w:rsid w:val="75FF6DB8"/>
    <w:rsid w:val="761738FD"/>
    <w:rsid w:val="761F24FC"/>
    <w:rsid w:val="76320737"/>
    <w:rsid w:val="765353AD"/>
    <w:rsid w:val="765F06C0"/>
    <w:rsid w:val="765F2314"/>
    <w:rsid w:val="76674885"/>
    <w:rsid w:val="7669406C"/>
    <w:rsid w:val="76854D0B"/>
    <w:rsid w:val="7693409B"/>
    <w:rsid w:val="76984A3E"/>
    <w:rsid w:val="76AD3E5B"/>
    <w:rsid w:val="76B455F0"/>
    <w:rsid w:val="76B850E0"/>
    <w:rsid w:val="76C64AD3"/>
    <w:rsid w:val="76C81DF8"/>
    <w:rsid w:val="76CB0598"/>
    <w:rsid w:val="770045CD"/>
    <w:rsid w:val="77071BC4"/>
    <w:rsid w:val="77163BB5"/>
    <w:rsid w:val="77396925"/>
    <w:rsid w:val="774570AB"/>
    <w:rsid w:val="77472876"/>
    <w:rsid w:val="774E2CAE"/>
    <w:rsid w:val="775128CA"/>
    <w:rsid w:val="775C236A"/>
    <w:rsid w:val="775C3CBE"/>
    <w:rsid w:val="777C4360"/>
    <w:rsid w:val="777F07DD"/>
    <w:rsid w:val="778E4093"/>
    <w:rsid w:val="778FEA3B"/>
    <w:rsid w:val="77950F7E"/>
    <w:rsid w:val="77994FE1"/>
    <w:rsid w:val="77BA62C2"/>
    <w:rsid w:val="77BBDACE"/>
    <w:rsid w:val="77BD08BC"/>
    <w:rsid w:val="77D27684"/>
    <w:rsid w:val="77D5725F"/>
    <w:rsid w:val="77EC4C1C"/>
    <w:rsid w:val="77F04406"/>
    <w:rsid w:val="77F75794"/>
    <w:rsid w:val="77F78C32"/>
    <w:rsid w:val="77FA34D6"/>
    <w:rsid w:val="77FDFC13"/>
    <w:rsid w:val="780879A1"/>
    <w:rsid w:val="780954C8"/>
    <w:rsid w:val="78146346"/>
    <w:rsid w:val="78497407"/>
    <w:rsid w:val="786C7F30"/>
    <w:rsid w:val="78754E4A"/>
    <w:rsid w:val="788B0DD6"/>
    <w:rsid w:val="788B41A6"/>
    <w:rsid w:val="789B6A68"/>
    <w:rsid w:val="789B6ED8"/>
    <w:rsid w:val="78A51694"/>
    <w:rsid w:val="78AF2513"/>
    <w:rsid w:val="78E7AE36"/>
    <w:rsid w:val="790C1713"/>
    <w:rsid w:val="790F3137"/>
    <w:rsid w:val="7957B951"/>
    <w:rsid w:val="796C3F60"/>
    <w:rsid w:val="796C5D0E"/>
    <w:rsid w:val="79751067"/>
    <w:rsid w:val="798E3ED6"/>
    <w:rsid w:val="79960FDD"/>
    <w:rsid w:val="79B002F1"/>
    <w:rsid w:val="79B7167F"/>
    <w:rsid w:val="79C74F0B"/>
    <w:rsid w:val="79CB6ED9"/>
    <w:rsid w:val="79D73ACF"/>
    <w:rsid w:val="79FB8050"/>
    <w:rsid w:val="79FD3ED0"/>
    <w:rsid w:val="7A081EDB"/>
    <w:rsid w:val="7A106FE1"/>
    <w:rsid w:val="7A293BFF"/>
    <w:rsid w:val="7A32225F"/>
    <w:rsid w:val="7A337657"/>
    <w:rsid w:val="7A3B2CA7"/>
    <w:rsid w:val="7A472E82"/>
    <w:rsid w:val="7A6B246A"/>
    <w:rsid w:val="7A7FE278"/>
    <w:rsid w:val="7A924401"/>
    <w:rsid w:val="7A951295"/>
    <w:rsid w:val="7AA02376"/>
    <w:rsid w:val="7AAB52DE"/>
    <w:rsid w:val="7ABB6F4D"/>
    <w:rsid w:val="7ACA2120"/>
    <w:rsid w:val="7ACF95DB"/>
    <w:rsid w:val="7AD46261"/>
    <w:rsid w:val="7AF3AD0A"/>
    <w:rsid w:val="7AFD66D2"/>
    <w:rsid w:val="7AFF4121"/>
    <w:rsid w:val="7B034450"/>
    <w:rsid w:val="7B166879"/>
    <w:rsid w:val="7B1E6340"/>
    <w:rsid w:val="7B251B25"/>
    <w:rsid w:val="7B2D257D"/>
    <w:rsid w:val="7B30793B"/>
    <w:rsid w:val="7B3F192C"/>
    <w:rsid w:val="7B59BF53"/>
    <w:rsid w:val="7B664481"/>
    <w:rsid w:val="7B6A44CF"/>
    <w:rsid w:val="7B6F6FFC"/>
    <w:rsid w:val="7B756C9A"/>
    <w:rsid w:val="7B785252"/>
    <w:rsid w:val="7B7D78FD"/>
    <w:rsid w:val="7B7DBD4A"/>
    <w:rsid w:val="7B7F8410"/>
    <w:rsid w:val="7B845591"/>
    <w:rsid w:val="7B8F3A15"/>
    <w:rsid w:val="7B90588E"/>
    <w:rsid w:val="7B9B68F7"/>
    <w:rsid w:val="7BA93249"/>
    <w:rsid w:val="7BAC4AE8"/>
    <w:rsid w:val="7BB73828"/>
    <w:rsid w:val="7BB75966"/>
    <w:rsid w:val="7BCFDFCD"/>
    <w:rsid w:val="7BCFFB6F"/>
    <w:rsid w:val="7BD08A76"/>
    <w:rsid w:val="7BD5403F"/>
    <w:rsid w:val="7BD77DB7"/>
    <w:rsid w:val="7BD83B2F"/>
    <w:rsid w:val="7BDD1C51"/>
    <w:rsid w:val="7BDD9921"/>
    <w:rsid w:val="7BDE262B"/>
    <w:rsid w:val="7BE424D4"/>
    <w:rsid w:val="7BEC481B"/>
    <w:rsid w:val="7BEF0FCD"/>
    <w:rsid w:val="7BF00B62"/>
    <w:rsid w:val="7BF6F451"/>
    <w:rsid w:val="7BFE83C2"/>
    <w:rsid w:val="7C120DEF"/>
    <w:rsid w:val="7C183F2B"/>
    <w:rsid w:val="7C1D1542"/>
    <w:rsid w:val="7C1E3C37"/>
    <w:rsid w:val="7C23124E"/>
    <w:rsid w:val="7C262AEC"/>
    <w:rsid w:val="7C474DF4"/>
    <w:rsid w:val="7C541407"/>
    <w:rsid w:val="7C594C70"/>
    <w:rsid w:val="7C67278A"/>
    <w:rsid w:val="7C6D24C9"/>
    <w:rsid w:val="7C715D3A"/>
    <w:rsid w:val="7C773AC9"/>
    <w:rsid w:val="7C940F41"/>
    <w:rsid w:val="7C977546"/>
    <w:rsid w:val="7CB00608"/>
    <w:rsid w:val="7CBBB0B9"/>
    <w:rsid w:val="7CBC6FAC"/>
    <w:rsid w:val="7CBF6743"/>
    <w:rsid w:val="7CCF6CE0"/>
    <w:rsid w:val="7CD73DE6"/>
    <w:rsid w:val="7CE0713F"/>
    <w:rsid w:val="7CE73CFF"/>
    <w:rsid w:val="7CF0780B"/>
    <w:rsid w:val="7CF624BE"/>
    <w:rsid w:val="7CF72891"/>
    <w:rsid w:val="7CFF4BCB"/>
    <w:rsid w:val="7D0821F2"/>
    <w:rsid w:val="7D0A03B5"/>
    <w:rsid w:val="7D0B583E"/>
    <w:rsid w:val="7D0D15B6"/>
    <w:rsid w:val="7D3B6123"/>
    <w:rsid w:val="7D4A45B8"/>
    <w:rsid w:val="7D592945"/>
    <w:rsid w:val="7D621902"/>
    <w:rsid w:val="7D691DC0"/>
    <w:rsid w:val="7D7A4E9D"/>
    <w:rsid w:val="7D7A61CF"/>
    <w:rsid w:val="7D7B08AD"/>
    <w:rsid w:val="7D7FD221"/>
    <w:rsid w:val="7D9F4904"/>
    <w:rsid w:val="7DA41F1A"/>
    <w:rsid w:val="7DAF0C19"/>
    <w:rsid w:val="7DB9BAFC"/>
    <w:rsid w:val="7DBC4B71"/>
    <w:rsid w:val="7DBDA68D"/>
    <w:rsid w:val="7DD32800"/>
    <w:rsid w:val="7DD94C28"/>
    <w:rsid w:val="7DDFBCD9"/>
    <w:rsid w:val="7DE247F1"/>
    <w:rsid w:val="7DF9051F"/>
    <w:rsid w:val="7DFD87C3"/>
    <w:rsid w:val="7DFE5366"/>
    <w:rsid w:val="7DFF2909"/>
    <w:rsid w:val="7DFF35F5"/>
    <w:rsid w:val="7DFF3EB7"/>
    <w:rsid w:val="7DFFEA5C"/>
    <w:rsid w:val="7E066731"/>
    <w:rsid w:val="7E0E1A8A"/>
    <w:rsid w:val="7E2827A8"/>
    <w:rsid w:val="7E386B07"/>
    <w:rsid w:val="7E3A2CA5"/>
    <w:rsid w:val="7E3FAC03"/>
    <w:rsid w:val="7E4222BA"/>
    <w:rsid w:val="7E466939"/>
    <w:rsid w:val="7E4B4A8C"/>
    <w:rsid w:val="7E4C610E"/>
    <w:rsid w:val="7E597CD7"/>
    <w:rsid w:val="7E67B6D4"/>
    <w:rsid w:val="7E7A0ECD"/>
    <w:rsid w:val="7E8DC893"/>
    <w:rsid w:val="7EAD658C"/>
    <w:rsid w:val="7EAF7B26"/>
    <w:rsid w:val="7EB0669D"/>
    <w:rsid w:val="7EBFCB41"/>
    <w:rsid w:val="7EC01890"/>
    <w:rsid w:val="7EC6356C"/>
    <w:rsid w:val="7ED2626D"/>
    <w:rsid w:val="7ED76320"/>
    <w:rsid w:val="7EDD7213"/>
    <w:rsid w:val="7EDDD10A"/>
    <w:rsid w:val="7EEF18BB"/>
    <w:rsid w:val="7EF530F0"/>
    <w:rsid w:val="7EF667A6"/>
    <w:rsid w:val="7EF7251E"/>
    <w:rsid w:val="7EFB5E8F"/>
    <w:rsid w:val="7EFBA54F"/>
    <w:rsid w:val="7EFEC3CB"/>
    <w:rsid w:val="7EFF9B55"/>
    <w:rsid w:val="7EFFD3FE"/>
    <w:rsid w:val="7EFFD69D"/>
    <w:rsid w:val="7EFFFE40"/>
    <w:rsid w:val="7F1430D0"/>
    <w:rsid w:val="7F1B7FBA"/>
    <w:rsid w:val="7F1E1436"/>
    <w:rsid w:val="7F2F6C75"/>
    <w:rsid w:val="7F4606E0"/>
    <w:rsid w:val="7F492E62"/>
    <w:rsid w:val="7F587BFA"/>
    <w:rsid w:val="7F590AE3"/>
    <w:rsid w:val="7F5931D8"/>
    <w:rsid w:val="7F5D4DB4"/>
    <w:rsid w:val="7F5F3E3D"/>
    <w:rsid w:val="7F5F64D7"/>
    <w:rsid w:val="7F6B0FEB"/>
    <w:rsid w:val="7F710522"/>
    <w:rsid w:val="7F733D91"/>
    <w:rsid w:val="7F7BF2F6"/>
    <w:rsid w:val="7F7D0C75"/>
    <w:rsid w:val="7F7E56A0"/>
    <w:rsid w:val="7F7EE898"/>
    <w:rsid w:val="7F7FF1C7"/>
    <w:rsid w:val="7F857B2A"/>
    <w:rsid w:val="7F8813C8"/>
    <w:rsid w:val="7F8A3E0E"/>
    <w:rsid w:val="7F985AAF"/>
    <w:rsid w:val="7F9B456B"/>
    <w:rsid w:val="7FA53D28"/>
    <w:rsid w:val="7FA90C3E"/>
    <w:rsid w:val="7FAADB19"/>
    <w:rsid w:val="7FB421BD"/>
    <w:rsid w:val="7FB7EE4A"/>
    <w:rsid w:val="7FB83A5B"/>
    <w:rsid w:val="7FBB1F64"/>
    <w:rsid w:val="7FCE7723"/>
    <w:rsid w:val="7FD37057"/>
    <w:rsid w:val="7FD508D3"/>
    <w:rsid w:val="7FD76031"/>
    <w:rsid w:val="7FD82720"/>
    <w:rsid w:val="7FD9A7F6"/>
    <w:rsid w:val="7FDB8B0A"/>
    <w:rsid w:val="7FDD34C2"/>
    <w:rsid w:val="7FDE1157"/>
    <w:rsid w:val="7FDF3FB8"/>
    <w:rsid w:val="7FDF84C8"/>
    <w:rsid w:val="7FDF8EB6"/>
    <w:rsid w:val="7FE5F30E"/>
    <w:rsid w:val="7FE702A7"/>
    <w:rsid w:val="7FE7578D"/>
    <w:rsid w:val="7FED8ACC"/>
    <w:rsid w:val="7FEF303B"/>
    <w:rsid w:val="7FEF4955"/>
    <w:rsid w:val="7FEFB90A"/>
    <w:rsid w:val="7FF38258"/>
    <w:rsid w:val="7FF3A5D5"/>
    <w:rsid w:val="7FF5598C"/>
    <w:rsid w:val="7FF66044"/>
    <w:rsid w:val="7FF7CB70"/>
    <w:rsid w:val="7FFB03C8"/>
    <w:rsid w:val="7FFB2508"/>
    <w:rsid w:val="7FFB4AD3"/>
    <w:rsid w:val="7FFB6169"/>
    <w:rsid w:val="7FFBDB0E"/>
    <w:rsid w:val="7FFBFF23"/>
    <w:rsid w:val="7FFC3B2F"/>
    <w:rsid w:val="7FFC8FB0"/>
    <w:rsid w:val="7FFEA47E"/>
    <w:rsid w:val="7FFF08F1"/>
    <w:rsid w:val="7FFF346B"/>
    <w:rsid w:val="7FFF97EC"/>
    <w:rsid w:val="7FFFA6DE"/>
    <w:rsid w:val="7FFFD9DC"/>
    <w:rsid w:val="89FFD0A3"/>
    <w:rsid w:val="8CF9790A"/>
    <w:rsid w:val="8FFDED42"/>
    <w:rsid w:val="94FFED46"/>
    <w:rsid w:val="9ADF3E33"/>
    <w:rsid w:val="9BFD8884"/>
    <w:rsid w:val="9D1F19EB"/>
    <w:rsid w:val="9FFD6CCF"/>
    <w:rsid w:val="9FFFC2A0"/>
    <w:rsid w:val="A37E8E75"/>
    <w:rsid w:val="A6F0C1A2"/>
    <w:rsid w:val="A7F0C0B8"/>
    <w:rsid w:val="ABCB3C34"/>
    <w:rsid w:val="ABCF87D1"/>
    <w:rsid w:val="ACF2F2E5"/>
    <w:rsid w:val="ADE1E39E"/>
    <w:rsid w:val="AF3FC1F4"/>
    <w:rsid w:val="AFFF5A59"/>
    <w:rsid w:val="B2F238A4"/>
    <w:rsid w:val="B3BDA764"/>
    <w:rsid w:val="B5F5EBFA"/>
    <w:rsid w:val="B6EFEBE3"/>
    <w:rsid w:val="B7D70765"/>
    <w:rsid w:val="B7DBA881"/>
    <w:rsid w:val="B7F69B3C"/>
    <w:rsid w:val="B8D739CC"/>
    <w:rsid w:val="B9E57D8C"/>
    <w:rsid w:val="B9F75AE5"/>
    <w:rsid w:val="BA36523E"/>
    <w:rsid w:val="BB77A637"/>
    <w:rsid w:val="BB9DC487"/>
    <w:rsid w:val="BBCD3280"/>
    <w:rsid w:val="BBD7E073"/>
    <w:rsid w:val="BBE2AA31"/>
    <w:rsid w:val="BC665DAB"/>
    <w:rsid w:val="BD7E3D9B"/>
    <w:rsid w:val="BDD3A48E"/>
    <w:rsid w:val="BDF785E5"/>
    <w:rsid w:val="BE5EDA05"/>
    <w:rsid w:val="BE676398"/>
    <w:rsid w:val="BE779A69"/>
    <w:rsid w:val="BE9BFF11"/>
    <w:rsid w:val="BEE3EFD1"/>
    <w:rsid w:val="BEFFAD93"/>
    <w:rsid w:val="BF9B1FFB"/>
    <w:rsid w:val="BFAD70B9"/>
    <w:rsid w:val="BFBD3820"/>
    <w:rsid w:val="BFD55FBD"/>
    <w:rsid w:val="BFF73E85"/>
    <w:rsid w:val="BFF9E441"/>
    <w:rsid w:val="BFFA7494"/>
    <w:rsid w:val="BFFBDFCB"/>
    <w:rsid w:val="C2FCC403"/>
    <w:rsid w:val="C6220233"/>
    <w:rsid w:val="C70B91ED"/>
    <w:rsid w:val="CAF7F7D9"/>
    <w:rsid w:val="CBAAB46A"/>
    <w:rsid w:val="CBF2F63F"/>
    <w:rsid w:val="CDB19D00"/>
    <w:rsid w:val="CDFFE294"/>
    <w:rsid w:val="CE4636B8"/>
    <w:rsid w:val="CE9D4FEB"/>
    <w:rsid w:val="CF764F6A"/>
    <w:rsid w:val="CFBFC87E"/>
    <w:rsid w:val="CFDE7BFE"/>
    <w:rsid w:val="CFFC44F3"/>
    <w:rsid w:val="CFFD2026"/>
    <w:rsid w:val="D3DFAF1D"/>
    <w:rsid w:val="D3E31AE1"/>
    <w:rsid w:val="D563F1D8"/>
    <w:rsid w:val="D75700DC"/>
    <w:rsid w:val="D7E7E5F7"/>
    <w:rsid w:val="D7EC3280"/>
    <w:rsid w:val="D7FD828B"/>
    <w:rsid w:val="D85E106A"/>
    <w:rsid w:val="D9B9FDD5"/>
    <w:rsid w:val="D9CDD73B"/>
    <w:rsid w:val="DBB94371"/>
    <w:rsid w:val="DBFF4F90"/>
    <w:rsid w:val="DD3E4826"/>
    <w:rsid w:val="DDDB6E0A"/>
    <w:rsid w:val="DDF708AD"/>
    <w:rsid w:val="DDFFEE29"/>
    <w:rsid w:val="DE3B2F56"/>
    <w:rsid w:val="DE6E5E00"/>
    <w:rsid w:val="DEDF6332"/>
    <w:rsid w:val="DEFC9BAD"/>
    <w:rsid w:val="DEFEF671"/>
    <w:rsid w:val="DEFF24A9"/>
    <w:rsid w:val="DF378C10"/>
    <w:rsid w:val="DF53F1E8"/>
    <w:rsid w:val="DF64AE34"/>
    <w:rsid w:val="DF6FCC97"/>
    <w:rsid w:val="DF77944F"/>
    <w:rsid w:val="DF79D786"/>
    <w:rsid w:val="DFCF79C6"/>
    <w:rsid w:val="DFD7CDA4"/>
    <w:rsid w:val="DFDBA1A3"/>
    <w:rsid w:val="DFE9BE3E"/>
    <w:rsid w:val="DFEB8FE4"/>
    <w:rsid w:val="DFEF9B0D"/>
    <w:rsid w:val="DFEFC483"/>
    <w:rsid w:val="DFFDC6FC"/>
    <w:rsid w:val="DFFF3EB8"/>
    <w:rsid w:val="DFFFB74C"/>
    <w:rsid w:val="E1DF732E"/>
    <w:rsid w:val="E23BC2FE"/>
    <w:rsid w:val="E3FF1731"/>
    <w:rsid w:val="E3FF373A"/>
    <w:rsid w:val="E5EF6884"/>
    <w:rsid w:val="E7D9CCAE"/>
    <w:rsid w:val="E9AD4FD6"/>
    <w:rsid w:val="EA758FF0"/>
    <w:rsid w:val="EAEAA41E"/>
    <w:rsid w:val="EB77A327"/>
    <w:rsid w:val="EB7B0D6A"/>
    <w:rsid w:val="EB7ECFA1"/>
    <w:rsid w:val="EBD7E1C2"/>
    <w:rsid w:val="EBDCCF2D"/>
    <w:rsid w:val="EBFD1F58"/>
    <w:rsid w:val="EBFF6A18"/>
    <w:rsid w:val="EBFF715A"/>
    <w:rsid w:val="EDAFD7A5"/>
    <w:rsid w:val="EDF70E8E"/>
    <w:rsid w:val="EDFFBBBE"/>
    <w:rsid w:val="EE5FF822"/>
    <w:rsid w:val="EE7F3F76"/>
    <w:rsid w:val="EEA71FC0"/>
    <w:rsid w:val="EEBFF998"/>
    <w:rsid w:val="EF399E3D"/>
    <w:rsid w:val="EF4DE1BB"/>
    <w:rsid w:val="EF5D11C6"/>
    <w:rsid w:val="EF7F6DDF"/>
    <w:rsid w:val="EF87DE3E"/>
    <w:rsid w:val="EFBFAFEB"/>
    <w:rsid w:val="EFC10E7F"/>
    <w:rsid w:val="EFD63B24"/>
    <w:rsid w:val="EFE209DD"/>
    <w:rsid w:val="EFEE64B5"/>
    <w:rsid w:val="EFEFF585"/>
    <w:rsid w:val="EFF629E6"/>
    <w:rsid w:val="EFF7FE83"/>
    <w:rsid w:val="EFFDF711"/>
    <w:rsid w:val="EFFE719C"/>
    <w:rsid w:val="EFFEBCD3"/>
    <w:rsid w:val="EFFF174C"/>
    <w:rsid w:val="EFFF2E0F"/>
    <w:rsid w:val="EFFF85F6"/>
    <w:rsid w:val="F1E6B424"/>
    <w:rsid w:val="F3EB7345"/>
    <w:rsid w:val="F3EBD6A4"/>
    <w:rsid w:val="F54FC710"/>
    <w:rsid w:val="F57B1A8A"/>
    <w:rsid w:val="F5BE6E60"/>
    <w:rsid w:val="F5FF1077"/>
    <w:rsid w:val="F67FC504"/>
    <w:rsid w:val="F6A7FF89"/>
    <w:rsid w:val="F73D5848"/>
    <w:rsid w:val="F77BCFAF"/>
    <w:rsid w:val="F7BFA9C1"/>
    <w:rsid w:val="F7BFF6F2"/>
    <w:rsid w:val="F7DF1FA5"/>
    <w:rsid w:val="F7F976B6"/>
    <w:rsid w:val="F7FD50AD"/>
    <w:rsid w:val="F7FE39D8"/>
    <w:rsid w:val="F7FF05EB"/>
    <w:rsid w:val="F7FF6C7A"/>
    <w:rsid w:val="F7FF8FEB"/>
    <w:rsid w:val="F85B52E7"/>
    <w:rsid w:val="F8DF59DD"/>
    <w:rsid w:val="F979A706"/>
    <w:rsid w:val="F9FA6D0A"/>
    <w:rsid w:val="FA2FD95A"/>
    <w:rsid w:val="FA686CCC"/>
    <w:rsid w:val="FAB61478"/>
    <w:rsid w:val="FB3F94E2"/>
    <w:rsid w:val="FBBB1CC1"/>
    <w:rsid w:val="FBDF0BD5"/>
    <w:rsid w:val="FBE68691"/>
    <w:rsid w:val="FBE7BCB8"/>
    <w:rsid w:val="FBEF89D8"/>
    <w:rsid w:val="FBF38638"/>
    <w:rsid w:val="FBF889FB"/>
    <w:rsid w:val="FBFD743B"/>
    <w:rsid w:val="FC161E5A"/>
    <w:rsid w:val="FC77D9B4"/>
    <w:rsid w:val="FD7EA595"/>
    <w:rsid w:val="FDA89D5B"/>
    <w:rsid w:val="FDBEBB0F"/>
    <w:rsid w:val="FDDFBA30"/>
    <w:rsid w:val="FDED4966"/>
    <w:rsid w:val="FDF7AD13"/>
    <w:rsid w:val="FDFB78B1"/>
    <w:rsid w:val="FDFB8FF4"/>
    <w:rsid w:val="FDFD13FF"/>
    <w:rsid w:val="FDFD4FE7"/>
    <w:rsid w:val="FDFE90FC"/>
    <w:rsid w:val="FDFF035D"/>
    <w:rsid w:val="FE959A4A"/>
    <w:rsid w:val="FEAE54C9"/>
    <w:rsid w:val="FEBD3995"/>
    <w:rsid w:val="FECB9968"/>
    <w:rsid w:val="FECBEBDF"/>
    <w:rsid w:val="FED4FECA"/>
    <w:rsid w:val="FEDDE377"/>
    <w:rsid w:val="FEDFA97A"/>
    <w:rsid w:val="FEEF7227"/>
    <w:rsid w:val="FEF81B79"/>
    <w:rsid w:val="FEFD1DD9"/>
    <w:rsid w:val="FEFD47DD"/>
    <w:rsid w:val="FEFF3683"/>
    <w:rsid w:val="FF2DCDEA"/>
    <w:rsid w:val="FF4C2390"/>
    <w:rsid w:val="FF4D7913"/>
    <w:rsid w:val="FF5D0ACF"/>
    <w:rsid w:val="FF6E1794"/>
    <w:rsid w:val="FF8D8EB4"/>
    <w:rsid w:val="FF9B0916"/>
    <w:rsid w:val="FFAB9B7B"/>
    <w:rsid w:val="FFACB3AA"/>
    <w:rsid w:val="FFB5F5C6"/>
    <w:rsid w:val="FFB64D38"/>
    <w:rsid w:val="FFBB43A3"/>
    <w:rsid w:val="FFBC311D"/>
    <w:rsid w:val="FFBE4E78"/>
    <w:rsid w:val="FFBFFBA3"/>
    <w:rsid w:val="FFCD5D22"/>
    <w:rsid w:val="FFDCFEBB"/>
    <w:rsid w:val="FFDF1367"/>
    <w:rsid w:val="FFDFFB83"/>
    <w:rsid w:val="FFE2D492"/>
    <w:rsid w:val="FFED588D"/>
    <w:rsid w:val="FFEEDE62"/>
    <w:rsid w:val="FFF58605"/>
    <w:rsid w:val="FFF74E23"/>
    <w:rsid w:val="FFF79F3D"/>
    <w:rsid w:val="FFF7FF06"/>
    <w:rsid w:val="FFFB553C"/>
    <w:rsid w:val="FFFC7036"/>
    <w:rsid w:val="FFFD0548"/>
    <w:rsid w:val="FFFD83FB"/>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nhideWhenUsed="0" w:uiPriority="0" w:semiHidden="0" w:name="heading 4"/>
    <w:lsdException w:qFormat="1" w:unhideWhenUsed="0" w:uiPriority="9" w:semiHidden="0" w:name="heading 5"/>
    <w:lsdException w:qFormat="1" w:unhideWhenUsed="0" w:uiPriority="0" w:semiHidden="0" w:name="heading 6"/>
    <w:lsdException w:qFormat="1" w:uiPriority="9" w:name="heading 7"/>
    <w:lsdException w:qFormat="1" w:uiPriority="9" w:name="heading 8"/>
    <w:lsdException w:qFormat="1" w:unhideWhenUsed="0" w:uiPriority="0" w:semiHidden="0" w:name="heading 9"/>
    <w:lsdException w:uiPriority="99"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iPriority="99"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nhideWhenUsed="0" w:uiPriority="0" w:semiHidden="0"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qFormat="1" w:uiPriority="99" w:semiHidden="0" w:name="Body Text Indent 3"/>
    <w:lsdException w:qFormat="1" w:unhideWhenUsed="0" w:uiPriority="99" w:semiHidden="0"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qFormat="1" w:uiPriority="0" w:semiHidden="0"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qFormat="1" w:uiPriority="99" w:semiHidden="0" w:name="HTML Code"/>
    <w:lsdException w:qFormat="1" w:uiPriority="99" w:semiHidden="0" w:name="HTML Definition"/>
    <w:lsdException w:qFormat="1" w:uiPriority="99" w:semiHidden="0" w:name="HTML Keyboard"/>
    <w:lsdException w:uiPriority="99" w:name="HTML Preformatted"/>
    <w:lsdException w:qFormat="1" w:uiPriority="99" w:semiHidden="0" w:name="HTML Sample"/>
    <w:lsdException w:uiPriority="99" w:name="HTML Typewriter"/>
    <w:lsdException w:uiPriority="99" w:name="HTML Variable"/>
    <w:lsdException w:qFormat="1" w:uiPriority="99" w:semiHidden="0"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12" w:lineRule="auto"/>
      <w:jc w:val="both"/>
    </w:pPr>
    <w:rPr>
      <w:rFonts w:ascii="Calibri" w:hAnsi="Calibri" w:eastAsia="宋体" w:cs="Calibri"/>
      <w:kern w:val="2"/>
      <w:sz w:val="21"/>
      <w:lang w:val="en-US" w:eastAsia="zh-CN" w:bidi="ar-SA"/>
    </w:rPr>
  </w:style>
  <w:style w:type="paragraph" w:styleId="2">
    <w:name w:val="heading 1"/>
    <w:basedOn w:val="1"/>
    <w:next w:val="1"/>
    <w:link w:val="51"/>
    <w:qFormat/>
    <w:uiPriority w:val="0"/>
    <w:pPr>
      <w:keepNext/>
      <w:keepLines/>
      <w:numPr>
        <w:ilvl w:val="0"/>
        <w:numId w:val="1"/>
      </w:numPr>
      <w:spacing w:before="340" w:after="330" w:line="576" w:lineRule="auto"/>
      <w:jc w:val="center"/>
      <w:outlineLvl w:val="0"/>
    </w:pPr>
    <w:rPr>
      <w:rFonts w:eastAsia="仿宋"/>
      <w:b/>
      <w:kern w:val="44"/>
      <w:sz w:val="28"/>
    </w:rPr>
  </w:style>
  <w:style w:type="paragraph" w:styleId="3">
    <w:name w:val="heading 2"/>
    <w:basedOn w:val="1"/>
    <w:next w:val="1"/>
    <w:link w:val="52"/>
    <w:qFormat/>
    <w:uiPriority w:val="0"/>
    <w:pPr>
      <w:keepNext/>
      <w:keepLines/>
      <w:adjustRightInd w:val="0"/>
      <w:snapToGrid w:val="0"/>
      <w:spacing w:before="120" w:after="120" w:line="360" w:lineRule="auto"/>
      <w:jc w:val="left"/>
      <w:outlineLvl w:val="1"/>
    </w:pPr>
    <w:rPr>
      <w:rFonts w:ascii="宋体" w:hAnsi="Arial" w:eastAsia="仿宋"/>
      <w:b/>
      <w:sz w:val="24"/>
    </w:rPr>
  </w:style>
  <w:style w:type="paragraph" w:styleId="4">
    <w:name w:val="heading 3"/>
    <w:basedOn w:val="1"/>
    <w:next w:val="1"/>
    <w:link w:val="54"/>
    <w:qFormat/>
    <w:uiPriority w:val="9"/>
    <w:pPr>
      <w:spacing w:before="120" w:after="120" w:line="17" w:lineRule="atLeast"/>
      <w:jc w:val="left"/>
      <w:outlineLvl w:val="2"/>
    </w:pPr>
    <w:rPr>
      <w:rFonts w:hint="eastAsia" w:ascii="宋体" w:hAnsi="宋体" w:eastAsia="仿宋"/>
      <w:b/>
      <w:kern w:val="0"/>
      <w:sz w:val="24"/>
      <w:szCs w:val="36"/>
    </w:rPr>
  </w:style>
  <w:style w:type="paragraph" w:styleId="5">
    <w:name w:val="heading 4"/>
    <w:basedOn w:val="1"/>
    <w:next w:val="1"/>
    <w:link w:val="56"/>
    <w:qFormat/>
    <w:uiPriority w:val="0"/>
    <w:pPr>
      <w:keepNext/>
      <w:keepLines/>
      <w:spacing w:line="376" w:lineRule="auto"/>
      <w:outlineLvl w:val="3"/>
    </w:pPr>
    <w:rPr>
      <w:rFonts w:ascii="Cambria" w:hAnsi="Cambria" w:eastAsia="仿宋"/>
      <w:b/>
      <w:bCs/>
      <w:sz w:val="24"/>
      <w:szCs w:val="28"/>
    </w:rPr>
  </w:style>
  <w:style w:type="paragraph" w:styleId="6">
    <w:name w:val="heading 5"/>
    <w:basedOn w:val="1"/>
    <w:next w:val="1"/>
    <w:link w:val="57"/>
    <w:qFormat/>
    <w:uiPriority w:val="9"/>
    <w:pPr>
      <w:keepNext/>
      <w:keepLines/>
      <w:spacing w:before="280" w:after="290" w:line="376" w:lineRule="auto"/>
      <w:outlineLvl w:val="4"/>
    </w:pPr>
    <w:rPr>
      <w:b/>
      <w:bCs/>
      <w:sz w:val="28"/>
      <w:szCs w:val="28"/>
    </w:rPr>
  </w:style>
  <w:style w:type="paragraph" w:styleId="7">
    <w:name w:val="heading 6"/>
    <w:basedOn w:val="1"/>
    <w:next w:val="1"/>
    <w:qFormat/>
    <w:uiPriority w:val="0"/>
    <w:pPr>
      <w:keepNext/>
      <w:keepLines/>
      <w:spacing w:before="240" w:after="64" w:line="320" w:lineRule="auto"/>
      <w:outlineLvl w:val="5"/>
    </w:pPr>
    <w:rPr>
      <w:rFonts w:ascii="Arial" w:hAnsi="Arial" w:eastAsia="黑体"/>
      <w:b/>
      <w:bCs/>
      <w:sz w:val="24"/>
    </w:rPr>
  </w:style>
  <w:style w:type="paragraph" w:styleId="8">
    <w:name w:val="heading 9"/>
    <w:basedOn w:val="1"/>
    <w:next w:val="1"/>
    <w:qFormat/>
    <w:uiPriority w:val="0"/>
    <w:pPr>
      <w:keepNext/>
      <w:keepLines/>
      <w:spacing w:before="240" w:after="64" w:line="320" w:lineRule="auto"/>
      <w:outlineLvl w:val="8"/>
    </w:pPr>
    <w:rPr>
      <w:rFonts w:ascii="Arial" w:hAnsi="Arial" w:eastAsia="黑体"/>
      <w:szCs w:val="21"/>
    </w:rPr>
  </w:style>
  <w:style w:type="character" w:default="1" w:styleId="39">
    <w:name w:val="Default Paragraph Font"/>
    <w:qFormat/>
    <w:uiPriority w:val="0"/>
    <w:rPr>
      <w:rFonts w:ascii="宋体" w:hAnsi="宋体" w:eastAsia="宋体"/>
      <w:sz w:val="21"/>
      <w:szCs w:val="21"/>
      <w:lang w:val="en-US" w:eastAsia="zh-CN" w:bidi="ar-SA"/>
    </w:rPr>
  </w:style>
  <w:style w:type="table" w:default="1" w:styleId="37">
    <w:name w:val="Normal Table"/>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9">
    <w:name w:val="toc 7"/>
    <w:basedOn w:val="1"/>
    <w:next w:val="1"/>
    <w:qFormat/>
    <w:uiPriority w:val="39"/>
    <w:pPr>
      <w:spacing w:line="240" w:lineRule="auto"/>
      <w:ind w:left="2520" w:leftChars="1200"/>
    </w:pPr>
    <w:rPr>
      <w:rFonts w:ascii="Calibri" w:hAnsi="Calibri" w:eastAsia="宋体"/>
    </w:rPr>
  </w:style>
  <w:style w:type="paragraph" w:styleId="10">
    <w:name w:val="Normal Indent"/>
    <w:basedOn w:val="1"/>
    <w:link w:val="55"/>
    <w:qFormat/>
    <w:uiPriority w:val="0"/>
    <w:pPr>
      <w:ind w:firstLine="420"/>
    </w:pPr>
    <w:rPr>
      <w:rFonts w:eastAsia="宋体"/>
      <w:sz w:val="21"/>
      <w:lang w:val="en-US" w:eastAsia="zh-CN"/>
    </w:rPr>
  </w:style>
  <w:style w:type="paragraph" w:styleId="11">
    <w:name w:val="Document Map"/>
    <w:basedOn w:val="1"/>
    <w:link w:val="58"/>
    <w:unhideWhenUsed/>
    <w:qFormat/>
    <w:uiPriority w:val="0"/>
    <w:rPr>
      <w:rFonts w:ascii="宋体"/>
      <w:sz w:val="18"/>
      <w:szCs w:val="18"/>
    </w:rPr>
  </w:style>
  <w:style w:type="paragraph" w:styleId="12">
    <w:name w:val="annotation text"/>
    <w:basedOn w:val="1"/>
    <w:link w:val="59"/>
    <w:qFormat/>
    <w:uiPriority w:val="99"/>
    <w:pPr>
      <w:jc w:val="left"/>
    </w:pPr>
  </w:style>
  <w:style w:type="paragraph" w:styleId="13">
    <w:name w:val="Body Text"/>
    <w:basedOn w:val="1"/>
    <w:link w:val="50"/>
    <w:unhideWhenUsed/>
    <w:qFormat/>
    <w:uiPriority w:val="99"/>
    <w:pPr>
      <w:spacing w:after="120"/>
    </w:pPr>
  </w:style>
  <w:style w:type="paragraph" w:styleId="14">
    <w:name w:val="Body Text Indent"/>
    <w:basedOn w:val="1"/>
    <w:link w:val="60"/>
    <w:qFormat/>
    <w:uiPriority w:val="0"/>
    <w:pPr>
      <w:spacing w:after="120" w:afterLines="0" w:afterAutospacing="0"/>
      <w:ind w:left="420" w:leftChars="200"/>
    </w:pPr>
  </w:style>
  <w:style w:type="paragraph" w:styleId="15">
    <w:name w:val="Block Text"/>
    <w:basedOn w:val="1"/>
    <w:qFormat/>
    <w:uiPriority w:val="99"/>
    <w:pPr>
      <w:tabs>
        <w:tab w:val="left" w:pos="8222"/>
      </w:tabs>
      <w:autoSpaceDE w:val="0"/>
      <w:autoSpaceDN w:val="0"/>
      <w:adjustRightInd w:val="0"/>
      <w:snapToGrid w:val="0"/>
      <w:spacing w:line="360" w:lineRule="auto"/>
      <w:ind w:left="1050" w:right="-53" w:firstLine="420"/>
      <w:textAlignment w:val="bottom"/>
    </w:pPr>
    <w:rPr>
      <w:rFonts w:ascii="宋体" w:hAnsi="Arial"/>
      <w:szCs w:val="20"/>
    </w:rPr>
  </w:style>
  <w:style w:type="paragraph" w:styleId="16">
    <w:name w:val="index 4"/>
    <w:basedOn w:val="1"/>
    <w:next w:val="1"/>
    <w:qFormat/>
    <w:uiPriority w:val="0"/>
    <w:pPr>
      <w:adjustRightInd/>
      <w:spacing w:line="240" w:lineRule="auto"/>
      <w:ind w:left="600" w:leftChars="600"/>
      <w:jc w:val="both"/>
      <w:textAlignment w:val="auto"/>
    </w:pPr>
    <w:rPr>
      <w:rFonts w:ascii="Times New Roman" w:hAnsi="Times New Roman" w:eastAsia="宋体" w:cs="Times New Roman"/>
      <w:kern w:val="2"/>
      <w:sz w:val="21"/>
      <w:szCs w:val="24"/>
    </w:rPr>
  </w:style>
  <w:style w:type="paragraph" w:styleId="17">
    <w:name w:val="toc 5"/>
    <w:basedOn w:val="1"/>
    <w:next w:val="1"/>
    <w:qFormat/>
    <w:uiPriority w:val="39"/>
    <w:pPr>
      <w:spacing w:line="240" w:lineRule="auto"/>
      <w:ind w:left="1680" w:leftChars="800"/>
    </w:pPr>
    <w:rPr>
      <w:rFonts w:ascii="Calibri" w:hAnsi="Calibri" w:eastAsia="宋体"/>
    </w:rPr>
  </w:style>
  <w:style w:type="paragraph" w:styleId="18">
    <w:name w:val="toc 3"/>
    <w:basedOn w:val="1"/>
    <w:next w:val="1"/>
    <w:qFormat/>
    <w:uiPriority w:val="39"/>
    <w:pPr>
      <w:ind w:left="840" w:leftChars="400"/>
    </w:pPr>
  </w:style>
  <w:style w:type="paragraph" w:styleId="19">
    <w:name w:val="Plain Text"/>
    <w:basedOn w:val="1"/>
    <w:link w:val="61"/>
    <w:qFormat/>
    <w:uiPriority w:val="0"/>
    <w:pPr>
      <w:spacing w:line="240" w:lineRule="auto"/>
    </w:pPr>
    <w:rPr>
      <w:rFonts w:ascii="宋体" w:hAnsi="Courier New"/>
    </w:rPr>
  </w:style>
  <w:style w:type="paragraph" w:styleId="20">
    <w:name w:val="toc 8"/>
    <w:basedOn w:val="1"/>
    <w:next w:val="1"/>
    <w:qFormat/>
    <w:uiPriority w:val="39"/>
    <w:pPr>
      <w:spacing w:line="240" w:lineRule="auto"/>
      <w:ind w:left="2940" w:leftChars="1400"/>
    </w:pPr>
    <w:rPr>
      <w:rFonts w:ascii="Calibri" w:hAnsi="Calibri" w:eastAsia="宋体"/>
    </w:rPr>
  </w:style>
  <w:style w:type="paragraph" w:styleId="21">
    <w:name w:val="Date"/>
    <w:basedOn w:val="1"/>
    <w:next w:val="1"/>
    <w:link w:val="62"/>
    <w:qFormat/>
    <w:uiPriority w:val="0"/>
    <w:pPr>
      <w:spacing w:line="240" w:lineRule="auto"/>
    </w:pPr>
    <w:rPr>
      <w:rFonts w:ascii="Times New Roman" w:hAnsi="Times New Roman"/>
      <w:sz w:val="24"/>
    </w:rPr>
  </w:style>
  <w:style w:type="paragraph" w:styleId="22">
    <w:name w:val="Body Text Indent 2"/>
    <w:basedOn w:val="1"/>
    <w:link w:val="63"/>
    <w:qFormat/>
    <w:uiPriority w:val="0"/>
    <w:pPr>
      <w:widowControl/>
      <w:spacing w:line="360" w:lineRule="auto"/>
      <w:ind w:left="525" w:leftChars="250" w:firstLine="420" w:firstLineChars="200"/>
      <w:jc w:val="left"/>
    </w:pPr>
    <w:rPr>
      <w:rFonts w:ascii="Arial" w:hAnsi="Arial"/>
      <w:kern w:val="28"/>
      <w:sz w:val="24"/>
      <w:lang w:eastAsia="en-US"/>
    </w:rPr>
  </w:style>
  <w:style w:type="paragraph" w:styleId="23">
    <w:name w:val="Balloon Text"/>
    <w:basedOn w:val="1"/>
    <w:link w:val="64"/>
    <w:qFormat/>
    <w:uiPriority w:val="0"/>
    <w:rPr>
      <w:sz w:val="18"/>
    </w:rPr>
  </w:style>
  <w:style w:type="paragraph" w:styleId="24">
    <w:name w:val="footer"/>
    <w:basedOn w:val="1"/>
    <w:link w:val="65"/>
    <w:qFormat/>
    <w:uiPriority w:val="0"/>
    <w:pPr>
      <w:tabs>
        <w:tab w:val="center" w:pos="4153"/>
        <w:tab w:val="right" w:pos="8306"/>
      </w:tabs>
      <w:snapToGrid w:val="0"/>
      <w:jc w:val="left"/>
    </w:pPr>
    <w:rPr>
      <w:sz w:val="18"/>
    </w:rPr>
  </w:style>
  <w:style w:type="paragraph" w:styleId="25">
    <w:name w:val="header"/>
    <w:basedOn w:val="1"/>
    <w:link w:val="66"/>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26">
    <w:name w:val="toc 1"/>
    <w:basedOn w:val="1"/>
    <w:next w:val="1"/>
    <w:qFormat/>
    <w:uiPriority w:val="39"/>
  </w:style>
  <w:style w:type="paragraph" w:styleId="27">
    <w:name w:val="toc 4"/>
    <w:basedOn w:val="1"/>
    <w:next w:val="1"/>
    <w:qFormat/>
    <w:uiPriority w:val="39"/>
    <w:pPr>
      <w:spacing w:line="240" w:lineRule="auto"/>
      <w:ind w:left="1260" w:leftChars="600"/>
    </w:pPr>
    <w:rPr>
      <w:rFonts w:ascii="Calibri" w:hAnsi="Calibri" w:eastAsia="宋体"/>
    </w:rPr>
  </w:style>
  <w:style w:type="paragraph" w:styleId="28">
    <w:name w:val="List"/>
    <w:basedOn w:val="1"/>
    <w:qFormat/>
    <w:uiPriority w:val="0"/>
    <w:pPr>
      <w:tabs>
        <w:tab w:val="left" w:pos="960"/>
      </w:tabs>
      <w:adjustRightInd w:val="0"/>
      <w:snapToGrid w:val="0"/>
      <w:spacing w:line="360" w:lineRule="auto"/>
      <w:ind w:left="960" w:hanging="420" w:firstLineChars="200"/>
    </w:pPr>
    <w:rPr>
      <w:bCs/>
      <w:kern w:val="0"/>
      <w:sz w:val="24"/>
    </w:rPr>
  </w:style>
  <w:style w:type="paragraph" w:styleId="29">
    <w:name w:val="toc 6"/>
    <w:basedOn w:val="1"/>
    <w:next w:val="1"/>
    <w:qFormat/>
    <w:uiPriority w:val="39"/>
    <w:pPr>
      <w:spacing w:line="240" w:lineRule="auto"/>
      <w:ind w:left="2100" w:leftChars="1000"/>
    </w:pPr>
    <w:rPr>
      <w:rFonts w:ascii="Calibri" w:hAnsi="Calibri" w:eastAsia="宋体"/>
    </w:rPr>
  </w:style>
  <w:style w:type="paragraph" w:styleId="30">
    <w:name w:val="Body Text Indent 3"/>
    <w:basedOn w:val="1"/>
    <w:link w:val="67"/>
    <w:unhideWhenUsed/>
    <w:qFormat/>
    <w:uiPriority w:val="99"/>
    <w:pPr>
      <w:spacing w:after="120"/>
      <w:ind w:left="420" w:leftChars="200"/>
    </w:pPr>
    <w:rPr>
      <w:sz w:val="16"/>
      <w:szCs w:val="16"/>
    </w:rPr>
  </w:style>
  <w:style w:type="paragraph" w:styleId="31">
    <w:name w:val="toc 2"/>
    <w:basedOn w:val="1"/>
    <w:next w:val="1"/>
    <w:qFormat/>
    <w:uiPriority w:val="39"/>
    <w:pPr>
      <w:ind w:left="420" w:leftChars="200"/>
    </w:pPr>
  </w:style>
  <w:style w:type="paragraph" w:styleId="32">
    <w:name w:val="toc 9"/>
    <w:basedOn w:val="1"/>
    <w:next w:val="1"/>
    <w:qFormat/>
    <w:uiPriority w:val="39"/>
    <w:pPr>
      <w:spacing w:line="240" w:lineRule="auto"/>
      <w:ind w:left="3360" w:leftChars="1600"/>
    </w:pPr>
    <w:rPr>
      <w:rFonts w:ascii="Calibri" w:hAnsi="Calibri" w:eastAsia="宋体"/>
    </w:rPr>
  </w:style>
  <w:style w:type="paragraph" w:styleId="33">
    <w:name w:val="Normal (Web)"/>
    <w:basedOn w:val="1"/>
    <w:unhideWhenUsed/>
    <w:qFormat/>
    <w:uiPriority w:val="99"/>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kern w:val="0"/>
      <w:sz w:val="24"/>
      <w:lang w:val="en-US" w:eastAsia="zh-CN" w:bidi="ar"/>
    </w:rPr>
  </w:style>
  <w:style w:type="paragraph" w:styleId="34">
    <w:name w:val="Title"/>
    <w:basedOn w:val="1"/>
    <w:next w:val="1"/>
    <w:qFormat/>
    <w:uiPriority w:val="10"/>
    <w:pPr>
      <w:spacing w:before="240" w:after="60"/>
      <w:jc w:val="center"/>
      <w:outlineLvl w:val="0"/>
    </w:pPr>
    <w:rPr>
      <w:rFonts w:ascii="Calibri Light" w:hAnsi="Calibri Light" w:eastAsia="宋体" w:cs="Times New Roman"/>
      <w:b/>
      <w:bCs/>
      <w:sz w:val="32"/>
      <w:szCs w:val="32"/>
    </w:rPr>
  </w:style>
  <w:style w:type="paragraph" w:styleId="35">
    <w:name w:val="annotation subject"/>
    <w:basedOn w:val="12"/>
    <w:next w:val="12"/>
    <w:link w:val="68"/>
    <w:qFormat/>
    <w:uiPriority w:val="0"/>
    <w:rPr>
      <w:b/>
    </w:rPr>
  </w:style>
  <w:style w:type="paragraph" w:styleId="36">
    <w:name w:val="Body Text First Indent 2"/>
    <w:basedOn w:val="14"/>
    <w:qFormat/>
    <w:uiPriority w:val="0"/>
    <w:pPr>
      <w:tabs>
        <w:tab w:val="left" w:pos="8364"/>
      </w:tabs>
      <w:spacing w:after="120"/>
      <w:ind w:left="420" w:leftChars="200" w:right="0" w:firstLine="210" w:firstLineChars="200"/>
    </w:pPr>
    <w:rPr>
      <w:rFonts w:ascii="Times New Roman"/>
    </w:rPr>
  </w:style>
  <w:style w:type="table" w:styleId="38">
    <w:name w:val="Table Grid"/>
    <w:basedOn w:val="37"/>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0">
    <w:name w:val="Strong"/>
    <w:qFormat/>
    <w:uiPriority w:val="22"/>
    <w:rPr>
      <w:rFonts w:ascii="宋体" w:hAnsi="宋体" w:eastAsia="宋体"/>
      <w:b/>
      <w:sz w:val="21"/>
      <w:szCs w:val="21"/>
      <w:lang w:val="en-US" w:eastAsia="zh-CN" w:bidi="ar-SA"/>
    </w:rPr>
  </w:style>
  <w:style w:type="character" w:styleId="41">
    <w:name w:val="page number"/>
    <w:qFormat/>
    <w:uiPriority w:val="0"/>
    <w:rPr>
      <w:lang w:val="en-US" w:eastAsia="zh-CN" w:bidi="ar-SA"/>
    </w:rPr>
  </w:style>
  <w:style w:type="character" w:styleId="42">
    <w:name w:val="FollowedHyperlink"/>
    <w:unhideWhenUsed/>
    <w:qFormat/>
    <w:uiPriority w:val="99"/>
    <w:rPr>
      <w:rFonts w:ascii="宋体" w:hAnsi="宋体" w:eastAsia="宋体"/>
      <w:color w:val="333333"/>
      <w:sz w:val="21"/>
      <w:szCs w:val="21"/>
      <w:u w:val="none"/>
      <w:lang w:val="en-US" w:eastAsia="zh-CN" w:bidi="ar-SA"/>
    </w:rPr>
  </w:style>
  <w:style w:type="character" w:styleId="43">
    <w:name w:val="Emphasis"/>
    <w:qFormat/>
    <w:uiPriority w:val="20"/>
    <w:rPr>
      <w:rFonts w:ascii="宋体" w:hAnsi="宋体" w:eastAsia="宋体"/>
      <w:sz w:val="21"/>
      <w:szCs w:val="21"/>
      <w:shd w:val="clear" w:color="auto" w:fill="5BC0DE"/>
      <w:lang w:val="en-US" w:eastAsia="zh-CN" w:bidi="ar-SA"/>
    </w:rPr>
  </w:style>
  <w:style w:type="character" w:styleId="44">
    <w:name w:val="HTML Definition"/>
    <w:unhideWhenUsed/>
    <w:qFormat/>
    <w:uiPriority w:val="99"/>
    <w:rPr>
      <w:rFonts w:ascii="宋体" w:hAnsi="宋体" w:eastAsia="宋体"/>
      <w:i/>
      <w:sz w:val="21"/>
      <w:szCs w:val="21"/>
      <w:lang w:val="en-US" w:eastAsia="zh-CN" w:bidi="ar-SA"/>
    </w:rPr>
  </w:style>
  <w:style w:type="character" w:styleId="45">
    <w:name w:val="Hyperlink"/>
    <w:qFormat/>
    <w:uiPriority w:val="99"/>
    <w:rPr>
      <w:color w:val="0563C1"/>
      <w:u w:val="single"/>
    </w:rPr>
  </w:style>
  <w:style w:type="character" w:styleId="46">
    <w:name w:val="HTML Code"/>
    <w:unhideWhenUsed/>
    <w:qFormat/>
    <w:uiPriority w:val="99"/>
    <w:rPr>
      <w:rFonts w:ascii="Monaco" w:hAnsi="Monaco" w:eastAsia="Monaco" w:cs="Monaco"/>
      <w:color w:val="C7254E"/>
      <w:sz w:val="21"/>
      <w:szCs w:val="21"/>
      <w:shd w:val="clear" w:color="auto" w:fill="F9F2F4"/>
      <w:lang w:val="en-US" w:eastAsia="zh-CN" w:bidi="ar-SA"/>
    </w:rPr>
  </w:style>
  <w:style w:type="character" w:styleId="47">
    <w:name w:val="annotation reference"/>
    <w:qFormat/>
    <w:uiPriority w:val="0"/>
    <w:rPr>
      <w:sz w:val="21"/>
    </w:rPr>
  </w:style>
  <w:style w:type="character" w:styleId="48">
    <w:name w:val="HTML Keyboard"/>
    <w:unhideWhenUsed/>
    <w:qFormat/>
    <w:uiPriority w:val="99"/>
    <w:rPr>
      <w:rFonts w:hint="default" w:ascii="Monaco" w:hAnsi="Monaco" w:eastAsia="Monaco" w:cs="Monaco"/>
      <w:color w:val="FFFFFF"/>
      <w:sz w:val="21"/>
      <w:szCs w:val="21"/>
      <w:shd w:val="clear" w:color="auto" w:fill="333333"/>
      <w:lang w:val="en-US" w:eastAsia="zh-CN" w:bidi="ar-SA"/>
    </w:rPr>
  </w:style>
  <w:style w:type="character" w:styleId="49">
    <w:name w:val="HTML Sample"/>
    <w:unhideWhenUsed/>
    <w:qFormat/>
    <w:uiPriority w:val="99"/>
    <w:rPr>
      <w:rFonts w:hint="default" w:ascii="Monaco" w:hAnsi="Monaco" w:eastAsia="Monaco" w:cs="Monaco"/>
      <w:sz w:val="21"/>
      <w:szCs w:val="21"/>
      <w:lang w:val="en-US" w:eastAsia="zh-CN" w:bidi="ar-SA"/>
    </w:rPr>
  </w:style>
  <w:style w:type="character" w:customStyle="1" w:styleId="50">
    <w:name w:val="正文文本 字符"/>
    <w:link w:val="13"/>
    <w:semiHidden/>
    <w:qFormat/>
    <w:uiPriority w:val="99"/>
    <w:rPr>
      <w:kern w:val="2"/>
      <w:sz w:val="21"/>
    </w:rPr>
  </w:style>
  <w:style w:type="character" w:customStyle="1" w:styleId="51">
    <w:name w:val="标题 1 字符"/>
    <w:link w:val="2"/>
    <w:qFormat/>
    <w:uiPriority w:val="0"/>
    <w:rPr>
      <w:rFonts w:eastAsia="仿宋"/>
      <w:b/>
      <w:kern w:val="44"/>
      <w:sz w:val="28"/>
    </w:rPr>
  </w:style>
  <w:style w:type="character" w:customStyle="1" w:styleId="52">
    <w:name w:val="标题 2 字符"/>
    <w:link w:val="3"/>
    <w:qFormat/>
    <w:uiPriority w:val="9"/>
    <w:rPr>
      <w:rFonts w:ascii="宋体" w:hAnsi="Arial" w:eastAsia="仿宋"/>
      <w:b/>
      <w:kern w:val="2"/>
      <w:sz w:val="24"/>
    </w:rPr>
  </w:style>
  <w:style w:type="paragraph" w:customStyle="1" w:styleId="53">
    <w:name w:val="标题 60"/>
    <w:basedOn w:val="7"/>
    <w:qFormat/>
    <w:uiPriority w:val="0"/>
    <w:pPr>
      <w:spacing w:line="319" w:lineRule="auto"/>
      <w:ind w:firstLine="200" w:firstLineChars="200"/>
    </w:pPr>
    <w:rPr>
      <w:b w:val="0"/>
      <w:bCs w:val="0"/>
    </w:rPr>
  </w:style>
  <w:style w:type="character" w:customStyle="1" w:styleId="54">
    <w:name w:val="标题 3 字符"/>
    <w:link w:val="4"/>
    <w:qFormat/>
    <w:uiPriority w:val="9"/>
    <w:rPr>
      <w:rFonts w:ascii="宋体" w:hAnsi="宋体" w:eastAsia="仿宋"/>
      <w:b/>
      <w:sz w:val="24"/>
      <w:szCs w:val="36"/>
    </w:rPr>
  </w:style>
  <w:style w:type="character" w:customStyle="1" w:styleId="55">
    <w:name w:val="正文缩进 字符"/>
    <w:link w:val="10"/>
    <w:qFormat/>
    <w:uiPriority w:val="0"/>
    <w:rPr>
      <w:kern w:val="2"/>
      <w:sz w:val="21"/>
    </w:rPr>
  </w:style>
  <w:style w:type="character" w:customStyle="1" w:styleId="56">
    <w:name w:val="标题 4 字符"/>
    <w:link w:val="5"/>
    <w:qFormat/>
    <w:uiPriority w:val="0"/>
    <w:rPr>
      <w:rFonts w:ascii="Cambria" w:hAnsi="Cambria" w:eastAsia="仿宋"/>
      <w:b/>
      <w:bCs/>
      <w:kern w:val="2"/>
      <w:sz w:val="24"/>
      <w:szCs w:val="28"/>
    </w:rPr>
  </w:style>
  <w:style w:type="character" w:customStyle="1" w:styleId="57">
    <w:name w:val="标题 5 字符"/>
    <w:link w:val="6"/>
    <w:semiHidden/>
    <w:qFormat/>
    <w:uiPriority w:val="9"/>
    <w:rPr>
      <w:b/>
      <w:bCs/>
      <w:kern w:val="2"/>
      <w:sz w:val="28"/>
      <w:szCs w:val="28"/>
    </w:rPr>
  </w:style>
  <w:style w:type="character" w:customStyle="1" w:styleId="58">
    <w:name w:val="文档结构图 字符"/>
    <w:link w:val="11"/>
    <w:semiHidden/>
    <w:qFormat/>
    <w:uiPriority w:val="0"/>
    <w:rPr>
      <w:rFonts w:ascii="宋体"/>
      <w:kern w:val="2"/>
      <w:sz w:val="18"/>
      <w:szCs w:val="18"/>
    </w:rPr>
  </w:style>
  <w:style w:type="character" w:customStyle="1" w:styleId="59">
    <w:name w:val="批注文字 字符1"/>
    <w:link w:val="12"/>
    <w:qFormat/>
    <w:uiPriority w:val="99"/>
    <w:rPr>
      <w:kern w:val="2"/>
      <w:sz w:val="21"/>
    </w:rPr>
  </w:style>
  <w:style w:type="character" w:customStyle="1" w:styleId="60">
    <w:name w:val="正文文本缩进 字符"/>
    <w:link w:val="14"/>
    <w:qFormat/>
    <w:uiPriority w:val="0"/>
    <w:rPr>
      <w:kern w:val="2"/>
      <w:sz w:val="21"/>
    </w:rPr>
  </w:style>
  <w:style w:type="character" w:customStyle="1" w:styleId="61">
    <w:name w:val="纯文本 字符"/>
    <w:link w:val="19"/>
    <w:qFormat/>
    <w:uiPriority w:val="0"/>
    <w:rPr>
      <w:rFonts w:ascii="宋体" w:hAnsi="Courier New"/>
      <w:kern w:val="2"/>
      <w:sz w:val="21"/>
    </w:rPr>
  </w:style>
  <w:style w:type="character" w:customStyle="1" w:styleId="62">
    <w:name w:val="日期 字符"/>
    <w:link w:val="21"/>
    <w:qFormat/>
    <w:uiPriority w:val="0"/>
    <w:rPr>
      <w:rFonts w:ascii="Times New Roman" w:hAnsi="Times New Roman" w:eastAsia="宋体"/>
      <w:kern w:val="2"/>
      <w:sz w:val="24"/>
      <w:szCs w:val="21"/>
      <w:lang w:val="en-US" w:eastAsia="zh-CN" w:bidi="ar-SA"/>
    </w:rPr>
  </w:style>
  <w:style w:type="character" w:customStyle="1" w:styleId="63">
    <w:name w:val="正文文本缩进 2 字符"/>
    <w:link w:val="22"/>
    <w:qFormat/>
    <w:uiPriority w:val="0"/>
    <w:rPr>
      <w:rFonts w:ascii="Arial" w:hAnsi="Arial"/>
      <w:kern w:val="28"/>
      <w:sz w:val="24"/>
      <w:lang w:eastAsia="en-US"/>
    </w:rPr>
  </w:style>
  <w:style w:type="character" w:customStyle="1" w:styleId="64">
    <w:name w:val="批注框文本 字符"/>
    <w:link w:val="23"/>
    <w:qFormat/>
    <w:uiPriority w:val="0"/>
    <w:rPr>
      <w:kern w:val="2"/>
      <w:sz w:val="18"/>
    </w:rPr>
  </w:style>
  <w:style w:type="character" w:customStyle="1" w:styleId="65">
    <w:name w:val="页脚 字符"/>
    <w:link w:val="24"/>
    <w:qFormat/>
    <w:uiPriority w:val="99"/>
    <w:rPr>
      <w:rFonts w:eastAsia="宋体"/>
      <w:kern w:val="2"/>
      <w:sz w:val="18"/>
      <w:lang w:val="en-US" w:eastAsia="zh-CN"/>
    </w:rPr>
  </w:style>
  <w:style w:type="character" w:customStyle="1" w:styleId="66">
    <w:name w:val="页眉 字符"/>
    <w:link w:val="25"/>
    <w:qFormat/>
    <w:uiPriority w:val="0"/>
    <w:rPr>
      <w:rFonts w:eastAsia="宋体"/>
      <w:kern w:val="2"/>
      <w:sz w:val="18"/>
      <w:lang w:val="en-US" w:eastAsia="zh-CN"/>
    </w:rPr>
  </w:style>
  <w:style w:type="character" w:customStyle="1" w:styleId="67">
    <w:name w:val="正文文本缩进 3 字符"/>
    <w:link w:val="30"/>
    <w:semiHidden/>
    <w:qFormat/>
    <w:uiPriority w:val="99"/>
    <w:rPr>
      <w:rFonts w:ascii="宋体" w:hAnsi="宋体" w:eastAsia="宋体"/>
      <w:kern w:val="2"/>
      <w:sz w:val="16"/>
      <w:szCs w:val="16"/>
      <w:lang w:val="en-US" w:eastAsia="zh-CN" w:bidi="ar-SA"/>
    </w:rPr>
  </w:style>
  <w:style w:type="character" w:customStyle="1" w:styleId="68">
    <w:name w:val="批注主题 字符"/>
    <w:link w:val="35"/>
    <w:qFormat/>
    <w:uiPriority w:val="0"/>
    <w:rPr>
      <w:b/>
      <w:kern w:val="2"/>
      <w:sz w:val="21"/>
    </w:rPr>
  </w:style>
  <w:style w:type="character" w:customStyle="1" w:styleId="69">
    <w:name w:val="next"/>
    <w:qFormat/>
    <w:uiPriority w:val="0"/>
    <w:rPr>
      <w:rFonts w:ascii="宋体" w:hAnsi="宋体" w:eastAsia="宋体"/>
      <w:color w:val="888888"/>
      <w:sz w:val="21"/>
      <w:szCs w:val="21"/>
      <w:lang w:val="en-US" w:eastAsia="zh-CN" w:bidi="ar-SA"/>
    </w:rPr>
  </w:style>
  <w:style w:type="character" w:customStyle="1" w:styleId="70">
    <w:name w:val="bd-open"/>
    <w:qFormat/>
    <w:uiPriority w:val="0"/>
    <w:rPr>
      <w:lang w:val="en-US" w:eastAsia="zh-CN" w:bidi="ar-SA"/>
    </w:rPr>
  </w:style>
  <w:style w:type="character" w:customStyle="1" w:styleId="71">
    <w:name w:val="样式1 字符"/>
    <w:link w:val="72"/>
    <w:qFormat/>
    <w:uiPriority w:val="0"/>
    <w:rPr>
      <w:rFonts w:ascii="宋体" w:hAnsi="宋体" w:eastAsia="宋体"/>
      <w:b/>
      <w:kern w:val="2"/>
      <w:sz w:val="21"/>
      <w:szCs w:val="21"/>
      <w:lang w:val="en-US" w:eastAsia="zh-CN" w:bidi="ar-SA"/>
    </w:rPr>
  </w:style>
  <w:style w:type="paragraph" w:customStyle="1" w:styleId="72">
    <w:name w:val="样式1"/>
    <w:basedOn w:val="1"/>
    <w:link w:val="71"/>
    <w:qFormat/>
    <w:uiPriority w:val="0"/>
    <w:pPr>
      <w:spacing w:before="19" w:beforeLines="19" w:after="19" w:afterLines="19" w:line="360" w:lineRule="auto"/>
      <w:ind w:firstLine="200" w:firstLineChars="200"/>
      <w:textAlignment w:val="baseline"/>
      <w:outlineLvl w:val="2"/>
    </w:pPr>
    <w:rPr>
      <w:b/>
    </w:rPr>
  </w:style>
  <w:style w:type="character" w:customStyle="1" w:styleId="73">
    <w:name w:val="15"/>
    <w:qFormat/>
    <w:uiPriority w:val="0"/>
    <w:rPr>
      <w:rFonts w:hint="default" w:ascii="Times New Roman" w:hAnsi="Times New Roman"/>
      <w:b/>
      <w:sz w:val="20"/>
    </w:rPr>
  </w:style>
  <w:style w:type="character" w:customStyle="1" w:styleId="74">
    <w:name w:val="文档结构图 Char"/>
    <w:qFormat/>
    <w:uiPriority w:val="0"/>
    <w:rPr>
      <w:rFonts w:ascii="宋体"/>
      <w:kern w:val="2"/>
      <w:sz w:val="18"/>
      <w:szCs w:val="18"/>
    </w:rPr>
  </w:style>
  <w:style w:type="character" w:customStyle="1" w:styleId="75">
    <w:name w:val="hover34"/>
    <w:qFormat/>
    <w:uiPriority w:val="0"/>
    <w:rPr>
      <w:rFonts w:ascii="宋体" w:hAnsi="宋体" w:eastAsia="宋体"/>
      <w:sz w:val="21"/>
      <w:szCs w:val="21"/>
      <w:shd w:val="clear" w:color="auto" w:fill="F3F3F3"/>
      <w:lang w:val="en-US" w:eastAsia="zh-CN" w:bidi="ar-SA"/>
    </w:rPr>
  </w:style>
  <w:style w:type="character" w:customStyle="1" w:styleId="76">
    <w:name w:val="tmpztreemove_arrow"/>
    <w:qFormat/>
    <w:uiPriority w:val="0"/>
    <w:rPr>
      <w:rFonts w:ascii="宋体" w:hAnsi="宋体" w:eastAsia="宋体"/>
      <w:sz w:val="21"/>
      <w:szCs w:val="21"/>
      <w:lang w:val="en-US" w:eastAsia="zh-CN" w:bidi="ar-SA"/>
    </w:rPr>
  </w:style>
  <w:style w:type="character" w:customStyle="1" w:styleId="77">
    <w:name w:val="_Style 71"/>
    <w:qFormat/>
    <w:uiPriority w:val="21"/>
    <w:rPr>
      <w:rFonts w:ascii="宋体" w:hAnsi="宋体" w:eastAsia="宋体"/>
      <w:b/>
      <w:bCs/>
      <w:i/>
      <w:iCs/>
      <w:color w:val="4F81BD"/>
      <w:sz w:val="21"/>
      <w:szCs w:val="21"/>
      <w:lang w:val="en-US" w:eastAsia="zh-CN" w:bidi="ar-SA"/>
    </w:rPr>
  </w:style>
  <w:style w:type="character" w:customStyle="1" w:styleId="78">
    <w:name w:val="标题 4 Char"/>
    <w:semiHidden/>
    <w:qFormat/>
    <w:uiPriority w:val="0"/>
    <w:rPr>
      <w:rFonts w:ascii="Calibri Light" w:hAnsi="Calibri Light" w:eastAsia="宋体" w:cs="Times New Roman"/>
      <w:b/>
      <w:bCs/>
      <w:kern w:val="2"/>
      <w:sz w:val="28"/>
      <w:szCs w:val="28"/>
    </w:rPr>
  </w:style>
  <w:style w:type="character" w:customStyle="1" w:styleId="79">
    <w:name w:val="right"/>
    <w:qFormat/>
    <w:uiPriority w:val="0"/>
    <w:rPr>
      <w:lang w:val="en-US" w:eastAsia="zh-CN" w:bidi="ar-SA"/>
    </w:rPr>
  </w:style>
  <w:style w:type="character" w:customStyle="1" w:styleId="80">
    <w:name w:val="font31"/>
    <w:qFormat/>
    <w:uiPriority w:val="0"/>
    <w:rPr>
      <w:rFonts w:hint="eastAsia" w:ascii="仿宋" w:hAnsi="仿宋" w:eastAsia="仿宋" w:cs="仿宋"/>
      <w:color w:val="000000"/>
      <w:sz w:val="20"/>
      <w:szCs w:val="20"/>
      <w:u w:val="none"/>
      <w:lang w:val="en-US" w:eastAsia="zh-CN" w:bidi="ar-SA"/>
    </w:rPr>
  </w:style>
  <w:style w:type="character" w:customStyle="1" w:styleId="81">
    <w:name w:val="Plain Text Char1"/>
    <w:link w:val="82"/>
    <w:qFormat/>
    <w:uiPriority w:val="0"/>
    <w:rPr>
      <w:rFonts w:ascii="宋体" w:hAnsi="Courier New" w:cs="宋体"/>
      <w:szCs w:val="21"/>
    </w:rPr>
  </w:style>
  <w:style w:type="paragraph" w:customStyle="1" w:styleId="82">
    <w:name w:val="纯文本1"/>
    <w:basedOn w:val="1"/>
    <w:link w:val="81"/>
    <w:qFormat/>
    <w:uiPriority w:val="0"/>
    <w:pPr>
      <w:spacing w:line="240" w:lineRule="auto"/>
    </w:pPr>
    <w:rPr>
      <w:rFonts w:ascii="宋体" w:hAnsi="Courier New"/>
      <w:kern w:val="0"/>
      <w:sz w:val="20"/>
      <w:szCs w:val="21"/>
    </w:rPr>
  </w:style>
  <w:style w:type="character" w:customStyle="1" w:styleId="83">
    <w:name w:val="bd-close"/>
    <w:qFormat/>
    <w:uiPriority w:val="0"/>
    <w:rPr>
      <w:rFonts w:ascii="宋体" w:hAnsi="宋体" w:eastAsia="宋体"/>
      <w:vanish/>
      <w:sz w:val="21"/>
      <w:szCs w:val="21"/>
      <w:lang w:val="en-US" w:eastAsia="zh-CN" w:bidi="ar-SA"/>
    </w:rPr>
  </w:style>
  <w:style w:type="character" w:customStyle="1" w:styleId="84">
    <w:name w:val="ISMS-封面-内容"/>
    <w:qFormat/>
    <w:uiPriority w:val="0"/>
    <w:rPr>
      <w:rFonts w:ascii="宋体" w:hAnsi="宋体"/>
      <w:sz w:val="21"/>
    </w:rPr>
  </w:style>
  <w:style w:type="character" w:customStyle="1" w:styleId="85">
    <w:name w:val="批注框文本 Char"/>
    <w:qFormat/>
    <w:uiPriority w:val="0"/>
    <w:rPr>
      <w:kern w:val="2"/>
      <w:sz w:val="18"/>
      <w:szCs w:val="18"/>
    </w:rPr>
  </w:style>
  <w:style w:type="character" w:customStyle="1" w:styleId="86">
    <w:name w:val="hover35"/>
    <w:qFormat/>
    <w:uiPriority w:val="0"/>
    <w:rPr>
      <w:rFonts w:ascii="宋体" w:hAnsi="宋体" w:eastAsia="宋体"/>
      <w:sz w:val="21"/>
      <w:szCs w:val="21"/>
      <w:shd w:val="clear" w:color="auto" w:fill="F3F3F3"/>
      <w:lang w:val="en-US" w:eastAsia="zh-CN" w:bidi="ar-SA"/>
    </w:rPr>
  </w:style>
  <w:style w:type="character" w:customStyle="1" w:styleId="87">
    <w:name w:val="button"/>
    <w:qFormat/>
    <w:uiPriority w:val="0"/>
    <w:rPr>
      <w:rFonts w:ascii="宋体" w:hAnsi="宋体" w:eastAsia="宋体"/>
      <w:sz w:val="21"/>
      <w:szCs w:val="21"/>
      <w:lang w:val="en-US" w:eastAsia="zh-CN" w:bidi="ar-SA"/>
    </w:rPr>
  </w:style>
  <w:style w:type="character" w:customStyle="1" w:styleId="88">
    <w:name w:val="gpa"/>
    <w:qFormat/>
    <w:uiPriority w:val="0"/>
    <w:rPr>
      <w:rFonts w:ascii="Arial" w:hAnsi="Arial" w:eastAsia="宋体" w:cs="Arial"/>
      <w:sz w:val="15"/>
      <w:szCs w:val="15"/>
      <w:lang w:val="en-US" w:eastAsia="zh-CN" w:bidi="ar-SA"/>
    </w:rPr>
  </w:style>
  <w:style w:type="character" w:customStyle="1" w:styleId="89">
    <w:name w:val="标题 2 Char"/>
    <w:qFormat/>
    <w:uiPriority w:val="0"/>
    <w:rPr>
      <w:rFonts w:ascii="Arial" w:hAnsi="Arial" w:eastAsia="黑体"/>
      <w:b/>
      <w:bCs/>
      <w:sz w:val="32"/>
      <w:szCs w:val="32"/>
    </w:rPr>
  </w:style>
  <w:style w:type="character" w:customStyle="1" w:styleId="90">
    <w:name w:val="列出段落 Char"/>
    <w:link w:val="91"/>
    <w:qFormat/>
    <w:uiPriority w:val="34"/>
    <w:rPr>
      <w:rFonts w:ascii="Times New Roman" w:hAnsi="Times New Roman" w:eastAsia="宋体" w:cs="Times New Roman"/>
      <w:szCs w:val="24"/>
    </w:rPr>
  </w:style>
  <w:style w:type="paragraph" w:customStyle="1" w:styleId="91">
    <w:name w:val="_Style 128"/>
    <w:basedOn w:val="1"/>
    <w:next w:val="92"/>
    <w:link w:val="90"/>
    <w:qFormat/>
    <w:uiPriority w:val="34"/>
    <w:pPr>
      <w:widowControl/>
      <w:spacing w:line="240" w:lineRule="auto"/>
      <w:ind w:firstLine="420"/>
    </w:pPr>
    <w:rPr>
      <w:kern w:val="0"/>
      <w:sz w:val="20"/>
      <w:szCs w:val="24"/>
    </w:rPr>
  </w:style>
  <w:style w:type="paragraph" w:styleId="92">
    <w:name w:val="List Paragraph"/>
    <w:basedOn w:val="1"/>
    <w:link w:val="93"/>
    <w:qFormat/>
    <w:uiPriority w:val="34"/>
    <w:pPr>
      <w:spacing w:line="240" w:lineRule="auto"/>
      <w:ind w:firstLine="420" w:firstLineChars="200"/>
    </w:pPr>
    <w:rPr>
      <w:szCs w:val="24"/>
    </w:rPr>
  </w:style>
  <w:style w:type="character" w:customStyle="1" w:styleId="93">
    <w:name w:val="列表段落 字符"/>
    <w:link w:val="92"/>
    <w:qFormat/>
    <w:uiPriority w:val="34"/>
    <w:rPr>
      <w:kern w:val="2"/>
      <w:sz w:val="21"/>
      <w:szCs w:val="24"/>
    </w:rPr>
  </w:style>
  <w:style w:type="character" w:customStyle="1" w:styleId="94">
    <w:name w:val="批注主题 Char"/>
    <w:qFormat/>
    <w:uiPriority w:val="0"/>
    <w:rPr>
      <w:b/>
      <w:bCs/>
      <w:kern w:val="2"/>
      <w:sz w:val="21"/>
      <w:szCs w:val="24"/>
    </w:rPr>
  </w:style>
  <w:style w:type="character" w:customStyle="1" w:styleId="95">
    <w:name w:val="标题3 Char"/>
    <w:link w:val="96"/>
    <w:qFormat/>
    <w:uiPriority w:val="0"/>
    <w:rPr>
      <w:rFonts w:ascii="黑体" w:hAnsi="Arial" w:eastAsia="黑体"/>
      <w:b/>
      <w:kern w:val="2"/>
      <w:sz w:val="24"/>
    </w:rPr>
  </w:style>
  <w:style w:type="paragraph" w:customStyle="1" w:styleId="96">
    <w:name w:val="标题3"/>
    <w:basedOn w:val="3"/>
    <w:next w:val="10"/>
    <w:link w:val="95"/>
    <w:qFormat/>
    <w:uiPriority w:val="0"/>
    <w:pPr>
      <w:spacing w:before="156" w:beforeLines="50" w:beforeAutospacing="0" w:after="156" w:afterLines="50" w:afterAutospacing="0" w:line="440" w:lineRule="exact"/>
      <w:jc w:val="left"/>
      <w:outlineLvl w:val="2"/>
    </w:pPr>
    <w:rPr>
      <w:rFonts w:ascii="黑体" w:eastAsia="黑体"/>
      <w:b w:val="0"/>
      <w:sz w:val="24"/>
    </w:rPr>
  </w:style>
  <w:style w:type="character" w:customStyle="1" w:styleId="97">
    <w:name w:val="left2"/>
    <w:qFormat/>
    <w:uiPriority w:val="0"/>
    <w:rPr>
      <w:rFonts w:ascii="宋体" w:hAnsi="宋体" w:eastAsia="宋体"/>
      <w:color w:val="FF4700"/>
      <w:sz w:val="21"/>
      <w:szCs w:val="21"/>
      <w:lang w:val="en-US" w:eastAsia="zh-CN" w:bidi="ar-SA"/>
    </w:rPr>
  </w:style>
  <w:style w:type="character" w:customStyle="1" w:styleId="98">
    <w:name w:val="prev2"/>
    <w:qFormat/>
    <w:uiPriority w:val="0"/>
    <w:rPr>
      <w:rFonts w:ascii="宋体" w:hAnsi="宋体" w:eastAsia="宋体"/>
      <w:color w:val="888888"/>
      <w:sz w:val="21"/>
      <w:szCs w:val="21"/>
      <w:lang w:val="en-US" w:eastAsia="zh-CN" w:bidi="ar-SA"/>
    </w:rPr>
  </w:style>
  <w:style w:type="character" w:customStyle="1" w:styleId="99">
    <w:name w:val="批注文字 Char"/>
    <w:qFormat/>
    <w:uiPriority w:val="99"/>
    <w:rPr>
      <w:kern w:val="2"/>
      <w:sz w:val="21"/>
    </w:rPr>
  </w:style>
  <w:style w:type="character" w:customStyle="1" w:styleId="100">
    <w:name w:val="ISMS-封面-标题 Char"/>
    <w:link w:val="101"/>
    <w:qFormat/>
    <w:uiPriority w:val="0"/>
    <w:rPr>
      <w:b/>
      <w:bCs/>
      <w:kern w:val="2"/>
      <w:sz w:val="52"/>
      <w:szCs w:val="52"/>
    </w:rPr>
  </w:style>
  <w:style w:type="paragraph" w:customStyle="1" w:styleId="101">
    <w:name w:val="ISMS-封面-标题"/>
    <w:basedOn w:val="1"/>
    <w:link w:val="100"/>
    <w:qFormat/>
    <w:uiPriority w:val="0"/>
    <w:pPr>
      <w:spacing w:line="240" w:lineRule="auto"/>
      <w:jc w:val="center"/>
    </w:pPr>
    <w:rPr>
      <w:b/>
      <w:bCs/>
      <w:sz w:val="52"/>
      <w:szCs w:val="52"/>
    </w:rPr>
  </w:style>
  <w:style w:type="character" w:customStyle="1" w:styleId="102">
    <w:name w:val="layui-layer-tabnow"/>
    <w:qFormat/>
    <w:uiPriority w:val="0"/>
    <w:rPr>
      <w:rFonts w:ascii="宋体" w:hAnsi="宋体" w:eastAsia="宋体"/>
      <w:sz w:val="21"/>
      <w:szCs w:val="21"/>
      <w:bdr w:val="single" w:color="CCCCCC" w:sz="6" w:space="0"/>
      <w:shd w:val="clear" w:color="auto" w:fill="FFFFFF"/>
      <w:lang w:val="en-US" w:eastAsia="zh-CN" w:bidi="ar-SA"/>
    </w:rPr>
  </w:style>
  <w:style w:type="character" w:customStyle="1" w:styleId="103">
    <w:name w:val="inf"/>
    <w:qFormat/>
    <w:uiPriority w:val="0"/>
    <w:rPr>
      <w:rFonts w:ascii="宋体" w:hAnsi="宋体" w:eastAsia="宋体"/>
      <w:color w:val="333333"/>
      <w:sz w:val="18"/>
      <w:szCs w:val="18"/>
      <w:shd w:val="clear" w:color="auto" w:fill="EEEEEE"/>
      <w:lang w:val="en-US" w:eastAsia="zh-CN" w:bidi="ar-SA"/>
    </w:rPr>
  </w:style>
  <w:style w:type="character" w:customStyle="1" w:styleId="104">
    <w:name w:val="first-child"/>
    <w:qFormat/>
    <w:uiPriority w:val="0"/>
    <w:rPr>
      <w:rFonts w:ascii="宋体" w:hAnsi="宋体" w:eastAsia="宋体"/>
      <w:sz w:val="21"/>
      <w:szCs w:val="21"/>
      <w:lang w:val="en-US" w:eastAsia="zh-CN" w:bidi="ar-SA"/>
    </w:rPr>
  </w:style>
  <w:style w:type="character" w:customStyle="1" w:styleId="105">
    <w:name w:val="left"/>
    <w:qFormat/>
    <w:uiPriority w:val="0"/>
    <w:rPr>
      <w:rFonts w:ascii="宋体" w:hAnsi="宋体" w:eastAsia="宋体"/>
      <w:color w:val="FF4700"/>
      <w:sz w:val="21"/>
      <w:szCs w:val="21"/>
      <w:lang w:val="en-US" w:eastAsia="zh-CN" w:bidi="ar-SA"/>
    </w:rPr>
  </w:style>
  <w:style w:type="character" w:customStyle="1" w:styleId="106">
    <w:name w:val="font11"/>
    <w:qFormat/>
    <w:uiPriority w:val="0"/>
    <w:rPr>
      <w:rFonts w:hint="eastAsia" w:ascii="仿宋" w:hAnsi="仿宋" w:eastAsia="仿宋" w:cs="仿宋"/>
      <w:color w:val="FF0000"/>
      <w:sz w:val="20"/>
      <w:szCs w:val="20"/>
      <w:u w:val="none"/>
      <w:lang w:val="en-US" w:eastAsia="zh-CN" w:bidi="ar-SA"/>
    </w:rPr>
  </w:style>
  <w:style w:type="character" w:customStyle="1" w:styleId="107">
    <w:name w:val="列出段落 Char1"/>
    <w:link w:val="108"/>
    <w:qFormat/>
    <w:uiPriority w:val="34"/>
    <w:rPr>
      <w:kern w:val="2"/>
      <w:sz w:val="21"/>
      <w:szCs w:val="24"/>
    </w:rPr>
  </w:style>
  <w:style w:type="paragraph" w:customStyle="1" w:styleId="108">
    <w:name w:val="_Style 126"/>
    <w:basedOn w:val="1"/>
    <w:next w:val="92"/>
    <w:link w:val="107"/>
    <w:qFormat/>
    <w:uiPriority w:val="34"/>
    <w:pPr>
      <w:spacing w:line="240" w:lineRule="auto"/>
      <w:ind w:firstLine="420" w:firstLineChars="200"/>
    </w:pPr>
    <w:rPr>
      <w:szCs w:val="24"/>
    </w:rPr>
  </w:style>
  <w:style w:type="character" w:customStyle="1" w:styleId="109">
    <w:name w:val="正文文本 2 Char1"/>
    <w:qFormat/>
    <w:uiPriority w:val="99"/>
    <w:rPr>
      <w:rFonts w:ascii="Times New Roman" w:hAnsi="Times New Roman" w:eastAsia="宋体" w:cs="Times New Roman"/>
      <w:sz w:val="21"/>
      <w:szCs w:val="24"/>
      <w:lang w:val="en-US" w:eastAsia="zh-CN" w:bidi="ar-SA"/>
    </w:rPr>
  </w:style>
  <w:style w:type="character" w:customStyle="1" w:styleId="110">
    <w:name w:val="selected"/>
    <w:qFormat/>
    <w:uiPriority w:val="0"/>
    <w:rPr>
      <w:rFonts w:ascii="宋体" w:hAnsi="宋体" w:eastAsia="宋体"/>
      <w:sz w:val="21"/>
      <w:szCs w:val="21"/>
      <w:shd w:val="clear" w:color="auto" w:fill="B00006"/>
      <w:lang w:val="en-US" w:eastAsia="zh-CN" w:bidi="ar-SA"/>
    </w:rPr>
  </w:style>
  <w:style w:type="character" w:customStyle="1" w:styleId="111">
    <w:name w:val="_Style 105"/>
    <w:unhideWhenUsed/>
    <w:qFormat/>
    <w:uiPriority w:val="99"/>
    <w:rPr>
      <w:rFonts w:ascii="宋体" w:hAnsi="宋体" w:eastAsia="宋体"/>
      <w:color w:val="605E5C"/>
      <w:sz w:val="21"/>
      <w:szCs w:val="21"/>
      <w:shd w:val="clear" w:color="auto" w:fill="E1DFDD"/>
      <w:lang w:val="en-US" w:eastAsia="zh-CN" w:bidi="ar-SA"/>
    </w:rPr>
  </w:style>
  <w:style w:type="character" w:customStyle="1" w:styleId="112">
    <w:name w:val="font01"/>
    <w:qFormat/>
    <w:uiPriority w:val="0"/>
    <w:rPr>
      <w:rFonts w:hint="eastAsia" w:ascii="仿宋" w:hAnsi="仿宋" w:eastAsia="仿宋" w:cs="仿宋"/>
      <w:color w:val="000000"/>
      <w:sz w:val="20"/>
      <w:szCs w:val="20"/>
      <w:u w:val="none"/>
      <w:lang w:val="en-US" w:eastAsia="zh-CN" w:bidi="ar-SA"/>
    </w:rPr>
  </w:style>
  <w:style w:type="character" w:customStyle="1" w:styleId="113">
    <w:name w:val="info7"/>
    <w:qFormat/>
    <w:uiPriority w:val="0"/>
    <w:rPr>
      <w:lang w:val="en-US" w:eastAsia="zh-CN" w:bidi="ar-SA"/>
    </w:rPr>
  </w:style>
  <w:style w:type="character" w:customStyle="1" w:styleId="114">
    <w:name w:val="hover36"/>
    <w:qFormat/>
    <w:uiPriority w:val="0"/>
    <w:rPr>
      <w:rFonts w:ascii="宋体" w:hAnsi="宋体" w:eastAsia="宋体"/>
      <w:sz w:val="21"/>
      <w:szCs w:val="21"/>
      <w:lang w:val="en-US" w:eastAsia="zh-CN" w:bidi="ar-SA"/>
    </w:rPr>
  </w:style>
  <w:style w:type="character" w:customStyle="1" w:styleId="115">
    <w:name w:val="批注文字 字符"/>
    <w:qFormat/>
    <w:uiPriority w:val="99"/>
    <w:rPr>
      <w:kern w:val="2"/>
      <w:sz w:val="21"/>
    </w:rPr>
  </w:style>
  <w:style w:type="paragraph" w:customStyle="1" w:styleId="116">
    <w:name w:val="p18"/>
    <w:basedOn w:val="1"/>
    <w:qFormat/>
    <w:uiPriority w:val="0"/>
    <w:pPr>
      <w:widowControl/>
      <w:spacing w:after="120" w:afterLines="0" w:afterAutospacing="0" w:line="240" w:lineRule="auto"/>
    </w:pPr>
    <w:rPr>
      <w:kern w:val="0"/>
    </w:rPr>
  </w:style>
  <w:style w:type="paragraph" w:customStyle="1" w:styleId="117">
    <w:name w:val="_Style 111"/>
    <w:basedOn w:val="1"/>
    <w:next w:val="1"/>
    <w:qFormat/>
    <w:uiPriority w:val="0"/>
    <w:pPr>
      <w:pBdr>
        <w:top w:val="single" w:color="auto" w:sz="6" w:space="1"/>
      </w:pBdr>
      <w:jc w:val="center"/>
    </w:pPr>
    <w:rPr>
      <w:rFonts w:ascii="Arial" w:eastAsia="宋体"/>
      <w:vanish/>
      <w:sz w:val="16"/>
    </w:rPr>
  </w:style>
  <w:style w:type="paragraph" w:customStyle="1" w:styleId="118">
    <w:name w:val="p0"/>
    <w:basedOn w:val="1"/>
    <w:qFormat/>
    <w:uiPriority w:val="0"/>
    <w:pPr>
      <w:widowControl/>
    </w:pPr>
    <w:rPr>
      <w:kern w:val="0"/>
    </w:rPr>
  </w:style>
  <w:style w:type="paragraph" w:customStyle="1" w:styleId="119">
    <w:name w:val="p15"/>
    <w:basedOn w:val="1"/>
    <w:qFormat/>
    <w:uiPriority w:val="0"/>
    <w:pPr>
      <w:widowControl/>
      <w:spacing w:line="240" w:lineRule="auto"/>
    </w:pPr>
    <w:rPr>
      <w:rFonts w:ascii="宋体" w:hAnsi="宋体"/>
      <w:kern w:val="0"/>
      <w:sz w:val="24"/>
    </w:rPr>
  </w:style>
  <w:style w:type="paragraph" w:customStyle="1" w:styleId="120">
    <w:name w:val="p19"/>
    <w:basedOn w:val="1"/>
    <w:qFormat/>
    <w:uiPriority w:val="0"/>
    <w:pPr>
      <w:widowControl/>
      <w:spacing w:line="240" w:lineRule="auto"/>
      <w:ind w:firstLine="420"/>
    </w:pPr>
    <w:rPr>
      <w:kern w:val="0"/>
      <w:sz w:val="24"/>
    </w:rPr>
  </w:style>
  <w:style w:type="paragraph" w:customStyle="1" w:styleId="121">
    <w:name w:val="正文缩进(ALT+Z)"/>
    <w:basedOn w:val="1"/>
    <w:qFormat/>
    <w:uiPriority w:val="0"/>
    <w:pPr>
      <w:spacing w:line="360" w:lineRule="auto"/>
      <w:ind w:firstLine="200" w:firstLineChars="200"/>
    </w:pPr>
    <w:rPr>
      <w:rFonts w:ascii="宋体" w:eastAsia="仿宋_GB2312"/>
      <w:sz w:val="24"/>
      <w:szCs w:val="24"/>
    </w:rPr>
  </w:style>
  <w:style w:type="paragraph" w:customStyle="1" w:styleId="122">
    <w:name w:val="Body Text 3"/>
    <w:basedOn w:val="1"/>
    <w:qFormat/>
    <w:uiPriority w:val="0"/>
    <w:rPr>
      <w:rFonts w:ascii="宋体"/>
      <w:sz w:val="24"/>
    </w:rPr>
  </w:style>
  <w:style w:type="paragraph" w:customStyle="1" w:styleId="123">
    <w:name w:val="p16"/>
    <w:basedOn w:val="1"/>
    <w:qFormat/>
    <w:uiPriority w:val="0"/>
    <w:pPr>
      <w:widowControl/>
      <w:spacing w:line="240" w:lineRule="auto"/>
    </w:pPr>
    <w:rPr>
      <w:rFonts w:ascii="宋体" w:hAnsi="宋体"/>
      <w:kern w:val="0"/>
      <w:sz w:val="24"/>
    </w:rPr>
  </w:style>
  <w:style w:type="paragraph" w:customStyle="1" w:styleId="124">
    <w:name w:val="1"/>
    <w:basedOn w:val="1"/>
    <w:next w:val="22"/>
    <w:qFormat/>
    <w:uiPriority w:val="0"/>
    <w:pPr>
      <w:spacing w:afterLines="50" w:line="360" w:lineRule="auto"/>
      <w:jc w:val="center"/>
    </w:pPr>
    <w:rPr>
      <w:rFonts w:ascii="宋体" w:hAnsi="宋体"/>
      <w:b/>
      <w:sz w:val="30"/>
    </w:rPr>
  </w:style>
  <w:style w:type="paragraph" w:customStyle="1" w:styleId="125">
    <w:name w:val="段"/>
    <w:qFormat/>
    <w:uiPriority w:val="0"/>
    <w:pPr>
      <w:autoSpaceDE w:val="0"/>
      <w:autoSpaceDN w:val="0"/>
      <w:ind w:firstLine="200" w:firstLineChars="200"/>
      <w:jc w:val="both"/>
    </w:pPr>
    <w:rPr>
      <w:rFonts w:ascii="宋体" w:hAnsi="Calibri" w:eastAsia="宋体" w:cs="Calibri"/>
      <w:sz w:val="21"/>
      <w:lang w:val="en-US" w:eastAsia="zh-CN" w:bidi="ar-SA"/>
    </w:rPr>
  </w:style>
  <w:style w:type="paragraph" w:customStyle="1" w:styleId="126">
    <w:name w:val="header"/>
    <w:basedOn w:val="1"/>
    <w:qFormat/>
    <w:uiPriority w:val="0"/>
    <w:pPr>
      <w:pBdr>
        <w:bottom w:val="single" w:color="auto" w:sz="6" w:space="1"/>
      </w:pBdr>
      <w:tabs>
        <w:tab w:val="center" w:pos="4153"/>
        <w:tab w:val="right" w:pos="8306"/>
      </w:tabs>
      <w:snapToGrid w:val="0"/>
      <w:jc w:val="center"/>
    </w:pPr>
    <w:rPr>
      <w:sz w:val="18"/>
    </w:rPr>
  </w:style>
  <w:style w:type="paragraph" w:customStyle="1" w:styleId="127">
    <w:name w:val="_Style 52"/>
    <w:basedOn w:val="1"/>
    <w:next w:val="92"/>
    <w:qFormat/>
    <w:uiPriority w:val="34"/>
    <w:pPr>
      <w:spacing w:line="240" w:lineRule="auto"/>
      <w:ind w:firstLine="420" w:firstLineChars="200"/>
    </w:pPr>
    <w:rPr>
      <w:szCs w:val="24"/>
    </w:rPr>
  </w:style>
  <w:style w:type="paragraph" w:styleId="128">
    <w:name w:val="No Spacing"/>
    <w:qFormat/>
    <w:uiPriority w:val="1"/>
    <w:pPr>
      <w:widowControl w:val="0"/>
      <w:jc w:val="both"/>
    </w:pPr>
    <w:rPr>
      <w:rFonts w:ascii="Calibri" w:hAnsi="Calibri" w:eastAsia="宋体" w:cs="Calibri"/>
      <w:kern w:val="2"/>
      <w:sz w:val="24"/>
      <w:lang w:val="en-US" w:eastAsia="zh-CN" w:bidi="ar-SA"/>
    </w:rPr>
  </w:style>
  <w:style w:type="paragraph" w:customStyle="1" w:styleId="129">
    <w:name w:val="1正文"/>
    <w:basedOn w:val="1"/>
    <w:qFormat/>
    <w:uiPriority w:val="0"/>
    <w:pPr>
      <w:spacing w:line="560" w:lineRule="exact"/>
      <w:ind w:firstLine="200" w:firstLineChars="200"/>
    </w:pPr>
    <w:rPr>
      <w:rFonts w:ascii="Times New Roman" w:hAnsi="Times New Roman" w:eastAsia="Cambria Math" w:cs="Times New Roman"/>
      <w:sz w:val="32"/>
      <w:szCs w:val="24"/>
    </w:rPr>
  </w:style>
  <w:style w:type="paragraph" w:customStyle="1" w:styleId="130">
    <w:name w:val="p17"/>
    <w:basedOn w:val="1"/>
    <w:qFormat/>
    <w:uiPriority w:val="0"/>
    <w:pPr>
      <w:widowControl/>
      <w:spacing w:line="240" w:lineRule="auto"/>
      <w:ind w:firstLine="420"/>
    </w:pPr>
    <w:rPr>
      <w:kern w:val="0"/>
    </w:rPr>
  </w:style>
  <w:style w:type="paragraph" w:customStyle="1" w:styleId="131">
    <w:name w:val="footer"/>
    <w:basedOn w:val="1"/>
    <w:qFormat/>
    <w:uiPriority w:val="0"/>
    <w:pPr>
      <w:tabs>
        <w:tab w:val="center" w:pos="4153"/>
        <w:tab w:val="right" w:pos="8306"/>
      </w:tabs>
      <w:snapToGrid w:val="0"/>
      <w:jc w:val="left"/>
    </w:pPr>
    <w:rPr>
      <w:sz w:val="18"/>
    </w:rPr>
  </w:style>
  <w:style w:type="paragraph" w:customStyle="1" w:styleId="132">
    <w:name w:val="正文1"/>
    <w:basedOn w:val="1"/>
    <w:qFormat/>
    <w:uiPriority w:val="0"/>
    <w:pPr>
      <w:spacing w:line="360" w:lineRule="auto"/>
      <w:ind w:firstLine="200" w:firstLineChars="200"/>
    </w:pPr>
    <w:rPr>
      <w:rFonts w:ascii="宋体" w:hAnsi="宋体" w:cs="微软雅黑"/>
      <w:szCs w:val="24"/>
    </w:rPr>
  </w:style>
  <w:style w:type="paragraph" w:customStyle="1" w:styleId="133">
    <w:name w:val="Char2 Char Char Char1 Char Char Char Char Char Char Char Char1 Char1 Char Char1 Char"/>
    <w:basedOn w:val="1"/>
    <w:qFormat/>
    <w:uiPriority w:val="0"/>
    <w:pPr>
      <w:spacing w:line="240" w:lineRule="auto"/>
    </w:pPr>
    <w:rPr>
      <w:rFonts w:ascii="宋体" w:hAnsi="宋体"/>
      <w:kern w:val="0"/>
      <w:szCs w:val="21"/>
    </w:rPr>
  </w:style>
  <w:style w:type="paragraph" w:customStyle="1" w:styleId="134">
    <w:name w:val="正文格式"/>
    <w:basedOn w:val="1"/>
    <w:qFormat/>
    <w:uiPriority w:val="0"/>
    <w:pPr>
      <w:spacing w:line="300" w:lineRule="auto"/>
      <w:ind w:firstLine="480" w:firstLineChars="200"/>
    </w:pPr>
    <w:rPr>
      <w:rFonts w:ascii="Calibri" w:hAnsi="Calibri" w:eastAsia="宋体" w:cs="宋体"/>
      <w:sz w:val="24"/>
      <w:szCs w:val="22"/>
    </w:rPr>
  </w:style>
  <w:style w:type="paragraph" w:customStyle="1" w:styleId="135">
    <w:name w:val="_Style 129"/>
    <w:semiHidden/>
    <w:qFormat/>
    <w:uiPriority w:val="99"/>
    <w:rPr>
      <w:rFonts w:ascii="Calibri" w:hAnsi="Calibri" w:eastAsia="宋体" w:cs="Calibri"/>
      <w:kern w:val="2"/>
      <w:sz w:val="21"/>
      <w:lang w:val="en-US" w:eastAsia="zh-CN" w:bidi="ar-SA"/>
    </w:rPr>
  </w:style>
  <w:style w:type="paragraph" w:customStyle="1" w:styleId="136">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spacing w:line="240" w:lineRule="auto"/>
      <w:jc w:val="left"/>
    </w:pPr>
    <w:rPr>
      <w:rFonts w:ascii="Courier New" w:hAnsi="Courier New"/>
      <w:kern w:val="0"/>
      <w:sz w:val="20"/>
    </w:rPr>
  </w:style>
  <w:style w:type="paragraph" w:customStyle="1" w:styleId="137">
    <w:name w:val="图中文字"/>
    <w:basedOn w:val="1"/>
    <w:qFormat/>
    <w:uiPriority w:val="0"/>
    <w:pPr>
      <w:adjustRightInd w:val="0"/>
      <w:snapToGrid w:val="0"/>
      <w:spacing w:line="0" w:lineRule="atLeast"/>
      <w:jc w:val="center"/>
    </w:pPr>
  </w:style>
  <w:style w:type="paragraph" w:customStyle="1" w:styleId="138">
    <w:name w:val="_Style 132"/>
    <w:basedOn w:val="1"/>
    <w:next w:val="1"/>
    <w:qFormat/>
    <w:uiPriority w:val="0"/>
    <w:pPr>
      <w:pBdr>
        <w:bottom w:val="single" w:color="auto" w:sz="6" w:space="1"/>
      </w:pBdr>
      <w:jc w:val="center"/>
    </w:pPr>
    <w:rPr>
      <w:rFonts w:ascii="Arial" w:eastAsia="宋体"/>
      <w:vanish/>
      <w:sz w:val="16"/>
    </w:rPr>
  </w:style>
  <w:style w:type="paragraph" w:customStyle="1" w:styleId="139">
    <w:name w:val="正文00"/>
    <w:basedOn w:val="1"/>
    <w:qFormat/>
    <w:uiPriority w:val="0"/>
    <w:pPr>
      <w:topLinePunct/>
      <w:spacing w:line="360" w:lineRule="auto"/>
      <w:ind w:firstLine="200" w:firstLineChars="200"/>
    </w:pPr>
    <w:rPr>
      <w:sz w:val="24"/>
      <w:szCs w:val="21"/>
    </w:rPr>
  </w:style>
  <w:style w:type="character" w:customStyle="1" w:styleId="140">
    <w:name w:val="批注文字 Char1"/>
    <w:qFormat/>
    <w:uiPriority w:val="99"/>
    <w:rPr>
      <w:kern w:val="2"/>
      <w:sz w:val="21"/>
    </w:rPr>
  </w:style>
  <w:style w:type="character" w:customStyle="1" w:styleId="141">
    <w:name w:val="标题 3 Char"/>
    <w:qFormat/>
    <w:uiPriority w:val="9"/>
    <w:rPr>
      <w:rFonts w:ascii="宋体" w:hAnsi="宋体" w:eastAsia="仿宋"/>
      <w:b/>
      <w:sz w:val="24"/>
      <w:szCs w:val="36"/>
    </w:rPr>
  </w:style>
  <w:style w:type="paragraph" w:customStyle="1" w:styleId="142">
    <w:name w:val="正文文本 33"/>
    <w:basedOn w:val="1"/>
    <w:qFormat/>
    <w:uiPriority w:val="0"/>
    <w:rPr>
      <w:rFonts w:ascii="宋体" w:hAnsi="Times New Roman" w:cs="Times New Roman"/>
      <w:sz w:val="24"/>
    </w:rPr>
  </w:style>
  <w:style w:type="character" w:customStyle="1" w:styleId="143">
    <w:name w:val="批注文字 字符2"/>
    <w:qFormat/>
    <w:uiPriority w:val="99"/>
    <w:rPr>
      <w:kern w:val="2"/>
      <w:sz w:val="21"/>
    </w:rPr>
  </w:style>
  <w:style w:type="paragraph" w:customStyle="1" w:styleId="144">
    <w:name w:val="彩色列表 - 强调文字颜色 11"/>
    <w:basedOn w:val="1"/>
    <w:qFormat/>
    <w:uiPriority w:val="34"/>
    <w:pPr>
      <w:ind w:firstLine="420" w:firstLineChars="200"/>
    </w:pPr>
    <w:rPr>
      <w:rFonts w:ascii="Calibri" w:hAnsi="Calibri"/>
      <w:szCs w:val="22"/>
    </w:rPr>
  </w:style>
  <w:style w:type="paragraph" w:customStyle="1" w:styleId="145">
    <w:name w:val="_Style 160"/>
    <w:basedOn w:val="1"/>
    <w:next w:val="92"/>
    <w:qFormat/>
    <w:uiPriority w:val="34"/>
    <w:pPr>
      <w:spacing w:line="240" w:lineRule="auto"/>
      <w:ind w:firstLine="420" w:firstLineChars="200"/>
    </w:pPr>
    <w:rPr>
      <w:szCs w:val="24"/>
    </w:rPr>
  </w:style>
  <w:style w:type="paragraph" w:customStyle="1" w:styleId="146">
    <w:name w:val="1级标题"/>
    <w:next w:val="1"/>
    <w:qFormat/>
    <w:uiPriority w:val="0"/>
    <w:pPr>
      <w:wordWrap w:val="0"/>
      <w:spacing w:line="360" w:lineRule="auto"/>
      <w:ind w:firstLine="480" w:firstLineChars="200"/>
      <w:textAlignment w:val="baseline"/>
    </w:pPr>
    <w:rPr>
      <w:rFonts w:hint="eastAsia" w:ascii="宋体" w:hAnsi="宋体" w:eastAsia="宋体" w:cs="宋体"/>
      <w:color w:val="000000"/>
      <w:sz w:val="32"/>
      <w:szCs w:val="24"/>
      <w:u w:val="none"/>
    </w:rPr>
  </w:style>
  <w:style w:type="paragraph" w:customStyle="1" w:styleId="147">
    <w:name w:val="列出段落3"/>
    <w:unhideWhenUsed/>
    <w:qFormat/>
    <w:uiPriority w:val="99"/>
    <w:pPr>
      <w:widowControl w:val="0"/>
      <w:adjustRightInd w:val="0"/>
      <w:spacing w:line="360" w:lineRule="atLeast"/>
      <w:ind w:firstLine="420" w:firstLineChars="200"/>
      <w:textAlignment w:val="baseline"/>
    </w:pPr>
    <w:rPr>
      <w:rFonts w:ascii="Times New Roman" w:hAnsi="Times New Roman" w:eastAsia="宋体" w:cs="Times New Roman"/>
      <w:sz w:val="24"/>
      <w:lang w:val="en-US" w:eastAsia="zh-CN" w:bidi="ar-SA"/>
    </w:rPr>
  </w:style>
  <w:style w:type="character" w:customStyle="1" w:styleId="148">
    <w:name w:val="rvts31"/>
    <w:qFormat/>
    <w:uiPriority w:val="0"/>
    <w:rPr>
      <w:rFonts w:hint="default" w:ascii="7BKN_gb2312" w:hAnsi="7BKN_gb2312"/>
      <w:color w:val="0000FF"/>
      <w:u w:val="single"/>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2.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2" Type="http://schemas.openxmlformats.org/officeDocument/2006/relationships/fontTable" Target="fontTable.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image" Target="media/image4.png"/><Relationship Id="rId18" Type="http://schemas.openxmlformats.org/officeDocument/2006/relationships/image" Target="media/image3.png"/><Relationship Id="rId17" Type="http://schemas.openxmlformats.org/officeDocument/2006/relationships/image" Target="media/image2.png"/><Relationship Id="rId16" Type="http://schemas.openxmlformats.org/officeDocument/2006/relationships/image" Target="media/image1.png"/><Relationship Id="rId15" Type="http://schemas.openxmlformats.org/officeDocument/2006/relationships/theme" Target="theme/theme1.xml"/><Relationship Id="rId14" Type="http://schemas.openxmlformats.org/officeDocument/2006/relationships/header" Target="header5.xml"/><Relationship Id="rId13" Type="http://schemas.openxmlformats.org/officeDocument/2006/relationships/header" Target="header4.xml"/><Relationship Id="rId12" Type="http://schemas.openxmlformats.org/officeDocument/2006/relationships/footer" Target="footer5.xml"/><Relationship Id="rId11" Type="http://schemas.openxmlformats.org/officeDocument/2006/relationships/header" Target="header3.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Normal.wpt</Template>
  <Company>GCMC</Company>
  <Pages>99</Pages>
  <Words>965</Words>
  <Characters>1198</Characters>
  <Lines>282</Lines>
  <Paragraphs>79</Paragraphs>
  <TotalTime>12</TotalTime>
  <ScaleCrop>false</ScaleCrop>
  <LinksUpToDate>false</LinksUpToDate>
  <CharactersWithSpaces>1345</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2024-08-22T06:50:00Z</dcterms:created>
  <dc:creator>GCMC-YD-Hzy</dc:creator>
  <cp:lastModifiedBy>hhhhan</cp:lastModifiedBy>
  <cp:lastPrinted>2022-03-05T05:57:00Z</cp:lastPrinted>
  <dcterms:modified xsi:type="dcterms:W3CDTF">2025-08-11T01:12:56Z</dcterms:modified>
  <dc:title>交通银行股份有限公司北京市分行阜外支行消防改造工程项目</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ADCB81FB361D49B2BC6D83DFB22D717B_13</vt:lpwstr>
  </property>
  <property fmtid="{D5CDD505-2E9C-101B-9397-08002B2CF9AE}" pid="4" name="KSOTemplateDocerSaveRecord">
    <vt:lpwstr>eyJoZGlkIjoiNDhjODgxNjJhOWUyYTY4MzAwMTExNTJiNGU3NDUzNWUiLCJ1c2VySWQiOiI0NDU3OTQ2NDYifQ==</vt:lpwstr>
  </property>
</Properties>
</file>