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line="600" w:lineRule="exact"/>
        <w:jc w:val="center"/>
        <w:rPr>
          <w:rFonts w:ascii="方正小标宋简体" w:hAnsi="方正小标宋简体" w:eastAsia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/>
          <w:b/>
          <w:sz w:val="44"/>
          <w:szCs w:val="44"/>
        </w:rPr>
        <w:t>关于人保财险</w:t>
      </w:r>
      <w:r>
        <w:rPr>
          <w:rFonts w:hint="eastAsia" w:ascii="方正小标宋简体" w:hAnsi="方正小标宋简体" w:eastAsia="方正小标宋简体"/>
          <w:b/>
          <w:sz w:val="44"/>
          <w:szCs w:val="44"/>
          <w:lang w:val="en-US" w:eastAsia="zh-CN"/>
        </w:rPr>
        <w:t>湖南湘潭市</w:t>
      </w:r>
      <w:r>
        <w:rPr>
          <w:rFonts w:hint="eastAsia" w:ascii="方正小标宋简体" w:hAnsi="方正小标宋简体" w:eastAsia="方正小标宋简体"/>
          <w:b/>
          <w:sz w:val="44"/>
          <w:szCs w:val="44"/>
        </w:rPr>
        <w:t>分公司</w:t>
      </w:r>
      <w:r>
        <w:rPr>
          <w:rFonts w:hint="eastAsia" w:ascii="方正小标宋简体" w:hAnsi="方正小标宋简体" w:eastAsia="方正小标宋简体"/>
          <w:b/>
          <w:sz w:val="44"/>
          <w:szCs w:val="44"/>
          <w:lang w:eastAsia="zh-CN"/>
        </w:rPr>
        <w:t>车辆</w:t>
      </w:r>
      <w:r>
        <w:rPr>
          <w:rFonts w:hint="eastAsia" w:ascii="方正小标宋简体" w:hAnsi="方正小标宋简体" w:eastAsia="方正小标宋简体"/>
          <w:b/>
          <w:sz w:val="44"/>
          <w:szCs w:val="44"/>
        </w:rPr>
        <w:t>维修保养</w:t>
      </w:r>
      <w:r>
        <w:rPr>
          <w:rFonts w:ascii="方正小标宋简体" w:hAnsi="方正小标宋简体" w:eastAsia="方正小标宋简体"/>
          <w:b/>
          <w:sz w:val="44"/>
          <w:szCs w:val="44"/>
        </w:rPr>
        <w:t>采购</w:t>
      </w:r>
      <w:r>
        <w:rPr>
          <w:rFonts w:hint="eastAsia" w:ascii="方正小标宋简体" w:hAnsi="方正小标宋简体" w:eastAsia="方正小标宋简体"/>
          <w:b/>
          <w:sz w:val="44"/>
          <w:szCs w:val="44"/>
        </w:rPr>
        <w:t>项目供应商征集公告</w:t>
      </w:r>
    </w:p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</w:p>
    <w:p>
      <w:pPr>
        <w:pStyle w:val="21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0" w:firstLineChars="200"/>
        <w:jc w:val="both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公司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车辆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维修保养采购项目已</w:t>
      </w:r>
      <w:r>
        <w:rPr>
          <w:rFonts w:hint="eastAsia" w:ascii="仿宋" w:hAnsi="仿宋" w:eastAsia="仿宋" w:cs="仿宋"/>
          <w:sz w:val="28"/>
          <w:szCs w:val="28"/>
        </w:rPr>
        <w:t>启动，现征集优秀供应商，征集时间自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2025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</w:rPr>
        <w:t>日08:00截至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2025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日17:30，欢迎参与。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2" w:firstLineChars="200"/>
        <w:jc w:val="both"/>
        <w:rPr>
          <w:rFonts w:hint="eastAsia" w:ascii="黑体" w:hAnsi="黑体" w:eastAsia="黑体" w:cs="黑体"/>
          <w:b/>
          <w:bCs/>
          <w:kern w:val="2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kern w:val="2"/>
          <w:sz w:val="28"/>
          <w:szCs w:val="28"/>
        </w:rPr>
        <w:t>一、采购人</w:t>
      </w:r>
    </w:p>
    <w:p>
      <w:pPr>
        <w:pStyle w:val="21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0" w:firstLineChars="200"/>
        <w:jc w:val="both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中国人民财产保险股份有限公司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湘潭市</w:t>
      </w:r>
      <w:r>
        <w:rPr>
          <w:rFonts w:hint="eastAsia" w:ascii="仿宋" w:hAnsi="仿宋" w:eastAsia="仿宋" w:cs="仿宋"/>
          <w:sz w:val="28"/>
          <w:szCs w:val="28"/>
        </w:rPr>
        <w:t>分</w:t>
      </w:r>
      <w:bookmarkStart w:id="3" w:name="_GoBack"/>
      <w:bookmarkEnd w:id="3"/>
      <w:r>
        <w:rPr>
          <w:rFonts w:hint="eastAsia" w:ascii="仿宋" w:hAnsi="仿宋" w:eastAsia="仿宋" w:cs="仿宋"/>
          <w:sz w:val="28"/>
          <w:szCs w:val="28"/>
        </w:rPr>
        <w:t>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2" w:firstLineChars="200"/>
        <w:jc w:val="both"/>
        <w:rPr>
          <w:rFonts w:hint="eastAsia" w:ascii="黑体" w:hAnsi="黑体" w:eastAsia="黑体" w:cs="黑体"/>
          <w:b/>
          <w:bCs/>
          <w:kern w:val="2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kern w:val="2"/>
          <w:sz w:val="28"/>
          <w:szCs w:val="28"/>
        </w:rPr>
        <w:t>二、项目概况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2" w:firstLineChars="200"/>
        <w:jc w:val="both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（一）采购需求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1.项目情况：本项目选定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家供应商，为我公司提供</w:t>
      </w:r>
      <w:r>
        <w:rPr>
          <w:rFonts w:hint="eastAsia" w:ascii="仿宋_GB2312" w:hAnsi="仿宋" w:eastAsia="仿宋_GB2312"/>
          <w:sz w:val="28"/>
          <w:szCs w:val="28"/>
        </w:rPr>
        <w:t>周期为</w:t>
      </w:r>
      <w:r>
        <w:rPr>
          <w:rFonts w:hint="eastAsia" w:ascii="仿宋_GB2312" w:hAnsi="仿宋" w:eastAsia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仿宋" w:eastAsia="仿宋_GB2312"/>
          <w:sz w:val="28"/>
          <w:szCs w:val="28"/>
          <w:u w:val="single"/>
          <w:lang w:val="en-US" w:eastAsia="zh-CN"/>
        </w:rPr>
        <w:t xml:space="preserve">1 </w:t>
      </w:r>
      <w:r>
        <w:rPr>
          <w:rFonts w:hint="eastAsia" w:ascii="仿宋_GB2312" w:hAnsi="仿宋" w:eastAsia="仿宋_GB2312"/>
          <w:sz w:val="28"/>
          <w:szCs w:val="28"/>
          <w:u w:val="single"/>
        </w:rPr>
        <w:t xml:space="preserve">  </w:t>
      </w:r>
      <w:r>
        <w:rPr>
          <w:rFonts w:hint="eastAsia" w:ascii="仿宋_GB2312" w:hAnsi="仿宋" w:eastAsia="仿宋_GB2312"/>
          <w:sz w:val="28"/>
          <w:szCs w:val="28"/>
        </w:rPr>
        <w:t>年的车辆维修保养服务。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0" w:firstLineChars="200"/>
        <w:jc w:val="both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2.采购内容：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0" w:firstLineChars="200"/>
        <w:jc w:val="both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为我公司相应区域的公务车辆、理赔服务车、三农服务车及社保服务车辆等自有车辆提供维修保养服务，具体包括常规保养、零部件维修更换、维修工时费等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2" w:firstLineChars="200"/>
        <w:jc w:val="both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（二）采购方式</w:t>
      </w:r>
      <w:r>
        <w:rPr>
          <w:rFonts w:hint="eastAsia" w:ascii="仿宋" w:hAnsi="仿宋" w:eastAsia="仿宋" w:cs="仿宋"/>
          <w:sz w:val="28"/>
          <w:szCs w:val="28"/>
        </w:rPr>
        <w:t>：竞争性磋商</w:t>
      </w:r>
    </w:p>
    <w:p>
      <w:pPr>
        <w:pStyle w:val="21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2" w:firstLineChars="200"/>
        <w:jc w:val="both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（三）项目预算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22.6</w:t>
      </w:r>
      <w:r>
        <w:rPr>
          <w:rFonts w:hint="eastAsia" w:ascii="仿宋" w:hAnsi="仿宋" w:eastAsia="仿宋" w:cs="仿宋"/>
          <w:sz w:val="28"/>
          <w:szCs w:val="28"/>
        </w:rPr>
        <w:t>万元/年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合同期限：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</w:rPr>
        <w:t>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2" w:firstLineChars="200"/>
        <w:jc w:val="both"/>
        <w:rPr>
          <w:rFonts w:hint="eastAsia" w:ascii="黑体" w:hAnsi="黑体" w:eastAsia="黑体" w:cs="黑体"/>
          <w:b/>
          <w:bCs/>
          <w:kern w:val="2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kern w:val="2"/>
          <w:sz w:val="28"/>
          <w:szCs w:val="28"/>
        </w:rPr>
        <w:t>三、供应商资质要求</w:t>
      </w:r>
    </w:p>
    <w:p>
      <w:pPr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满足以下基本资格条件，并按磋商文件第五章的要求提供资格证明文件：</w:t>
      </w:r>
    </w:p>
    <w:p>
      <w:pPr>
        <w:kinsoku/>
        <w:wordWrap/>
        <w:overflowPunct/>
        <w:topLinePunct w:val="0"/>
        <w:bidi w:val="0"/>
        <w:spacing w:line="600" w:lineRule="atLeast"/>
        <w:ind w:firstLine="840" w:firstLineChars="300"/>
        <w:jc w:val="both"/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（1）在中华人民共和国境内依照《中华人民共和国公司法》注册的、具有法人资格、符合本磋商文件的要求并承诺提供本次服务的企业，需提供营业执照复印件；</w:t>
      </w:r>
    </w:p>
    <w:p>
      <w:pPr>
        <w:kinsoku/>
        <w:wordWrap/>
        <w:overflowPunct/>
        <w:topLinePunct w:val="0"/>
        <w:bidi w:val="0"/>
        <w:spacing w:line="600" w:lineRule="atLeast"/>
        <w:ind w:firstLine="840" w:firstLineChars="300"/>
        <w:jc w:val="both"/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（2）依据《机动车维修管理规定》，投标人须具备二类或二类厂以上汽车维修资质，需提供维修经营备案表复印件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kinsoku/>
        <w:wordWrap/>
        <w:overflowPunct/>
        <w:topLinePunct w:val="0"/>
        <w:bidi w:val="0"/>
        <w:spacing w:line="600" w:lineRule="atLeast"/>
        <w:ind w:firstLine="840" w:firstLineChars="300"/>
        <w:jc w:val="both"/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（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）有依法缴纳税收的良好记录（供应商提供纳税记录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eastAsia="zh-CN"/>
        </w:rPr>
        <w:t>）</w:t>
      </w:r>
    </w:p>
    <w:p>
      <w:pPr>
        <w:kinsoku/>
        <w:wordWrap/>
        <w:overflowPunct/>
        <w:topLinePunct w:val="0"/>
        <w:bidi w:val="0"/>
        <w:spacing w:line="600" w:lineRule="atLeast"/>
        <w:ind w:firstLine="840" w:firstLineChars="300"/>
        <w:jc w:val="both"/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（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）参加此项采购活动最近三年没有出现违法违规或失信行为，没有骗取中标和严重违约的行为（供应商提供承诺）；</w:t>
      </w:r>
    </w:p>
    <w:p>
      <w:pPr>
        <w:kinsoku/>
        <w:wordWrap/>
        <w:overflowPunct/>
        <w:topLinePunct w:val="0"/>
        <w:bidi w:val="0"/>
        <w:spacing w:line="600" w:lineRule="atLeast"/>
        <w:ind w:firstLine="840" w:firstLineChars="300"/>
        <w:jc w:val="both"/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（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）单位负责人为同一人或存在控股、管理关系的不同单位，不得参加同一采购项目；</w:t>
      </w:r>
    </w:p>
    <w:p>
      <w:pPr>
        <w:kinsoku/>
        <w:wordWrap/>
        <w:overflowPunct/>
        <w:topLinePunct w:val="0"/>
        <w:bidi w:val="0"/>
        <w:spacing w:line="600" w:lineRule="atLeast"/>
        <w:ind w:firstLine="840" w:firstLineChars="300"/>
        <w:jc w:val="both"/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（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）投标人未被列入中国人民保险集团股份有限公司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val="en-US" w:eastAsia="zh-CN"/>
        </w:rPr>
        <w:t>中国人民财产保险股份有限公司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及其分支机构的供应商黑名单或已不在禁入期内。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val="en-US" w:eastAsia="zh-CN"/>
        </w:rPr>
        <w:t>资格审查时查看供应商黑名单库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eastAsia="zh-CN"/>
        </w:rPr>
        <w:t>）</w:t>
      </w:r>
    </w:p>
    <w:p>
      <w:pPr>
        <w:kinsoku/>
        <w:wordWrap/>
        <w:overflowPunct/>
        <w:topLinePunct w:val="0"/>
        <w:bidi w:val="0"/>
        <w:spacing w:line="600" w:lineRule="atLeast"/>
        <w:ind w:firstLine="840" w:firstLineChars="300"/>
        <w:jc w:val="both"/>
        <w:rPr>
          <w:rFonts w:hint="eastAsia" w:ascii="仿宋" w:hAnsi="仿宋" w:eastAsia="仿宋" w:cs="仿宋"/>
          <w:i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（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b w:val="0"/>
          <w:bCs w:val="0"/>
          <w:i w:val="0"/>
          <w:iCs/>
          <w:color w:val="auto"/>
          <w:sz w:val="28"/>
          <w:szCs w:val="28"/>
          <w:highlight w:val="none"/>
        </w:rPr>
        <w:t>）本项目不接受联合体。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562" w:firstLineChars="200"/>
        <w:jc w:val="both"/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2"/>
          <w:sz w:val="28"/>
          <w:szCs w:val="28"/>
        </w:rPr>
        <w:t>四、报名</w:t>
      </w:r>
      <w:r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/>
        </w:rPr>
        <w:t>方式</w:t>
      </w:r>
    </w:p>
    <w:p>
      <w:pPr>
        <w:keepNext w:val="0"/>
        <w:keepLines w:val="0"/>
        <w:pageBreakBefore w:val="0"/>
        <w:tabs>
          <w:tab w:val="left" w:pos="2800"/>
          <w:tab w:val="left" w:pos="430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1.时间：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2025年9月1日08:00截至2025年9月3日17:30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pStyle w:val="21"/>
        <w:spacing w:line="560" w:lineRule="exact"/>
        <w:ind w:firstLine="64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本项目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仅接受线上报名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：凡拟报名参加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此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项目的潜在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供应商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，均须先登录“人保e采”外网门户（https://ec.picc.com/）申请注册入库，审核通过后进行项目报名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</w:rPr>
        <w:t>同步将报名资料电子版发送采购联系人邮箱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eastAsia="zh-CN"/>
        </w:rPr>
        <w:t>。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人保e采管理系统供应商注册入库详情可在登录外网门户后查阅《人保e采管理系统供应商入库操作指南》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tabs>
          <w:tab w:val="left" w:pos="2800"/>
          <w:tab w:val="left" w:pos="430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560" w:firstLineChars="200"/>
        <w:jc w:val="both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文件领取方式：符合要求的供应商，采购人将在履行完成审核程序后，邮件发送采购文件至报名供应商联系邮箱。</w:t>
      </w:r>
    </w:p>
    <w:p>
      <w:pPr>
        <w:keepNext w:val="0"/>
        <w:keepLines w:val="0"/>
        <w:pageBreakBefore w:val="0"/>
        <w:widowControl/>
        <w:tabs>
          <w:tab w:val="left" w:pos="2800"/>
          <w:tab w:val="left" w:pos="430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560" w:firstLineChars="200"/>
        <w:jc w:val="both"/>
        <w:textAlignment w:val="auto"/>
        <w:rPr>
          <w:rFonts w:hint="eastAsia" w:ascii="仿宋" w:hAnsi="仿宋" w:eastAsia="仿宋" w:cs="宋体"/>
          <w:b/>
          <w:bCs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提交首次响应文件的截止时间、开启时间及地点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</w:rPr>
        <w:t>响应文件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递交截止</w:t>
      </w:r>
      <w:r>
        <w:rPr>
          <w:rFonts w:hint="eastAsia" w:ascii="仿宋" w:hAnsi="仿宋" w:eastAsia="仿宋" w:cs="仿宋"/>
          <w:sz w:val="28"/>
          <w:szCs w:val="28"/>
        </w:rPr>
        <w:t>时间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025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: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（北京时间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），</w:t>
      </w:r>
      <w:r>
        <w:rPr>
          <w:rFonts w:hint="eastAsia" w:ascii="仿宋" w:hAnsi="仿宋" w:eastAsia="仿宋" w:cs="宋体"/>
          <w:color w:val="FF0000"/>
          <w:sz w:val="28"/>
          <w:szCs w:val="28"/>
          <w:highlight w:val="none"/>
        </w:rPr>
        <w:t>须现场递交/邮寄至</w:t>
      </w:r>
      <w:r>
        <w:rPr>
          <w:rFonts w:hint="eastAsia" w:ascii="仿宋" w:hAnsi="仿宋" w:eastAsia="仿宋" w:cs="仿宋"/>
          <w:color w:val="FF0000"/>
          <w:sz w:val="28"/>
          <w:szCs w:val="28"/>
          <w:highlight w:val="none"/>
          <w:lang w:val="en-US" w:eastAsia="zh-CN"/>
        </w:rPr>
        <w:t>湘潭市分公司五楼大会议室</w:t>
      </w: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  <w:t>，</w:t>
      </w:r>
      <w:r>
        <w:rPr>
          <w:rFonts w:hint="eastAsia" w:ascii="仿宋" w:hAnsi="仿宋" w:eastAsia="仿宋" w:cs="宋体"/>
          <w:b/>
          <w:bCs/>
          <w:color w:val="000000"/>
          <w:sz w:val="28"/>
          <w:szCs w:val="28"/>
          <w:highlight w:val="none"/>
        </w:rPr>
        <w:t>逾期送达或者未送达指定地点或者未按照</w:t>
      </w:r>
      <w:r>
        <w:rPr>
          <w:rFonts w:hint="eastAsia" w:ascii="仿宋" w:hAnsi="仿宋" w:eastAsia="仿宋" w:cs="宋体"/>
          <w:b/>
          <w:bCs/>
          <w:color w:val="000000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仿宋" w:hAnsi="仿宋" w:eastAsia="仿宋" w:cs="宋体"/>
          <w:b/>
          <w:bCs/>
          <w:color w:val="000000"/>
          <w:sz w:val="28"/>
          <w:szCs w:val="28"/>
          <w:highlight w:val="none"/>
        </w:rPr>
        <w:t>文件要求封装的纸质响应文件不予接收。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outlineLvl w:val="9"/>
        <w:rPr>
          <w:rFonts w:hint="eastAsia" w:ascii="黑体" w:hAnsi="黑体" w:eastAsia="黑体" w:cs="黑体"/>
          <w:color w:val="000000"/>
          <w:sz w:val="28"/>
          <w:szCs w:val="28"/>
        </w:rPr>
      </w:pPr>
      <w:bookmarkStart w:id="0" w:name="_Toc30010"/>
      <w:bookmarkStart w:id="1" w:name="_Toc276"/>
      <w:r>
        <w:rPr>
          <w:rFonts w:hint="eastAsia" w:ascii="黑体" w:hAnsi="黑体" w:eastAsia="黑体" w:cs="黑体"/>
          <w:color w:val="000000"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 w:cs="黑体"/>
          <w:color w:val="000000"/>
          <w:sz w:val="28"/>
          <w:szCs w:val="28"/>
        </w:rPr>
        <w:t>、发布公告的媒介</w:t>
      </w:r>
      <w:bookmarkEnd w:id="0"/>
      <w:bookmarkEnd w:id="1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baseline"/>
        <w:outlineLvl w:val="9"/>
        <w:rPr>
          <w:rFonts w:hint="eastAsia" w:ascii="仿宋" w:hAnsi="仿宋" w:eastAsia="仿宋" w:cs="宋体"/>
          <w:b/>
          <w:bCs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本项目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公告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在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u w:val="single"/>
        </w:rPr>
        <w:t>“人保e采”外网门户（https://ec.picc.com/）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上发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布，</w:t>
      </w: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  <w:t>除上述外，采购人不在其他任何网站、论坛等媒介上发布任何采购信息，其他任何媒介上转载的、以采购人为采购主体的采购信息均为非法转载，均为无效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2" w:firstLineChars="200"/>
        <w:jc w:val="both"/>
        <w:rPr>
          <w:rFonts w:hint="eastAsia" w:ascii="黑体" w:hAnsi="黑体" w:eastAsia="黑体" w:cs="黑体"/>
          <w:b/>
          <w:bCs/>
          <w:kern w:val="2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/>
        </w:rPr>
        <w:t>六</w:t>
      </w:r>
      <w:r>
        <w:rPr>
          <w:rFonts w:hint="eastAsia" w:ascii="黑体" w:hAnsi="黑体" w:eastAsia="黑体" w:cs="黑体"/>
          <w:b/>
          <w:bCs/>
          <w:kern w:val="2"/>
          <w:sz w:val="28"/>
          <w:szCs w:val="28"/>
        </w:rPr>
        <w:t>、采购人信息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baseline"/>
        <w:outlineLvl w:val="9"/>
        <w:rPr>
          <w:rFonts w:hint="eastAsia" w:ascii="仿宋" w:hAnsi="仿宋" w:eastAsia="仿宋" w:cs="宋体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  <w:t>地址：</w:t>
      </w:r>
      <w:bookmarkStart w:id="2" w:name="_Hlk69457004"/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  <w:lang w:val="en-US" w:eastAsia="zh-CN"/>
        </w:rPr>
        <w:t>湘潭市雨湖区建设北路190号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baseline"/>
        <w:outlineLvl w:val="9"/>
        <w:rPr>
          <w:rFonts w:hint="eastAsia" w:ascii="仿宋" w:hAnsi="仿宋" w:eastAsia="仿宋" w:cs="宋体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  <w:t>联系人：</w:t>
      </w: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  <w:lang w:val="en-US" w:eastAsia="zh-CN"/>
        </w:rPr>
        <w:t xml:space="preserve">杨雯捷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baseline"/>
        <w:outlineLvl w:val="9"/>
        <w:rPr>
          <w:rFonts w:hint="eastAsia" w:ascii="仿宋" w:hAnsi="仿宋" w:eastAsia="仿宋" w:cs="宋体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  <w:t>电话：</w:t>
      </w: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  <w:lang w:val="en-US" w:eastAsia="zh-CN"/>
        </w:rPr>
        <w:t xml:space="preserve">15173205069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baseline"/>
        <w:outlineLvl w:val="9"/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  <w:t>电子邮件：</w:t>
      </w:r>
      <w:bookmarkEnd w:id="2"/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  <w:t>yangwenjie01@hun.picc.com.cn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hint="eastAsia" w:ascii="仿宋" w:hAnsi="仿宋" w:eastAsia="仿宋" w:cs="宋体"/>
          <w:color w:val="auto"/>
          <w:sz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120" w:firstLineChars="400"/>
        <w:jc w:val="both"/>
        <w:textAlignment w:val="baseline"/>
        <w:outlineLvl w:val="9"/>
        <w:rPr>
          <w:rFonts w:hint="eastAsia" w:ascii="仿宋" w:hAnsi="仿宋" w:eastAsia="仿宋" w:cs="宋体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  <w:lang w:val="en-US" w:eastAsia="zh-CN"/>
        </w:rPr>
        <w:t>采购人：中国人民财产保险股份有限公司湘潭市分公司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baseline"/>
        <w:outlineLvl w:val="9"/>
        <w:rPr>
          <w:rFonts w:hint="eastAsia" w:ascii="仿宋" w:hAnsi="仿宋" w:eastAsia="仿宋" w:cs="宋体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  <w:lang w:val="en-US" w:eastAsia="zh-CN"/>
        </w:rPr>
        <w:t xml:space="preserve">                          2025年8月29日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EB"/>
    <w:rsid w:val="00032C84"/>
    <w:rsid w:val="00033D87"/>
    <w:rsid w:val="000347CC"/>
    <w:rsid w:val="00057A97"/>
    <w:rsid w:val="00086CB3"/>
    <w:rsid w:val="000B6F34"/>
    <w:rsid w:val="000D05D1"/>
    <w:rsid w:val="000D5B9C"/>
    <w:rsid w:val="000F2721"/>
    <w:rsid w:val="000F3948"/>
    <w:rsid w:val="00124E4C"/>
    <w:rsid w:val="00125655"/>
    <w:rsid w:val="001823B8"/>
    <w:rsid w:val="001909CF"/>
    <w:rsid w:val="001A16F7"/>
    <w:rsid w:val="001E729C"/>
    <w:rsid w:val="00211A29"/>
    <w:rsid w:val="00237516"/>
    <w:rsid w:val="00246D3E"/>
    <w:rsid w:val="002500B6"/>
    <w:rsid w:val="00252611"/>
    <w:rsid w:val="00260183"/>
    <w:rsid w:val="00261F12"/>
    <w:rsid w:val="002720B5"/>
    <w:rsid w:val="002D497C"/>
    <w:rsid w:val="002E5375"/>
    <w:rsid w:val="002E77E3"/>
    <w:rsid w:val="003076E9"/>
    <w:rsid w:val="00354459"/>
    <w:rsid w:val="00364936"/>
    <w:rsid w:val="00376F5F"/>
    <w:rsid w:val="00383B33"/>
    <w:rsid w:val="0039013F"/>
    <w:rsid w:val="003B2E24"/>
    <w:rsid w:val="003B7FDA"/>
    <w:rsid w:val="003F0824"/>
    <w:rsid w:val="004029D3"/>
    <w:rsid w:val="00413E7E"/>
    <w:rsid w:val="00420F86"/>
    <w:rsid w:val="00426F4F"/>
    <w:rsid w:val="00453DA2"/>
    <w:rsid w:val="004574E1"/>
    <w:rsid w:val="00470CC4"/>
    <w:rsid w:val="004B061B"/>
    <w:rsid w:val="004C28C2"/>
    <w:rsid w:val="00505AE1"/>
    <w:rsid w:val="00521DC2"/>
    <w:rsid w:val="00522B12"/>
    <w:rsid w:val="0053173F"/>
    <w:rsid w:val="00533080"/>
    <w:rsid w:val="005A0FD6"/>
    <w:rsid w:val="005C26E3"/>
    <w:rsid w:val="005D0161"/>
    <w:rsid w:val="005F13A8"/>
    <w:rsid w:val="006063AC"/>
    <w:rsid w:val="00622C18"/>
    <w:rsid w:val="00636474"/>
    <w:rsid w:val="00655902"/>
    <w:rsid w:val="00657BE5"/>
    <w:rsid w:val="0067755E"/>
    <w:rsid w:val="006C0229"/>
    <w:rsid w:val="006E205A"/>
    <w:rsid w:val="00707793"/>
    <w:rsid w:val="007238A5"/>
    <w:rsid w:val="00733533"/>
    <w:rsid w:val="00740F7C"/>
    <w:rsid w:val="00765BF7"/>
    <w:rsid w:val="007E3FB5"/>
    <w:rsid w:val="007F18F1"/>
    <w:rsid w:val="007F28D8"/>
    <w:rsid w:val="00831A3E"/>
    <w:rsid w:val="00836C4C"/>
    <w:rsid w:val="00884C81"/>
    <w:rsid w:val="00886C9E"/>
    <w:rsid w:val="008C0EF6"/>
    <w:rsid w:val="00914CEB"/>
    <w:rsid w:val="00924DDF"/>
    <w:rsid w:val="009259B4"/>
    <w:rsid w:val="009310FE"/>
    <w:rsid w:val="0097096C"/>
    <w:rsid w:val="00972BA4"/>
    <w:rsid w:val="00985D06"/>
    <w:rsid w:val="00993239"/>
    <w:rsid w:val="009F1A9B"/>
    <w:rsid w:val="00A510E1"/>
    <w:rsid w:val="00AE23FD"/>
    <w:rsid w:val="00B06411"/>
    <w:rsid w:val="00B740FD"/>
    <w:rsid w:val="00C4154F"/>
    <w:rsid w:val="00C83AAA"/>
    <w:rsid w:val="00C84823"/>
    <w:rsid w:val="00C911E4"/>
    <w:rsid w:val="00C9771E"/>
    <w:rsid w:val="00CE347B"/>
    <w:rsid w:val="00CF5C3B"/>
    <w:rsid w:val="00D36C7F"/>
    <w:rsid w:val="00D52BA6"/>
    <w:rsid w:val="00D53092"/>
    <w:rsid w:val="00D557CA"/>
    <w:rsid w:val="00D6450D"/>
    <w:rsid w:val="00D771C1"/>
    <w:rsid w:val="00E16BE0"/>
    <w:rsid w:val="00E875E3"/>
    <w:rsid w:val="00F02912"/>
    <w:rsid w:val="00F15FE6"/>
    <w:rsid w:val="00F30077"/>
    <w:rsid w:val="00F34782"/>
    <w:rsid w:val="00F53E43"/>
    <w:rsid w:val="00F7510C"/>
    <w:rsid w:val="00F85582"/>
    <w:rsid w:val="00F8771A"/>
    <w:rsid w:val="08211868"/>
    <w:rsid w:val="0B077911"/>
    <w:rsid w:val="1A3D3D9B"/>
    <w:rsid w:val="28D955D0"/>
    <w:rsid w:val="2B200842"/>
    <w:rsid w:val="38CB7DCF"/>
    <w:rsid w:val="4D2D1893"/>
    <w:rsid w:val="505B3B01"/>
    <w:rsid w:val="5F533744"/>
    <w:rsid w:val="60F95798"/>
    <w:rsid w:val="6A277FFC"/>
    <w:rsid w:val="6DC014B4"/>
    <w:rsid w:val="71D22CF7"/>
    <w:rsid w:val="7CCC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paragraph" w:styleId="8">
    <w:name w:val="heading 2"/>
    <w:basedOn w:val="1"/>
    <w:next w:val="1"/>
    <w:qFormat/>
    <w:uiPriority w:val="0"/>
    <w:pPr>
      <w:keepNext/>
      <w:keepLines/>
      <w:spacing w:line="360" w:lineRule="auto"/>
      <w:ind w:firstLine="540" w:firstLineChars="192"/>
      <w:jc w:val="center"/>
      <w:outlineLvl w:val="1"/>
    </w:pPr>
    <w:rPr>
      <w:rFonts w:ascii="Arial" w:hAnsi="Arial"/>
      <w:b/>
      <w:bCs/>
      <w:color w:val="FF0000"/>
      <w:sz w:val="28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6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annotation subject"/>
    <w:basedOn w:val="5"/>
    <w:next w:val="1"/>
    <w:link w:val="24"/>
    <w:semiHidden/>
    <w:unhideWhenUsed/>
    <w:qFormat/>
    <w:uiPriority w:val="99"/>
    <w:rPr>
      <w:b/>
      <w:bCs/>
    </w:rPr>
  </w:style>
  <w:style w:type="paragraph" w:styleId="5">
    <w:name w:val="annotation text"/>
    <w:basedOn w:val="1"/>
    <w:link w:val="23"/>
    <w:semiHidden/>
    <w:unhideWhenUsed/>
    <w:qFormat/>
    <w:uiPriority w:val="99"/>
  </w:style>
  <w:style w:type="paragraph" w:styleId="6">
    <w:name w:val="Normal Indent"/>
    <w:basedOn w:val="1"/>
    <w:next w:val="7"/>
    <w:qFormat/>
    <w:uiPriority w:val="0"/>
    <w:pPr>
      <w:widowControl/>
      <w:ind w:firstLine="420"/>
    </w:pPr>
    <w:rPr>
      <w:sz w:val="20"/>
      <w:szCs w:val="20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eastAsia="仿宋_GB2312" w:cs="仿宋_GB2312" w:hAnsiTheme="minorHAnsi"/>
      <w:color w:val="000000"/>
      <w:kern w:val="0"/>
      <w:sz w:val="24"/>
      <w:szCs w:val="24"/>
      <w:lang w:val="en-US" w:eastAsia="zh-CN" w:bidi="ar-SA"/>
    </w:rPr>
  </w:style>
  <w:style w:type="paragraph" w:styleId="9">
    <w:name w:val="Body Text"/>
    <w:basedOn w:val="1"/>
    <w:qFormat/>
    <w:uiPriority w:val="0"/>
    <w:pPr>
      <w:jc w:val="center"/>
    </w:pPr>
    <w:rPr>
      <w:sz w:val="52"/>
    </w:rPr>
  </w:style>
  <w:style w:type="paragraph" w:styleId="10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0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2">
    <w:name w:val="header"/>
    <w:basedOn w:val="1"/>
    <w:link w:val="19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Normal (Web)"/>
    <w:basedOn w:val="1"/>
    <w:semiHidden/>
    <w:unhideWhenUsed/>
    <w:qFormat/>
    <w:uiPriority w:val="99"/>
    <w:pPr>
      <w:spacing w:before="75" w:after="75"/>
    </w:p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Hyperlink"/>
    <w:basedOn w:val="1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8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9">
    <w:name w:val="页眉 Char"/>
    <w:basedOn w:val="15"/>
    <w:link w:val="12"/>
    <w:qFormat/>
    <w:uiPriority w:val="99"/>
    <w:rPr>
      <w:sz w:val="18"/>
      <w:szCs w:val="18"/>
    </w:rPr>
  </w:style>
  <w:style w:type="character" w:customStyle="1" w:styleId="20">
    <w:name w:val="页脚 Char"/>
    <w:basedOn w:val="15"/>
    <w:link w:val="11"/>
    <w:qFormat/>
    <w:uiPriority w:val="99"/>
    <w:rPr>
      <w:sz w:val="18"/>
      <w:szCs w:val="18"/>
    </w:rPr>
  </w:style>
  <w:style w:type="paragraph" w:styleId="21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批注框文本 Char"/>
    <w:basedOn w:val="15"/>
    <w:link w:val="10"/>
    <w:semiHidden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23">
    <w:name w:val="批注文字 Char"/>
    <w:basedOn w:val="15"/>
    <w:link w:val="5"/>
    <w:semiHidden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24">
    <w:name w:val="批注主题 Char"/>
    <w:basedOn w:val="23"/>
    <w:link w:val="4"/>
    <w:semiHidden/>
    <w:qFormat/>
    <w:uiPriority w:val="99"/>
    <w:rPr>
      <w:rFonts w:ascii="宋体" w:hAnsi="宋体" w:eastAsia="宋体" w:cs="宋体"/>
      <w:b/>
      <w:bCs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C94B9-2B07-49FB-8DA0-A6FD2A5B45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230</Words>
  <Characters>1315</Characters>
  <Lines>10</Lines>
  <Paragraphs>3</Paragraphs>
  <TotalTime>122</TotalTime>
  <ScaleCrop>false</ScaleCrop>
  <LinksUpToDate>false</LinksUpToDate>
  <CharactersWithSpaces>1542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2021-03-08T01:42:00Z</dcterms:created>
  <dc:creator>薛景莉</dc:creator>
  <cp:lastModifiedBy>杨雯捷</cp:lastModifiedBy>
  <cp:lastPrinted>2021-06-16T23:51:00Z</cp:lastPrinted>
  <dcterms:modified xsi:type="dcterms:W3CDTF">2025-08-30T08:20:18Z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746AF8AEED4A4F5AB3C6CDB189C90D43</vt:lpwstr>
  </property>
</Properties>
</file>