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C0DDAF">
      <w:pPr>
        <w:spacing w:line="240" w:lineRule="auto"/>
        <w:jc w:val="center"/>
        <w:rPr>
          <w:rFonts w:hint="eastAsia" w:ascii="宋体" w:hAnsi="宋体" w:eastAsia="宋体" w:cs="Times New Roman"/>
          <w:b/>
          <w:bCs/>
          <w:color w:val="auto"/>
          <w:kern w:val="2"/>
          <w:sz w:val="28"/>
          <w:szCs w:val="28"/>
          <w:highlight w:val="none"/>
          <w:lang w:val="en-US" w:eastAsia="zh-CN"/>
        </w:rPr>
      </w:pPr>
      <w:r>
        <w:rPr>
          <w:rFonts w:hint="eastAsia" w:ascii="宋体" w:hAnsi="宋体" w:eastAsia="宋体" w:cs="Times New Roman"/>
          <w:b/>
          <w:bCs/>
          <w:color w:val="auto"/>
          <w:kern w:val="2"/>
          <w:sz w:val="28"/>
          <w:szCs w:val="28"/>
          <w:highlight w:val="none"/>
          <w:lang w:val="en-US" w:eastAsia="zh-CN"/>
        </w:rPr>
        <w:t>中国人民财产保险股份有限公司双鸭山市分公司</w:t>
      </w:r>
    </w:p>
    <w:p w14:paraId="5468145F">
      <w:pPr>
        <w:spacing w:line="240" w:lineRule="auto"/>
        <w:jc w:val="center"/>
        <w:rPr>
          <w:rFonts w:hint="eastAsia" w:ascii="宋体" w:hAnsi="宋体" w:eastAsia="宋体" w:cs="Times New Roman"/>
          <w:b/>
          <w:bCs/>
          <w:color w:val="auto"/>
          <w:kern w:val="2"/>
          <w:sz w:val="28"/>
          <w:szCs w:val="28"/>
          <w:highlight w:val="none"/>
          <w:lang w:val="en-US" w:eastAsia="zh-CN"/>
        </w:rPr>
      </w:pPr>
      <w:r>
        <w:rPr>
          <w:rFonts w:hint="eastAsia" w:ascii="宋体" w:hAnsi="宋体" w:eastAsia="宋体" w:cs="Times New Roman"/>
          <w:b/>
          <w:bCs/>
          <w:color w:val="auto"/>
          <w:kern w:val="2"/>
          <w:sz w:val="28"/>
          <w:szCs w:val="28"/>
          <w:highlight w:val="none"/>
          <w:lang w:val="en-US" w:eastAsia="zh-CN"/>
        </w:rPr>
        <w:t>食堂副食供应商采购项目（二次）招标公告</w:t>
      </w:r>
    </w:p>
    <w:p w14:paraId="06ADF4C1">
      <w:pPr>
        <w:keepNext w:val="0"/>
        <w:keepLines w:val="0"/>
        <w:pageBreakBefore w:val="0"/>
        <w:widowControl w:val="0"/>
        <w:kinsoku/>
        <w:wordWrap/>
        <w:overflowPunct/>
        <w:topLinePunct w:val="0"/>
        <w:autoSpaceDE/>
        <w:autoSpaceDN/>
        <w:bidi w:val="0"/>
        <w:adjustRightInd/>
        <w:snapToGrid/>
        <w:spacing w:before="0" w:beforeAutospacing="0" w:after="0" w:afterAutospacing="0" w:line="540" w:lineRule="exact"/>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项目编号：ZZ52267FW04690049</w:t>
      </w:r>
    </w:p>
    <w:p w14:paraId="78DB4AE6">
      <w:pPr>
        <w:keepNext w:val="0"/>
        <w:keepLines w:val="0"/>
        <w:pageBreakBefore w:val="0"/>
        <w:widowControl w:val="0"/>
        <w:kinsoku/>
        <w:wordWrap/>
        <w:overflowPunct/>
        <w:topLinePunct w:val="0"/>
        <w:autoSpaceDE/>
        <w:autoSpaceDN/>
        <w:bidi w:val="0"/>
        <w:adjustRightInd/>
        <w:snapToGrid/>
        <w:spacing w:line="440" w:lineRule="exact"/>
        <w:rPr>
          <w:rFonts w:hint="eastAsia" w:hAnsi="宋体" w:eastAsia="宋体" w:cs="宋体"/>
          <w:b/>
          <w:bCs/>
          <w:color w:val="auto"/>
          <w:kern w:val="2"/>
          <w:sz w:val="21"/>
          <w:szCs w:val="21"/>
          <w:highlight w:val="none"/>
          <w:lang w:eastAsia="zh-CN"/>
        </w:rPr>
      </w:pPr>
      <w:bookmarkStart w:id="0" w:name="_Toc6763_WPSOffice_Level2"/>
      <w:r>
        <w:rPr>
          <w:rFonts w:hint="eastAsia" w:hAnsi="宋体" w:cs="宋体"/>
          <w:b/>
          <w:bCs/>
          <w:color w:val="auto"/>
          <w:kern w:val="2"/>
          <w:sz w:val="21"/>
          <w:szCs w:val="21"/>
          <w:highlight w:val="none"/>
        </w:rPr>
        <w:t>1.招标条件</w:t>
      </w:r>
      <w:bookmarkEnd w:id="0"/>
    </w:p>
    <w:p w14:paraId="0966B425">
      <w:pPr>
        <w:keepNext w:val="0"/>
        <w:keepLines w:val="0"/>
        <w:pageBreakBefore w:val="0"/>
        <w:widowControl w:val="0"/>
        <w:kinsoku/>
        <w:wordWrap/>
        <w:overflowPunct/>
        <w:topLinePunct w:val="0"/>
        <w:autoSpaceDE/>
        <w:autoSpaceDN/>
        <w:bidi w:val="0"/>
        <w:adjustRightInd/>
        <w:snapToGrid/>
        <w:spacing w:line="240" w:lineRule="auto"/>
        <w:ind w:firstLine="420" w:firstLineChars="200"/>
        <w:rPr>
          <w:rFonts w:hint="eastAsia" w:ascii="宋体" w:hAnsi="宋体" w:eastAsia="宋体" w:cs="Times New Roman"/>
          <w:color w:val="auto"/>
          <w:kern w:val="2"/>
          <w:sz w:val="21"/>
          <w:szCs w:val="21"/>
          <w:highlight w:val="none"/>
          <w:lang w:val="en-US" w:eastAsia="zh-CN"/>
        </w:rPr>
      </w:pPr>
      <w:bookmarkStart w:id="1" w:name="_Toc21949_WPSOffice_Level2"/>
      <w:r>
        <w:rPr>
          <w:rFonts w:hint="eastAsia" w:ascii="宋体" w:hAnsi="宋体" w:eastAsia="宋体" w:cs="Times New Roman"/>
          <w:color w:val="auto"/>
          <w:kern w:val="2"/>
          <w:sz w:val="21"/>
          <w:szCs w:val="21"/>
          <w:highlight w:val="none"/>
          <w:lang w:val="en-US" w:eastAsia="zh-CN"/>
        </w:rPr>
        <w:t>本招标项目</w:t>
      </w:r>
      <w:r>
        <w:rPr>
          <w:rFonts w:hint="eastAsia" w:ascii="宋体" w:hAnsi="宋体" w:eastAsia="宋体" w:cs="Times New Roman"/>
          <w:color w:val="auto"/>
          <w:kern w:val="2"/>
          <w:sz w:val="21"/>
          <w:szCs w:val="21"/>
          <w:highlight w:val="none"/>
          <w:u w:val="single"/>
          <w:lang w:val="en-US" w:eastAsia="zh-CN"/>
        </w:rPr>
        <w:t>中国人民财产保险股份有限公司双鸭山市分公司食堂副食供应商采购项目（二次）</w:t>
      </w:r>
      <w:r>
        <w:rPr>
          <w:rFonts w:hint="eastAsia" w:ascii="宋体" w:hAnsi="宋体" w:eastAsia="宋体" w:cs="Times New Roman"/>
          <w:color w:val="auto"/>
          <w:kern w:val="2"/>
          <w:sz w:val="21"/>
          <w:szCs w:val="21"/>
          <w:highlight w:val="none"/>
          <w:lang w:val="en-US" w:eastAsia="zh-CN"/>
        </w:rPr>
        <w:t>由</w:t>
      </w:r>
      <w:r>
        <w:rPr>
          <w:rFonts w:hint="eastAsia" w:ascii="宋体" w:hAnsi="宋体" w:eastAsia="宋体" w:cs="Times New Roman"/>
          <w:color w:val="auto"/>
          <w:kern w:val="2"/>
          <w:sz w:val="21"/>
          <w:szCs w:val="21"/>
          <w:highlight w:val="none"/>
          <w:u w:val="single"/>
          <w:lang w:val="en-US" w:eastAsia="zh-CN"/>
        </w:rPr>
        <w:t>中国人民财产保险股份有限公司双鸭山市分公司</w:t>
      </w:r>
      <w:r>
        <w:rPr>
          <w:rFonts w:hint="eastAsia" w:ascii="宋体" w:hAnsi="宋体" w:eastAsia="宋体" w:cs="Times New Roman"/>
          <w:color w:val="auto"/>
          <w:kern w:val="2"/>
          <w:sz w:val="21"/>
          <w:szCs w:val="21"/>
          <w:highlight w:val="none"/>
          <w:lang w:val="en-US" w:eastAsia="zh-CN"/>
        </w:rPr>
        <w:t>批准并落实资金，组织本项目的相关招标工作，采购合同由</w:t>
      </w:r>
      <w:r>
        <w:rPr>
          <w:rFonts w:hint="eastAsia" w:ascii="宋体" w:hAnsi="宋体" w:eastAsia="宋体" w:cs="Times New Roman"/>
          <w:color w:val="auto"/>
          <w:kern w:val="2"/>
          <w:sz w:val="21"/>
          <w:szCs w:val="21"/>
          <w:highlight w:val="none"/>
          <w:u w:val="single"/>
          <w:lang w:val="en-US" w:eastAsia="zh-CN"/>
        </w:rPr>
        <w:t>中国人民财产保险股份有限公司双鸭山市分公司</w:t>
      </w:r>
      <w:r>
        <w:rPr>
          <w:rFonts w:hint="eastAsia" w:ascii="宋体" w:hAnsi="宋体" w:eastAsia="宋体" w:cs="Times New Roman"/>
          <w:color w:val="auto"/>
          <w:kern w:val="2"/>
          <w:sz w:val="21"/>
          <w:szCs w:val="21"/>
          <w:highlight w:val="none"/>
          <w:lang w:val="en-US" w:eastAsia="zh-CN"/>
        </w:rPr>
        <w:t>根据中标结果与中标人签署。现委托</w:t>
      </w:r>
      <w:r>
        <w:rPr>
          <w:rFonts w:hint="eastAsia" w:ascii="宋体" w:hAnsi="宋体" w:eastAsia="宋体" w:cs="宋体"/>
          <w:color w:val="auto"/>
          <w:kern w:val="2"/>
          <w:sz w:val="21"/>
          <w:szCs w:val="21"/>
          <w:highlight w:val="none"/>
          <w:u w:val="single"/>
          <w:lang w:val="en-US" w:eastAsia="zh-CN"/>
        </w:rPr>
        <w:t>中资国际工程咨询集团有限责任公司</w:t>
      </w:r>
      <w:r>
        <w:rPr>
          <w:rFonts w:hint="eastAsia" w:ascii="宋体" w:hAnsi="宋体" w:eastAsia="宋体" w:cs="Times New Roman"/>
          <w:color w:val="auto"/>
          <w:kern w:val="2"/>
          <w:sz w:val="21"/>
          <w:szCs w:val="21"/>
          <w:highlight w:val="none"/>
          <w:lang w:val="en-US" w:eastAsia="zh-CN"/>
        </w:rPr>
        <w:t>进行公开招标，有意向且具有提供标的物能力的潜在投标人可前来投标。</w:t>
      </w:r>
    </w:p>
    <w:p w14:paraId="5D27832B">
      <w:pPr>
        <w:keepNext w:val="0"/>
        <w:keepLines w:val="0"/>
        <w:pageBreakBefore w:val="0"/>
        <w:widowControl w:val="0"/>
        <w:kinsoku/>
        <w:wordWrap/>
        <w:overflowPunct/>
        <w:topLinePunct w:val="0"/>
        <w:autoSpaceDE/>
        <w:autoSpaceDN/>
        <w:bidi w:val="0"/>
        <w:adjustRightInd/>
        <w:snapToGrid/>
        <w:spacing w:line="440" w:lineRule="exact"/>
        <w:rPr>
          <w:rFonts w:hint="eastAsia" w:hAnsi="宋体" w:cs="宋体"/>
          <w:b/>
          <w:bCs/>
          <w:color w:val="auto"/>
          <w:kern w:val="2"/>
          <w:sz w:val="21"/>
          <w:szCs w:val="21"/>
          <w:highlight w:val="none"/>
        </w:rPr>
      </w:pPr>
      <w:r>
        <w:rPr>
          <w:rFonts w:hint="eastAsia" w:hAnsi="宋体" w:cs="宋体"/>
          <w:b/>
          <w:bCs/>
          <w:color w:val="auto"/>
          <w:kern w:val="2"/>
          <w:sz w:val="21"/>
          <w:szCs w:val="21"/>
          <w:highlight w:val="none"/>
        </w:rPr>
        <w:t>2.项目概况与招标范围</w:t>
      </w:r>
      <w:bookmarkEnd w:id="1"/>
    </w:p>
    <w:p w14:paraId="1ACA7453">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bookmarkStart w:id="2" w:name="_Toc21853_WPSOffice_Level2"/>
      <w:r>
        <w:rPr>
          <w:rFonts w:hint="eastAsia" w:ascii="宋体" w:hAnsi="宋体" w:eastAsia="宋体" w:cs="Times New Roman"/>
          <w:color w:val="auto"/>
          <w:kern w:val="2"/>
          <w:sz w:val="21"/>
          <w:szCs w:val="21"/>
          <w:highlight w:val="none"/>
          <w:lang w:val="en-US" w:eastAsia="zh-CN"/>
        </w:rPr>
        <w:t>2.1项目名称：中国人民财产保险股份有限公司双鸭山市分公司食堂副食供应商采购项目（二次）；</w:t>
      </w:r>
      <w:bookmarkStart w:id="9" w:name="_GoBack"/>
      <w:bookmarkEnd w:id="9"/>
    </w:p>
    <w:p w14:paraId="473D0C72">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2.2招标范围：食堂食材供应服务（具体要求详见招标文件）；</w:t>
      </w:r>
    </w:p>
    <w:p w14:paraId="395F5036">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2.3项目性质：服务；</w:t>
      </w:r>
    </w:p>
    <w:p w14:paraId="1C646BC1">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2.4标包划分：本项目不划分标包</w:t>
      </w:r>
    </w:p>
    <w:p w14:paraId="58CB1D95">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2.5服务期限：合同签订后，2年（合同签订采取1+1方式）,投标人按照招标人供货清单需求随时供货；</w:t>
      </w:r>
    </w:p>
    <w:p w14:paraId="5DD19ADC">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2.6预算金额：600,000.00元；</w:t>
      </w:r>
    </w:p>
    <w:p w14:paraId="4E2F498F">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2.7服务地点：双鸭山市尖山区河西路1号（招标人指定地点）；</w:t>
      </w:r>
    </w:p>
    <w:p w14:paraId="69817861">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2.8质量要求：货物及服务均符合《中华人民共和国食品安全法》、《餐饮业食品卫生管理办法》，《餐饮业和集体用餐配送单位卫生规范》等国家法律、法规及地方政府有关规定；保证提供的货物均符合国家规定的质量卫生安全标准。</w:t>
      </w:r>
    </w:p>
    <w:p w14:paraId="72F36024">
      <w:pPr>
        <w:keepNext w:val="0"/>
        <w:keepLines w:val="0"/>
        <w:pageBreakBefore w:val="0"/>
        <w:widowControl w:val="0"/>
        <w:numPr>
          <w:ilvl w:val="0"/>
          <w:numId w:val="0"/>
        </w:numPr>
        <w:kinsoku/>
        <w:wordWrap/>
        <w:overflowPunct/>
        <w:topLinePunct w:val="0"/>
        <w:autoSpaceDE/>
        <w:autoSpaceDN/>
        <w:bidi w:val="0"/>
        <w:adjustRightInd/>
        <w:snapToGrid/>
        <w:spacing w:line="440" w:lineRule="exact"/>
        <w:rPr>
          <w:rFonts w:hint="eastAsia" w:hAnsi="宋体" w:cs="宋体"/>
          <w:b/>
          <w:bCs/>
          <w:color w:val="auto"/>
          <w:kern w:val="2"/>
          <w:sz w:val="21"/>
          <w:szCs w:val="21"/>
          <w:highlight w:val="none"/>
        </w:rPr>
      </w:pPr>
      <w:r>
        <w:rPr>
          <w:rFonts w:hint="eastAsia" w:ascii="宋体" w:hAnsi="宋体" w:cs="宋体"/>
          <w:b/>
          <w:bCs/>
          <w:color w:val="auto"/>
          <w:kern w:val="2"/>
          <w:sz w:val="21"/>
          <w:szCs w:val="21"/>
          <w:lang w:val="en-US" w:eastAsia="zh-CN" w:bidi="ar-SA"/>
        </w:rPr>
        <w:t>3.</w:t>
      </w:r>
      <w:r>
        <w:rPr>
          <w:rFonts w:hint="eastAsia" w:hAnsi="宋体" w:cs="宋体"/>
          <w:b/>
          <w:bCs/>
          <w:color w:val="auto"/>
          <w:kern w:val="2"/>
          <w:sz w:val="21"/>
          <w:szCs w:val="21"/>
          <w:highlight w:val="none"/>
        </w:rPr>
        <w:t>投标人资格要求</w:t>
      </w:r>
      <w:bookmarkEnd w:id="2"/>
    </w:p>
    <w:p w14:paraId="40E2AD1D">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3.1</w:t>
      </w:r>
      <w:r>
        <w:rPr>
          <w:rFonts w:hint="eastAsia" w:ascii="宋体" w:hAnsi="宋体" w:eastAsia="宋体" w:cs="Times New Roman"/>
          <w:b/>
          <w:bCs/>
          <w:color w:val="auto"/>
          <w:kern w:val="2"/>
          <w:sz w:val="21"/>
          <w:szCs w:val="21"/>
          <w:highlight w:val="none"/>
          <w:lang w:val="en-US" w:eastAsia="zh-CN"/>
        </w:rPr>
        <w:t>在中华人民共和国境内依法登记，具有独立承担民事责任的能力，</w:t>
      </w:r>
      <w:r>
        <w:rPr>
          <w:rFonts w:hint="eastAsia" w:ascii="宋体" w:hAnsi="宋体" w:eastAsia="宋体" w:cs="Times New Roman"/>
          <w:color w:val="auto"/>
          <w:kern w:val="2"/>
          <w:sz w:val="21"/>
          <w:szCs w:val="21"/>
          <w:highlight w:val="none"/>
          <w:lang w:val="en-US" w:eastAsia="zh-CN"/>
        </w:rPr>
        <w:t>须提供营业执照；投标人如为事业单位、其他组织或个体工商户，须提供事业单位法人证书或登记证或组织机构代码证或其他有效证明文件；</w:t>
      </w:r>
    </w:p>
    <w:p w14:paraId="3EB6877E">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3.2</w:t>
      </w:r>
      <w:r>
        <w:rPr>
          <w:rFonts w:hint="eastAsia" w:ascii="宋体" w:hAnsi="宋体" w:eastAsia="宋体" w:cs="Times New Roman"/>
          <w:b/>
          <w:bCs/>
          <w:color w:val="auto"/>
          <w:kern w:val="2"/>
          <w:sz w:val="21"/>
          <w:szCs w:val="21"/>
          <w:highlight w:val="none"/>
          <w:lang w:val="en-US" w:eastAsia="zh-CN"/>
        </w:rPr>
        <w:t>具有良好的商业信誉和健全的财务会计制度；</w:t>
      </w:r>
    </w:p>
    <w:p w14:paraId="1EF1E581">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3.3</w:t>
      </w:r>
      <w:r>
        <w:rPr>
          <w:rFonts w:hint="eastAsia" w:ascii="宋体" w:hAnsi="宋体" w:eastAsia="宋体" w:cs="Times New Roman"/>
          <w:b/>
          <w:bCs/>
          <w:color w:val="auto"/>
          <w:kern w:val="2"/>
          <w:sz w:val="21"/>
          <w:szCs w:val="21"/>
          <w:highlight w:val="none"/>
          <w:lang w:val="en-US" w:eastAsia="zh-CN"/>
        </w:rPr>
        <w:t>投标人应具有履行合同所必需的设备和专业技术能力</w:t>
      </w:r>
      <w:r>
        <w:rPr>
          <w:rFonts w:hint="eastAsia" w:ascii="宋体" w:hAnsi="宋体" w:eastAsia="宋体" w:cs="Times New Roman"/>
          <w:color w:val="auto"/>
          <w:kern w:val="2"/>
          <w:sz w:val="21"/>
          <w:szCs w:val="21"/>
          <w:highlight w:val="none"/>
          <w:lang w:val="en-US" w:eastAsia="zh-CN"/>
        </w:rPr>
        <w:t>；</w:t>
      </w:r>
    </w:p>
    <w:p w14:paraId="1BDF2A32">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3.4</w:t>
      </w:r>
      <w:r>
        <w:rPr>
          <w:rFonts w:hint="eastAsia" w:ascii="宋体" w:hAnsi="宋体" w:eastAsia="宋体" w:cs="Times New Roman"/>
          <w:b/>
          <w:bCs/>
          <w:color w:val="auto"/>
          <w:kern w:val="2"/>
          <w:sz w:val="21"/>
          <w:szCs w:val="21"/>
          <w:highlight w:val="none"/>
          <w:lang w:val="en-US" w:eastAsia="zh-CN"/>
        </w:rPr>
        <w:t>具有依法缴纳税收和社会保障资金的良好记录；</w:t>
      </w:r>
    </w:p>
    <w:p w14:paraId="2D536C4E">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3.5</w:t>
      </w:r>
      <w:r>
        <w:rPr>
          <w:rFonts w:hint="eastAsia" w:ascii="宋体" w:hAnsi="宋体" w:eastAsia="宋体" w:cs="Times New Roman"/>
          <w:b/>
          <w:bCs/>
          <w:color w:val="auto"/>
          <w:kern w:val="2"/>
          <w:sz w:val="21"/>
          <w:szCs w:val="21"/>
          <w:highlight w:val="none"/>
          <w:lang w:val="en-US" w:eastAsia="zh-CN"/>
        </w:rPr>
        <w:t>投标人应经营状况良好，且近三年内（2022年1月1日至今）无违法违规记录。</w:t>
      </w:r>
      <w:r>
        <w:rPr>
          <w:rFonts w:hint="eastAsia" w:ascii="宋体" w:hAnsi="宋体" w:eastAsia="宋体" w:cs="Times New Roman"/>
          <w:color w:val="auto"/>
          <w:kern w:val="2"/>
          <w:sz w:val="21"/>
          <w:szCs w:val="21"/>
          <w:highlight w:val="none"/>
          <w:lang w:val="en-US" w:eastAsia="zh-CN"/>
        </w:rPr>
        <w:t>违法违规记录是指被“信用中国”列入失信被执行人、重大税收违法失信主体、政府采购严重违法失信行为记录名单。投标人需提供自招标公告发布之日至投标截止之日期间对以上三项内容的查询截图；</w:t>
      </w:r>
    </w:p>
    <w:p w14:paraId="56CEB1D8">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信用中国查询网址：https://www.creditchina.gov.cn/xinyongfuwu/?navPage=5</w:t>
      </w:r>
    </w:p>
    <w:p w14:paraId="0991B2F2">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3.6</w:t>
      </w:r>
      <w:r>
        <w:rPr>
          <w:rFonts w:hint="eastAsia" w:ascii="宋体" w:hAnsi="宋体" w:eastAsia="宋体" w:cs="Times New Roman"/>
          <w:b/>
          <w:bCs/>
          <w:color w:val="auto"/>
          <w:kern w:val="2"/>
          <w:sz w:val="21"/>
          <w:szCs w:val="21"/>
          <w:highlight w:val="none"/>
          <w:lang w:val="en-US" w:eastAsia="zh-CN"/>
        </w:rPr>
        <w:t>严禁列入招标人及其所隶属的中国人民保险各级机构的供应商黑名单且在禁入期内的供应商参与采购活动；</w:t>
      </w:r>
    </w:p>
    <w:p w14:paraId="69B78AE0">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3.7单位负责人为同一人或存在控股、管理关系的不同单位，不得参加同一标段/标包投标或未划分标段/标包的同一招标项目投标，需填写《投标人控股及管理关系情况申报表》；</w:t>
      </w:r>
    </w:p>
    <w:p w14:paraId="17140FD4">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3.8本项目不接受联合体投标。投标人中标后不允许分包、转包。不得转包、分包，否则承担相应的违约责任；</w:t>
      </w:r>
    </w:p>
    <w:p w14:paraId="4FD9B0E7">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3.9其它资格要求：拟参加本项目的潜在投标人应提供有效的《食品生产许可证》或《食品经营许可证》。（1.提供在有效期内的证书扫描件，如证书上未体现年检记录或有效期的，需同时提供发证机构官方网站显示的年检或有效期的截图作为证明材料；2.如国家另有规定的，则适用其规定，投标人提供相关证明材料，如有效的资质证书及相关政府部门的规定。）</w:t>
      </w:r>
    </w:p>
    <w:p w14:paraId="5A49FBC0">
      <w:pPr>
        <w:keepNext w:val="0"/>
        <w:keepLines w:val="0"/>
        <w:pageBreakBefore w:val="0"/>
        <w:widowControl w:val="0"/>
        <w:numPr>
          <w:ilvl w:val="0"/>
          <w:numId w:val="0"/>
        </w:numPr>
        <w:kinsoku/>
        <w:wordWrap/>
        <w:overflowPunct/>
        <w:topLinePunct w:val="0"/>
        <w:autoSpaceDE/>
        <w:autoSpaceDN/>
        <w:bidi w:val="0"/>
        <w:adjustRightInd/>
        <w:snapToGrid/>
        <w:spacing w:line="440" w:lineRule="exact"/>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4.资格审查方法</w:t>
      </w:r>
    </w:p>
    <w:p w14:paraId="3B7134CA">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本项目将进行资格后审，资格审查方法为合格制，资格审查标准和内容见招标文件第三章“评标办法”。未通过资格后审的投标人，投标将被否决。</w:t>
      </w:r>
    </w:p>
    <w:p w14:paraId="786CF634">
      <w:pPr>
        <w:keepNext w:val="0"/>
        <w:keepLines w:val="0"/>
        <w:pageBreakBefore w:val="0"/>
        <w:widowControl w:val="0"/>
        <w:numPr>
          <w:ilvl w:val="0"/>
          <w:numId w:val="0"/>
        </w:numPr>
        <w:kinsoku/>
        <w:wordWrap/>
        <w:overflowPunct/>
        <w:topLinePunct w:val="0"/>
        <w:autoSpaceDE/>
        <w:autoSpaceDN/>
        <w:bidi w:val="0"/>
        <w:adjustRightInd/>
        <w:snapToGrid/>
        <w:spacing w:line="440" w:lineRule="exact"/>
        <w:rPr>
          <w:rFonts w:hint="eastAsia" w:ascii="宋体" w:hAnsi="宋体" w:eastAsia="宋体" w:cs="宋体"/>
          <w:b/>
          <w:bCs/>
          <w:color w:val="auto"/>
          <w:kern w:val="2"/>
          <w:sz w:val="21"/>
          <w:szCs w:val="21"/>
          <w:lang w:val="en-US" w:eastAsia="zh-CN" w:bidi="ar-SA"/>
        </w:rPr>
      </w:pPr>
      <w:bookmarkStart w:id="3" w:name="_Toc4585_WPSOffice_Level2"/>
      <w:r>
        <w:rPr>
          <w:rFonts w:hint="eastAsia" w:ascii="宋体" w:hAnsi="宋体" w:eastAsia="宋体" w:cs="宋体"/>
          <w:b/>
          <w:bCs/>
          <w:color w:val="auto"/>
          <w:kern w:val="2"/>
          <w:sz w:val="21"/>
          <w:szCs w:val="21"/>
          <w:lang w:val="en-US" w:eastAsia="zh-CN" w:bidi="ar-SA"/>
        </w:rPr>
        <w:t>5.招标文件的获取</w:t>
      </w:r>
      <w:bookmarkEnd w:id="3"/>
    </w:p>
    <w:p w14:paraId="27D1F5F4">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left"/>
        <w:textAlignment w:val="baseline"/>
        <w:rPr>
          <w:rFonts w:hint="eastAsia" w:ascii="宋体" w:hAnsi="宋体" w:eastAsia="宋体" w:cs="Times New Roman"/>
          <w:color w:val="auto"/>
          <w:kern w:val="2"/>
          <w:sz w:val="21"/>
          <w:szCs w:val="21"/>
          <w:highlight w:val="none"/>
          <w:lang w:val="en-US" w:eastAsia="zh-CN"/>
        </w:rPr>
      </w:pPr>
      <w:bookmarkStart w:id="4" w:name="_Toc31086_WPSOffice_Level2"/>
      <w:r>
        <w:rPr>
          <w:rFonts w:hint="eastAsia" w:ascii="宋体" w:hAnsi="宋体" w:eastAsia="宋体" w:cs="Times New Roman"/>
          <w:color w:val="auto"/>
          <w:kern w:val="2"/>
          <w:sz w:val="21"/>
          <w:szCs w:val="21"/>
          <w:highlight w:val="none"/>
          <w:lang w:val="en-US" w:eastAsia="zh-CN"/>
        </w:rPr>
        <w:t>5.1招标文件获取时间：请于2025年08月29日起至2025年09月04日（节假日除外）每日上午9时至17时00分；</w:t>
      </w:r>
    </w:p>
    <w:p w14:paraId="7DC10494">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left"/>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5.2地点：中招联合招标采购平台。</w:t>
      </w:r>
    </w:p>
    <w:p w14:paraId="6A7B3DE7">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5.3方式：前往中招联合招标采购平台（http://www.365trade.com.cn/）注册后获取招标文件，平台统一服务热线：010-86397110，下载者请务必至少在文件发售截止时间半个工作日前登录平台完成获取操作，否则将无法保证获取电子招标文件。逾期不予受理。</w:t>
      </w:r>
    </w:p>
    <w:p w14:paraId="14DDA026">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5.4售价：500元。</w:t>
      </w:r>
    </w:p>
    <w:bookmarkEnd w:id="4"/>
    <w:p w14:paraId="75DF66F5">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both"/>
        <w:textAlignment w:val="baseline"/>
        <w:rPr>
          <w:rFonts w:hint="eastAsia" w:ascii="宋体" w:hAnsi="宋体" w:eastAsia="宋体" w:cs="Times New Roman"/>
          <w:color w:val="auto"/>
          <w:kern w:val="2"/>
          <w:sz w:val="21"/>
          <w:szCs w:val="21"/>
          <w:highlight w:val="none"/>
          <w:lang w:val="en-US" w:eastAsia="zh-CN"/>
        </w:rPr>
      </w:pPr>
      <w:bookmarkStart w:id="5" w:name="_Toc15637_WPSOffice_Level2"/>
      <w:r>
        <w:rPr>
          <w:rFonts w:hint="eastAsia" w:ascii="宋体" w:hAnsi="宋体" w:eastAsia="宋体" w:cs="宋体"/>
          <w:b/>
          <w:bCs/>
          <w:color w:val="auto"/>
          <w:kern w:val="2"/>
          <w:sz w:val="21"/>
          <w:szCs w:val="21"/>
          <w:highlight w:val="none"/>
          <w:lang w:val="en-US" w:eastAsia="zh-CN"/>
        </w:rPr>
        <w:t>6.投标文件的递交</w:t>
      </w:r>
      <w:bookmarkEnd w:id="5"/>
    </w:p>
    <w:p w14:paraId="0746932D">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6.1投标文件递交截止时间：2025年09月18日09时30分。</w:t>
      </w:r>
    </w:p>
    <w:p w14:paraId="7E775BE0">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6.2投标文件递交地点：须现场递交至双鸭山市尖山区时代新城二期56号16号商服开标大厅，逾期送达或者未送达指定地点或者未按照招标文件要求封装的纸质投标文件不予接收。</w:t>
      </w:r>
    </w:p>
    <w:p w14:paraId="75854157">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6.3本项目将于上述同一时间、地点进行开标，招标人/招标代理机构邀请投标人代表准时参加。</w:t>
      </w:r>
    </w:p>
    <w:p w14:paraId="5EC97E2A">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6.4出现以下情形之一时，招标人/招标代理机构不予接收投标文件：</w:t>
      </w:r>
    </w:p>
    <w:p w14:paraId="32F98D47">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6.4.1逾期送达或者未送达指定地点的；</w:t>
      </w:r>
    </w:p>
    <w:p w14:paraId="77E73A9F">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6.4.2未按照招标文件要求密封的；</w:t>
      </w:r>
    </w:p>
    <w:p w14:paraId="6C829458">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6.4.3未按照招标公告要求获取招标文件的。</w:t>
      </w:r>
    </w:p>
    <w:p w14:paraId="3A8A145C">
      <w:pPr>
        <w:keepNext w:val="0"/>
        <w:keepLines w:val="0"/>
        <w:pageBreakBefore w:val="0"/>
        <w:widowControl w:val="0"/>
        <w:kinsoku/>
        <w:wordWrap/>
        <w:overflowPunct/>
        <w:topLinePunct w:val="0"/>
        <w:autoSpaceDE/>
        <w:autoSpaceDN/>
        <w:bidi w:val="0"/>
        <w:adjustRightInd/>
        <w:snapToGrid/>
        <w:spacing w:line="440" w:lineRule="exact"/>
        <w:rPr>
          <w:rFonts w:hint="eastAsia" w:hAnsi="宋体" w:cs="宋体"/>
          <w:b/>
          <w:bCs/>
          <w:color w:val="auto"/>
          <w:kern w:val="2"/>
          <w:sz w:val="21"/>
          <w:szCs w:val="21"/>
          <w:highlight w:val="none"/>
        </w:rPr>
      </w:pPr>
      <w:bookmarkStart w:id="6" w:name="_Toc20076_WPSOffice_Level2"/>
      <w:r>
        <w:rPr>
          <w:rFonts w:hint="eastAsia" w:hAnsi="宋体" w:cs="宋体"/>
          <w:b/>
          <w:bCs/>
          <w:color w:val="auto"/>
          <w:kern w:val="2"/>
          <w:sz w:val="21"/>
          <w:szCs w:val="21"/>
          <w:highlight w:val="none"/>
        </w:rPr>
        <w:t>7.</w:t>
      </w:r>
      <w:bookmarkEnd w:id="6"/>
      <w:bookmarkStart w:id="7" w:name="_Toc25774_WPSOffice_Level2"/>
      <w:r>
        <w:rPr>
          <w:rFonts w:hint="eastAsia" w:hAnsi="宋体" w:cs="宋体"/>
          <w:b/>
          <w:bCs/>
          <w:color w:val="auto"/>
          <w:kern w:val="2"/>
          <w:sz w:val="21"/>
          <w:szCs w:val="21"/>
          <w:highlight w:val="none"/>
        </w:rPr>
        <w:t>发布公告的媒介</w:t>
      </w:r>
      <w:bookmarkEnd w:id="7"/>
    </w:p>
    <w:p w14:paraId="06FFE9D7">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left"/>
        <w:textAlignment w:val="baseline"/>
        <w:rPr>
          <w:rFonts w:hint="eastAsia" w:ascii="宋体" w:hAnsi="宋体" w:eastAsia="宋体" w:cs="Times New Roman"/>
          <w:color w:val="auto"/>
          <w:kern w:val="2"/>
          <w:sz w:val="21"/>
          <w:szCs w:val="21"/>
          <w:highlight w:val="none"/>
          <w:lang w:val="en-US" w:eastAsia="zh-CN"/>
        </w:rPr>
      </w:pPr>
      <w:bookmarkStart w:id="8" w:name="_Toc28879_WPSOffice_Level2"/>
      <w:r>
        <w:rPr>
          <w:rFonts w:hint="eastAsia" w:ascii="宋体" w:hAnsi="宋体" w:eastAsia="宋体" w:cs="Times New Roman"/>
          <w:color w:val="auto"/>
          <w:kern w:val="2"/>
          <w:sz w:val="21"/>
          <w:szCs w:val="21"/>
          <w:highlight w:val="none"/>
          <w:lang w:val="en-US" w:eastAsia="zh-CN"/>
        </w:rPr>
        <w:t>本项目招标公告同时在“人保e采外网门户（https://ec.picc.com/）、中国招标投标公共服务平台（www.cebpubservice.com）、</w:t>
      </w:r>
      <w:r>
        <w:rPr>
          <w:rFonts w:hint="eastAsia" w:ascii="宋体" w:hAnsi="宋体" w:eastAsia="宋体" w:cs="宋体"/>
        </w:rPr>
        <w:t>中招联合招标采购平台（http://www.365trade.com.cn）</w:t>
      </w:r>
      <w:r>
        <w:rPr>
          <w:rFonts w:hint="eastAsia" w:ascii="宋体" w:hAnsi="宋体" w:eastAsia="宋体" w:cs="Times New Roman"/>
          <w:color w:val="auto"/>
          <w:kern w:val="2"/>
          <w:sz w:val="21"/>
          <w:szCs w:val="21"/>
          <w:highlight w:val="none"/>
          <w:lang w:val="en-US" w:eastAsia="zh-CN"/>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7968A15E">
      <w:pPr>
        <w:keepNext w:val="0"/>
        <w:keepLines w:val="0"/>
        <w:pageBreakBefore w:val="0"/>
        <w:widowControl w:val="0"/>
        <w:kinsoku/>
        <w:wordWrap/>
        <w:overflowPunct/>
        <w:topLinePunct w:val="0"/>
        <w:autoSpaceDE/>
        <w:autoSpaceDN/>
        <w:bidi w:val="0"/>
        <w:adjustRightInd/>
        <w:snapToGrid/>
        <w:spacing w:line="440" w:lineRule="exact"/>
        <w:rPr>
          <w:rFonts w:hint="eastAsia" w:hAnsi="宋体" w:cs="宋体"/>
          <w:b/>
          <w:bCs/>
          <w:color w:val="auto"/>
          <w:kern w:val="2"/>
          <w:sz w:val="21"/>
          <w:szCs w:val="21"/>
          <w:highlight w:val="none"/>
        </w:rPr>
      </w:pPr>
      <w:r>
        <w:rPr>
          <w:rFonts w:hint="eastAsia" w:hAnsi="宋体" w:cs="宋体"/>
          <w:b/>
          <w:bCs/>
          <w:color w:val="auto"/>
          <w:kern w:val="2"/>
          <w:sz w:val="21"/>
          <w:szCs w:val="21"/>
          <w:highlight w:val="none"/>
          <w:lang w:val="en-US" w:eastAsia="zh-CN"/>
        </w:rPr>
        <w:t>8.</w:t>
      </w:r>
      <w:r>
        <w:rPr>
          <w:rFonts w:hint="eastAsia" w:hAnsi="宋体" w:cs="宋体"/>
          <w:b/>
          <w:bCs/>
          <w:color w:val="auto"/>
          <w:kern w:val="2"/>
          <w:sz w:val="21"/>
          <w:szCs w:val="21"/>
          <w:highlight w:val="none"/>
        </w:rPr>
        <w:t>联系方式</w:t>
      </w:r>
      <w:bookmarkEnd w:id="8"/>
    </w:p>
    <w:p w14:paraId="58194C24">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监督单位：中国人民财产保险股份有限公司双鸭山市分公司综合部</w:t>
      </w:r>
    </w:p>
    <w:p w14:paraId="08B98F10">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招标人：中国人民财产保险股份有限公司双鸭山市分公司</w:t>
      </w:r>
    </w:p>
    <w:p w14:paraId="6B092A7C">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联系人：初先生</w:t>
      </w:r>
    </w:p>
    <w:p w14:paraId="22EF016C">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地址：黑龙江省双鸭山市尖山区双福路安邦荣府</w:t>
      </w:r>
    </w:p>
    <w:p w14:paraId="52CC8CFE">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电话：0469-4220196</w:t>
      </w:r>
    </w:p>
    <w:p w14:paraId="168F211F">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招标代理机构：中资国际工程咨询集团有限责任公司</w:t>
      </w:r>
    </w:p>
    <w:p w14:paraId="4122A0BE">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地址：双鸭山市尖山区时代新城二期56号15号商服</w:t>
      </w:r>
    </w:p>
    <w:p w14:paraId="7260B37E">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联系人：崔先生</w:t>
      </w:r>
    </w:p>
    <w:p w14:paraId="310092B3">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baseline"/>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电话：0469-6129066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2977ED"/>
    <w:rsid w:val="04131A35"/>
    <w:rsid w:val="14617C8D"/>
    <w:rsid w:val="2AAB4039"/>
    <w:rsid w:val="2B2B456F"/>
    <w:rsid w:val="372977ED"/>
    <w:rsid w:val="3BA74034"/>
    <w:rsid w:val="43D41AF9"/>
    <w:rsid w:val="4B8D2E09"/>
    <w:rsid w:val="5B1126CA"/>
    <w:rsid w:val="5C1138BB"/>
    <w:rsid w:val="603F4B33"/>
    <w:rsid w:val="6C0A3810"/>
    <w:rsid w:val="6CFA6170"/>
    <w:rsid w:val="75817886"/>
    <w:rsid w:val="764B1A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adjustRightInd w:val="0"/>
      <w:spacing w:line="360" w:lineRule="atLeast"/>
      <w:jc w:val="center"/>
      <w:textAlignment w:val="baseline"/>
    </w:pPr>
    <w:rPr>
      <w:kern w:val="0"/>
      <w:sz w:val="24"/>
      <w:szCs w:val="20"/>
    </w:rPr>
  </w:style>
  <w:style w:type="paragraph" w:styleId="3">
    <w:name w:val="Normal (Web)"/>
    <w:basedOn w:val="1"/>
    <w:qFormat/>
    <w:uiPriority w:val="0"/>
    <w:pPr>
      <w:widowControl/>
      <w:spacing w:before="100" w:beforeLines="0" w:beforeAutospacing="1" w:after="100" w:afterLines="0" w:afterAutospacing="1"/>
      <w:jc w:val="left"/>
    </w:pPr>
    <w:rPr>
      <w:rFonts w:hint="eastAsia" w:ascii="宋体" w:hAnsi="宋体"/>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1955</Words>
  <Characters>2257</Characters>
  <Lines>0</Lines>
  <Paragraphs>0</Paragraphs>
  <TotalTime>4</TotalTime>
  <ScaleCrop>false</ScaleCrop>
  <LinksUpToDate>false</LinksUpToDate>
  <CharactersWithSpaces>2257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2025-07-11T02:10:00Z</dcterms:created>
  <dc:creator>崔仁杰</dc:creator>
  <cp:lastModifiedBy>崔仁杰</cp:lastModifiedBy>
  <dcterms:modified xsi:type="dcterms:W3CDTF">2025-08-28T06:05:31Z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2A9984CCB7A9406EB5D3BFFDCB2CE930_11</vt:lpwstr>
  </property>
  <property fmtid="{D5CDD505-2E9C-101B-9397-08002B2CF9AE}" pid="4" name="KSOTemplateDocerSaveRecord">
    <vt:lpwstr>eyJoZGlkIjoiYTBmYjBlM2ExMmE1MWM4ZTllNmNiOTY0MjY1MWU1NjUiLCJ1c2VySWQiOiIxMDAwMjczMDg0In0=</vt:lpwstr>
  </property>
</Properties>
</file>