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人保财险湖北省宜昌市秭归支公司茅坪镇及其周边区域</w:t>
      </w:r>
    </w:p>
    <w:p>
      <w:pPr>
        <w:pStyle w:val="51"/>
        <w:adjustRightInd w:val="0"/>
        <w:snapToGrid w:val="0"/>
        <w:spacing w:line="360" w:lineRule="auto"/>
        <w:jc w:val="center"/>
        <w:rPr>
          <w:sz w:val="28"/>
          <w:szCs w:val="28"/>
        </w:rPr>
      </w:pPr>
      <w:r>
        <w:rPr>
          <w:rFonts w:hint="eastAsia" w:ascii="黑体" w:hAnsi="黑体" w:eastAsia="黑体"/>
          <w:sz w:val="32"/>
          <w:szCs w:val="32"/>
          <w:lang w:val="en-US" w:eastAsia="zh-CN"/>
        </w:rPr>
        <w:t>“续保专享-护航使者”增值服务项目</w:t>
      </w:r>
      <w:r>
        <w:rPr>
          <w:rFonts w:hint="eastAsia" w:ascii="黑体" w:hAnsi="黑体" w:eastAsia="黑体"/>
          <w:sz w:val="32"/>
          <w:szCs w:val="32"/>
        </w:rPr>
        <w:t>竞争性磋商邀请文件</w:t>
      </w:r>
    </w:p>
    <w:p>
      <w:pPr>
        <w:pStyle w:val="51"/>
        <w:adjustRightInd w:val="0"/>
        <w:snapToGrid w:val="0"/>
        <w:spacing w:line="360" w:lineRule="auto"/>
        <w:rPr>
          <w:rFonts w:hint="eastAsia"/>
          <w:b/>
          <w:bCs/>
          <w:sz w:val="28"/>
          <w:szCs w:val="28"/>
        </w:rPr>
      </w:pPr>
    </w:p>
    <w:p>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1"/>
        <w:adjustRightInd w:val="0"/>
        <w:snapToGrid w:val="0"/>
        <w:spacing w:line="360" w:lineRule="auto"/>
        <w:ind w:firstLine="560"/>
        <w:rPr>
          <w:rFonts w:hint="eastAsia"/>
          <w:sz w:val="28"/>
          <w:szCs w:val="28"/>
        </w:rPr>
      </w:pPr>
      <w:r>
        <w:rPr>
          <w:rFonts w:hint="eastAsia"/>
          <w:sz w:val="28"/>
          <w:szCs w:val="28"/>
        </w:rPr>
        <w:t>我公司拟通过竞争性磋商方式选择秭归支公司</w:t>
      </w:r>
      <w:r>
        <w:rPr>
          <w:rFonts w:hint="eastAsia"/>
          <w:sz w:val="28"/>
          <w:szCs w:val="28"/>
          <w:lang w:eastAsia="zh-CN"/>
        </w:rPr>
        <w:t>茅坪镇及其周边区域“续保专享-护航使者”增值服务项目</w:t>
      </w:r>
      <w:r>
        <w:rPr>
          <w:rFonts w:hint="eastAsia"/>
          <w:sz w:val="28"/>
          <w:szCs w:val="28"/>
        </w:rPr>
        <w:t>供应商，特邀请贵公司参加本次磋商。</w:t>
      </w:r>
    </w:p>
    <w:p>
      <w:pPr>
        <w:pStyle w:val="51"/>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1"/>
        <w:adjustRightInd w:val="0"/>
        <w:snapToGrid w:val="0"/>
        <w:spacing w:line="360" w:lineRule="auto"/>
        <w:ind w:firstLine="560"/>
        <w:rPr>
          <w:sz w:val="28"/>
          <w:szCs w:val="28"/>
        </w:rPr>
      </w:pPr>
      <w:r>
        <w:rPr>
          <w:rFonts w:hint="eastAsia"/>
          <w:sz w:val="28"/>
          <w:szCs w:val="28"/>
        </w:rPr>
        <w:t xml:space="preserve"> </w:t>
      </w:r>
    </w:p>
    <w:p>
      <w:pPr>
        <w:pStyle w:val="51"/>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秭归支公司</w:t>
      </w:r>
    </w:p>
    <w:p>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秭归县茅坪镇平湖大道53号</w:t>
      </w:r>
    </w:p>
    <w:p>
      <w:pPr>
        <w:pStyle w:val="51"/>
        <w:adjustRightInd w:val="0"/>
        <w:snapToGrid w:val="0"/>
        <w:spacing w:line="360" w:lineRule="auto"/>
        <w:ind w:firstLine="420"/>
        <w:rPr>
          <w:rFonts w:hint="eastAsia"/>
          <w:color w:val="auto"/>
          <w:sz w:val="28"/>
          <w:szCs w:val="28"/>
          <w:lang w:val="en-US" w:eastAsia="zh-CN"/>
        </w:rPr>
      </w:pPr>
      <w:r>
        <w:rPr>
          <w:rFonts w:hint="eastAsia"/>
          <w:sz w:val="28"/>
          <w:szCs w:val="28"/>
        </w:rPr>
        <w:t>电话：</w:t>
      </w:r>
      <w:r>
        <w:rPr>
          <w:rFonts w:hint="eastAsia"/>
          <w:color w:val="auto"/>
          <w:sz w:val="28"/>
          <w:szCs w:val="28"/>
          <w:lang w:val="en-US" w:eastAsia="zh-CN"/>
        </w:rPr>
        <w:t>0717-2884966</w:t>
      </w:r>
    </w:p>
    <w:p>
      <w:pPr>
        <w:pStyle w:val="51"/>
        <w:adjustRightInd w:val="0"/>
        <w:snapToGrid w:val="0"/>
        <w:spacing w:line="360" w:lineRule="auto"/>
        <w:ind w:firstLine="420"/>
        <w:rPr>
          <w:rFonts w:hint="eastAsia" w:eastAsia="宋体"/>
          <w:color w:val="auto"/>
          <w:sz w:val="28"/>
          <w:szCs w:val="28"/>
          <w:lang w:val="en-US" w:eastAsia="zh-CN"/>
        </w:rPr>
      </w:pPr>
      <w:r>
        <w:rPr>
          <w:rFonts w:hint="eastAsia"/>
          <w:sz w:val="28"/>
          <w:szCs w:val="28"/>
        </w:rPr>
        <w:t>联系人：</w:t>
      </w:r>
      <w:r>
        <w:rPr>
          <w:rFonts w:hint="eastAsia"/>
          <w:color w:val="auto"/>
          <w:sz w:val="28"/>
          <w:szCs w:val="28"/>
          <w:lang w:val="en-US" w:eastAsia="zh-CN"/>
        </w:rPr>
        <w:t>王媛媛</w:t>
      </w:r>
    </w:p>
    <w:p>
      <w:pPr>
        <w:pStyle w:val="51"/>
        <w:adjustRightInd w:val="0"/>
        <w:snapToGrid w:val="0"/>
        <w:spacing w:line="360" w:lineRule="auto"/>
        <w:rPr>
          <w:sz w:val="28"/>
          <w:szCs w:val="28"/>
        </w:rPr>
      </w:pPr>
      <w:r>
        <w:rPr>
          <w:rFonts w:hint="eastAsia"/>
          <w:sz w:val="28"/>
          <w:szCs w:val="28"/>
        </w:rPr>
        <w:t xml:space="preserve">   附件：一、磋商事项说明</w:t>
      </w:r>
    </w:p>
    <w:p>
      <w:pPr>
        <w:pStyle w:val="51"/>
        <w:adjustRightInd w:val="0"/>
        <w:snapToGrid w:val="0"/>
        <w:spacing w:line="360" w:lineRule="auto"/>
        <w:ind w:firstLine="840"/>
        <w:rPr>
          <w:sz w:val="28"/>
          <w:szCs w:val="28"/>
        </w:rPr>
      </w:pP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三、资格证明文件</w:t>
      </w:r>
    </w:p>
    <w:p>
      <w:pPr>
        <w:pStyle w:val="51"/>
        <w:adjustRightInd w:val="0"/>
        <w:snapToGrid w:val="0"/>
        <w:spacing w:line="360" w:lineRule="auto"/>
        <w:ind w:firstLine="840"/>
        <w:rPr>
          <w:sz w:val="28"/>
          <w:szCs w:val="28"/>
        </w:rPr>
      </w:pPr>
      <w:r>
        <w:rPr>
          <w:rFonts w:hint="eastAsia"/>
          <w:sz w:val="28"/>
          <w:szCs w:val="28"/>
        </w:rPr>
        <w:t xml:space="preserve">   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ind w:firstLine="570"/>
        <w:jc w:val="right"/>
        <w:rPr>
          <w:rFonts w:hint="eastAsia"/>
          <w:b w:val="0"/>
          <w:bCs w:val="0"/>
          <w:color w:val="auto"/>
          <w:sz w:val="28"/>
          <w:szCs w:val="28"/>
          <w:lang w:val="en-US" w:eastAsia="zh-CN"/>
        </w:rPr>
      </w:pPr>
      <w:r>
        <w:rPr>
          <w:rFonts w:hint="eastAsia"/>
          <w:b w:val="0"/>
          <w:bCs w:val="0"/>
          <w:color w:val="auto"/>
          <w:sz w:val="28"/>
          <w:szCs w:val="28"/>
        </w:rPr>
        <w:t>中国人民财产保险股份有限公司</w:t>
      </w:r>
      <w:r>
        <w:rPr>
          <w:rFonts w:hint="eastAsia"/>
          <w:b w:val="0"/>
          <w:bCs w:val="0"/>
          <w:color w:val="auto"/>
          <w:sz w:val="28"/>
          <w:szCs w:val="28"/>
          <w:lang w:val="en-US" w:eastAsia="zh-CN"/>
        </w:rPr>
        <w:t>秭归支公司</w:t>
      </w:r>
    </w:p>
    <w:p>
      <w:pPr>
        <w:pStyle w:val="51"/>
        <w:adjustRightInd w:val="0"/>
        <w:snapToGrid w:val="0"/>
        <w:spacing w:line="360" w:lineRule="auto"/>
        <w:ind w:left="3780" w:right="620" w:hanging="3780"/>
        <w:jc w:val="right"/>
        <w:rPr>
          <w:color w:val="auto"/>
          <w:sz w:val="28"/>
          <w:szCs w:val="28"/>
        </w:rPr>
      </w:pPr>
      <w:r>
        <w:rPr>
          <w:rFonts w:hint="eastAsia"/>
          <w:color w:val="auto"/>
          <w:sz w:val="28"/>
          <w:szCs w:val="28"/>
          <w:lang w:val="en-US" w:eastAsia="zh-CN"/>
        </w:rPr>
        <w:t>2025年10月10日</w:t>
      </w: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磋商事项说明……………………………………………………………………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四、磋商时间和地点……………………………………………………………………</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五、竞争性磋商流程…………………………………………………………………………</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pPr>
        <w:pStyle w:val="51"/>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pPr>
        <w:pStyle w:val="51"/>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color w:val="000000"/>
          <w:u w:val="none"/>
        </w:rPr>
        <w:t>2</w:t>
      </w:r>
      <w:r>
        <w:t>0</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………………………………………………………21</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1"/>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1"/>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1"/>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1"/>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1"/>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1"/>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color w:val="auto"/>
          <w:kern w:val="0"/>
          <w:sz w:val="24"/>
          <w:szCs w:val="24"/>
        </w:rPr>
        <w:t>采购评审标准由项目最终报价、技术质量和服务水平三项标准构成，评审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tbl>
            <w:tblPr>
              <w:tblStyle w:val="28"/>
              <w:tblW w:w="5865"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w:t>
                  </w:r>
                  <w:r>
                    <w:rPr>
                      <w:rFonts w:hint="eastAsia" w:asciiTheme="minorEastAsia" w:hAnsiTheme="minorEastAsia" w:eastAsiaTheme="minorEastAsia" w:cstheme="minorEastAsia"/>
                      <w:b/>
                      <w:bCs/>
                      <w:i w:val="0"/>
                      <w:iCs w:val="0"/>
                      <w:color w:val="000000"/>
                      <w:kern w:val="0"/>
                      <w:sz w:val="24"/>
                      <w:szCs w:val="24"/>
                      <w:u w:val="none"/>
                      <w:lang w:val="en-US" w:eastAsia="zh-CN" w:bidi="ar"/>
                    </w:rPr>
                    <w:t>、低价优先法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1）适用情形：有效投标人少于5家（不含本数）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Style w:val="132"/>
                      <w:rFonts w:hint="eastAsia" w:asciiTheme="minorEastAsia" w:hAnsiTheme="minorEastAsia" w:eastAsiaTheme="minorEastAsia" w:cstheme="minorEastAsia"/>
                      <w:sz w:val="24"/>
                      <w:szCs w:val="24"/>
                      <w:lang w:val="en-US" w:eastAsia="zh-CN" w:bidi="ar"/>
                    </w:rPr>
                    <w:t>2）评标价：各有效投标人的含税投</w:t>
                  </w:r>
                  <w:r>
                    <w:rPr>
                      <w:rFonts w:hint="eastAsia" w:asciiTheme="minorEastAsia" w:hAnsiTheme="minorEastAsia" w:eastAsiaTheme="minorEastAsia" w:cstheme="minorEastAsia"/>
                      <w:i w:val="0"/>
                      <w:iCs w:val="0"/>
                      <w:color w:val="000000"/>
                      <w:kern w:val="0"/>
                      <w:sz w:val="24"/>
                      <w:szCs w:val="24"/>
                      <w:u w:val="none"/>
                      <w:lang w:val="en-US" w:eastAsia="zh-CN" w:bidi="ar"/>
                    </w:rPr>
                    <w:t>标价</w:t>
                  </w:r>
                  <w:r>
                    <w:rPr>
                      <w:rStyle w:val="133"/>
                      <w:rFonts w:hint="eastAsia" w:asciiTheme="minorEastAsia" w:hAnsiTheme="minorEastAsia" w:eastAsiaTheme="minorEastAsia" w:cstheme="minorEastAsia"/>
                      <w:sz w:val="24"/>
                      <w:szCs w:val="24"/>
                      <w:lang w:val="en-US" w:eastAsia="zh-CN" w:bidi="ar"/>
                    </w:rPr>
                    <w:t>,剔除可抵扣的增值税进项税额</w:t>
                  </w:r>
                  <w:r>
                    <w:rPr>
                      <w:rFonts w:hint="eastAsia" w:asciiTheme="minorEastAsia" w:hAnsiTheme="minorEastAsia" w:eastAsiaTheme="minorEastAsia" w:cstheme="minorEastAsia"/>
                      <w:i w:val="0"/>
                      <w:iCs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3）评标基准价：满足招标文件要求且最低的有效评标价。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4）价格分计算：评标价=评标基准价的投标人，得价格分的满分；其他投标人的价格分按照以下公式计算，并精确到小数点后两位：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价格得分＝（评标基准价/该投标人的评标价）*40；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2、偏离度计算法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1）适用情形：有效投标人大于5家（含本数）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Style w:val="132"/>
                      <w:rFonts w:hint="eastAsia" w:asciiTheme="minorEastAsia" w:hAnsiTheme="minorEastAsia" w:eastAsiaTheme="minorEastAsia" w:cstheme="minorEastAsia"/>
                      <w:sz w:val="24"/>
                      <w:szCs w:val="24"/>
                      <w:lang w:val="en-US" w:eastAsia="zh-CN" w:bidi="ar"/>
                    </w:rPr>
                    <w:t>2）评标价：各有效投标人的含税</w:t>
                  </w:r>
                  <w:r>
                    <w:rPr>
                      <w:rStyle w:val="134"/>
                      <w:rFonts w:hint="eastAsia" w:asciiTheme="minorEastAsia" w:hAnsiTheme="minorEastAsia" w:eastAsiaTheme="minorEastAsia" w:cstheme="minorEastAsia"/>
                      <w:sz w:val="24"/>
                      <w:szCs w:val="24"/>
                      <w:lang w:val="en-US" w:eastAsia="zh-CN" w:bidi="ar"/>
                    </w:rPr>
                    <w:t>投标价</w:t>
                  </w:r>
                  <w:r>
                    <w:rPr>
                      <w:rFonts w:hint="eastAsia" w:asciiTheme="minorEastAsia" w:hAnsiTheme="minorEastAsia" w:eastAsiaTheme="minorEastAsia" w:cstheme="minorEastAsia"/>
                      <w:i w:val="0"/>
                      <w:iCs w:val="0"/>
                      <w:color w:val="000000"/>
                      <w:kern w:val="0"/>
                      <w:sz w:val="24"/>
                      <w:szCs w:val="24"/>
                      <w:u w:val="none"/>
                      <w:lang w:val="en-US" w:eastAsia="zh-CN" w:bidi="ar"/>
                    </w:rPr>
                    <w:t>,剔除可抵扣的增值税进项税额</w:t>
                  </w:r>
                  <w:r>
                    <w:rPr>
                      <w:rStyle w:val="134"/>
                      <w:rFonts w:hint="eastAsia" w:asciiTheme="minorEastAsia" w:hAnsiTheme="minorEastAsia" w:eastAsiaTheme="minorEastAsia" w:cstheme="minorEastAsia"/>
                      <w:sz w:val="24"/>
                      <w:szCs w:val="24"/>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3）评标基准价：取所有有效评标价的算术平均值。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4）价格分计算：按照以下公式计算，并精确到小数点后两位：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价格得分=(1-A*│1－该投标人的评标价／评标基准价│)*40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869"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both"/>
                    <w:textAlignment w:val="bottom"/>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A：价格调整系数，当该投标人的评标价低于评标基准价时，A=0.3；当该投标人的评标价高于评标基准价时，A=1；当价格得分&lt;0时，取0。</w:t>
                  </w:r>
                </w:p>
              </w:tc>
            </w:tr>
          </w:tbl>
          <w:p>
            <w:pPr>
              <w:spacing w:line="320" w:lineRule="exact"/>
              <w:rPr>
                <w:rFonts w:asciiTheme="minorEastAsia" w:hAnsiTheme="minorEastAsia" w:eastAsiaTheme="minorEastAsia"/>
                <w:snapToGrid w:val="0"/>
                <w:color w:val="auto"/>
                <w:sz w:val="24"/>
              </w:rPr>
            </w:pPr>
          </w:p>
        </w:tc>
        <w:tc>
          <w:tcPr>
            <w:tcW w:w="992" w:type="dxa"/>
            <w:vAlign w:val="center"/>
          </w:tcPr>
          <w:p>
            <w:pPr>
              <w:widowControl/>
              <w:spacing w:line="320" w:lineRule="exact"/>
              <w:jc w:val="center"/>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lang w:val="en-US" w:eastAsia="zh-CN"/>
              </w:rPr>
              <w:t>4</w:t>
            </w:r>
            <w:r>
              <w:rPr>
                <w:rFonts w:asciiTheme="minorEastAsia" w:hAnsiTheme="minorEastAsia" w:eastAsiaTheme="minorEastAsia"/>
                <w:color w:val="auto"/>
                <w:kern w:val="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（4</w:t>
            </w:r>
            <w:r>
              <w:rPr>
                <w:rFonts w:hint="eastAsia" w:asciiTheme="minorEastAsia" w:hAnsiTheme="minorEastAsia" w:eastAsiaTheme="minorEastAsia"/>
                <w:color w:val="auto"/>
                <w:kern w:val="0"/>
                <w:sz w:val="24"/>
                <w:lang w:val="en-US" w:eastAsia="zh-CN"/>
              </w:rPr>
              <w:t>0</w:t>
            </w:r>
            <w:r>
              <w:rPr>
                <w:rFonts w:asciiTheme="minorEastAsia" w:hAnsiTheme="minorEastAsia" w:eastAsiaTheme="minorEastAsia"/>
                <w:color w:val="auto"/>
                <w:kern w:val="0"/>
                <w:sz w:val="24"/>
              </w:rPr>
              <w:t>）</w:t>
            </w:r>
          </w:p>
        </w:tc>
        <w:tc>
          <w:tcPr>
            <w:tcW w:w="6454" w:type="dxa"/>
            <w:vAlign w:val="center"/>
          </w:tcPr>
          <w:p>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满足技术需求书要求，对项目工作目标和内容理解充分，</w:t>
            </w:r>
            <w:r>
              <w:rPr>
                <w:rFonts w:cs="Arial" w:asciiTheme="minorEastAsia" w:hAnsiTheme="minorEastAsia" w:eastAsiaTheme="minorEastAsia"/>
                <w:color w:val="auto"/>
                <w:sz w:val="24"/>
              </w:rPr>
              <w:t>内容全面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，与本项目需求契合度</w:t>
            </w:r>
            <w:r>
              <w:rPr>
                <w:rFonts w:hint="eastAsia" w:cs="Arial" w:asciiTheme="minorEastAsia" w:hAnsiTheme="minorEastAsia" w:eastAsiaTheme="minorEastAsia"/>
                <w:color w:val="auto"/>
                <w:sz w:val="24"/>
                <w:lang w:val="en-US" w:eastAsia="zh-CN"/>
              </w:rPr>
              <w:t>高</w:t>
            </w:r>
            <w:r>
              <w:rPr>
                <w:rFonts w:hint="eastAsia" w:cs="Arial" w:asciiTheme="minorEastAsia" w:hAnsiTheme="minorEastAsia" w:eastAsiaTheme="minorEastAsia"/>
                <w:color w:val="auto"/>
                <w:sz w:val="24"/>
              </w:rPr>
              <w:t>，方案完整</w:t>
            </w:r>
            <w:r>
              <w:rPr>
                <w:rFonts w:hint="eastAsia" w:cs="Arial" w:asciiTheme="minorEastAsia" w:hAnsiTheme="minorEastAsia" w:eastAsiaTheme="minorEastAsia"/>
                <w:color w:val="auto"/>
                <w:sz w:val="24"/>
                <w:lang w:eastAsia="zh-CN"/>
              </w:rPr>
              <w:t>，</w:t>
            </w:r>
            <w:r>
              <w:rPr>
                <w:rFonts w:hint="eastAsia" w:cs="Arial" w:asciiTheme="minorEastAsia" w:hAnsiTheme="minorEastAsia" w:eastAsiaTheme="minorEastAsia"/>
                <w:color w:val="auto"/>
                <w:sz w:val="24"/>
                <w:lang w:val="en-US" w:eastAsia="zh-CN"/>
              </w:rPr>
              <w:t>能快速高效完成项目需求，</w:t>
            </w:r>
            <w:r>
              <w:rPr>
                <w:rFonts w:hint="eastAsia" w:cs="Arial" w:asciiTheme="minorEastAsia" w:hAnsiTheme="minorEastAsia" w:eastAsiaTheme="minorEastAsia"/>
                <w:color w:val="auto"/>
                <w:sz w:val="24"/>
              </w:rPr>
              <w:t>得</w:t>
            </w:r>
            <w:r>
              <w:rPr>
                <w:rFonts w:cs="Arial" w:asciiTheme="minorEastAsia" w:hAnsiTheme="minorEastAsia" w:eastAsiaTheme="minorEastAsia"/>
                <w:color w:val="auto"/>
                <w:sz w:val="24"/>
              </w:rPr>
              <w:t>1</w:t>
            </w:r>
            <w:r>
              <w:rPr>
                <w:rFonts w:hint="eastAsia" w:cs="Arial" w:asciiTheme="minorEastAsia" w:hAnsiTheme="minorEastAsia" w:eastAsiaTheme="minorEastAsia"/>
                <w:color w:val="auto"/>
                <w:sz w:val="24"/>
                <w:lang w:val="en-US" w:eastAsia="zh-CN"/>
              </w:rPr>
              <w:t>6</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2</w:t>
            </w:r>
            <w:r>
              <w:rPr>
                <w:rFonts w:hint="eastAsia" w:cs="Arial" w:asciiTheme="minorEastAsia" w:hAnsiTheme="minorEastAsia" w:eastAsiaTheme="minorEastAsia"/>
                <w:color w:val="auto"/>
                <w:sz w:val="24"/>
                <w:lang w:val="en-US" w:eastAsia="zh-CN"/>
              </w:rPr>
              <w:t>0</w:t>
            </w:r>
            <w:r>
              <w:rPr>
                <w:rFonts w:hint="eastAsia" w:cs="Arial" w:asciiTheme="minorEastAsia" w:hAnsiTheme="minorEastAsia" w:eastAsiaTheme="minorEastAsia"/>
                <w:color w:val="auto"/>
                <w:sz w:val="24"/>
              </w:rPr>
              <w:t>分；</w:t>
            </w:r>
          </w:p>
          <w:p>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基本满足技术需求书要求，对项目工作目标和内容理解较充分，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性较好</w:t>
            </w:r>
            <w:r>
              <w:rPr>
                <w:rFonts w:cs="Arial" w:asciiTheme="minorEastAsia" w:hAnsiTheme="minorEastAsia" w:eastAsiaTheme="minorEastAsia"/>
                <w:color w:val="auto"/>
                <w:sz w:val="24"/>
              </w:rPr>
              <w:t>，</w:t>
            </w:r>
            <w:r>
              <w:rPr>
                <w:rFonts w:hint="eastAsia" w:cs="Arial" w:asciiTheme="minorEastAsia" w:hAnsiTheme="minorEastAsia" w:eastAsiaTheme="minorEastAsia"/>
                <w:color w:val="auto"/>
                <w:sz w:val="24"/>
              </w:rPr>
              <w:t>能</w:t>
            </w:r>
            <w:r>
              <w:rPr>
                <w:rFonts w:hint="eastAsia" w:cs="Arial" w:asciiTheme="minorEastAsia" w:hAnsiTheme="minorEastAsia" w:eastAsiaTheme="minorEastAsia"/>
                <w:color w:val="auto"/>
                <w:sz w:val="24"/>
                <w:lang w:val="en-US" w:eastAsia="zh-CN"/>
              </w:rPr>
              <w:t>较好的完成项目需求</w:t>
            </w:r>
            <w:r>
              <w:rPr>
                <w:rFonts w:hint="eastAsia" w:cs="Arial" w:asciiTheme="minorEastAsia" w:hAnsiTheme="minorEastAsia" w:eastAsiaTheme="minorEastAsia"/>
                <w:color w:val="auto"/>
                <w:sz w:val="24"/>
              </w:rPr>
              <w:t>，</w:t>
            </w:r>
            <w:r>
              <w:rPr>
                <w:rFonts w:hint="eastAsia" w:cs="Arial" w:asciiTheme="minorEastAsia" w:hAnsiTheme="minorEastAsia" w:eastAsiaTheme="minorEastAsia"/>
                <w:color w:val="auto"/>
                <w:sz w:val="24"/>
                <w:lang w:val="en-US" w:eastAsia="zh-CN"/>
              </w:rPr>
              <w:t>服务方案</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，得</w:t>
            </w:r>
            <w:r>
              <w:rPr>
                <w:rFonts w:cs="Arial" w:asciiTheme="minorEastAsia" w:hAnsiTheme="minorEastAsia" w:eastAsiaTheme="minorEastAsia"/>
                <w:color w:val="auto"/>
                <w:sz w:val="24"/>
              </w:rPr>
              <w:t>9</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1</w:t>
            </w:r>
            <w:r>
              <w:rPr>
                <w:rFonts w:hint="eastAsia" w:cs="Arial" w:asciiTheme="minorEastAsia" w:hAnsiTheme="minorEastAsia" w:eastAsiaTheme="minorEastAsia"/>
                <w:color w:val="auto"/>
                <w:sz w:val="24"/>
                <w:lang w:val="en-US" w:eastAsia="zh-CN"/>
              </w:rPr>
              <w:t>5</w:t>
            </w:r>
            <w:r>
              <w:rPr>
                <w:rFonts w:hint="eastAsia" w:cs="Arial" w:asciiTheme="minorEastAsia" w:hAnsiTheme="minorEastAsia" w:eastAsiaTheme="minorEastAsia"/>
                <w:color w:val="auto"/>
                <w:sz w:val="24"/>
              </w:rPr>
              <w:t>分；</w:t>
            </w:r>
          </w:p>
          <w:p>
            <w:pPr>
              <w:spacing w:line="320" w:lineRule="exact"/>
              <w:rPr>
                <w:rFonts w:asciiTheme="minorEastAsia" w:hAnsiTheme="minorEastAsia" w:eastAsiaTheme="minorEastAsia"/>
                <w:color w:val="auto"/>
                <w:kern w:val="0"/>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不能满足技术需求书要求，对项目工作目标和内容理解不充分，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有欠缺、</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性差</w:t>
            </w:r>
            <w:r>
              <w:rPr>
                <w:rFonts w:cs="Arial" w:asciiTheme="minorEastAsia" w:hAnsiTheme="minorEastAsia" w:eastAsiaTheme="minorEastAsia"/>
                <w:color w:val="auto"/>
                <w:sz w:val="24"/>
              </w:rPr>
              <w:t>，</w:t>
            </w:r>
            <w:r>
              <w:rPr>
                <w:rFonts w:hint="eastAsia" w:cs="Arial" w:asciiTheme="minorEastAsia" w:hAnsiTheme="minorEastAsia" w:eastAsiaTheme="minorEastAsia"/>
                <w:color w:val="auto"/>
                <w:sz w:val="24"/>
                <w:lang w:val="en-US" w:eastAsia="zh-CN"/>
              </w:rPr>
              <w:t>服务方案</w:t>
            </w:r>
            <w:r>
              <w:rPr>
                <w:rFonts w:hint="eastAsia" w:cs="Arial" w:asciiTheme="minorEastAsia" w:hAnsiTheme="minorEastAsia" w:eastAsiaTheme="minorEastAsia"/>
                <w:color w:val="auto"/>
                <w:sz w:val="24"/>
              </w:rPr>
              <w:t>不</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，不能快速承接现有项目</w:t>
            </w:r>
            <w:r>
              <w:rPr>
                <w:rFonts w:hint="eastAsia" w:cs="Arial" w:asciiTheme="minorEastAsia" w:hAnsiTheme="minorEastAsia" w:eastAsiaTheme="minorEastAsia"/>
                <w:color w:val="auto"/>
                <w:sz w:val="24"/>
                <w:lang w:val="en-US" w:eastAsia="zh-CN"/>
              </w:rPr>
              <w:t>需求</w:t>
            </w:r>
            <w:r>
              <w:rPr>
                <w:rFonts w:hint="eastAsia" w:cs="Arial" w:asciiTheme="minorEastAsia" w:hAnsiTheme="minorEastAsia" w:eastAsiaTheme="minorEastAsia"/>
                <w:color w:val="auto"/>
                <w:sz w:val="24"/>
              </w:rPr>
              <w:t>，得0-</w:t>
            </w:r>
            <w:r>
              <w:rPr>
                <w:rFonts w:cs="Arial" w:asciiTheme="minorEastAsia" w:hAnsiTheme="minorEastAsia" w:eastAsiaTheme="minorEastAsia"/>
                <w:color w:val="auto"/>
                <w:sz w:val="24"/>
              </w:rPr>
              <w:t>8</w:t>
            </w:r>
            <w:r>
              <w:rPr>
                <w:rFonts w:hint="eastAsia" w:cs="Arial" w:asciiTheme="minorEastAsia" w:hAnsiTheme="minorEastAsia" w:eastAsiaTheme="minorEastAsia"/>
                <w:color w:val="auto"/>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cs="Arial" w:asciiTheme="minorEastAsia" w:hAnsiTheme="minorEastAsia" w:eastAsiaTheme="minorEastAsia"/>
                <w:color w:val="auto"/>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asciiTheme="minorEastAsia" w:hAnsiTheme="minorEastAsia" w:eastAsiaTheme="minorEastAsia"/>
                <w:color w:val="auto"/>
                <w:sz w:val="24"/>
              </w:rPr>
            </w:pPr>
            <w:r>
              <w:rPr>
                <w:rFonts w:hint="eastAsia" w:asciiTheme="minorEastAsia" w:hAnsiTheme="minorEastAsia" w:eastAsiaTheme="minorEastAsia"/>
                <w:snapToGrid w:val="0"/>
                <w:color w:val="auto"/>
                <w:sz w:val="24"/>
              </w:rPr>
              <w:t>项目团队对需求的响应程度高，项目团队人员配备合理，职责分工明确，团队人员工作年限、技术能力、综合素质</w:t>
            </w:r>
            <w:r>
              <w:rPr>
                <w:rFonts w:hint="eastAsia" w:asciiTheme="minorEastAsia" w:hAnsiTheme="minorEastAsia" w:eastAsiaTheme="minorEastAsia"/>
                <w:color w:val="auto"/>
                <w:sz w:val="24"/>
              </w:rPr>
              <w:t>等，评价</w:t>
            </w:r>
            <w:r>
              <w:rPr>
                <w:rFonts w:asciiTheme="minorEastAsia" w:hAnsiTheme="minorEastAsia" w:eastAsiaTheme="minorEastAsia"/>
                <w:color w:val="auto"/>
                <w:sz w:val="24"/>
              </w:rPr>
              <w:t>优的</w:t>
            </w:r>
            <w:r>
              <w:rPr>
                <w:rFonts w:hint="eastAsia" w:asciiTheme="minorEastAsia" w:hAnsiTheme="minorEastAsia" w:eastAsiaTheme="minorEastAsia"/>
                <w:color w:val="auto"/>
                <w:sz w:val="24"/>
              </w:rPr>
              <w:t>得1</w:t>
            </w:r>
            <w:r>
              <w:rPr>
                <w:rFonts w:asciiTheme="minorEastAsia" w:hAnsiTheme="minorEastAsia" w:eastAsiaTheme="minorEastAsia"/>
                <w:color w:val="auto"/>
                <w:sz w:val="24"/>
              </w:rPr>
              <w:t>0</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15</w:t>
            </w:r>
            <w:r>
              <w:rPr>
                <w:rFonts w:hint="eastAsia" w:asciiTheme="minorEastAsia" w:hAnsiTheme="minorEastAsia" w:eastAsiaTheme="minorEastAsia"/>
                <w:color w:val="auto"/>
                <w:sz w:val="24"/>
              </w:rPr>
              <w:t>分；</w:t>
            </w:r>
          </w:p>
          <w:p>
            <w:pPr>
              <w:spacing w:line="320" w:lineRule="exact"/>
              <w:rPr>
                <w:rFonts w:asciiTheme="minorEastAsia" w:hAnsiTheme="minorEastAsia" w:eastAsiaTheme="minorEastAsia"/>
                <w:color w:val="auto"/>
                <w:sz w:val="24"/>
              </w:rPr>
            </w:pPr>
            <w:r>
              <w:rPr>
                <w:rFonts w:hint="eastAsia" w:asciiTheme="minorEastAsia" w:hAnsiTheme="minorEastAsia" w:eastAsiaTheme="minorEastAsia"/>
                <w:snapToGrid w:val="0"/>
                <w:color w:val="auto"/>
                <w:sz w:val="24"/>
              </w:rPr>
              <w:t>项目团队对需求的响应程度较高，项目团队人员配备合理，职责分工明确，团队人员工作年限、技术能力、综合素质</w:t>
            </w:r>
            <w:r>
              <w:rPr>
                <w:rFonts w:hint="eastAsia" w:asciiTheme="minorEastAsia" w:hAnsiTheme="minorEastAsia" w:eastAsiaTheme="minorEastAsia"/>
                <w:color w:val="auto"/>
                <w:sz w:val="24"/>
              </w:rPr>
              <w:t>等，评价良</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得</w:t>
            </w:r>
            <w:r>
              <w:rPr>
                <w:rFonts w:asciiTheme="minorEastAsia" w:hAnsiTheme="minorEastAsia" w:eastAsiaTheme="minorEastAsia"/>
                <w:color w:val="auto"/>
                <w:sz w:val="24"/>
              </w:rPr>
              <w:t>5</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9</w:t>
            </w:r>
            <w:r>
              <w:rPr>
                <w:rFonts w:hint="eastAsia" w:asciiTheme="minorEastAsia" w:hAnsiTheme="minorEastAsia" w:eastAsiaTheme="minorEastAsia"/>
                <w:color w:val="auto"/>
                <w:sz w:val="24"/>
              </w:rPr>
              <w:t>分；</w:t>
            </w:r>
          </w:p>
          <w:p>
            <w:pPr>
              <w:spacing w:line="320" w:lineRule="exact"/>
              <w:rPr>
                <w:rFonts w:asciiTheme="minorEastAsia" w:hAnsiTheme="minorEastAsia" w:eastAsiaTheme="minorEastAsia"/>
                <w:color w:val="auto"/>
                <w:kern w:val="0"/>
                <w:sz w:val="24"/>
              </w:rPr>
            </w:pPr>
            <w:r>
              <w:rPr>
                <w:rFonts w:hint="eastAsia" w:asciiTheme="minorEastAsia" w:hAnsiTheme="minorEastAsia" w:eastAsiaTheme="minorEastAsia"/>
                <w:snapToGrid w:val="0"/>
                <w:color w:val="auto"/>
                <w:sz w:val="24"/>
              </w:rPr>
              <w:t>项目团队对需求的响应程度一般，项目团队人员配备合理，职责分工明确，团队人员工作年限、技术能力、综合素质</w:t>
            </w:r>
            <w:r>
              <w:rPr>
                <w:rFonts w:hint="eastAsia" w:asciiTheme="minorEastAsia" w:hAnsiTheme="minorEastAsia" w:eastAsiaTheme="minorEastAsia"/>
                <w:color w:val="auto"/>
                <w:sz w:val="24"/>
              </w:rPr>
              <w:t>等，评价一般</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得</w:t>
            </w:r>
            <w:r>
              <w:rPr>
                <w:rFonts w:asciiTheme="minorEastAsia" w:hAnsiTheme="minorEastAsia" w:eastAsiaTheme="minorEastAsia"/>
                <w:color w:val="auto"/>
                <w:sz w:val="24"/>
              </w:rPr>
              <w:t>0</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4</w:t>
            </w:r>
            <w:r>
              <w:rPr>
                <w:rFonts w:hint="eastAsia" w:asciiTheme="minorEastAsia" w:hAnsiTheme="minorEastAsia" w:eastAsiaTheme="minorEastAsia"/>
                <w:color w:val="auto"/>
                <w:sz w:val="24"/>
              </w:rPr>
              <w:t>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asciiTheme="minorEastAsia" w:hAnsiTheme="minorEastAsia" w:eastAsiaTheme="minorEastAsia"/>
                <w:color w:val="auto"/>
                <w:sz w:val="24"/>
                <w:highlight w:val="green"/>
              </w:rPr>
            </w:pPr>
            <w:r>
              <w:rPr>
                <w:rFonts w:hint="eastAsia" w:asciiTheme="minorEastAsia" w:hAnsiTheme="minorEastAsia" w:eastAsiaTheme="minorEastAsia"/>
                <w:color w:val="auto"/>
                <w:sz w:val="24"/>
              </w:rPr>
              <w:t>供应商近三年有成功实施案例，案例须提供合同复印件（包括合同首页、体现项目内容页、签署日期页及盖章页）或中标通知书复印件作为有效证明文件。最少有1个</w:t>
            </w:r>
            <w:r>
              <w:rPr>
                <w:rFonts w:asciiTheme="minorEastAsia" w:hAnsiTheme="minorEastAsia" w:eastAsiaTheme="minorEastAsia"/>
                <w:color w:val="auto"/>
                <w:sz w:val="24"/>
              </w:rPr>
              <w:t>得</w:t>
            </w:r>
            <w:r>
              <w:rPr>
                <w:rFonts w:hint="eastAsia" w:asciiTheme="minorEastAsia" w:hAnsiTheme="minorEastAsia" w:eastAsiaTheme="minorEastAsia"/>
                <w:color w:val="auto"/>
                <w:sz w:val="24"/>
                <w:lang w:val="en-US" w:eastAsia="zh-CN"/>
              </w:rPr>
              <w:t>1</w:t>
            </w:r>
            <w:r>
              <w:rPr>
                <w:rFonts w:asciiTheme="minorEastAsia" w:hAnsiTheme="minorEastAsia" w:eastAsiaTheme="minorEastAsia"/>
                <w:color w:val="auto"/>
                <w:sz w:val="24"/>
              </w:rPr>
              <w:t>分，每增加一个</w:t>
            </w:r>
            <w:r>
              <w:rPr>
                <w:rFonts w:hint="eastAsia" w:asciiTheme="minorEastAsia" w:hAnsiTheme="minorEastAsia" w:eastAsiaTheme="minorEastAsia"/>
                <w:color w:val="auto"/>
                <w:sz w:val="24"/>
                <w:lang w:val="en-US" w:eastAsia="zh-CN"/>
              </w:rPr>
              <w:t>加</w:t>
            </w:r>
            <w:r>
              <w:rPr>
                <w:rFonts w:asciiTheme="minorEastAsia" w:hAnsiTheme="minorEastAsia" w:eastAsiaTheme="minorEastAsia"/>
                <w:color w:val="auto"/>
                <w:sz w:val="24"/>
              </w:rPr>
              <w:t>1分，最多得5分</w:t>
            </w:r>
            <w:r>
              <w:rPr>
                <w:rFonts w:hint="eastAsia" w:asciiTheme="minorEastAsia" w:hAnsiTheme="minorEastAsia" w:eastAsiaTheme="minorEastAsia"/>
                <w:color w:val="auto"/>
                <w:sz w:val="24"/>
              </w:rPr>
              <w:t>。</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20</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供应商具有</w:t>
            </w:r>
            <w:r>
              <w:rPr>
                <w:rFonts w:hint="eastAsia" w:cs="宋体" w:asciiTheme="minorEastAsia" w:hAnsiTheme="minorEastAsia" w:eastAsiaTheme="minorEastAsia"/>
                <w:color w:val="auto"/>
                <w:kern w:val="0"/>
                <w:sz w:val="24"/>
              </w:rPr>
              <w:t>完善的人员服务体系，</w:t>
            </w:r>
            <w:r>
              <w:rPr>
                <w:rFonts w:hint="eastAsia" w:cs="Arial" w:asciiTheme="minorEastAsia" w:hAnsiTheme="minorEastAsia" w:eastAsiaTheme="minorEastAsia"/>
                <w:color w:val="auto"/>
                <w:kern w:val="0"/>
                <w:sz w:val="24"/>
              </w:rPr>
              <w:t>服务团队人员稳定、离职率低，得</w:t>
            </w:r>
            <w:r>
              <w:rPr>
                <w:rFonts w:hint="eastAsia" w:cs="Arial" w:asciiTheme="minorEastAsia" w:hAnsiTheme="minorEastAsia" w:eastAsiaTheme="minorEastAsia"/>
                <w:color w:val="auto"/>
                <w:kern w:val="0"/>
                <w:sz w:val="24"/>
                <w:lang w:val="en-US" w:eastAsia="zh-CN"/>
              </w:rPr>
              <w:t>15</w:t>
            </w:r>
            <w:r>
              <w:rPr>
                <w:rFonts w:hint="eastAsia" w:cs="Arial" w:asciiTheme="minorEastAsia" w:hAnsiTheme="minorEastAsia" w:eastAsiaTheme="minorEastAsia"/>
                <w:color w:val="auto"/>
                <w:kern w:val="0"/>
                <w:sz w:val="24"/>
              </w:rPr>
              <w:t>-</w:t>
            </w:r>
            <w:r>
              <w:rPr>
                <w:rFonts w:hint="eastAsia" w:cs="Arial" w:asciiTheme="minorEastAsia" w:hAnsiTheme="minorEastAsia" w:eastAsiaTheme="minorEastAsia"/>
                <w:color w:val="auto"/>
                <w:kern w:val="0"/>
                <w:sz w:val="24"/>
                <w:lang w:val="en-US" w:eastAsia="zh-CN"/>
              </w:rPr>
              <w:t>20</w:t>
            </w:r>
            <w:r>
              <w:rPr>
                <w:rFonts w:hint="eastAsia" w:cs="Arial" w:asciiTheme="minorEastAsia" w:hAnsiTheme="minorEastAsia" w:eastAsiaTheme="minorEastAsia"/>
                <w:color w:val="auto"/>
                <w:kern w:val="0"/>
                <w:sz w:val="24"/>
              </w:rPr>
              <w:t>分；</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w:t>
            </w:r>
            <w:r>
              <w:rPr>
                <w:rFonts w:hint="eastAsia" w:cs="宋体" w:asciiTheme="minorEastAsia" w:hAnsiTheme="minorEastAsia" w:eastAsiaTheme="minorEastAsia"/>
                <w:color w:val="auto"/>
                <w:kern w:val="0"/>
                <w:sz w:val="24"/>
              </w:rPr>
              <w:t>人员服务体系较完善</w:t>
            </w:r>
            <w:r>
              <w:rPr>
                <w:rFonts w:hint="eastAsia" w:cs="Arial" w:asciiTheme="minorEastAsia" w:hAnsiTheme="minorEastAsia" w:eastAsiaTheme="minorEastAsia"/>
                <w:color w:val="auto"/>
                <w:kern w:val="0"/>
                <w:sz w:val="24"/>
              </w:rPr>
              <w:t>，服务团队人员较稳定、离职率较低，得</w:t>
            </w:r>
            <w:r>
              <w:rPr>
                <w:rFonts w:hint="eastAsia" w:cs="Arial" w:asciiTheme="minorEastAsia" w:hAnsiTheme="minorEastAsia" w:eastAsiaTheme="minorEastAsia"/>
                <w:color w:val="auto"/>
                <w:kern w:val="0"/>
                <w:sz w:val="24"/>
                <w:lang w:val="en-US" w:eastAsia="zh-CN"/>
              </w:rPr>
              <w:t>9</w:t>
            </w:r>
            <w:r>
              <w:rPr>
                <w:rFonts w:hint="eastAsia" w:cs="Arial" w:asciiTheme="minorEastAsia" w:hAnsiTheme="minorEastAsia" w:eastAsiaTheme="minorEastAsia"/>
                <w:color w:val="auto"/>
                <w:kern w:val="0"/>
                <w:sz w:val="24"/>
              </w:rPr>
              <w:t>-</w:t>
            </w:r>
            <w:r>
              <w:rPr>
                <w:rFonts w:hint="eastAsia" w:cs="Arial" w:asciiTheme="minorEastAsia" w:hAnsiTheme="minorEastAsia" w:eastAsiaTheme="minorEastAsia"/>
                <w:color w:val="auto"/>
                <w:kern w:val="0"/>
                <w:sz w:val="24"/>
                <w:lang w:val="en-US" w:eastAsia="zh-CN"/>
              </w:rPr>
              <w:t>14</w:t>
            </w:r>
            <w:r>
              <w:rPr>
                <w:rFonts w:hint="eastAsia" w:cs="Arial" w:asciiTheme="minorEastAsia" w:hAnsiTheme="minorEastAsia" w:eastAsiaTheme="minorEastAsia"/>
                <w:color w:val="auto"/>
                <w:kern w:val="0"/>
                <w:sz w:val="24"/>
              </w:rPr>
              <w:t>分；</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w:t>
            </w:r>
            <w:r>
              <w:rPr>
                <w:rFonts w:hint="eastAsia" w:cs="宋体" w:asciiTheme="minorEastAsia" w:hAnsiTheme="minorEastAsia" w:eastAsiaTheme="minorEastAsia"/>
                <w:color w:val="auto"/>
                <w:kern w:val="0"/>
                <w:sz w:val="24"/>
              </w:rPr>
              <w:t>人员服务体系</w:t>
            </w:r>
            <w:r>
              <w:rPr>
                <w:rFonts w:hint="eastAsia" w:cs="Arial" w:asciiTheme="minorEastAsia" w:hAnsiTheme="minorEastAsia" w:eastAsiaTheme="minorEastAsia"/>
                <w:color w:val="auto"/>
                <w:kern w:val="0"/>
                <w:sz w:val="24"/>
              </w:rPr>
              <w:t>较差，服务团队人员稳定性差、离职率高，得0-</w:t>
            </w:r>
            <w:r>
              <w:rPr>
                <w:rFonts w:hint="eastAsia" w:cs="Arial" w:asciiTheme="minorEastAsia" w:hAnsiTheme="minorEastAsia" w:eastAsiaTheme="minorEastAsia"/>
                <w:color w:val="auto"/>
                <w:kern w:val="0"/>
                <w:sz w:val="24"/>
                <w:lang w:val="en-US" w:eastAsia="zh-CN"/>
              </w:rPr>
              <w:t>8</w:t>
            </w:r>
            <w:r>
              <w:rPr>
                <w:rFonts w:hint="eastAsia" w:cs="Arial" w:asciiTheme="minorEastAsia" w:hAnsiTheme="minorEastAsia" w:eastAsiaTheme="minorEastAsia"/>
                <w:color w:val="auto"/>
                <w:kern w:val="0"/>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份）准</w:t>
      </w:r>
      <w:r>
        <w:rPr>
          <w:rFonts w:hint="eastAsia" w:ascii="宋体" w:hAnsi="宋体" w:cs="宋体"/>
          <w:kern w:val="0"/>
          <w:sz w:val="24"/>
          <w:szCs w:val="24"/>
        </w:rPr>
        <w:t>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5</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日</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 xml:space="preserve">秭归县茅坪镇平湖大道53号 </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秭归支公司二楼小</w:t>
      </w:r>
      <w:r>
        <w:rPr>
          <w:rFonts w:hint="eastAsia" w:ascii="宋体" w:hAnsi="宋体" w:cs="宋体"/>
          <w:color w:val="FF0000"/>
          <w:kern w:val="0"/>
          <w:sz w:val="24"/>
          <w:szCs w:val="24"/>
        </w:rPr>
        <w:t>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pPr w:leftFromText="180" w:rightFromText="180" w:vertAnchor="text" w:horzAnchor="page" w:tblpX="1033" w:tblpY="65"/>
        <w:tblOverlap w:val="never"/>
        <w:tblW w:w="9778"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799"/>
        <w:gridCol w:w="3677"/>
        <w:gridCol w:w="1599"/>
        <w:gridCol w:w="1284"/>
        <w:gridCol w:w="1419"/>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27" w:hRule="exact"/>
        </w:trPr>
        <w:tc>
          <w:tcPr>
            <w:tcW w:w="1799"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宋体" w:hAnsi="宋体" w:cs="宋体"/>
                <w:b/>
                <w:color w:val="auto"/>
                <w:sz w:val="24"/>
                <w:szCs w:val="24"/>
                <w:lang w:bidi="ar"/>
              </w:rPr>
            </w:pPr>
          </w:p>
        </w:tc>
        <w:tc>
          <w:tcPr>
            <w:tcW w:w="3677"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599"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28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1419"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327" w:hRule="exact"/>
        </w:trPr>
        <w:tc>
          <w:tcPr>
            <w:tcW w:w="1799"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240" w:firstLineChars="1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第一轮报价</w:t>
            </w:r>
          </w:p>
        </w:tc>
        <w:tc>
          <w:tcPr>
            <w:tcW w:w="3677"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599"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284"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419" w:type="dxa"/>
            <w:vMerge w:val="restart"/>
            <w:tcBorders>
              <w:top w:val="single" w:color="000000" w:sz="6" w:space="0"/>
              <w:left w:val="single" w:color="000000" w:sz="6"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43" w:hRule="exact"/>
        </w:trPr>
        <w:tc>
          <w:tcPr>
            <w:tcW w:w="1799"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第二轮报价</w:t>
            </w:r>
          </w:p>
        </w:tc>
        <w:tc>
          <w:tcPr>
            <w:tcW w:w="3677"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lang w:bidi="ar"/>
              </w:rPr>
              <w:t>（</w:t>
            </w:r>
            <w:r>
              <w:rPr>
                <w:rFonts w:hint="eastAsia" w:ascii="宋体" w:hAnsi="宋体" w:cs="宋体"/>
                <w:color w:val="auto"/>
                <w:sz w:val="24"/>
                <w:szCs w:val="24"/>
                <w:lang w:val="en-US" w:eastAsia="zh-CN" w:bidi="ar"/>
              </w:rPr>
              <w:t>小</w:t>
            </w:r>
            <w:r>
              <w:rPr>
                <w:rFonts w:hint="eastAsia" w:ascii="宋体" w:hAnsi="宋体" w:cs="宋体"/>
                <w:color w:val="auto"/>
                <w:sz w:val="24"/>
                <w:szCs w:val="24"/>
                <w:lang w:bidi="ar"/>
              </w:rPr>
              <w:t>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right w:val="single" w:color="000000" w:sz="6" w:space="0"/>
            </w:tcBorders>
            <w:vAlign w:val="center"/>
          </w:tcPr>
          <w:p>
            <w:pPr>
              <w:adjustRightInd w:val="0"/>
              <w:snapToGrid w:val="0"/>
              <w:spacing w:line="360" w:lineRule="auto"/>
              <w:rPr>
                <w:color w:val="auto"/>
                <w:sz w:val="20"/>
              </w:rPr>
            </w:pPr>
          </w:p>
        </w:tc>
        <w:tc>
          <w:tcPr>
            <w:tcW w:w="1284" w:type="dxa"/>
            <w:vMerge w:val="continue"/>
            <w:tcBorders>
              <w:left w:val="single" w:color="000000" w:sz="6" w:space="0"/>
              <w:right w:val="single" w:color="000000" w:sz="6" w:space="0"/>
            </w:tcBorders>
            <w:vAlign w:val="center"/>
          </w:tcPr>
          <w:p>
            <w:pPr>
              <w:adjustRightInd w:val="0"/>
              <w:snapToGrid w:val="0"/>
              <w:spacing w:line="360" w:lineRule="auto"/>
              <w:rPr>
                <w:color w:val="auto"/>
                <w:sz w:val="20"/>
              </w:rPr>
            </w:pPr>
          </w:p>
        </w:tc>
        <w:tc>
          <w:tcPr>
            <w:tcW w:w="1419" w:type="dxa"/>
            <w:vMerge w:val="continue"/>
            <w:tcBorders>
              <w:left w:val="single" w:color="000000" w:sz="6" w:space="0"/>
              <w:right w:val="double" w:color="auto" w:sz="4" w:space="0"/>
            </w:tcBorders>
            <w:vAlign w:val="center"/>
          </w:tcPr>
          <w:p>
            <w:pPr>
              <w:adjustRightInd w:val="0"/>
              <w:snapToGrid w:val="0"/>
              <w:spacing w:line="360" w:lineRule="auto"/>
              <w:rPr>
                <w:color w:val="auto"/>
                <w:sz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74" w:hRule="exact"/>
        </w:trPr>
        <w:tc>
          <w:tcPr>
            <w:tcW w:w="1799"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第三轮报价</w:t>
            </w:r>
          </w:p>
        </w:tc>
        <w:tc>
          <w:tcPr>
            <w:tcW w:w="3677"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284" w:type="dxa"/>
            <w:vMerge w:val="continue"/>
            <w:tcBorders>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419" w:type="dxa"/>
            <w:vMerge w:val="continue"/>
            <w:tcBorders>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附件3.1 供应商</w:t>
      </w:r>
      <w:r>
        <w:rPr>
          <w:rFonts w:hint="eastAsia" w:ascii="宋体" w:hAnsi="宋体" w:cs="宋体"/>
          <w:color w:val="auto"/>
          <w:kern w:val="0"/>
          <w:sz w:val="24"/>
          <w:szCs w:val="24"/>
          <w:lang w:val="en-US" w:eastAsia="zh-CN"/>
        </w:rPr>
        <w:t>基本情况表</w:t>
      </w: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附件3.2 年度财务</w:t>
      </w:r>
      <w:r>
        <w:rPr>
          <w:rFonts w:hint="eastAsia" w:ascii="宋体" w:hAnsi="宋体" w:cs="宋体"/>
          <w:color w:val="auto"/>
          <w:kern w:val="0"/>
          <w:sz w:val="24"/>
          <w:szCs w:val="24"/>
          <w:lang w:val="en-US" w:eastAsia="zh-CN"/>
        </w:rPr>
        <w:t>报表：资产负债表、利润表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 xml:space="preserve"> 法人营业执照</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法人身份证</w:t>
      </w:r>
      <w:r>
        <w:rPr>
          <w:rFonts w:hint="eastAsia" w:ascii="宋体" w:hAnsi="宋体" w:cs="宋体"/>
          <w:color w:val="auto"/>
          <w:kern w:val="0"/>
          <w:sz w:val="24"/>
          <w:szCs w:val="24"/>
        </w:rPr>
        <w:t>（复印件）</w:t>
      </w: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hint="eastAsia"/>
          <w:color w:val="auto"/>
          <w:sz w:val="24"/>
          <w:szCs w:val="24"/>
        </w:rPr>
        <w:t>依法缴纳税收的</w:t>
      </w:r>
      <w:r>
        <w:rPr>
          <w:rFonts w:hint="eastAsia"/>
          <w:color w:val="auto"/>
          <w:sz w:val="24"/>
          <w:szCs w:val="24"/>
          <w:lang w:val="en-US" w:eastAsia="zh-CN"/>
        </w:rPr>
        <w:t>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5</w:t>
      </w:r>
      <w:r>
        <w:rPr>
          <w:rFonts w:ascii="宋体" w:hAnsi="宋体" w:cs="宋体"/>
          <w:color w:val="auto"/>
          <w:kern w:val="0"/>
          <w:sz w:val="24"/>
          <w:szCs w:val="24"/>
        </w:rPr>
        <w:t xml:space="preserve"> </w:t>
      </w:r>
      <w:r>
        <w:rPr>
          <w:rFonts w:hint="eastAsia"/>
          <w:color w:val="auto"/>
          <w:sz w:val="24"/>
          <w:szCs w:val="24"/>
        </w:rPr>
        <w:t>已完成类似项目一览表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6</w:t>
      </w:r>
      <w:r>
        <w:rPr>
          <w:rFonts w:ascii="宋体" w:hAnsi="宋体" w:cs="宋体"/>
          <w:color w:val="auto"/>
          <w:kern w:val="0"/>
          <w:sz w:val="24"/>
          <w:szCs w:val="24"/>
        </w:rPr>
        <w:t xml:space="preserve"> </w:t>
      </w:r>
      <w:r>
        <w:rPr>
          <w:rFonts w:hint="eastAsia" w:ascii="Calibri Light" w:hAnsi="Calibri Light"/>
          <w:color w:val="auto"/>
          <w:sz w:val="24"/>
          <w:szCs w:val="24"/>
        </w:rPr>
        <w:t>提供书面声明函</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年度财务</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报表：资产负债表、利润表等</w:t>
      </w:r>
    </w:p>
    <w:p>
      <w:pPr>
        <w:pStyle w:val="4"/>
        <w:numPr>
          <w:ilvl w:val="0"/>
          <w:numId w:val="0"/>
        </w:numPr>
        <w:adjustRightInd w:val="0"/>
        <w:snapToGrid w:val="0"/>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3 </w:t>
      </w:r>
      <w:r>
        <w:rPr>
          <w:rFonts w:hint="eastAsia"/>
          <w:color w:val="000000" w:themeColor="text1"/>
          <w:sz w:val="24"/>
          <w:szCs w:val="24"/>
          <w14:textFill>
            <w14:solidFill>
              <w14:schemeClr w14:val="tx1"/>
            </w14:solidFill>
          </w14:textFill>
        </w:rPr>
        <w:t>法人营业执照</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法人身份证</w:t>
      </w:r>
      <w:r>
        <w:rPr>
          <w:rFonts w:hint="eastAsia"/>
          <w:color w:val="000000" w:themeColor="text1"/>
          <w:sz w:val="24"/>
          <w:szCs w:val="24"/>
          <w14:textFill>
            <w14:solidFill>
              <w14:schemeClr w14:val="tx1"/>
            </w14:solidFill>
          </w14:textFill>
        </w:rPr>
        <w:t>（复印件）</w:t>
      </w:r>
    </w:p>
    <w:p>
      <w:pPr>
        <w:pStyle w:val="4"/>
        <w:numPr>
          <w:ilvl w:val="0"/>
          <w:numId w:val="0"/>
        </w:numPr>
        <w:adjustRightInd w:val="0"/>
        <w:snapToGrid w:val="0"/>
        <w:spacing w:before="0" w:after="0" w:line="360" w:lineRule="auto"/>
        <w:rPr>
          <w:rFonts w:hint="eastAsia"/>
          <w:b w:val="0"/>
          <w:sz w:val="24"/>
          <w:szCs w:val="24"/>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.4 </w:t>
      </w:r>
      <w:r>
        <w:rPr>
          <w:rFonts w:hint="eastAsia"/>
          <w:color w:val="000000" w:themeColor="text1"/>
          <w:sz w:val="24"/>
          <w:szCs w:val="24"/>
          <w14:textFill>
            <w14:solidFill>
              <w14:schemeClr w14:val="tx1"/>
            </w14:solidFill>
          </w14:textFill>
        </w:rPr>
        <w:t>依法缴纳税收的相关材料：</w:t>
      </w:r>
      <w:r>
        <w:rPr>
          <w:color w:val="000000" w:themeColor="text1"/>
          <w:sz w:val="24"/>
          <w:szCs w:val="24"/>
          <w14:textFill>
            <w14:solidFill>
              <w14:schemeClr w14:val="tx1"/>
            </w14:solidFill>
          </w14:textFill>
        </w:rPr>
        <w:br w:type="textWrapping"/>
      </w:r>
      <w:r>
        <w:rPr>
          <w:rFonts w:hint="eastAsia"/>
          <w:b w:val="0"/>
          <w:color w:val="000000" w:themeColor="text1"/>
          <w:sz w:val="24"/>
          <w:szCs w:val="24"/>
          <w14:textFill>
            <w14:solidFill>
              <w14:schemeClr w14:val="tx1"/>
            </w14:solidFill>
          </w14:textFill>
        </w:rPr>
        <w:t>磋商当日前6个月内任意一月缴纳税收的凭证复印件；</w:t>
      </w:r>
      <w:r>
        <w:rPr>
          <w:b w:val="0"/>
          <w:color w:val="FF0000"/>
          <w:sz w:val="24"/>
          <w:szCs w:val="24"/>
        </w:rPr>
        <w:br w:type="textWrapping"/>
      </w:r>
      <w:r>
        <w:rPr>
          <w:rFonts w:hint="eastAsia"/>
          <w:b w:val="0"/>
          <w:sz w:val="24"/>
          <w:szCs w:val="24"/>
        </w:rPr>
        <w:t>缴纳凭证复印件须清晰可辨，并能显示出税种种类，单位代扣代缴的个人所得税不能作为单位纳税的凭证；</w:t>
      </w:r>
    </w:p>
    <w:p>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pPr>
        <w:widowControl/>
        <w:jc w:val="left"/>
        <w:rPr>
          <w:rFonts w:hint="eastAsia"/>
          <w:b/>
          <w:bCs/>
          <w:sz w:val="24"/>
          <w:szCs w:val="24"/>
        </w:rPr>
      </w:pPr>
      <w:r>
        <w:rPr>
          <w:rFonts w:hint="eastAsia"/>
          <w:b/>
          <w:bCs/>
          <w:sz w:val="24"/>
          <w:szCs w:val="24"/>
        </w:rPr>
        <w:t>附件3.</w:t>
      </w:r>
      <w:r>
        <w:rPr>
          <w:rFonts w:hint="eastAsia"/>
          <w:b/>
          <w:bCs/>
          <w:sz w:val="24"/>
          <w:szCs w:val="24"/>
          <w:lang w:val="en-US" w:eastAsia="zh-CN"/>
        </w:rPr>
        <w:t>5</w:t>
      </w:r>
      <w:r>
        <w:rPr>
          <w:b/>
          <w:bCs/>
          <w:sz w:val="24"/>
          <w:szCs w:val="24"/>
        </w:rPr>
        <w:t xml:space="preserve"> </w:t>
      </w:r>
      <w:r>
        <w:rPr>
          <w:rFonts w:hint="eastAsia"/>
          <w:b/>
          <w:bCs/>
          <w:sz w:val="24"/>
          <w:szCs w:val="24"/>
        </w:rPr>
        <w:t>已完成类似项目一览表（格式）</w:t>
      </w:r>
    </w:p>
    <w:p>
      <w:pPr>
        <w:widowControl/>
        <w:jc w:val="left"/>
        <w:rPr>
          <w:rFonts w:hint="eastAsia"/>
          <w:b/>
          <w:bCs/>
          <w:sz w:val="24"/>
          <w:szCs w:val="24"/>
        </w:rPr>
      </w:pP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秭归支公司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附件四：项目采购需求及服务要求</w:t>
      </w:r>
    </w:p>
    <w:p>
      <w:pPr>
        <w:pStyle w:val="4"/>
        <w:numPr>
          <w:ilvl w:val="0"/>
          <w:numId w:val="0"/>
        </w:numPr>
        <w:adjustRightInd w:val="0"/>
        <w:snapToGrid w:val="0"/>
        <w:spacing w:before="0" w:after="0" w:line="360" w:lineRule="auto"/>
        <w:rPr>
          <w:rFonts w:hint="eastAsia" w:ascii="宋体" w:hAnsi="宋体" w:eastAsia="宋体" w:cs="宋体"/>
          <w:kern w:val="0"/>
          <w:sz w:val="24"/>
          <w:szCs w:val="24"/>
          <w:lang w:bidi="ar"/>
        </w:rPr>
      </w:pPr>
      <w:r>
        <w:rPr>
          <w:rFonts w:hint="eastAsia"/>
          <w:sz w:val="24"/>
          <w:szCs w:val="24"/>
        </w:rPr>
        <w:t>附件4.1</w:t>
      </w:r>
      <w:r>
        <w:rPr>
          <w:sz w:val="24"/>
          <w:szCs w:val="24"/>
        </w:rPr>
        <w:t xml:space="preserve"> </w:t>
      </w:r>
      <w:r>
        <w:rPr>
          <w:rFonts w:hint="eastAsia"/>
          <w:sz w:val="24"/>
          <w:szCs w:val="24"/>
        </w:rPr>
        <w:t>合同条款</w:t>
      </w:r>
      <w:bookmarkStart w:id="11" w:name="_Toc68615221"/>
      <w:bookmarkStart w:id="12" w:name="_Toc169079576"/>
      <w:bookmarkStart w:id="13" w:name="_Toc104714603"/>
    </w:p>
    <w:p>
      <w:pPr>
        <w:keepNext w:val="0"/>
        <w:keepLines w:val="0"/>
        <w:widowControl/>
        <w:suppressLineNumbers w:val="0"/>
        <w:spacing w:before="0" w:beforeAutospacing="1" w:after="0" w:afterAutospacing="1" w:line="600" w:lineRule="exact"/>
        <w:ind w:left="0" w:right="0" w:firstLine="3373" w:firstLineChars="1200"/>
        <w:jc w:val="both"/>
        <w:rPr>
          <w:rFonts w:hint="eastAsia" w:ascii="宋体" w:hAnsi="宋体" w:eastAsia="宋体" w:cs="宋体"/>
          <w:kern w:val="0"/>
          <w:sz w:val="24"/>
          <w:szCs w:val="24"/>
          <w:lang w:bidi="ar"/>
        </w:rPr>
      </w:pPr>
      <w:r>
        <w:rPr>
          <w:rFonts w:hint="eastAsia" w:ascii="宋体" w:hAnsi="宋体" w:eastAsia="宋体" w:cs="宋体"/>
          <w:b/>
          <w:bCs/>
          <w:kern w:val="0"/>
          <w:sz w:val="28"/>
          <w:szCs w:val="28"/>
          <w:lang w:bidi="ar"/>
        </w:rPr>
        <w:t>商务部分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第一条</w:t>
      </w:r>
      <w:r>
        <w:rPr>
          <w:rFonts w:hint="eastAsia" w:ascii="宋体" w:hAnsi="宋体" w:eastAsia="宋体" w:cs="宋体"/>
          <w:kern w:val="0"/>
          <w:sz w:val="28"/>
          <w:szCs w:val="28"/>
          <w:lang w:bidi="ar"/>
        </w:rPr>
        <w:t xml:space="preserve"> 项目内容及要求</w:t>
      </w:r>
      <w:r>
        <w:rPr>
          <w:rFonts w:hint="eastAsia" w:ascii="宋体" w:hAnsi="宋体" w:eastAsia="宋体" w:cs="宋体"/>
          <w:kern w:val="0"/>
          <w:sz w:val="28"/>
          <w:szCs w:val="28"/>
          <w:lang w:bidi="ar"/>
        </w:rPr>
        <w:br w:type="textWrapping"/>
      </w:r>
      <w:r>
        <w:rPr>
          <w:rFonts w:hint="eastAsia" w:ascii="宋体" w:hAnsi="宋体" w:eastAsia="宋体" w:cs="宋体"/>
          <w:b/>
          <w:bCs/>
          <w:kern w:val="0"/>
          <w:sz w:val="28"/>
          <w:szCs w:val="28"/>
          <w:lang w:bidi="ar"/>
        </w:rPr>
        <w:t>项目内容及要求</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第二条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合同价格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第三条</w:t>
      </w:r>
      <w:r>
        <w:rPr>
          <w:rFonts w:hint="eastAsia" w:ascii="宋体" w:hAnsi="宋体" w:eastAsia="宋体" w:cs="宋体"/>
          <w:kern w:val="0"/>
          <w:sz w:val="28"/>
          <w:szCs w:val="28"/>
          <w:lang w:bidi="ar"/>
        </w:rPr>
        <w:t xml:space="preserve"> 违约责任</w:t>
      </w:r>
      <w:r>
        <w:rPr>
          <w:rFonts w:hint="eastAsia" w:ascii="宋体" w:hAnsi="宋体" w:eastAsia="宋体" w:cs="宋体"/>
          <w:kern w:val="0"/>
          <w:sz w:val="28"/>
          <w:szCs w:val="28"/>
          <w:lang w:bidi="ar"/>
        </w:rPr>
        <w:br w:type="textWrapping"/>
      </w:r>
      <w:r>
        <w:rPr>
          <w:rFonts w:hint="eastAsia" w:ascii="宋体" w:hAnsi="宋体" w:eastAsia="宋体" w:cs="宋体"/>
          <w:b/>
          <w:bCs/>
          <w:kern w:val="0"/>
          <w:sz w:val="28"/>
          <w:szCs w:val="28"/>
          <w:lang w:bidi="ar"/>
        </w:rPr>
        <w:t>违约责任</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b/>
          <w:bCs/>
          <w:kern w:val="0"/>
          <w:sz w:val="28"/>
          <w:szCs w:val="28"/>
          <w:lang w:bidi="ar"/>
        </w:rPr>
      </w:pP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lang w:bidi="ar"/>
        </w:rPr>
      </w:pPr>
      <w:r>
        <w:rPr>
          <w:rFonts w:hint="eastAsia" w:ascii="宋体" w:hAnsi="宋体" w:eastAsia="宋体" w:cs="宋体"/>
          <w:b/>
          <w:bCs/>
          <w:kern w:val="0"/>
          <w:sz w:val="28"/>
          <w:szCs w:val="28"/>
          <w:lang w:bidi="ar"/>
        </w:rPr>
        <w:t>通用部分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第四条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甲方的权利和义务</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（1）甲方有权获得本合同项下乙方应提供的全部合格的服务；</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（2）甲方有权在合同期内对乙方的产品及服务进行监督；</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（3）乙方未按照合同约定履行义务的，甲方有权采取相应的措施；</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（4）甲方应按照合同约定向乙方支付合同价款；</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乙方的权利和义务</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（1）乙方有权获得甲方支付的合同价款；</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（2）乙方应按照合同约定向甲方提供全部合格的服务；</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（3）乙方应当按照合同约定的期限及要求完成项目内容；</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第五条</w:t>
      </w:r>
      <w:r>
        <w:rPr>
          <w:rFonts w:hint="eastAsia" w:ascii="宋体" w:hAnsi="宋体" w:eastAsia="宋体" w:cs="宋体"/>
          <w:kern w:val="0"/>
          <w:sz w:val="28"/>
          <w:szCs w:val="28"/>
          <w:lang w:bidi="ar"/>
        </w:rPr>
        <w:t xml:space="preserve"> 禁止转让</w:t>
      </w:r>
      <w:r>
        <w:rPr>
          <w:rFonts w:hint="eastAsia" w:ascii="宋体" w:hAnsi="宋体" w:eastAsia="宋体" w:cs="宋体"/>
          <w:kern w:val="0"/>
          <w:sz w:val="28"/>
          <w:szCs w:val="28"/>
          <w:lang w:bidi="ar"/>
        </w:rPr>
        <w:br w:type="textWrapping"/>
      </w:r>
      <w:r>
        <w:rPr>
          <w:rFonts w:hint="eastAsia" w:ascii="宋体" w:hAnsi="宋体" w:eastAsia="宋体" w:cs="宋体"/>
          <w:b/>
          <w:bCs/>
          <w:kern w:val="0"/>
          <w:sz w:val="28"/>
          <w:szCs w:val="28"/>
          <w:lang w:bidi="ar"/>
        </w:rPr>
        <w:t>禁止转让</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第六条</w:t>
      </w:r>
      <w:r>
        <w:rPr>
          <w:rFonts w:hint="eastAsia" w:ascii="宋体" w:hAnsi="宋体" w:eastAsia="宋体" w:cs="宋体"/>
          <w:kern w:val="0"/>
          <w:sz w:val="28"/>
          <w:szCs w:val="28"/>
          <w:lang w:bidi="ar"/>
        </w:rPr>
        <w:t xml:space="preserve"> 权利保证</w:t>
      </w:r>
      <w:r>
        <w:rPr>
          <w:rFonts w:hint="eastAsia" w:ascii="宋体" w:hAnsi="宋体" w:eastAsia="宋体" w:cs="宋体"/>
          <w:kern w:val="0"/>
          <w:sz w:val="28"/>
          <w:szCs w:val="28"/>
          <w:lang w:bidi="ar"/>
        </w:rPr>
        <w:br w:type="textWrapping"/>
      </w:r>
      <w:r>
        <w:rPr>
          <w:rFonts w:hint="eastAsia" w:ascii="宋体" w:hAnsi="宋体" w:eastAsia="宋体" w:cs="宋体"/>
          <w:b/>
          <w:bCs/>
          <w:kern w:val="0"/>
          <w:sz w:val="28"/>
          <w:szCs w:val="28"/>
          <w:lang w:bidi="ar"/>
        </w:rPr>
        <w:t>权利保证</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第七条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乙方延迟交付的违约责任</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（1）由于乙方原因造成项目延迟的，每延迟10个工作日，乙方向甲方支付违约金为合同服务费用总额的_______%。</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第八条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第九条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第十条</w:t>
      </w:r>
      <w:r>
        <w:rPr>
          <w:rFonts w:hint="eastAsia" w:ascii="宋体" w:hAnsi="宋体" w:eastAsia="宋体" w:cs="宋体"/>
          <w:kern w:val="0"/>
          <w:sz w:val="28"/>
          <w:szCs w:val="28"/>
          <w:lang w:bidi="ar"/>
        </w:rPr>
        <w:t xml:space="preserve"> 合同变更</w:t>
      </w:r>
      <w:r>
        <w:rPr>
          <w:rFonts w:hint="eastAsia" w:ascii="宋体" w:hAnsi="宋体" w:eastAsia="宋体" w:cs="宋体"/>
          <w:kern w:val="0"/>
          <w:sz w:val="28"/>
          <w:szCs w:val="28"/>
          <w:lang w:bidi="ar"/>
        </w:rPr>
        <w:br w:type="textWrapping"/>
      </w:r>
      <w:r>
        <w:rPr>
          <w:rFonts w:hint="eastAsia" w:ascii="宋体" w:hAnsi="宋体" w:eastAsia="宋体" w:cs="宋体"/>
          <w:b/>
          <w:bCs/>
          <w:kern w:val="0"/>
          <w:sz w:val="28"/>
          <w:szCs w:val="28"/>
          <w:lang w:bidi="ar"/>
        </w:rPr>
        <w:t>合同变更</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第十一条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甲乙双方同意在乙方出现下列情形时，甲方可以书面形式通知乙方（或者乙方的破产清算组或相关管理人）提出终止合同而不向其提供任何补偿：</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（1）乙方破产、解散（包括但不限于乙方股东会决议解散、乙方被吊销营业执照、被责令关闭、被撤销、被司法机关裁决解散等情形）；</w:t>
      </w:r>
      <w:r>
        <w:rPr>
          <w:rFonts w:hint="eastAsia" w:ascii="宋体" w:hAnsi="宋体" w:eastAsia="宋体" w:cs="宋体"/>
          <w:kern w:val="0"/>
          <w:sz w:val="28"/>
          <w:szCs w:val="28"/>
          <w:lang w:bidi="ar"/>
        </w:rPr>
        <w:br w:type="textWrapping"/>
      </w:r>
      <w:r>
        <w:rPr>
          <w:rFonts w:hint="eastAsia" w:ascii="宋体" w:hAnsi="宋体" w:eastAsia="宋体" w:cs="宋体"/>
          <w:kern w:val="0"/>
          <w:sz w:val="28"/>
          <w:szCs w:val="28"/>
          <w:lang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第十二条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第十三条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kern w:val="0"/>
          <w:sz w:val="28"/>
          <w:szCs w:val="28"/>
          <w:lang w:bidi="ar"/>
        </w:rPr>
        <w:t xml:space="preserve">   （七）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lang w:bidi="ar"/>
        </w:rPr>
      </w:pPr>
      <w:r>
        <w:rPr>
          <w:rFonts w:hint="eastAsia" w:ascii="宋体" w:hAnsi="宋体" w:eastAsia="宋体" w:cs="宋体"/>
          <w:b/>
          <w:bCs w:val="0"/>
          <w:kern w:val="0"/>
          <w:sz w:val="28"/>
          <w:szCs w:val="28"/>
          <w:lang w:bidi="ar"/>
        </w:rPr>
        <w:t xml:space="preserve">    第十四条</w:t>
      </w:r>
      <w:r>
        <w:rPr>
          <w:rFonts w:hint="eastAsia" w:ascii="宋体" w:hAnsi="宋体" w:eastAsia="宋体" w:cs="宋体"/>
          <w:kern w:val="0"/>
          <w:sz w:val="28"/>
          <w:szCs w:val="28"/>
          <w:lang w:bidi="ar"/>
        </w:rPr>
        <w:t xml:space="preserve"> </w:t>
      </w:r>
      <w:r>
        <w:rPr>
          <w:rFonts w:hint="eastAsia" w:ascii="宋体" w:hAnsi="宋体" w:eastAsia="宋体" w:cs="宋体"/>
          <w:b/>
          <w:bCs/>
          <w:kern w:val="0"/>
          <w:sz w:val="28"/>
          <w:szCs w:val="28"/>
          <w:lang w:bidi="ar"/>
        </w:rPr>
        <w:t>附件</w:t>
      </w:r>
    </w:p>
    <w:p>
      <w:pPr>
        <w:keepNext w:val="0"/>
        <w:keepLines w:val="0"/>
        <w:widowControl/>
        <w:suppressLineNumbers w:val="0"/>
        <w:spacing w:before="0" w:beforeAutospacing="1" w:after="0" w:afterAutospacing="1" w:line="600" w:lineRule="exact"/>
        <w:ind w:left="0" w:right="0" w:firstLine="983"/>
        <w:jc w:val="left"/>
        <w:rPr>
          <w:rFonts w:hint="eastAsia" w:ascii="宋体" w:hAnsi="宋体" w:eastAsia="宋体" w:cs="宋体"/>
          <w:kern w:val="0"/>
          <w:sz w:val="28"/>
          <w:szCs w:val="28"/>
          <w:lang w:bidi="ar"/>
        </w:rPr>
      </w:pPr>
      <w:r>
        <w:rPr>
          <w:rFonts w:hint="eastAsia" w:ascii="宋体" w:hAnsi="宋体" w:eastAsia="宋体" w:cs="宋体"/>
          <w:b/>
          <w:bCs w:val="0"/>
          <w:kern w:val="0"/>
          <w:sz w:val="28"/>
          <w:szCs w:val="28"/>
          <w:lang w:bidi="ar"/>
        </w:rPr>
        <w:t>第十五条</w:t>
      </w:r>
      <w:r>
        <w:rPr>
          <w:rFonts w:hint="eastAsia" w:ascii="宋体" w:hAnsi="宋体" w:eastAsia="宋体" w:cs="宋体"/>
          <w:kern w:val="0"/>
          <w:sz w:val="28"/>
          <w:szCs w:val="28"/>
          <w:lang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附件一</w:t>
      </w:r>
      <w:r>
        <w:rPr>
          <w:rFonts w:hint="eastAsia" w:ascii="宋体" w:hAnsi="宋体" w:eastAsia="宋体" w:cs="宋体"/>
          <w:b/>
          <w:bCs/>
          <w:color w:val="E24800"/>
          <w:kern w:val="44"/>
          <w:sz w:val="24"/>
          <w:szCs w:val="24"/>
          <w:lang w:val="en-US" w:eastAsia="zh-CN" w:bidi="ar"/>
        </w:rPr>
        <w:tab/>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楷体"/>
          <w:b/>
          <w:bCs w:val="0"/>
          <w:kern w:val="0"/>
          <w:sz w:val="24"/>
          <w:szCs w:val="24"/>
          <w:lang w:bidi="ar"/>
        </w:rPr>
      </w:pPr>
      <w:r>
        <w:rPr>
          <w:rFonts w:hint="eastAsia" w:ascii="楷体" w:hAnsi="楷体" w:eastAsia="楷体" w:cs="楷体"/>
          <w:b/>
          <w:bCs w:val="0"/>
          <w:kern w:val="0"/>
          <w:sz w:val="24"/>
          <w:szCs w:val="24"/>
          <w:lang w:bidi="ar"/>
        </w:rPr>
        <w:t>服务内容及要求</w:t>
      </w:r>
    </w:p>
    <w:p>
      <w:pPr>
        <w:keepNext w:val="0"/>
        <w:keepLines w:val="0"/>
        <w:widowControl/>
        <w:suppressLineNumbers w:val="0"/>
        <w:autoSpaceDE w:val="0"/>
        <w:autoSpaceDN w:val="0"/>
        <w:spacing w:before="0" w:beforeAutospacing="0" w:after="0" w:afterAutospacing="0" w:line="360" w:lineRule="auto"/>
        <w:ind w:left="0" w:right="0" w:firstLine="47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autoSpaceDE w:val="0"/>
        <w:autoSpaceDN w:val="0"/>
        <w:spacing w:before="0" w:beforeAutospacing="0" w:after="0" w:afterAutospacing="0" w:line="360" w:lineRule="auto"/>
        <w:ind w:left="0" w:right="0" w:firstLine="470"/>
        <w:jc w:val="both"/>
        <w:rPr>
          <w:rFonts w:hint="eastAsia" w:ascii="楷体" w:hAnsi="楷体" w:eastAsia="楷体" w:cs="Arial"/>
          <w:spacing w:val="24"/>
          <w:kern w:val="0"/>
          <w:sz w:val="24"/>
          <w:szCs w:val="24"/>
          <w:lang w:bidi="ar"/>
        </w:rPr>
      </w:pPr>
      <w:r>
        <w:rPr>
          <w:rFonts w:hint="eastAsia" w:ascii="楷体" w:hAnsi="楷体" w:eastAsia="楷体" w:cs="楷体"/>
          <w:kern w:val="0"/>
          <w:sz w:val="24"/>
          <w:szCs w:val="24"/>
          <w:lang w:bidi="ar"/>
        </w:rPr>
        <w:t>1.</w:t>
      </w:r>
      <w:r>
        <w:rPr>
          <w:rFonts w:hint="eastAsia" w:ascii="楷体" w:hAnsi="楷体" w:eastAsia="楷体" w:cs="楷体"/>
          <w:spacing w:val="24"/>
          <w:kern w:val="0"/>
          <w:sz w:val="24"/>
          <w:szCs w:val="24"/>
          <w:lang w:bidi="ar"/>
        </w:rPr>
        <w:t>项目名称</w:t>
      </w:r>
    </w:p>
    <w:p>
      <w:pPr>
        <w:keepNext w:val="0"/>
        <w:keepLines w:val="0"/>
        <w:widowControl/>
        <w:suppressLineNumbers w:val="0"/>
        <w:autoSpaceDE w:val="0"/>
        <w:autoSpaceDN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项目名称：。</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2. 项目内容</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 xml:space="preserve">（1）乙方向甲方提供的服务的内容：                                 </w:t>
      </w:r>
    </w:p>
    <w:p>
      <w:pPr>
        <w:keepNext w:val="0"/>
        <w:keepLines w:val="0"/>
        <w:widowControl/>
        <w:suppressLineNumbers w:val="0"/>
        <w:spacing w:before="0" w:beforeAutospacing="0" w:after="0" w:afterAutospacing="0" w:line="360" w:lineRule="auto"/>
        <w:ind w:left="0" w:right="0" w:firstLine="432" w:firstLineChars="150"/>
        <w:jc w:val="both"/>
        <w:rPr>
          <w:rFonts w:hint="eastAsia" w:ascii="楷体" w:hAnsi="楷体" w:eastAsia="楷体" w:cs="Arial"/>
          <w:spacing w:val="24"/>
          <w:kern w:val="0"/>
          <w:sz w:val="24"/>
          <w:szCs w:val="24"/>
          <w:lang w:bidi="ar"/>
        </w:rPr>
      </w:pPr>
      <w:r>
        <w:rPr>
          <w:rFonts w:hint="eastAsia" w:ascii="楷体" w:hAnsi="楷体" w:eastAsia="楷体" w:cs="楷体"/>
          <w:spacing w:val="24"/>
          <w:kern w:val="0"/>
          <w:sz w:val="24"/>
          <w:szCs w:val="24"/>
          <w:lang w:bidi="ar"/>
        </w:rPr>
        <w:t>（2）服务期限：。</w:t>
      </w:r>
    </w:p>
    <w:p>
      <w:pPr>
        <w:keepNext w:val="0"/>
        <w:keepLines w:val="0"/>
        <w:widowControl/>
        <w:suppressLineNumbers w:val="0"/>
        <w:spacing w:before="0" w:beforeAutospacing="0" w:after="0" w:afterAutospacing="0" w:line="360" w:lineRule="auto"/>
        <w:ind w:left="0" w:right="0" w:firstLine="432" w:firstLineChars="150"/>
        <w:jc w:val="both"/>
        <w:rPr>
          <w:rFonts w:hint="eastAsia" w:ascii="楷体" w:hAnsi="楷体" w:eastAsia="楷体" w:cs="Arial"/>
          <w:spacing w:val="24"/>
          <w:kern w:val="0"/>
          <w:sz w:val="24"/>
          <w:szCs w:val="24"/>
          <w:lang w:bidi="ar"/>
        </w:rPr>
      </w:pPr>
      <w:r>
        <w:rPr>
          <w:rFonts w:hint="eastAsia" w:ascii="楷体" w:hAnsi="楷体" w:eastAsia="楷体" w:cs="楷体"/>
          <w:spacing w:val="24"/>
          <w:kern w:val="0"/>
          <w:sz w:val="24"/>
          <w:szCs w:val="24"/>
          <w:lang w:bidi="ar"/>
        </w:rPr>
        <w:t>（3）</w:t>
      </w:r>
      <w:r>
        <w:rPr>
          <w:rFonts w:hint="eastAsia" w:ascii="楷体" w:hAnsi="楷体" w:eastAsia="楷体" w:cs="楷体"/>
          <w:kern w:val="0"/>
          <w:sz w:val="24"/>
          <w:szCs w:val="24"/>
          <w:lang w:bidi="ar"/>
        </w:rPr>
        <w:t>甲方向乙方支付的合同服务费用总计为人民币</w:t>
      </w:r>
      <w:r>
        <w:rPr>
          <w:rFonts w:hint="eastAsia" w:ascii="楷体" w:hAnsi="楷体" w:eastAsia="楷体" w:cs="Arial"/>
          <w:kern w:val="0"/>
          <w:sz w:val="24"/>
          <w:szCs w:val="24"/>
          <w:lang w:bidi="ar"/>
        </w:rPr>
        <w:t xml:space="preserve">    </w:t>
      </w:r>
      <w:r>
        <w:rPr>
          <w:rFonts w:hint="eastAsia" w:ascii="楷体" w:hAnsi="楷体" w:eastAsia="楷体" w:cs="楷体"/>
          <w:kern w:val="0"/>
          <w:sz w:val="24"/>
          <w:szCs w:val="24"/>
          <w:lang w:bidi="ar"/>
        </w:rPr>
        <w:t>元（大写：</w:t>
      </w:r>
      <w:r>
        <w:rPr>
          <w:rFonts w:hint="eastAsia" w:ascii="楷体" w:hAnsi="楷体" w:eastAsia="楷体" w:cs="Arial"/>
          <w:kern w:val="0"/>
          <w:sz w:val="24"/>
          <w:szCs w:val="24"/>
          <w:lang w:bidi="ar"/>
        </w:rPr>
        <w:t xml:space="preserve">    </w:t>
      </w:r>
      <w:r>
        <w:rPr>
          <w:rFonts w:hint="eastAsia" w:ascii="楷体" w:hAnsi="楷体" w:eastAsia="楷体" w:cs="楷体"/>
          <w:kern w:val="0"/>
          <w:sz w:val="24"/>
          <w:szCs w:val="24"/>
          <w:lang w:bidi="ar"/>
        </w:rPr>
        <w:t>整）。费用包括如下项目：</w:t>
      </w: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32" w:firstLineChars="150"/>
        <w:jc w:val="both"/>
        <w:rPr>
          <w:rFonts w:hint="eastAsia" w:ascii="楷体" w:hAnsi="楷体" w:eastAsia="楷体" w:cs="Arial"/>
          <w:spacing w:val="24"/>
          <w:kern w:val="0"/>
          <w:sz w:val="24"/>
          <w:szCs w:val="24"/>
          <w:lang w:bidi="ar"/>
        </w:rPr>
      </w:pPr>
      <w:r>
        <w:rPr>
          <w:rFonts w:hint="eastAsia" w:ascii="楷体" w:hAnsi="楷体" w:eastAsia="楷体" w:cs="楷体"/>
          <w:spacing w:val="24"/>
          <w:kern w:val="0"/>
          <w:sz w:val="24"/>
          <w:szCs w:val="24"/>
          <w:lang w:bidi="ar"/>
        </w:rPr>
        <w:t>（4）其他要求：</w:t>
      </w:r>
    </w:p>
    <w:p>
      <w:pPr>
        <w:keepNext w:val="0"/>
        <w:keepLines w:val="0"/>
        <w:widowControl/>
        <w:suppressLineNumbers w:val="0"/>
        <w:autoSpaceDE w:val="0"/>
        <w:autoSpaceDN w:val="0"/>
        <w:spacing w:before="0" w:beforeAutospacing="0" w:after="0" w:afterAutospacing="0" w:line="360" w:lineRule="auto"/>
        <w:ind w:left="0" w:right="0" w:firstLine="465" w:firstLineChars="194"/>
        <w:jc w:val="both"/>
        <w:rPr>
          <w:rFonts w:hint="eastAsia" w:ascii="楷体" w:hAnsi="楷体" w:eastAsia="楷体" w:cs="Arial"/>
          <w:spacing w:val="24"/>
          <w:kern w:val="0"/>
          <w:sz w:val="24"/>
          <w:szCs w:val="24"/>
          <w:lang w:bidi="ar"/>
        </w:rPr>
      </w:pPr>
      <w:r>
        <w:rPr>
          <w:rFonts w:hint="eastAsia" w:ascii="楷体" w:hAnsi="楷体" w:eastAsia="楷体" w:cs="楷体"/>
          <w:kern w:val="0"/>
          <w:sz w:val="24"/>
          <w:szCs w:val="24"/>
          <w:lang w:bidi="ar"/>
        </w:rPr>
        <w:t>3.</w:t>
      </w:r>
      <w:r>
        <w:rPr>
          <w:rFonts w:hint="eastAsia" w:ascii="楷体" w:hAnsi="楷体" w:eastAsia="楷体" w:cs="楷体"/>
          <w:spacing w:val="24"/>
          <w:kern w:val="0"/>
          <w:sz w:val="24"/>
          <w:szCs w:val="24"/>
          <w:lang w:bidi="ar"/>
        </w:rPr>
        <w:t>告知</w:t>
      </w:r>
    </w:p>
    <w:p>
      <w:pPr>
        <w:keepNext w:val="0"/>
        <w:keepLines w:val="0"/>
        <w:widowControl/>
        <w:suppressLineNumbers w:val="0"/>
        <w:autoSpaceDE w:val="0"/>
        <w:autoSpaceDN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甲乙双方同意涉及本合同的一切事宜均以书面形式提交，双方应及时响应。</w:t>
      </w:r>
    </w:p>
    <w:p>
      <w:pPr>
        <w:keepNext w:val="0"/>
        <w:keepLines w:val="0"/>
        <w:widowControl/>
        <w:suppressLineNumbers w:val="0"/>
        <w:autoSpaceDE w:val="0"/>
        <w:autoSpaceDN w:val="0"/>
        <w:spacing w:before="0" w:beforeAutospacing="0" w:after="0" w:afterAutospacing="0" w:line="360" w:lineRule="auto"/>
        <w:ind w:left="0" w:right="0" w:firstLine="465" w:firstLineChars="194"/>
        <w:jc w:val="both"/>
        <w:rPr>
          <w:rFonts w:hint="eastAsia" w:ascii="楷体" w:hAnsi="楷体" w:eastAsia="楷体" w:cs="Arial"/>
          <w:spacing w:val="24"/>
          <w:kern w:val="0"/>
          <w:sz w:val="24"/>
          <w:szCs w:val="24"/>
          <w:lang w:bidi="ar"/>
        </w:rPr>
      </w:pPr>
      <w:r>
        <w:rPr>
          <w:rFonts w:hint="eastAsia" w:ascii="楷体" w:hAnsi="楷体" w:eastAsia="楷体" w:cs="楷体"/>
          <w:kern w:val="0"/>
          <w:sz w:val="24"/>
          <w:szCs w:val="24"/>
          <w:lang w:bidi="ar"/>
        </w:rPr>
        <w:t>4.</w:t>
      </w:r>
      <w:r>
        <w:rPr>
          <w:rFonts w:hint="eastAsia" w:ascii="楷体" w:hAnsi="楷体" w:eastAsia="楷体" w:cs="楷体"/>
          <w:spacing w:val="24"/>
          <w:kern w:val="0"/>
          <w:sz w:val="24"/>
          <w:szCs w:val="24"/>
          <w:lang w:bidi="ar"/>
        </w:rPr>
        <w:t>问题项目处理</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Arial"/>
          <w:kern w:val="0"/>
          <w:sz w:val="24"/>
          <w:szCs w:val="24"/>
          <w:lang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附件二</w:t>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楷体"/>
          <w:b/>
          <w:bCs w:val="0"/>
          <w:kern w:val="0"/>
          <w:sz w:val="24"/>
          <w:szCs w:val="24"/>
          <w:lang w:bidi="ar"/>
        </w:rPr>
      </w:pPr>
      <w:r>
        <w:rPr>
          <w:rFonts w:hint="eastAsia" w:ascii="楷体" w:hAnsi="楷体" w:eastAsia="楷体" w:cs="楷体"/>
          <w:b/>
          <w:bCs w:val="0"/>
          <w:kern w:val="0"/>
          <w:sz w:val="24"/>
          <w:szCs w:val="24"/>
          <w:lang w:bidi="ar"/>
        </w:rPr>
        <w:t>付款</w:t>
      </w:r>
    </w:p>
    <w:p>
      <w:pPr>
        <w:keepNext w:val="0"/>
        <w:keepLines w:val="0"/>
        <w:widowControl/>
        <w:suppressLineNumbers w:val="0"/>
        <w:autoSpaceDE w:val="0"/>
        <w:autoSpaceDN w:val="0"/>
        <w:spacing w:before="0" w:beforeAutospacing="0" w:after="0" w:afterAutospacing="0" w:line="360" w:lineRule="auto"/>
        <w:ind w:left="482" w:right="0"/>
        <w:jc w:val="left"/>
        <w:rPr>
          <w:rFonts w:hint="eastAsia" w:ascii="楷体" w:hAnsi="楷体" w:eastAsia="楷体" w:cs="楷体"/>
          <w:kern w:val="0"/>
          <w:sz w:val="24"/>
          <w:szCs w:val="24"/>
          <w:lang w:bidi="ar"/>
        </w:rPr>
      </w:pPr>
      <w:r>
        <w:rPr>
          <w:rFonts w:hint="eastAsia" w:ascii="楷体" w:hAnsi="楷体" w:eastAsia="楷体" w:cs="楷体"/>
          <w:kern w:val="0"/>
          <w:sz w:val="24"/>
          <w:szCs w:val="24"/>
          <w:lang w:bidi="ar"/>
        </w:rPr>
        <w:t xml:space="preserve"> </w:t>
      </w:r>
    </w:p>
    <w:p>
      <w:pPr>
        <w:keepNext w:val="0"/>
        <w:keepLines w:val="0"/>
        <w:widowControl/>
        <w:suppressLineNumbers w:val="0"/>
        <w:autoSpaceDE w:val="0"/>
        <w:autoSpaceDN w:val="0"/>
        <w:spacing w:before="0" w:beforeAutospacing="0" w:after="0" w:afterAutospacing="0" w:line="360" w:lineRule="auto"/>
        <w:ind w:left="482" w:right="0"/>
        <w:jc w:val="left"/>
        <w:rPr>
          <w:rFonts w:hint="eastAsia" w:ascii="楷体" w:hAnsi="楷体" w:eastAsia="楷体" w:cs="楷体"/>
          <w:kern w:val="0"/>
          <w:sz w:val="24"/>
          <w:szCs w:val="24"/>
          <w:lang w:bidi="ar"/>
        </w:rPr>
      </w:pPr>
      <w:r>
        <w:rPr>
          <w:rFonts w:hint="eastAsia" w:ascii="楷体" w:hAnsi="楷体" w:eastAsia="楷体" w:cs="楷体"/>
          <w:kern w:val="0"/>
          <w:sz w:val="24"/>
          <w:szCs w:val="24"/>
          <w:lang w:bidi="ar"/>
        </w:rPr>
        <w:t>1.本合同使用货币种类为人民币。</w:t>
      </w:r>
    </w:p>
    <w:p>
      <w:pPr>
        <w:keepNext w:val="0"/>
        <w:keepLines w:val="0"/>
        <w:widowControl/>
        <w:suppressLineNumbers w:val="0"/>
        <w:spacing w:before="0" w:beforeAutospacing="0" w:after="0" w:afterAutospacing="0" w:line="360" w:lineRule="auto"/>
        <w:ind w:left="0" w:right="0" w:firstLine="480" w:firstLineChars="200"/>
        <w:jc w:val="left"/>
        <w:rPr>
          <w:rFonts w:hint="eastAsia" w:ascii="楷体" w:hAnsi="楷体" w:eastAsia="楷体" w:cs="宋体"/>
          <w:kern w:val="0"/>
          <w:sz w:val="24"/>
          <w:szCs w:val="24"/>
          <w:lang w:bidi="ar"/>
        </w:rPr>
      </w:pPr>
      <w:r>
        <w:rPr>
          <w:rFonts w:hint="eastAsia" w:ascii="楷体" w:hAnsi="楷体" w:eastAsia="楷体" w:cs="楷体"/>
          <w:kern w:val="0"/>
          <w:sz w:val="24"/>
          <w:szCs w:val="24"/>
          <w:lang w:bidi="ar"/>
        </w:rPr>
        <w:t>2.付款方式：</w:t>
      </w:r>
      <w:r>
        <w:rPr>
          <w:rFonts w:hint="eastAsia" w:ascii="楷体" w:hAnsi="楷体" w:eastAsia="楷体" w:cs="楷体"/>
          <w:kern w:val="0"/>
          <w:sz w:val="24"/>
          <w:szCs w:val="24"/>
          <w:u w:val="single"/>
          <w:lang w:bidi="ar"/>
        </w:rPr>
        <w:t>转账</w:t>
      </w:r>
      <w:r>
        <w:rPr>
          <w:rFonts w:hint="eastAsia" w:ascii="楷体" w:hAnsi="楷体" w:eastAsia="楷体" w:cs="宋体"/>
          <w:kern w:val="0"/>
          <w:sz w:val="24"/>
          <w:szCs w:val="24"/>
          <w:lang w:bidi="ar"/>
        </w:rPr>
        <w:t>[</w:t>
      </w:r>
      <w:r>
        <w:rPr>
          <w:rFonts w:hint="eastAsia" w:ascii="楷体" w:hAnsi="楷体" w:eastAsia="楷体" w:cs="楷体"/>
          <w:kern w:val="0"/>
          <w:sz w:val="24"/>
          <w:szCs w:val="24"/>
          <w:lang w:bidi="ar"/>
        </w:rPr>
        <w:t>现金</w:t>
      </w:r>
      <w:r>
        <w:rPr>
          <w:rFonts w:hint="eastAsia" w:ascii="楷体" w:hAnsi="楷体" w:eastAsia="楷体" w:cs="宋体"/>
          <w:kern w:val="0"/>
          <w:sz w:val="24"/>
          <w:szCs w:val="24"/>
          <w:lang w:bidi="ar"/>
        </w:rPr>
        <w:t>/</w:t>
      </w:r>
      <w:r>
        <w:rPr>
          <w:rFonts w:hint="eastAsia" w:ascii="楷体" w:hAnsi="楷体" w:eastAsia="楷体" w:cs="楷体"/>
          <w:kern w:val="0"/>
          <w:sz w:val="24"/>
          <w:szCs w:val="24"/>
          <w:lang w:bidi="ar"/>
        </w:rPr>
        <w:t>支票</w:t>
      </w:r>
      <w:r>
        <w:rPr>
          <w:rFonts w:hint="eastAsia" w:ascii="楷体" w:hAnsi="楷体" w:eastAsia="楷体" w:cs="宋体"/>
          <w:kern w:val="0"/>
          <w:sz w:val="24"/>
          <w:szCs w:val="24"/>
          <w:lang w:bidi="ar"/>
        </w:rPr>
        <w:t>]</w:t>
      </w:r>
      <w:r>
        <w:rPr>
          <w:rFonts w:hint="eastAsia" w:ascii="楷体" w:hAnsi="楷体" w:eastAsia="楷体" w:cs="楷体"/>
          <w:kern w:val="0"/>
          <w:sz w:val="24"/>
          <w:szCs w:val="24"/>
          <w:lang w:bidi="ar"/>
        </w:rPr>
        <w:t>双方采用转账方式付款的，甲方应向乙方以下账户进行支付：</w:t>
      </w:r>
    </w:p>
    <w:p>
      <w:pPr>
        <w:keepNext w:val="0"/>
        <w:keepLines w:val="0"/>
        <w:widowControl/>
        <w:suppressLineNumbers w:val="0"/>
        <w:spacing w:before="0" w:beforeAutospacing="0" w:after="0" w:afterLines="50" w:afterAutospacing="0" w:line="360" w:lineRule="auto"/>
        <w:ind w:left="0" w:right="0" w:firstLine="480" w:firstLineChars="200"/>
        <w:jc w:val="left"/>
        <w:rPr>
          <w:rFonts w:hint="eastAsia" w:ascii="楷体" w:hAnsi="楷体" w:eastAsia="楷体" w:cs="宋体"/>
          <w:kern w:val="0"/>
          <w:sz w:val="24"/>
          <w:szCs w:val="24"/>
          <w:u w:val="single"/>
          <w:lang w:bidi="ar"/>
        </w:rPr>
      </w:pPr>
      <w:r>
        <w:rPr>
          <w:rFonts w:hint="eastAsia" w:ascii="楷体" w:hAnsi="楷体" w:eastAsia="楷体" w:cs="宋体"/>
          <w:kern w:val="0"/>
          <w:sz w:val="24"/>
          <w:szCs w:val="24"/>
          <w:lang w:bidi="ar"/>
        </w:rPr>
        <w:tab/>
      </w:r>
      <w:r>
        <w:rPr>
          <w:rFonts w:hint="eastAsia" w:ascii="楷体" w:hAnsi="楷体" w:eastAsia="楷体" w:cs="楷体"/>
          <w:kern w:val="0"/>
          <w:sz w:val="24"/>
          <w:szCs w:val="24"/>
          <w:lang w:bidi="ar"/>
        </w:rPr>
        <w:t>乙方：</w:t>
      </w:r>
    </w:p>
    <w:p>
      <w:pPr>
        <w:keepNext w:val="0"/>
        <w:keepLines w:val="0"/>
        <w:widowControl/>
        <w:suppressLineNumbers w:val="0"/>
        <w:spacing w:before="0" w:beforeAutospacing="0" w:after="0" w:afterLines="50" w:afterAutospacing="0" w:line="360" w:lineRule="auto"/>
        <w:ind w:left="0" w:right="0" w:firstLine="480" w:firstLineChars="200"/>
        <w:jc w:val="left"/>
        <w:rPr>
          <w:rFonts w:hint="eastAsia" w:ascii="楷体" w:hAnsi="楷体" w:eastAsia="楷体" w:cs="宋体"/>
          <w:kern w:val="0"/>
          <w:sz w:val="24"/>
          <w:szCs w:val="24"/>
          <w:u w:val="single"/>
          <w:lang w:bidi="ar"/>
        </w:rPr>
      </w:pPr>
      <w:r>
        <w:rPr>
          <w:rFonts w:hint="eastAsia" w:ascii="楷体" w:hAnsi="楷体" w:eastAsia="楷体" w:cs="宋体"/>
          <w:kern w:val="0"/>
          <w:sz w:val="24"/>
          <w:szCs w:val="24"/>
          <w:lang w:bidi="ar"/>
        </w:rPr>
        <w:tab/>
      </w:r>
      <w:r>
        <w:rPr>
          <w:rFonts w:hint="eastAsia" w:ascii="楷体" w:hAnsi="楷体" w:eastAsia="楷体" w:cs="楷体"/>
          <w:kern w:val="0"/>
          <w:sz w:val="24"/>
          <w:szCs w:val="24"/>
          <w:lang w:bidi="ar"/>
        </w:rPr>
        <w:t>开户行：</w:t>
      </w:r>
    </w:p>
    <w:p>
      <w:pPr>
        <w:keepNext w:val="0"/>
        <w:keepLines w:val="0"/>
        <w:widowControl/>
        <w:suppressLineNumbers w:val="0"/>
        <w:spacing w:before="0" w:beforeAutospacing="0" w:after="0" w:afterLines="50" w:afterAutospacing="0" w:line="360" w:lineRule="auto"/>
        <w:ind w:left="0" w:right="0" w:firstLine="480" w:firstLineChars="200"/>
        <w:jc w:val="left"/>
        <w:rPr>
          <w:rFonts w:hint="eastAsia" w:ascii="楷体" w:hAnsi="楷体" w:eastAsia="楷体" w:cs="宋体"/>
          <w:kern w:val="0"/>
          <w:sz w:val="24"/>
          <w:szCs w:val="24"/>
          <w:u w:val="single"/>
          <w:lang w:bidi="ar"/>
        </w:rPr>
      </w:pPr>
      <w:r>
        <w:rPr>
          <w:rFonts w:hint="eastAsia" w:ascii="楷体" w:hAnsi="楷体" w:eastAsia="楷体" w:cs="宋体"/>
          <w:kern w:val="0"/>
          <w:sz w:val="24"/>
          <w:szCs w:val="24"/>
          <w:lang w:bidi="ar"/>
        </w:rPr>
        <w:tab/>
      </w:r>
      <w:r>
        <w:rPr>
          <w:rFonts w:hint="eastAsia" w:ascii="楷体" w:hAnsi="楷体" w:eastAsia="楷体" w:cs="楷体"/>
          <w:kern w:val="0"/>
          <w:sz w:val="24"/>
          <w:szCs w:val="24"/>
          <w:lang w:bidi="ar"/>
        </w:rPr>
        <w:t>账户名称：</w:t>
      </w:r>
    </w:p>
    <w:p>
      <w:pPr>
        <w:keepNext w:val="0"/>
        <w:keepLines w:val="0"/>
        <w:widowControl/>
        <w:suppressLineNumbers w:val="0"/>
        <w:spacing w:before="0" w:beforeAutospacing="0" w:after="0" w:afterLines="50" w:afterAutospacing="0" w:line="360" w:lineRule="auto"/>
        <w:ind w:left="0" w:right="0" w:firstLine="480" w:firstLineChars="200"/>
        <w:jc w:val="left"/>
        <w:rPr>
          <w:rFonts w:hint="eastAsia" w:ascii="楷体" w:hAnsi="楷体" w:eastAsia="楷体" w:cs="宋体"/>
          <w:kern w:val="0"/>
          <w:sz w:val="24"/>
          <w:szCs w:val="24"/>
          <w:u w:val="single"/>
          <w:lang w:bidi="ar"/>
        </w:rPr>
      </w:pPr>
      <w:r>
        <w:rPr>
          <w:rFonts w:hint="eastAsia" w:ascii="楷体" w:hAnsi="楷体" w:eastAsia="楷体" w:cs="宋体"/>
          <w:kern w:val="0"/>
          <w:sz w:val="24"/>
          <w:szCs w:val="24"/>
          <w:lang w:bidi="ar"/>
        </w:rPr>
        <w:tab/>
      </w:r>
      <w:r>
        <w:rPr>
          <w:rFonts w:hint="eastAsia" w:ascii="楷体" w:hAnsi="楷体" w:eastAsia="楷体" w:cs="楷体"/>
          <w:kern w:val="0"/>
          <w:sz w:val="24"/>
          <w:szCs w:val="24"/>
          <w:lang w:bidi="ar"/>
        </w:rPr>
        <w:t>账号：</w:t>
      </w:r>
    </w:p>
    <w:p>
      <w:pPr>
        <w:keepNext w:val="0"/>
        <w:keepLines w:val="0"/>
        <w:widowControl/>
        <w:suppressLineNumbers w:val="0"/>
        <w:spacing w:before="0" w:beforeAutospacing="0" w:after="0" w:afterLines="50" w:afterAutospacing="0"/>
        <w:ind w:left="0" w:right="0" w:firstLine="480" w:firstLineChars="200"/>
        <w:jc w:val="left"/>
        <w:rPr>
          <w:rFonts w:hint="eastAsia" w:ascii="楷体" w:hAnsi="楷体" w:eastAsia="楷体" w:cs="宋体"/>
          <w:kern w:val="0"/>
          <w:sz w:val="24"/>
          <w:szCs w:val="24"/>
          <w:lang w:bidi="ar"/>
        </w:rPr>
      </w:pPr>
      <w:r>
        <w:rPr>
          <w:rFonts w:hint="eastAsia" w:ascii="楷体" w:hAnsi="楷体" w:eastAsia="楷体" w:cs="楷体"/>
          <w:kern w:val="0"/>
          <w:sz w:val="24"/>
          <w:szCs w:val="24"/>
          <w:lang w:bidi="ar"/>
        </w:rPr>
        <w:t>乙方如需改变上述账户，应提前</w:t>
      </w:r>
      <w:r>
        <w:rPr>
          <w:rFonts w:hint="eastAsia" w:ascii="楷体" w:hAnsi="楷体" w:eastAsia="楷体" w:cs="宋体"/>
          <w:kern w:val="0"/>
          <w:sz w:val="24"/>
          <w:szCs w:val="24"/>
          <w:lang w:bidi="ar"/>
        </w:rPr>
        <w:t>10</w:t>
      </w:r>
      <w:r>
        <w:rPr>
          <w:rFonts w:hint="eastAsia" w:ascii="楷体" w:hAnsi="楷体" w:eastAsia="楷体" w:cs="楷体"/>
          <w:kern w:val="0"/>
          <w:sz w:val="24"/>
          <w:szCs w:val="24"/>
          <w:lang w:bidi="ar"/>
        </w:rPr>
        <w:t>日以书面通知甲方。</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3.付款安排</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甲方分[   ]次向乙方付款，每次付款前乙方须向甲方出具付款通知书，并出具合法有效的增值税专用发票:</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（1）本合同生效后，在甲方收到乙方书面付款通知书后15个工作日内，甲方支付乙方合同服务费用总额的%,即人民币 元（大写：整）；</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（2）***********；</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4.增值税专用发票的相关约定</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 xml:space="preserve">（1）乙方应向甲方开具增值税专用发票，甲方开票信息如下： </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公司名称：</w:t>
      </w:r>
      <w:r>
        <w:rPr>
          <w:rFonts w:hint="eastAsia" w:ascii="楷体" w:hAnsi="楷体" w:eastAsia="楷体" w:cs="Arial"/>
          <w:kern w:val="0"/>
          <w:sz w:val="24"/>
          <w:szCs w:val="24"/>
          <w:lang w:bidi="ar"/>
        </w:rPr>
        <w:t xml:space="preserve"> _______________________________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纳税识别号：</w:t>
      </w:r>
      <w:r>
        <w:rPr>
          <w:rFonts w:hint="eastAsia" w:ascii="楷体" w:hAnsi="楷体" w:eastAsia="楷体" w:cs="Arial"/>
          <w:kern w:val="0"/>
          <w:sz w:val="24"/>
          <w:szCs w:val="24"/>
          <w:lang w:bidi="ar"/>
        </w:rPr>
        <w:t xml:space="preserve"> 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银行账号：</w:t>
      </w:r>
      <w:r>
        <w:rPr>
          <w:rFonts w:hint="eastAsia" w:ascii="楷体" w:hAnsi="楷体" w:eastAsia="楷体" w:cs="Arial"/>
          <w:kern w:val="0"/>
          <w:sz w:val="24"/>
          <w:szCs w:val="24"/>
          <w:lang w:bidi="ar"/>
        </w:rPr>
        <w:t xml:space="preserve"> _______________________________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开户银行：</w:t>
      </w:r>
      <w:r>
        <w:rPr>
          <w:rFonts w:hint="eastAsia" w:ascii="楷体" w:hAnsi="楷体" w:eastAsia="楷体" w:cs="Arial"/>
          <w:kern w:val="0"/>
          <w:sz w:val="24"/>
          <w:szCs w:val="24"/>
          <w:lang w:bidi="ar"/>
        </w:rPr>
        <w:t xml:space="preserve"> _______________________________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开票地址：</w:t>
      </w:r>
      <w:r>
        <w:rPr>
          <w:rFonts w:hint="eastAsia" w:ascii="楷体" w:hAnsi="楷体" w:eastAsia="楷体" w:cs="Arial"/>
          <w:kern w:val="0"/>
          <w:sz w:val="24"/>
          <w:szCs w:val="24"/>
          <w:lang w:bidi="ar"/>
        </w:rPr>
        <w:t xml:space="preserve"> _______________________________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开票电话：</w:t>
      </w:r>
      <w:r>
        <w:rPr>
          <w:rFonts w:hint="eastAsia" w:ascii="楷体" w:hAnsi="楷体" w:eastAsia="楷体" w:cs="Arial"/>
          <w:kern w:val="0"/>
          <w:sz w:val="24"/>
          <w:szCs w:val="24"/>
          <w:lang w:bidi="ar"/>
        </w:rPr>
        <w:t xml:space="preserve"> _______________________________</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s="楷体_GB2312"/>
          <w:kern w:val="0"/>
          <w:sz w:val="24"/>
          <w:szCs w:val="24"/>
          <w:lang w:bidi="ar"/>
        </w:rPr>
        <w:t>乙方开具并提交甲方的增值税专用发票的价税合计金额应与甲方已经支付的价税合计款项保持一致</w:t>
      </w:r>
      <w:r>
        <w:rPr>
          <w:rFonts w:hint="eastAsia" w:ascii="楷体" w:hAnsi="楷体" w:eastAsia="楷体" w:cs="楷体"/>
          <w:kern w:val="0"/>
          <w:sz w:val="24"/>
          <w:szCs w:val="24"/>
          <w:lang w:bidi="ar"/>
        </w:rPr>
        <w:t>；</w:t>
      </w:r>
      <w:r>
        <w:rPr>
          <w:rFonts w:hint="eastAsia" w:ascii="楷体" w:hAnsi="楷体" w:eastAsia="楷体" w:cs="Arial"/>
          <w:kern w:val="0"/>
          <w:sz w:val="24"/>
          <w:szCs w:val="24"/>
          <w:lang w:bidi="ar"/>
        </w:rPr>
        <w:t xml:space="preserve"> </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suppressLineNumbers w:val="0"/>
        <w:autoSpaceDE w:val="0"/>
        <w:autoSpaceDN w:val="0"/>
        <w:spacing w:before="0" w:beforeAutospacing="0" w:after="0" w:afterAutospacing="0" w:line="360" w:lineRule="auto"/>
        <w:ind w:left="0" w:right="0" w:firstLine="468" w:firstLineChars="195"/>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附件三</w:t>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楷体"/>
          <w:b/>
          <w:bCs w:val="0"/>
          <w:kern w:val="0"/>
          <w:sz w:val="24"/>
          <w:szCs w:val="24"/>
          <w:lang w:bidi="ar"/>
        </w:rPr>
      </w:pPr>
      <w:r>
        <w:rPr>
          <w:rFonts w:hint="eastAsia" w:ascii="楷体" w:hAnsi="楷体" w:eastAsia="楷体" w:cs="楷体"/>
          <w:b/>
          <w:bCs w:val="0"/>
          <w:kern w:val="0"/>
          <w:sz w:val="24"/>
          <w:szCs w:val="24"/>
          <w:lang w:bidi="ar"/>
        </w:rPr>
        <w:t>双方的权利和义务</w:t>
      </w:r>
    </w:p>
    <w:p>
      <w:pPr>
        <w:keepNext w:val="0"/>
        <w:keepLines w:val="0"/>
        <w:widowControl/>
        <w:suppressLineNumbers w:val="0"/>
        <w:spacing w:before="0" w:beforeAutospacing="0" w:after="0" w:afterAutospacing="0" w:line="360" w:lineRule="auto"/>
        <w:ind w:left="0" w:right="0" w:firstLine="482" w:firstLineChars="200"/>
        <w:jc w:val="both"/>
        <w:rPr>
          <w:rFonts w:hint="eastAsia" w:ascii="楷体" w:hAnsi="楷体" w:eastAsia="楷体" w:cs="Arial"/>
          <w:b/>
          <w:bCs w:val="0"/>
          <w:kern w:val="0"/>
          <w:sz w:val="24"/>
          <w:szCs w:val="24"/>
          <w:lang w:bidi="ar"/>
        </w:rPr>
      </w:pPr>
      <w:r>
        <w:rPr>
          <w:rFonts w:hint="eastAsia" w:ascii="楷体" w:hAnsi="楷体" w:eastAsia="楷体" w:cs="Arial"/>
          <w:b/>
          <w:bCs w:val="0"/>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1. 甲方的权利和义务</w:t>
      </w:r>
    </w:p>
    <w:p>
      <w:pPr>
        <w:keepNext w:val="0"/>
        <w:keepLines w:val="0"/>
        <w:widowControl/>
        <w:suppressLineNumbers w:val="0"/>
        <w:spacing w:before="0" w:beforeAutospacing="0" w:after="0" w:afterAutospacing="0" w:line="360" w:lineRule="auto"/>
        <w:ind w:left="0" w:right="0" w:firstLine="576" w:firstLineChars="200"/>
        <w:jc w:val="both"/>
        <w:rPr>
          <w:rFonts w:hint="eastAsia" w:ascii="楷体" w:hAnsi="楷体" w:eastAsia="楷体" w:cs="Arial"/>
          <w:spacing w:val="24"/>
          <w:kern w:val="0"/>
          <w:sz w:val="24"/>
          <w:szCs w:val="24"/>
          <w:lang w:bidi="ar"/>
        </w:rPr>
      </w:pPr>
      <w:r>
        <w:rPr>
          <w:rFonts w:hint="eastAsia" w:ascii="楷体" w:hAnsi="楷体" w:eastAsia="楷体" w:cs="Arial"/>
          <w:spacing w:val="24"/>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jc w:val="both"/>
        <w:rPr>
          <w:rFonts w:hint="eastAsia" w:ascii="楷体" w:hAnsi="楷体" w:eastAsia="楷体" w:cs="Arial"/>
          <w:kern w:val="0"/>
          <w:sz w:val="24"/>
          <w:szCs w:val="24"/>
          <w:lang w:bidi="ar"/>
        </w:rPr>
      </w:pPr>
      <w:r>
        <w:rPr>
          <w:rFonts w:hint="eastAsia" w:ascii="楷体" w:hAnsi="楷体" w:eastAsia="楷体" w:cs="楷体"/>
          <w:kern w:val="0"/>
          <w:sz w:val="24"/>
          <w:szCs w:val="24"/>
          <w:lang w:bidi="ar"/>
        </w:rPr>
        <w:t>2. 乙方的权利和义务</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 xml:space="preserve"> </w:t>
      </w:r>
    </w:p>
    <w:p>
      <w:pPr>
        <w:keepNext w:val="0"/>
        <w:keepLines w:val="0"/>
        <w:widowControl/>
        <w:suppressLineNumbers w:val="0"/>
        <w:spacing w:before="0" w:beforeAutospacing="1" w:after="0" w:afterAutospacing="1" w:line="480" w:lineRule="atLeast"/>
        <w:ind w:left="0" w:right="0" w:firstLine="482"/>
        <w:jc w:val="left"/>
        <w:rPr>
          <w:rFonts w:hint="eastAsia" w:ascii="宋体" w:hAnsi="宋体" w:eastAsia="宋体" w:cs="宋体"/>
          <w:b/>
          <w:bCs/>
          <w:color w:val="E24800"/>
          <w:kern w:val="44"/>
          <w:sz w:val="24"/>
          <w:szCs w:val="24"/>
          <w:lang w:val="en-US" w:eastAsia="zh-CN" w:bidi="ar"/>
        </w:rPr>
      </w:pPr>
      <w:r>
        <w:rPr>
          <w:rFonts w:hint="eastAsia" w:ascii="宋体" w:hAnsi="宋体" w:eastAsia="宋体" w:cs="宋体"/>
          <w:b/>
          <w:bCs/>
          <w:color w:val="E24800"/>
          <w:kern w:val="44"/>
          <w:sz w:val="24"/>
          <w:szCs w:val="24"/>
          <w:lang w:val="en-US" w:eastAsia="zh-CN" w:bidi="ar"/>
        </w:rPr>
        <w:t>附件四</w:t>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宋体"/>
          <w:b/>
          <w:bCs w:val="0"/>
          <w:kern w:val="0"/>
          <w:sz w:val="24"/>
          <w:szCs w:val="24"/>
          <w:lang w:bidi="ar"/>
        </w:rPr>
      </w:pPr>
      <w:r>
        <w:rPr>
          <w:rFonts w:hint="eastAsia" w:ascii="楷体" w:hAnsi="楷体" w:eastAsia="楷体" w:cs="楷体"/>
          <w:b/>
          <w:bCs w:val="0"/>
          <w:kern w:val="0"/>
          <w:sz w:val="24"/>
          <w:szCs w:val="24"/>
          <w:lang w:bidi="ar"/>
        </w:rPr>
        <w:t>违约责任</w:t>
      </w:r>
    </w:p>
    <w:p>
      <w:pPr>
        <w:keepNext w:val="0"/>
        <w:keepLines w:val="0"/>
        <w:widowControl/>
        <w:suppressLineNumbers w:val="0"/>
        <w:spacing w:before="0" w:beforeAutospacing="0" w:after="0" w:afterAutospacing="0" w:line="360" w:lineRule="auto"/>
        <w:ind w:left="0" w:right="0" w:firstLine="480" w:firstLineChars="200"/>
        <w:jc w:val="left"/>
        <w:rPr>
          <w:rFonts w:hint="eastAsia" w:ascii="楷体" w:hAnsi="楷体" w:eastAsia="楷体" w:cs="宋体"/>
          <w:kern w:val="0"/>
          <w:sz w:val="24"/>
          <w:szCs w:val="24"/>
          <w:lang w:bidi="ar"/>
        </w:rPr>
      </w:pPr>
      <w:r>
        <w:rPr>
          <w:rFonts w:hint="eastAsia" w:ascii="楷体" w:hAnsi="楷体" w:eastAsia="楷体" w:cs="宋体"/>
          <w:kern w:val="0"/>
          <w:sz w:val="24"/>
          <w:szCs w:val="24"/>
          <w:lang w:bidi="ar"/>
        </w:rPr>
        <w:t xml:space="preserve"> </w:t>
      </w:r>
    </w:p>
    <w:p>
      <w:pPr>
        <w:keepNext w:val="0"/>
        <w:keepLines w:val="0"/>
        <w:widowControl/>
        <w:suppressLineNumbers w:val="0"/>
        <w:spacing w:before="0" w:beforeAutospacing="0" w:after="0" w:afterAutospacing="0" w:line="360" w:lineRule="auto"/>
        <w:ind w:left="0" w:right="0" w:firstLine="480" w:firstLineChars="200"/>
        <w:jc w:val="left"/>
        <w:rPr>
          <w:rFonts w:hint="eastAsia" w:ascii="楷体" w:hAnsi="楷体" w:eastAsia="楷体" w:cs="宋体"/>
          <w:kern w:val="0"/>
          <w:sz w:val="24"/>
          <w:szCs w:val="24"/>
          <w:lang w:bidi="ar"/>
        </w:rPr>
      </w:pPr>
      <w:r>
        <w:rPr>
          <w:rFonts w:hint="eastAsia" w:ascii="楷体" w:hAnsi="楷体" w:eastAsia="楷体" w:cs="楷体"/>
          <w:kern w:val="0"/>
          <w:sz w:val="24"/>
          <w:szCs w:val="24"/>
          <w:lang w:bidi="ar"/>
        </w:rPr>
        <w:t>除合同约定的违约责任以外，任何一方存在以下约定情形的，应承担相应的违约责任：</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 xml:space="preserve"> </w:t>
      </w:r>
    </w:p>
    <w:p>
      <w:pPr>
        <w:keepNext w:val="0"/>
        <w:keepLines w:val="0"/>
        <w:widowControl/>
        <w:suppressLineNumbers w:val="0"/>
        <w:spacing w:before="0" w:beforeAutospacing="1" w:after="0" w:afterAutospacing="1" w:line="600" w:lineRule="exact"/>
        <w:ind w:left="0" w:right="0" w:firstLine="983"/>
        <w:jc w:val="left"/>
        <w:rPr>
          <w:rFonts w:hint="eastAsia" w:ascii="宋体" w:hAnsi="宋体" w:eastAsia="宋体" w:cs="宋体"/>
          <w:kern w:val="0"/>
          <w:sz w:val="28"/>
          <w:szCs w:val="28"/>
          <w:lang w:bidi="ar"/>
        </w:rPr>
      </w:pPr>
      <w:r>
        <w:rPr>
          <w:rFonts w:hint="eastAsia" w:ascii="宋体" w:hAnsi="宋体" w:eastAsia="宋体" w:cs="宋体"/>
          <w:kern w:val="0"/>
          <w:sz w:val="28"/>
          <w:szCs w:val="28"/>
          <w:lang w:bidi="ar"/>
        </w:rPr>
        <w:t xml:space="preserve"> </w:t>
      </w:r>
    </w:p>
    <w:p>
      <w:pPr>
        <w:widowControl/>
        <w:spacing w:before="0" w:beforeAutospacing="0" w:after="0" w:afterAutospacing="0"/>
        <w:ind w:left="0" w:right="0"/>
        <w:jc w:val="left"/>
        <w:rPr>
          <w:rFonts w:hint="eastAsia" w:ascii="宋体" w:hAnsi="宋体" w:eastAsia="宋体" w:cs="宋体"/>
          <w:kern w:val="0"/>
          <w:sz w:val="24"/>
          <w:szCs w:val="24"/>
          <w:lang w:bidi="ar"/>
        </w:rPr>
      </w:pPr>
    </w:p>
    <w:p>
      <w:pPr>
        <w:pStyle w:val="5"/>
        <w:numPr>
          <w:ilvl w:val="0"/>
          <w:numId w:val="0"/>
        </w:numPr>
        <w:jc w:val="both"/>
        <w:rPr>
          <w:rFonts w:hint="eastAsia"/>
        </w:rPr>
      </w:pPr>
    </w:p>
    <w:p>
      <w:pPr>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rPr>
          <w:rFonts w:hint="eastAsia"/>
        </w:rPr>
      </w:pPr>
    </w:p>
    <w:p>
      <w:pPr>
        <w:pStyle w:val="5"/>
        <w:numPr>
          <w:ilvl w:val="0"/>
          <w:numId w:val="0"/>
        </w:numPr>
        <w:ind w:left="141"/>
        <w:jc w:val="center"/>
      </w:pPr>
      <w:r>
        <w:rPr>
          <w:rFonts w:hint="eastAsia"/>
        </w:rPr>
        <w:t>信息安全采购要求承诺函</w:t>
      </w:r>
      <w:bookmarkEnd w:id="11"/>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2"/>
    <w:bookmarkEnd w:id="13"/>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1.采购背景：随着经济的发展和人们生活水平的提高，汽车逐渐走进普通家庭，庞大的汽车保有量为代驾服务提供了广阔的市场空间，有车人群中需要代驾服务的潜在客户数量众多。随着消费场景的多元化，人们安全意识的提升，移动互联网技术的发展，客户的代价需求愈发强烈。</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2.服务需求：专为我司续保家用车主在保单期内提供秭归中心城区茅坪镇及周边区域30公里内代驾服务。通过该项增值服务提升车险家庭自用车续保客户粘性与品牌竞争力，推动家庭自用车续保率及新保转介绍率，提升车险业务竞争力。同时从风险防控角度减少因酒驾引发的高额理赔，实现“服务-风控-获客”的良性循环。</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kern w:val="2"/>
          <w:sz w:val="30"/>
          <w:szCs w:val="30"/>
          <w:lang w:val="en-US" w:eastAsia="zh-CN" w:bidi="ar-SA"/>
        </w:rPr>
      </w:pPr>
      <w:r>
        <w:rPr>
          <w:rFonts w:hint="eastAsia" w:ascii="仿宋" w:hAnsi="仿宋" w:eastAsia="仿宋" w:cs="仿宋"/>
          <w:b w:val="0"/>
          <w:bCs w:val="0"/>
          <w:color w:val="auto"/>
          <w:kern w:val="2"/>
          <w:sz w:val="30"/>
          <w:szCs w:val="30"/>
          <w:lang w:val="en-US" w:eastAsia="zh-CN" w:bidi="ar-SA"/>
        </w:rPr>
        <w:t>3.报价要求：本项目单次服务报价以秭归中心城区茅坪镇及周边区域30公里内代驾一次的价格为标准进行报价。采购预算单价每次预算为52元，数量共3000次，金额</w:t>
      </w:r>
      <w:bookmarkStart w:id="14" w:name="_GoBack"/>
      <w:bookmarkEnd w:id="14"/>
      <w:r>
        <w:rPr>
          <w:rFonts w:hint="eastAsia" w:ascii="仿宋" w:hAnsi="仿宋" w:eastAsia="仿宋" w:cs="仿宋"/>
          <w:b w:val="0"/>
          <w:bCs w:val="0"/>
          <w:color w:val="auto"/>
          <w:kern w:val="2"/>
          <w:sz w:val="30"/>
          <w:szCs w:val="30"/>
          <w:lang w:val="en-US" w:eastAsia="zh-CN" w:bidi="ar-SA"/>
        </w:rPr>
        <w:t>15.6万元。总价最终根据实际服务量据实结算，但不得超过项目预算总额。甲方按供应商提供的服务清单分期支付服务款至项目结束后全部结算完。</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kern w:val="2"/>
          <w:sz w:val="30"/>
          <w:szCs w:val="30"/>
          <w:lang w:val="en-US" w:eastAsia="zh-CN" w:bidi="ar-SA"/>
        </w:rPr>
      </w:pP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供应商按照以上项目要求提供详细报价、服务方案、联系方式等内容。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详细方案如下：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选定1家供应商提供周期为三个月的茅坪镇及其周边区域“续保专享-护航使者”增值服务。人保合同签署主体为宜昌市分公司，相关要求具体如下：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（一）采购内容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采购茅坪镇及其周边区域“续保专享-护航使者”增值服务。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（二）业务要求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0"/>
          <w:szCs w:val="30"/>
          <w:lang w:val="en-US" w:eastAsia="zh-CN"/>
        </w:rPr>
        <w:t>供应商具有专业代驾服务的资质，代驾服务人员符合资质、技能、素养等行业要求，熟练驾驶手动挡、自动挡等不同车型，掌握倒车、侧方停车等基础操作，能应对城市复杂路况。服务意识强，着装整洁，言行礼貌，尊重客户隐私，不随意触碰车内物品。并设置1名工作人员与支公司对接具体服务清单和后期结算工作。</w:t>
      </w:r>
      <w:r>
        <w:rPr>
          <w:rFonts w:hint="eastAsia" w:ascii="仿宋" w:hAnsi="仿宋" w:eastAsia="仿宋" w:cs="仿宋"/>
          <w:b w:val="0"/>
          <w:bCs w:val="0"/>
          <w:color w:val="auto"/>
          <w:sz w:val="32"/>
          <w:szCs w:val="32"/>
          <w:lang w:val="en-US" w:eastAsia="zh-CN"/>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1"/>
      </w:rPr>
    </w:pPr>
    <w:r>
      <w:fldChar w:fldCharType="begin"/>
    </w:r>
    <w:r>
      <w:rPr>
        <w:rStyle w:val="31"/>
      </w:rPr>
      <w:instrText xml:space="preserve">PAGE  </w:instrText>
    </w:r>
    <w:r>
      <w:fldChar w:fldCharType="separate"/>
    </w:r>
    <w:r>
      <w:rPr>
        <w:rStyle w:val="31"/>
      </w:rPr>
      <w:t>21</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1"/>
      </w:rPr>
    </w:pPr>
    <w:r>
      <w:fldChar w:fldCharType="begin"/>
    </w:r>
    <w:r>
      <w:rPr>
        <w:rStyle w:val="31"/>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6F05E9"/>
    <w:rsid w:val="0800718C"/>
    <w:rsid w:val="09AE389E"/>
    <w:rsid w:val="09D853BD"/>
    <w:rsid w:val="0BAE24F3"/>
    <w:rsid w:val="1D34206D"/>
    <w:rsid w:val="1D8075DB"/>
    <w:rsid w:val="1DB059BE"/>
    <w:rsid w:val="1DEA00A5"/>
    <w:rsid w:val="22AE32F7"/>
    <w:rsid w:val="24684952"/>
    <w:rsid w:val="26B56E70"/>
    <w:rsid w:val="289E2394"/>
    <w:rsid w:val="2B3A77F6"/>
    <w:rsid w:val="2B912AAD"/>
    <w:rsid w:val="2F1E302B"/>
    <w:rsid w:val="2F2C54DF"/>
    <w:rsid w:val="30C7645A"/>
    <w:rsid w:val="32C653AF"/>
    <w:rsid w:val="33811328"/>
    <w:rsid w:val="39655067"/>
    <w:rsid w:val="3AB76714"/>
    <w:rsid w:val="3BEC4873"/>
    <w:rsid w:val="3E637B90"/>
    <w:rsid w:val="4CC536DB"/>
    <w:rsid w:val="4D0142FD"/>
    <w:rsid w:val="4EF63AB3"/>
    <w:rsid w:val="4F6017CA"/>
    <w:rsid w:val="54C70149"/>
    <w:rsid w:val="5AAB43E5"/>
    <w:rsid w:val="5AF11C42"/>
    <w:rsid w:val="5D4C1F65"/>
    <w:rsid w:val="607109A5"/>
    <w:rsid w:val="66B37873"/>
    <w:rsid w:val="672E6405"/>
    <w:rsid w:val="6D224A10"/>
    <w:rsid w:val="72006105"/>
    <w:rsid w:val="72235483"/>
    <w:rsid w:val="7377234F"/>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6"/>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0"/>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49"/>
    <w:qFormat/>
    <w:uiPriority w:val="0"/>
    <w:pPr>
      <w:widowControl/>
      <w:spacing w:line="360" w:lineRule="atLeast"/>
      <w:ind w:left="100" w:leftChars="2500"/>
      <w:jc w:val="left"/>
    </w:pPr>
    <w:rPr>
      <w:kern w:val="0"/>
      <w:sz w:val="24"/>
      <w:szCs w:val="24"/>
    </w:rPr>
  </w:style>
  <w:style w:type="paragraph" w:styleId="18">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2"/>
    <w:next w:val="12"/>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2"/>
    <w:qFormat/>
    <w:uiPriority w:val="99"/>
    <w:rPr>
      <w:sz w:val="18"/>
      <w:szCs w:val="18"/>
    </w:rPr>
  </w:style>
  <w:style w:type="character" w:customStyle="1" w:styleId="37">
    <w:name w:val="标题 1 Char"/>
    <w:basedOn w:val="30"/>
    <w:link w:val="3"/>
    <w:qFormat/>
    <w:uiPriority w:val="9"/>
    <w:rPr>
      <w:rFonts w:ascii="宋体" w:hAnsi="宋体" w:eastAsia="宋体" w:cs="宋体"/>
      <w:b/>
      <w:bCs/>
      <w:kern w:val="36"/>
      <w:szCs w:val="21"/>
    </w:rPr>
  </w:style>
  <w:style w:type="character" w:customStyle="1" w:styleId="38">
    <w:name w:val="标题 2 Char"/>
    <w:basedOn w:val="30"/>
    <w:link w:val="4"/>
    <w:qFormat/>
    <w:uiPriority w:val="9"/>
    <w:rPr>
      <w:rFonts w:ascii="Calibri Light" w:hAnsi="Calibri Light" w:eastAsia="宋体" w:cs="Times New Roman"/>
      <w:b/>
      <w:bCs/>
      <w:sz w:val="32"/>
      <w:szCs w:val="32"/>
    </w:rPr>
  </w:style>
  <w:style w:type="character" w:customStyle="1" w:styleId="39">
    <w:name w:val="标题 3 Char"/>
    <w:basedOn w:val="30"/>
    <w:link w:val="5"/>
    <w:qFormat/>
    <w:uiPriority w:val="9"/>
    <w:rPr>
      <w:rFonts w:ascii="Times New Roman" w:hAnsi="Times New Roman" w:eastAsia="宋体" w:cs="Times New Roman"/>
      <w:b/>
      <w:bCs/>
      <w:kern w:val="0"/>
      <w:sz w:val="32"/>
      <w:szCs w:val="32"/>
    </w:rPr>
  </w:style>
  <w:style w:type="character" w:customStyle="1" w:styleId="40">
    <w:name w:val="标题 4 Char"/>
    <w:basedOn w:val="30"/>
    <w:link w:val="6"/>
    <w:qFormat/>
    <w:uiPriority w:val="9"/>
    <w:rPr>
      <w:rFonts w:ascii="Calibri Light" w:hAnsi="Calibri Light" w:eastAsia="宋体" w:cs="Times New Roman"/>
      <w:b/>
      <w:bCs/>
      <w:sz w:val="28"/>
      <w:szCs w:val="28"/>
    </w:rPr>
  </w:style>
  <w:style w:type="character" w:customStyle="1" w:styleId="41">
    <w:name w:val="标题 5 Char"/>
    <w:basedOn w:val="30"/>
    <w:link w:val="7"/>
    <w:qFormat/>
    <w:uiPriority w:val="9"/>
    <w:rPr>
      <w:rFonts w:ascii="Times New Roman" w:hAnsi="Times New Roman" w:eastAsia="宋体" w:cs="Times New Roman"/>
      <w:b/>
      <w:bCs/>
      <w:sz w:val="28"/>
      <w:szCs w:val="28"/>
    </w:rPr>
  </w:style>
  <w:style w:type="character" w:customStyle="1" w:styleId="42">
    <w:name w:val="标题 6 Char"/>
    <w:basedOn w:val="30"/>
    <w:link w:val="8"/>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7"/>
    <w:qFormat/>
    <w:uiPriority w:val="0"/>
    <w:rPr>
      <w:rFonts w:ascii="Times New Roman" w:hAnsi="Times New Roman" w:eastAsia="宋体" w:cs="Times New Roman"/>
      <w:kern w:val="0"/>
      <w:sz w:val="24"/>
      <w:szCs w:val="24"/>
    </w:rPr>
  </w:style>
  <w:style w:type="character" w:customStyle="1" w:styleId="50">
    <w:name w:val="纯文本 Char"/>
    <w:basedOn w:val="30"/>
    <w:link w:val="15"/>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1"/>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2"/>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2"/>
    <w:next w:val="12"/>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8"/>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10"/>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1"/>
    <w:qFormat/>
    <w:uiPriority w:val="99"/>
    <w:rPr>
      <w:rFonts w:ascii="Microsoft YaHei UI" w:hAnsi="Calibri" w:eastAsia="Microsoft YaHei UI" w:cs="Times New Roman"/>
      <w:sz w:val="18"/>
      <w:szCs w:val="18"/>
    </w:rPr>
  </w:style>
  <w:style w:type="character" w:customStyle="1" w:styleId="117">
    <w:name w:val="批注文字 Char1"/>
    <w:basedOn w:val="30"/>
    <w:link w:val="12"/>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8"/>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 w:type="character" w:customStyle="1" w:styleId="132">
    <w:name w:val="font41"/>
    <w:basedOn w:val="30"/>
    <w:qFormat/>
    <w:uiPriority w:val="0"/>
    <w:rPr>
      <w:rFonts w:hint="eastAsia" w:ascii="仿宋" w:hAnsi="仿宋" w:eastAsia="仿宋" w:cs="仿宋"/>
      <w:color w:val="000000"/>
      <w:sz w:val="21"/>
      <w:szCs w:val="21"/>
      <w:u w:val="none"/>
    </w:rPr>
  </w:style>
  <w:style w:type="character" w:customStyle="1" w:styleId="133">
    <w:name w:val="font31"/>
    <w:basedOn w:val="30"/>
    <w:qFormat/>
    <w:uiPriority w:val="0"/>
    <w:rPr>
      <w:rFonts w:hint="eastAsia" w:ascii="仿宋" w:hAnsi="仿宋" w:eastAsia="仿宋" w:cs="仿宋"/>
      <w:color w:val="000000"/>
      <w:sz w:val="20"/>
      <w:szCs w:val="20"/>
      <w:u w:val="none"/>
    </w:rPr>
  </w:style>
  <w:style w:type="character" w:customStyle="1" w:styleId="134">
    <w:name w:val="font51"/>
    <w:basedOn w:val="30"/>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104</TotalTime>
  <ScaleCrop>false</ScaleCrop>
  <LinksUpToDate>false</LinksUpToDate>
  <CharactersWithSpaces>11754</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文军</cp:lastModifiedBy>
  <dcterms:modified xsi:type="dcterms:W3CDTF">2025-10-13T06:35:27Z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57CD75A06C994E5B9FB261641B1240B6</vt:lpwstr>
  </property>
</Properties>
</file>