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highlight w:val="none"/>
        </w:rPr>
      </w:pPr>
    </w:p>
    <w:p>
      <w:pPr>
        <w:adjustRightInd w:val="0"/>
        <w:snapToGrid w:val="0"/>
        <w:spacing w:line="360" w:lineRule="auto"/>
        <w:jc w:val="center"/>
        <w:rPr>
          <w:rFonts w:hint="eastAsia" w:ascii="仿宋" w:hAnsi="仿宋" w:eastAsia="仿宋" w:cs="仿宋"/>
          <w:bCs/>
          <w:color w:val="000000"/>
          <w:sz w:val="28"/>
          <w:szCs w:val="28"/>
          <w:highlight w:val="none"/>
        </w:rPr>
      </w:pPr>
    </w:p>
    <w:p>
      <w:pPr>
        <w:adjustRightInd w:val="0"/>
        <w:snapToGrid w:val="0"/>
        <w:spacing w:line="360" w:lineRule="auto"/>
        <w:rPr>
          <w:rFonts w:hint="eastAsia" w:ascii="仿宋" w:hAnsi="仿宋" w:eastAsia="仿宋" w:cs="仿宋"/>
          <w:b/>
          <w:color w:val="auto"/>
          <w:sz w:val="44"/>
          <w:szCs w:val="44"/>
          <w:highlight w:val="none"/>
        </w:rPr>
      </w:pPr>
    </w:p>
    <w:p>
      <w:pPr>
        <w:spacing w:before="240"/>
        <w:jc w:val="center"/>
        <w:rPr>
          <w:rStyle w:val="52"/>
          <w:color w:val="auto"/>
          <w:highlight w:val="none"/>
        </w:rPr>
      </w:pP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w:t>
      </w:r>
      <w:r>
        <w:rPr>
          <w:rFonts w:hint="eastAsia" w:ascii="仿宋" w:hAnsi="仿宋" w:eastAsia="仿宋" w:cs="宋体"/>
          <w:b/>
          <w:color w:val="auto"/>
          <w:spacing w:val="40"/>
          <w:sz w:val="36"/>
          <w:szCs w:val="36"/>
          <w:highlight w:val="none"/>
        </w:rPr>
        <w:t>六盘水分公司2025年员工体检采购项目</w:t>
      </w:r>
    </w:p>
    <w:p>
      <w:pPr>
        <w:spacing w:before="240"/>
        <w:jc w:val="center"/>
        <w:rPr>
          <w:rFonts w:hint="eastAsia" w:ascii="仿宋" w:hAnsi="仿宋" w:eastAsia="仿宋" w:cs="宋体"/>
          <w:b/>
          <w:color w:val="auto"/>
          <w:spacing w:val="40"/>
          <w:sz w:val="36"/>
          <w:szCs w:val="36"/>
          <w:highlight w:val="none"/>
        </w:rPr>
      </w:pPr>
      <w:r>
        <w:rPr>
          <w:rFonts w:ascii="仿宋" w:hAnsi="仿宋" w:eastAsia="仿宋" w:cs="宋体"/>
          <w:b/>
          <w:color w:val="auto"/>
          <w:spacing w:val="40"/>
          <w:sz w:val="36"/>
          <w:szCs w:val="36"/>
          <w:highlight w:val="none"/>
        </w:rPr>
        <w:t>标包</w:t>
      </w:r>
      <w:r>
        <w:rPr>
          <w:rFonts w:hint="eastAsia" w:ascii="仿宋" w:hAnsi="仿宋" w:eastAsia="仿宋" w:cs="宋体"/>
          <w:b/>
          <w:color w:val="auto"/>
          <w:spacing w:val="40"/>
          <w:sz w:val="36"/>
          <w:szCs w:val="36"/>
          <w:highlight w:val="none"/>
          <w:lang w:val="en-US" w:eastAsia="zh-CN"/>
        </w:rPr>
        <w:t>1</w:t>
      </w:r>
      <w:r>
        <w:rPr>
          <w:rFonts w:ascii="仿宋" w:hAnsi="仿宋" w:eastAsia="仿宋" w:cs="宋体"/>
          <w:b/>
          <w:color w:val="auto"/>
          <w:spacing w:val="40"/>
          <w:sz w:val="36"/>
          <w:szCs w:val="36"/>
          <w:highlight w:val="none"/>
        </w:rPr>
        <w:t>：</w:t>
      </w: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w:t>
      </w:r>
      <w:r>
        <w:rPr>
          <w:rFonts w:hint="eastAsia" w:ascii="仿宋" w:hAnsi="仿宋" w:eastAsia="仿宋" w:cs="宋体"/>
          <w:b/>
          <w:color w:val="auto"/>
          <w:spacing w:val="40"/>
          <w:sz w:val="36"/>
          <w:szCs w:val="36"/>
          <w:highlight w:val="none"/>
        </w:rPr>
        <w:t>六盘水分公司2025年员工体检</w:t>
      </w:r>
    </w:p>
    <w:p>
      <w:pPr>
        <w:spacing w:before="240"/>
        <w:jc w:val="center"/>
        <w:rPr>
          <w:rStyle w:val="52"/>
          <w:color w:val="auto"/>
          <w:highlight w:val="none"/>
        </w:rPr>
      </w:pPr>
      <w:r>
        <w:rPr>
          <w:rFonts w:hint="eastAsia" w:ascii="仿宋" w:hAnsi="仿宋" w:eastAsia="仿宋" w:cs="宋体"/>
          <w:b/>
          <w:color w:val="auto"/>
          <w:spacing w:val="40"/>
          <w:sz w:val="36"/>
          <w:szCs w:val="36"/>
          <w:highlight w:val="none"/>
        </w:rPr>
        <w:t>采购项目</w:t>
      </w:r>
    </w:p>
    <w:p>
      <w:pPr>
        <w:adjustRightInd w:val="0"/>
        <w:snapToGrid w:val="0"/>
        <w:spacing w:before="240" w:line="360" w:lineRule="auto"/>
        <w:ind w:firstLine="2520" w:firstLineChars="900"/>
        <w:rPr>
          <w:rFonts w:hint="eastAsia" w:ascii="仿宋" w:hAnsi="仿宋" w:eastAsia="仿宋" w:cs="仿宋"/>
          <w:bCs/>
          <w:color w:val="FF0000"/>
          <w:sz w:val="28"/>
          <w:szCs w:val="28"/>
          <w:highlight w:val="none"/>
          <w:lang w:val="en-US" w:eastAsia="zh-CN"/>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pStyle w:val="3"/>
        <w:rPr>
          <w:rFonts w:hint="eastAsia"/>
          <w:highlight w:val="none"/>
        </w:rPr>
      </w:pPr>
    </w:p>
    <w:p>
      <w:pPr>
        <w:rPr>
          <w:rFonts w:hint="eastAsia" w:ascii="仿宋" w:hAnsi="仿宋" w:eastAsia="仿宋" w:cs="仿宋"/>
          <w:color w:val="000000"/>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pStyle w:val="3"/>
        <w:rPr>
          <w:rFonts w:hint="eastAsia"/>
          <w:highlight w:val="none"/>
        </w:rPr>
      </w:pPr>
    </w:p>
    <w:p>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rPr>
        <w:t>竞争性磋商文件</w:t>
      </w: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ascii="仿宋" w:hAnsi="仿宋" w:eastAsia="仿宋" w:cs="仿宋"/>
          <w:b/>
          <w:color w:val="auto"/>
          <w:sz w:val="36"/>
          <w:szCs w:val="36"/>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采购人：中国人民财产保险股份有限公司</w:t>
      </w:r>
      <w:r>
        <w:rPr>
          <w:rFonts w:hint="eastAsia" w:ascii="仿宋" w:hAnsi="仿宋" w:eastAsia="仿宋" w:cs="仿宋"/>
          <w:b/>
          <w:color w:val="auto"/>
          <w:kern w:val="0"/>
          <w:sz w:val="28"/>
          <w:szCs w:val="28"/>
          <w:highlight w:val="none"/>
          <w:lang w:val="en-US" w:eastAsia="zh-CN"/>
        </w:rPr>
        <w:t>六盘水</w:t>
      </w:r>
      <w:r>
        <w:rPr>
          <w:rFonts w:hint="eastAsia" w:ascii="仿宋" w:hAnsi="仿宋" w:eastAsia="仿宋" w:cs="仿宋"/>
          <w:b/>
          <w:color w:val="auto"/>
          <w:kern w:val="0"/>
          <w:sz w:val="28"/>
          <w:szCs w:val="28"/>
          <w:highlight w:val="none"/>
        </w:rPr>
        <w:t>分公司</w:t>
      </w:r>
    </w:p>
    <w:p>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25</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10</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color w:val="000000"/>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pPr>
        <w:pStyle w:val="29"/>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_Toc7289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第一章 竞争性磋商公告</w:t>
      </w:r>
      <w:r>
        <w:tab/>
      </w:r>
      <w:r>
        <w:fldChar w:fldCharType="begin"/>
      </w:r>
      <w:r>
        <w:instrText xml:space="preserve"> PAGEREF _Toc7289 \h </w:instrText>
      </w:r>
      <w:r>
        <w:fldChar w:fldCharType="separate"/>
      </w:r>
      <w:r>
        <w:t>2</w:t>
      </w:r>
      <w:r>
        <w:fldChar w:fldCharType="end"/>
      </w:r>
      <w:r>
        <w:rPr>
          <w:rFonts w:hint="eastAsia" w:ascii="仿宋" w:hAnsi="仿宋" w:eastAsia="仿宋" w:cs="仿宋"/>
          <w:bCs w:val="0"/>
          <w:caps w:val="0"/>
          <w:color w:val="000000"/>
          <w:szCs w:val="24"/>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_Toc13473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_Toc13473 \h </w:instrText>
      </w:r>
      <w:r>
        <w:fldChar w:fldCharType="separate"/>
      </w:r>
      <w:r>
        <w:t>2</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_Toc24134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_Toc24134 \h </w:instrText>
      </w:r>
      <w:r>
        <w:fldChar w:fldCharType="separate"/>
      </w:r>
      <w:r>
        <w:t>2</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_Toc2093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_Toc2093 \h </w:instrText>
      </w:r>
      <w:r>
        <w:fldChar w:fldCharType="separate"/>
      </w:r>
      <w:r>
        <w:t>3</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_Toc24164 \h </w:instrText>
      </w:r>
      <w:r>
        <w:fldChar w:fldCharType="separate"/>
      </w:r>
      <w:r>
        <w:t>3</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_Toc18096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_Toc18096 \h </w:instrText>
      </w:r>
      <w:r>
        <w:fldChar w:fldCharType="separate"/>
      </w:r>
      <w:r>
        <w:t>3</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_Toc22756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_Toc22756 \h </w:instrText>
      </w:r>
      <w:r>
        <w:fldChar w:fldCharType="separate"/>
      </w:r>
      <w:r>
        <w:t>3</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_Toc23853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_Toc23853 \h </w:instrText>
      </w:r>
      <w:r>
        <w:fldChar w:fldCharType="separate"/>
      </w:r>
      <w:r>
        <w:t>3</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_Toc2838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_Toc2838 \h </w:instrText>
      </w:r>
      <w:r>
        <w:fldChar w:fldCharType="separate"/>
      </w:r>
      <w:r>
        <w:t>5</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_Toc20158 \h </w:instrText>
      </w:r>
      <w:r>
        <w:fldChar w:fldCharType="separate"/>
      </w:r>
      <w:r>
        <w:t>5</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_Toc25224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_Toc25224 \h </w:instrText>
      </w:r>
      <w:r>
        <w:fldChar w:fldCharType="separate"/>
      </w:r>
      <w:r>
        <w:t>9</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_Toc30232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_Toc30232 \h </w:instrText>
      </w:r>
      <w:r>
        <w:fldChar w:fldCharType="separate"/>
      </w:r>
      <w:r>
        <w:t>9</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_Toc19730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_Toc19730 \h </w:instrText>
      </w:r>
      <w:r>
        <w:fldChar w:fldCharType="separate"/>
      </w:r>
      <w:r>
        <w:t>9</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_Toc22486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_Toc22486 \h </w:instrText>
      </w:r>
      <w:r>
        <w:fldChar w:fldCharType="separate"/>
      </w:r>
      <w:r>
        <w:t>10</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_Toc31326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_Toc31326 \h </w:instrText>
      </w:r>
      <w:r>
        <w:fldChar w:fldCharType="separate"/>
      </w:r>
      <w:r>
        <w:t>11</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_Toc13432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（五）竞争性磋商和评审</w:t>
      </w:r>
      <w:r>
        <w:tab/>
      </w:r>
      <w:r>
        <w:fldChar w:fldCharType="begin"/>
      </w:r>
      <w:r>
        <w:instrText xml:space="preserve"> PAGEREF _Toc13432 \h </w:instrText>
      </w:r>
      <w:r>
        <w:fldChar w:fldCharType="separate"/>
      </w:r>
      <w:r>
        <w:t>12</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_Toc8839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_Toc8839 \h </w:instrText>
      </w:r>
      <w:r>
        <w:fldChar w:fldCharType="separate"/>
      </w:r>
      <w:r>
        <w:t>13</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_Toc16119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_Toc16119 \h </w:instrText>
      </w:r>
      <w:r>
        <w:fldChar w:fldCharType="separate"/>
      </w:r>
      <w:r>
        <w:t>14</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_Toc17085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_Toc17085 \h </w:instrText>
      </w:r>
      <w:r>
        <w:fldChar w:fldCharType="separate"/>
      </w:r>
      <w:r>
        <w:t>15</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_Toc17755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_Toc17755 \h </w:instrText>
      </w:r>
      <w:r>
        <w:fldChar w:fldCharType="separate"/>
      </w:r>
      <w:r>
        <w:t>15</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_Toc2074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_Toc2074 \h </w:instrText>
      </w:r>
      <w:r>
        <w:fldChar w:fldCharType="separate"/>
      </w:r>
      <w:r>
        <w:t>16</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_Toc17091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_Toc17091 \h </w:instrText>
      </w:r>
      <w:r>
        <w:fldChar w:fldCharType="separate"/>
      </w:r>
      <w:r>
        <w:t>17</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_Toc8712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合同条款</w:t>
      </w:r>
      <w:r>
        <w:tab/>
      </w:r>
      <w:r>
        <w:fldChar w:fldCharType="begin"/>
      </w:r>
      <w:r>
        <w:instrText xml:space="preserve"> PAGEREF _Toc8712 \h </w:instrText>
      </w:r>
      <w:r>
        <w:fldChar w:fldCharType="separate"/>
      </w:r>
      <w:r>
        <w:t>18</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_Toc20138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_Toc20138 \h </w:instrText>
      </w:r>
      <w:r>
        <w:fldChar w:fldCharType="separate"/>
      </w:r>
      <w:r>
        <w:t>25</w:t>
      </w:r>
      <w:r>
        <w:fldChar w:fldCharType="end"/>
      </w:r>
      <w:r>
        <w:rPr>
          <w:rFonts w:hint="eastAsia" w:ascii="仿宋" w:hAnsi="仿宋" w:eastAsia="仿宋" w:cs="仿宋"/>
          <w:caps/>
          <w:color w:val="000000"/>
          <w:highlight w:val="none"/>
        </w:rPr>
        <w:fldChar w:fldCharType="end"/>
      </w:r>
    </w:p>
    <w:p>
      <w:pPr>
        <w:pStyle w:val="29"/>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_Toc16613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_Toc16613 \h </w:instrText>
      </w:r>
      <w:r>
        <w:fldChar w:fldCharType="separate"/>
      </w:r>
      <w:r>
        <w:t>27</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_Toc15227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_Toc15227 \h </w:instrText>
      </w:r>
      <w:r>
        <w:fldChar w:fldCharType="separate"/>
      </w:r>
      <w:r>
        <w:t>28</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_Toc27346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）法定代表人（负责人）身份证明书</w:t>
      </w:r>
      <w:r>
        <w:tab/>
      </w:r>
      <w:r>
        <w:fldChar w:fldCharType="begin"/>
      </w:r>
      <w:r>
        <w:instrText xml:space="preserve"> PAGEREF _Toc27346 \h </w:instrText>
      </w:r>
      <w:r>
        <w:fldChar w:fldCharType="separate"/>
      </w:r>
      <w:r>
        <w:t>30</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rPr>
        <w:t>）法定代表人（负责人）授权委托书</w:t>
      </w:r>
      <w:r>
        <w:tab/>
      </w:r>
      <w:r>
        <w:fldChar w:fldCharType="begin"/>
      </w:r>
      <w:r>
        <w:instrText xml:space="preserve"> PAGEREF _Toc1719 \h </w:instrText>
      </w:r>
      <w:r>
        <w:fldChar w:fldCharType="separate"/>
      </w:r>
      <w:r>
        <w:t>31</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_Toc24512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）资格证明文件</w:t>
      </w:r>
      <w:r>
        <w:tab/>
      </w:r>
      <w:r>
        <w:fldChar w:fldCharType="begin"/>
      </w:r>
      <w:r>
        <w:instrText xml:space="preserve"> PAGEREF _Toc24512 \h </w:instrText>
      </w:r>
      <w:r>
        <w:fldChar w:fldCharType="separate"/>
      </w:r>
      <w:r>
        <w:t>32</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_Toc3883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四</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_Toc3883 \h </w:instrText>
      </w:r>
      <w:r>
        <w:fldChar w:fldCharType="separate"/>
      </w:r>
      <w:r>
        <w:t>40</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_Toc20293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五</w:t>
      </w:r>
      <w:r>
        <w:rPr>
          <w:rFonts w:hint="eastAsia" w:ascii="仿宋" w:hAnsi="仿宋" w:eastAsia="仿宋" w:cs="仿宋"/>
          <w:szCs w:val="24"/>
          <w:highlight w:val="none"/>
        </w:rPr>
        <w:t>）供应商行为准则承诺书</w:t>
      </w:r>
      <w:r>
        <w:tab/>
      </w:r>
      <w:r>
        <w:fldChar w:fldCharType="begin"/>
      </w:r>
      <w:r>
        <w:instrText xml:space="preserve"> PAGEREF _Toc20293 \h </w:instrText>
      </w:r>
      <w:r>
        <w:fldChar w:fldCharType="separate"/>
      </w:r>
      <w:r>
        <w:t>42</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_Toc27157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六</w:t>
      </w:r>
      <w:r>
        <w:rPr>
          <w:rFonts w:hint="eastAsia" w:ascii="仿宋" w:hAnsi="仿宋" w:eastAsia="仿宋" w:cs="宋体"/>
          <w:bCs w:val="0"/>
          <w:szCs w:val="24"/>
          <w:highlight w:val="none"/>
        </w:rPr>
        <w:t>）供应商廉洁诚信承诺书</w:t>
      </w:r>
      <w:r>
        <w:tab/>
      </w:r>
      <w:r>
        <w:fldChar w:fldCharType="begin"/>
      </w:r>
      <w:r>
        <w:instrText xml:space="preserve"> PAGEREF _Toc27157 \h </w:instrText>
      </w:r>
      <w:r>
        <w:fldChar w:fldCharType="separate"/>
      </w:r>
      <w:r>
        <w:t>44</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_Toc30143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）采购需求应答偏离表</w:t>
      </w:r>
      <w:r>
        <w:tab/>
      </w:r>
      <w:r>
        <w:fldChar w:fldCharType="begin"/>
      </w:r>
      <w:r>
        <w:instrText xml:space="preserve"> PAGEREF _Toc30143 \h </w:instrText>
      </w:r>
      <w:r>
        <w:fldChar w:fldCharType="separate"/>
      </w:r>
      <w:r>
        <w:t>47</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_Toc13858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八</w:t>
      </w:r>
      <w:r>
        <w:rPr>
          <w:rFonts w:hint="eastAsia" w:ascii="仿宋" w:hAnsi="仿宋" w:eastAsia="仿宋" w:cs="仿宋"/>
          <w:szCs w:val="24"/>
          <w:highlight w:val="none"/>
        </w:rPr>
        <w:t>）技术方案</w:t>
      </w:r>
      <w:r>
        <w:tab/>
      </w:r>
      <w:r>
        <w:fldChar w:fldCharType="begin"/>
      </w:r>
      <w:r>
        <w:instrText xml:space="preserve"> PAGEREF _Toc13858 \h </w:instrText>
      </w:r>
      <w:r>
        <w:fldChar w:fldCharType="separate"/>
      </w:r>
      <w:r>
        <w:t>48</w:t>
      </w:r>
      <w:r>
        <w:fldChar w:fldCharType="end"/>
      </w:r>
      <w:r>
        <w:rPr>
          <w:rFonts w:hint="eastAsia" w:ascii="仿宋" w:hAnsi="仿宋" w:eastAsia="仿宋" w:cs="仿宋"/>
          <w:caps/>
          <w:color w:val="000000"/>
          <w:highlight w:val="none"/>
        </w:rPr>
        <w:fldChar w:fldCharType="end"/>
      </w:r>
    </w:p>
    <w:p>
      <w:pPr>
        <w:pStyle w:val="34"/>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_Toc9156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_Toc9156 \h </w:instrText>
      </w:r>
      <w:r>
        <w:fldChar w:fldCharType="separate"/>
      </w:r>
      <w:r>
        <w:t>51</w:t>
      </w:r>
      <w:r>
        <w:fldChar w:fldCharType="end"/>
      </w:r>
      <w:r>
        <w:rPr>
          <w:rFonts w:hint="eastAsia" w:ascii="仿宋" w:hAnsi="仿宋" w:eastAsia="仿宋" w:cs="仿宋"/>
          <w:caps/>
          <w:color w:val="000000"/>
          <w:highlight w:val="none"/>
        </w:rPr>
        <w:fldChar w:fldCharType="end"/>
      </w:r>
    </w:p>
    <w:p>
      <w:pPr>
        <w:pStyle w:val="21"/>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_Toc940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w:t>
      </w:r>
      <w:r>
        <w:rPr>
          <w:rFonts w:hint="eastAsia" w:ascii="仿宋" w:hAnsi="仿宋" w:eastAsia="仿宋" w:cs="仿宋"/>
          <w:szCs w:val="24"/>
          <w:highlight w:val="none"/>
          <w:lang w:val="en-US" w:eastAsia="zh-CN"/>
        </w:rPr>
        <w:t>分项报价</w:t>
      </w:r>
      <w:r>
        <w:rPr>
          <w:rFonts w:hint="eastAsia" w:ascii="仿宋" w:hAnsi="仿宋" w:eastAsia="仿宋" w:cs="仿宋"/>
          <w:szCs w:val="24"/>
          <w:highlight w:val="none"/>
        </w:rPr>
        <w:t>一览表</w:t>
      </w:r>
      <w:r>
        <w:tab/>
      </w:r>
      <w:r>
        <w:fldChar w:fldCharType="begin"/>
      </w:r>
      <w:r>
        <w:instrText xml:space="preserve"> PAGEREF _Toc940 \h </w:instrText>
      </w:r>
      <w:r>
        <w:fldChar w:fldCharType="separate"/>
      </w:r>
      <w:r>
        <w:t>51</w:t>
      </w:r>
      <w:r>
        <w:fldChar w:fldCharType="end"/>
      </w:r>
      <w:r>
        <w:rPr>
          <w:rFonts w:hint="eastAsia" w:ascii="仿宋" w:hAnsi="仿宋" w:eastAsia="仿宋" w:cs="仿宋"/>
          <w:caps/>
          <w:color w:val="000000"/>
          <w:highlight w:val="none"/>
        </w:rPr>
        <w:fldChar w:fldCharType="end"/>
      </w:r>
    </w:p>
    <w:p>
      <w:pPr>
        <w:pStyle w:val="21"/>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pPr>
        <w:pStyle w:val="4"/>
        <w:spacing w:before="0" w:after="0" w:line="360" w:lineRule="auto"/>
        <w:jc w:val="center"/>
        <w:rPr>
          <w:rFonts w:ascii="仿宋" w:hAnsi="仿宋" w:eastAsia="仿宋" w:cs="仿宋"/>
          <w:bCs w:val="0"/>
          <w:color w:val="000000"/>
          <w:sz w:val="28"/>
          <w:szCs w:val="28"/>
          <w:highlight w:val="none"/>
        </w:rPr>
      </w:pPr>
      <w:bookmarkStart w:id="1" w:name="_Toc7289"/>
      <w:bookmarkStart w:id="2" w:name="_Toc11826"/>
      <w:bookmarkStart w:id="3" w:name="_Toc444891333"/>
      <w:bookmarkStart w:id="4" w:name="_Toc287600115"/>
      <w:bookmarkStart w:id="5" w:name="_Toc517281813"/>
      <w:bookmarkStart w:id="6" w:name="_Toc19709"/>
      <w:bookmarkStart w:id="7" w:name="_Toc11838"/>
      <w:bookmarkStart w:id="8" w:name="_Toc7300"/>
      <w:r>
        <w:rPr>
          <w:rFonts w:hint="eastAsia" w:ascii="仿宋" w:hAnsi="仿宋" w:eastAsia="仿宋" w:cs="仿宋"/>
          <w:bCs w:val="0"/>
          <w:color w:val="000000"/>
          <w:sz w:val="28"/>
          <w:szCs w:val="28"/>
          <w:highlight w:val="none"/>
        </w:rPr>
        <w:t>第一章 竞争性磋商公告</w:t>
      </w:r>
      <w:bookmarkEnd w:id="1"/>
    </w:p>
    <w:p>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val="en-US" w:eastAsia="zh-CN"/>
        </w:rPr>
        <w:t>人保财险</w:t>
      </w:r>
      <w:r>
        <w:rPr>
          <w:rFonts w:hint="eastAsia" w:ascii="仿宋" w:hAnsi="仿宋" w:eastAsia="仿宋" w:cs="仿宋"/>
          <w:color w:val="auto"/>
          <w:sz w:val="24"/>
          <w:highlight w:val="none"/>
          <w:u w:val="single"/>
        </w:rPr>
        <w:t>六盘水分公司2025年员工体检采购项目</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val="en-US" w:eastAsia="zh-CN"/>
        </w:rPr>
        <w:t>六盘水</w:t>
      </w:r>
      <w:r>
        <w:rPr>
          <w:rFonts w:hint="eastAsia" w:ascii="仿宋" w:hAnsi="仿宋" w:eastAsia="仿宋" w:cs="仿宋"/>
          <w:color w:val="auto"/>
          <w:sz w:val="24"/>
          <w:highlight w:val="none"/>
          <w:u w:val="single"/>
        </w:rPr>
        <w:t>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六盘水</w:t>
      </w:r>
      <w:r>
        <w:rPr>
          <w:rFonts w:hint="eastAsia" w:ascii="仿宋" w:hAnsi="仿宋" w:eastAsia="仿宋" w:cs="宋体"/>
          <w:color w:val="auto"/>
          <w:sz w:val="24"/>
          <w:highlight w:val="none"/>
          <w:u w:val="single"/>
        </w:rPr>
        <w:t>分公司</w:t>
      </w:r>
      <w:r>
        <w:rPr>
          <w:rFonts w:hint="eastAsia" w:ascii="仿宋" w:hAnsi="仿宋" w:eastAsia="仿宋" w:cs="宋体"/>
          <w:color w:val="auto"/>
          <w:sz w:val="24"/>
          <w:highlight w:val="none"/>
        </w:rPr>
        <w:t>（以下简称“人保</w:t>
      </w:r>
      <w:r>
        <w:rPr>
          <w:rFonts w:hint="eastAsia" w:ascii="仿宋" w:hAnsi="仿宋" w:eastAsia="仿宋" w:cs="宋体"/>
          <w:color w:val="auto"/>
          <w:sz w:val="24"/>
          <w:highlight w:val="none"/>
          <w:lang w:val="en-US" w:eastAsia="zh-CN"/>
        </w:rPr>
        <w:t>财险六盘水分公司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pPr>
        <w:pStyle w:val="5"/>
        <w:ind w:firstLine="0" w:firstLineChars="0"/>
        <w:jc w:val="left"/>
        <w:rPr>
          <w:rFonts w:hint="eastAsia" w:ascii="仿宋" w:hAnsi="仿宋" w:eastAsia="仿宋" w:cs="仿宋"/>
          <w:color w:val="000000"/>
          <w:sz w:val="24"/>
          <w:szCs w:val="24"/>
          <w:highlight w:val="none"/>
        </w:rPr>
      </w:pPr>
      <w:bookmarkStart w:id="9" w:name="_Toc13473"/>
      <w:r>
        <w:rPr>
          <w:rFonts w:hint="eastAsia" w:ascii="仿宋" w:hAnsi="仿宋" w:eastAsia="仿宋" w:cs="仿宋"/>
          <w:color w:val="000000"/>
          <w:sz w:val="24"/>
          <w:szCs w:val="24"/>
          <w:highlight w:val="none"/>
        </w:rPr>
        <w:t>一、项目概况与采购范围</w:t>
      </w:r>
      <w:bookmarkEnd w:id="9"/>
    </w:p>
    <w:p>
      <w:pPr>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1.1 项目名称：</w:t>
      </w:r>
      <w:r>
        <w:rPr>
          <w:rFonts w:hint="eastAsia" w:ascii="仿宋" w:hAnsi="仿宋" w:eastAsia="仿宋" w:cs="仿宋"/>
          <w:color w:val="auto"/>
          <w:sz w:val="24"/>
          <w:highlight w:val="none"/>
          <w:u w:val="single"/>
          <w:lang w:val="en-US" w:eastAsia="zh-CN"/>
        </w:rPr>
        <w:t>人保财险</w:t>
      </w:r>
      <w:r>
        <w:rPr>
          <w:rFonts w:hint="eastAsia" w:ascii="仿宋" w:hAnsi="仿宋" w:eastAsia="仿宋" w:cs="仿宋"/>
          <w:color w:val="auto"/>
          <w:sz w:val="24"/>
          <w:highlight w:val="none"/>
          <w:u w:val="single"/>
        </w:rPr>
        <w:t>六盘水分公司2025年员工体检采购项目</w:t>
      </w:r>
      <w:r>
        <w:rPr>
          <w:rFonts w:hint="eastAsia" w:ascii="仿宋" w:hAnsi="仿宋" w:eastAsia="仿宋" w:cs="仿宋"/>
          <w:color w:val="000000"/>
          <w:sz w:val="24"/>
          <w:highlight w:val="none"/>
        </w:rPr>
        <w:t>。</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000000"/>
          <w:sz w:val="24"/>
          <w:highlight w:val="none"/>
        </w:rPr>
        <w:t>1.2 采购范围：</w:t>
      </w:r>
      <w:r>
        <w:rPr>
          <w:rFonts w:hint="eastAsia" w:ascii="仿宋" w:hAnsi="仿宋" w:eastAsia="仿宋" w:cs="仿宋"/>
          <w:color w:val="auto"/>
          <w:sz w:val="24"/>
          <w:highlight w:val="none"/>
          <w:u w:val="single"/>
          <w:lang w:val="en-US" w:eastAsia="zh-CN"/>
        </w:rPr>
        <w:t>本项目拟采购六</w:t>
      </w:r>
      <w:r>
        <w:rPr>
          <w:rFonts w:hint="eastAsia" w:ascii="仿宋" w:hAnsi="仿宋" w:eastAsia="仿宋" w:cs="仿宋"/>
          <w:color w:val="auto"/>
          <w:sz w:val="24"/>
          <w:highlight w:val="none"/>
          <w:u w:val="single"/>
        </w:rPr>
        <w:t>盘水分公司2025年员工体检</w:t>
      </w:r>
      <w:r>
        <w:rPr>
          <w:rFonts w:hint="eastAsia" w:ascii="仿宋" w:hAnsi="仿宋" w:eastAsia="仿宋" w:cs="仿宋"/>
          <w:color w:val="000000"/>
          <w:sz w:val="24"/>
          <w:highlight w:val="none"/>
        </w:rPr>
        <w:t>，具体技术要求详见第五章采购</w:t>
      </w:r>
      <w:r>
        <w:rPr>
          <w:rFonts w:hint="eastAsia" w:ascii="仿宋" w:hAnsi="仿宋" w:eastAsia="仿宋" w:cs="仿宋"/>
          <w:color w:val="auto"/>
          <w:sz w:val="24"/>
          <w:highlight w:val="none"/>
        </w:rPr>
        <w:t>需求。</w:t>
      </w:r>
    </w:p>
    <w:p>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1.3 标包划分：</w:t>
      </w:r>
      <w:r>
        <w:rPr>
          <w:rFonts w:hint="eastAsia" w:ascii="仿宋" w:hAnsi="仿宋" w:eastAsia="仿宋" w:cs="宋体"/>
          <w:color w:val="auto"/>
          <w:sz w:val="24"/>
          <w:highlight w:val="none"/>
        </w:rPr>
        <w:t>本项目不划分标包，情况如下：</w:t>
      </w:r>
    </w:p>
    <w:tbl>
      <w:tblPr>
        <w:tblStyle w:val="41"/>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3094"/>
        <w:gridCol w:w="2353"/>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pPr>
              <w:widowControl/>
              <w:jc w:val="center"/>
              <w:rPr>
                <w:rFonts w:hint="eastAsia" w:ascii="仿宋" w:hAnsi="仿宋" w:eastAsia="仿宋" w:cs="宋体"/>
                <w:b/>
                <w:bCs/>
                <w:color w:val="auto"/>
                <w:kern w:val="0"/>
                <w:sz w:val="24"/>
                <w:highlight w:val="none"/>
              </w:rPr>
            </w:pPr>
            <w:r>
              <w:rPr>
                <w:rFonts w:hint="eastAsia" w:ascii="仿宋" w:hAnsi="仿宋" w:eastAsia="仿宋" w:cs="宋体"/>
                <w:b/>
                <w:bCs/>
                <w:color w:val="auto"/>
                <w:kern w:val="0"/>
                <w:sz w:val="24"/>
                <w:highlight w:val="none"/>
              </w:rPr>
              <w:t>标包号</w:t>
            </w:r>
          </w:p>
        </w:tc>
        <w:tc>
          <w:tcPr>
            <w:tcW w:w="1853" w:type="pct"/>
            <w:noWrap w:val="0"/>
            <w:vAlign w:val="center"/>
          </w:tcPr>
          <w:p>
            <w:pPr>
              <w:widowControl/>
              <w:jc w:val="center"/>
              <w:rPr>
                <w:rFonts w:hint="eastAsia" w:ascii="仿宋" w:hAnsi="仿宋" w:eastAsia="仿宋" w:cs="宋体"/>
                <w:b/>
                <w:bCs/>
                <w:color w:val="auto"/>
                <w:sz w:val="24"/>
                <w:highlight w:val="none"/>
              </w:rPr>
            </w:pPr>
            <w:r>
              <w:rPr>
                <w:rFonts w:hint="eastAsia" w:ascii="仿宋" w:hAnsi="仿宋" w:eastAsia="仿宋" w:cs="宋体"/>
                <w:b/>
                <w:bCs/>
                <w:color w:val="auto"/>
                <w:kern w:val="0"/>
                <w:sz w:val="24"/>
                <w:highlight w:val="none"/>
              </w:rPr>
              <w:t>标包名称</w:t>
            </w:r>
          </w:p>
        </w:tc>
        <w:tc>
          <w:tcPr>
            <w:tcW w:w="1409" w:type="pct"/>
            <w:noWrap w:val="0"/>
            <w:vAlign w:val="center"/>
          </w:tcPr>
          <w:p>
            <w:pPr>
              <w:widowControl/>
              <w:jc w:val="center"/>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采购内容</w:t>
            </w:r>
          </w:p>
        </w:tc>
        <w:tc>
          <w:tcPr>
            <w:tcW w:w="1018" w:type="pct"/>
            <w:noWrap w:val="0"/>
            <w:vAlign w:val="center"/>
          </w:tcPr>
          <w:p>
            <w:pPr>
              <w:widowControl/>
              <w:jc w:val="center"/>
              <w:rPr>
                <w:rFonts w:hint="eastAsia" w:ascii="仿宋" w:hAnsi="仿宋" w:eastAsia="仿宋" w:cs="宋体"/>
                <w:b/>
                <w:bCs/>
                <w:color w:val="auto"/>
                <w:kern w:val="0"/>
                <w:sz w:val="24"/>
                <w:highlight w:val="none"/>
              </w:rPr>
            </w:pPr>
            <w:r>
              <w:rPr>
                <w:rFonts w:hint="eastAsia" w:ascii="仿宋" w:hAnsi="仿宋" w:eastAsia="仿宋" w:cs="宋体"/>
                <w:b/>
                <w:bCs/>
                <w:color w:val="auto"/>
                <w:kern w:val="0"/>
                <w:sz w:val="24"/>
                <w:highlight w:val="none"/>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rPr>
              <w:t>标包1</w:t>
            </w:r>
          </w:p>
        </w:tc>
        <w:tc>
          <w:tcPr>
            <w:tcW w:w="1853"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仿宋"/>
                <w:color w:val="auto"/>
                <w:sz w:val="24"/>
                <w:highlight w:val="none"/>
                <w:u w:val="none"/>
                <w:lang w:val="en-US" w:eastAsia="zh-CN"/>
              </w:rPr>
              <w:t>人保财险</w:t>
            </w:r>
            <w:r>
              <w:rPr>
                <w:rFonts w:hint="eastAsia" w:ascii="仿宋" w:hAnsi="仿宋" w:eastAsia="仿宋" w:cs="仿宋"/>
                <w:color w:val="auto"/>
                <w:sz w:val="24"/>
                <w:highlight w:val="none"/>
                <w:u w:val="none"/>
              </w:rPr>
              <w:t>六盘水分公司2025年员工体检采购项目</w:t>
            </w:r>
          </w:p>
        </w:tc>
        <w:tc>
          <w:tcPr>
            <w:tcW w:w="1409" w:type="pct"/>
            <w:noWrap w:val="0"/>
            <w:vAlign w:val="center"/>
          </w:tcPr>
          <w:p>
            <w:pPr>
              <w:widowControl/>
              <w:jc w:val="center"/>
              <w:rPr>
                <w:rFonts w:hint="eastAsia" w:ascii="仿宋" w:hAnsi="仿宋" w:eastAsia="仿宋" w:cs="宋体"/>
                <w:color w:val="auto"/>
                <w:kern w:val="0"/>
                <w:sz w:val="24"/>
                <w:highlight w:val="none"/>
                <w:lang w:val="en-US" w:eastAsia="zh-CN"/>
              </w:rPr>
            </w:pPr>
            <w:r>
              <w:rPr>
                <w:rFonts w:hint="eastAsia" w:ascii="仿宋" w:hAnsi="仿宋" w:eastAsia="仿宋" w:cs="仿宋"/>
                <w:color w:val="auto"/>
                <w:sz w:val="24"/>
                <w:highlight w:val="none"/>
                <w:u w:val="none"/>
              </w:rPr>
              <w:t>员工体检采购</w:t>
            </w:r>
          </w:p>
        </w:tc>
        <w:tc>
          <w:tcPr>
            <w:tcW w:w="1018" w:type="pct"/>
            <w:noWrap w:val="0"/>
            <w:vAlign w:val="center"/>
          </w:tcPr>
          <w:p>
            <w:pPr>
              <w:widowControl/>
              <w:jc w:val="center"/>
              <w:rPr>
                <w:rFonts w:hint="eastAsia" w:ascii="仿宋" w:hAnsi="仿宋" w:eastAsia="仿宋" w:cs="宋体"/>
                <w:color w:val="auto"/>
                <w:kern w:val="0"/>
                <w:sz w:val="24"/>
                <w:highlight w:val="none"/>
              </w:rPr>
            </w:pPr>
            <w:r>
              <w:rPr>
                <w:rFonts w:hint="eastAsia" w:ascii="仿宋" w:hAnsi="仿宋" w:eastAsia="仿宋" w:cs="宋体"/>
                <w:color w:val="auto"/>
                <w:kern w:val="0"/>
                <w:sz w:val="24"/>
                <w:highlight w:val="none"/>
                <w:lang w:val="en-US" w:eastAsia="zh-CN"/>
              </w:rPr>
              <w:t>1</w:t>
            </w:r>
            <w:r>
              <w:rPr>
                <w:rFonts w:hint="eastAsia" w:ascii="仿宋" w:hAnsi="仿宋" w:eastAsia="仿宋" w:cs="宋体"/>
                <w:color w:val="auto"/>
                <w:kern w:val="0"/>
                <w:sz w:val="24"/>
                <w:highlight w:val="none"/>
              </w:rPr>
              <w:t>个</w:t>
            </w:r>
          </w:p>
        </w:tc>
      </w:tr>
    </w:tbl>
    <w:p>
      <w:pPr>
        <w:adjustRightInd w:val="0"/>
        <w:snapToGrid w:val="0"/>
        <w:spacing w:before="240" w:line="360" w:lineRule="auto"/>
        <w:ind w:firstLine="480" w:firstLineChars="200"/>
        <w:jc w:val="left"/>
        <w:rPr>
          <w:rFonts w:ascii="仿宋" w:hAnsi="仿宋" w:eastAsia="仿宋" w:cs="仿宋"/>
          <w:color w:val="auto"/>
          <w:sz w:val="24"/>
          <w:highlight w:val="none"/>
        </w:rPr>
      </w:pPr>
      <w:r>
        <w:rPr>
          <w:rFonts w:ascii="仿宋" w:hAnsi="仿宋" w:eastAsia="仿宋" w:cs="仿宋"/>
          <w:color w:val="auto"/>
          <w:sz w:val="24"/>
          <w:highlight w:val="none"/>
        </w:rPr>
        <w:t>1.4</w:t>
      </w:r>
      <w:r>
        <w:rPr>
          <w:rFonts w:ascii="仿宋" w:hAnsi="仿宋" w:cs="仿宋"/>
          <w:color w:val="auto"/>
          <w:sz w:val="24"/>
          <w:highlight w:val="none"/>
        </w:rPr>
        <w:t xml:space="preserve"> </w:t>
      </w:r>
      <w:r>
        <w:rPr>
          <w:rFonts w:hint="eastAsia" w:ascii="仿宋" w:hAnsi="仿宋" w:eastAsia="仿宋" w:cs="仿宋"/>
          <w:color w:val="auto"/>
          <w:sz w:val="24"/>
          <w:highlight w:val="none"/>
        </w:rPr>
        <w:t>项目性质：</w:t>
      </w:r>
      <w:r>
        <w:rPr>
          <w:rFonts w:hint="eastAsia" w:ascii="仿宋" w:hAnsi="仿宋" w:eastAsia="仿宋" w:cs="宋体"/>
          <w:color w:val="auto"/>
          <w:sz w:val="24"/>
          <w:highlight w:val="none"/>
        </w:rPr>
        <w:t>服务</w:t>
      </w:r>
      <w:r>
        <w:rPr>
          <w:rFonts w:hint="eastAsia" w:ascii="仿宋" w:hAnsi="仿宋" w:eastAsia="仿宋" w:cs="仿宋"/>
          <w:color w:val="auto"/>
          <w:sz w:val="24"/>
          <w:highlight w:val="none"/>
        </w:rPr>
        <w:t>。</w:t>
      </w:r>
    </w:p>
    <w:p>
      <w:pPr>
        <w:adjustRightInd w:val="0"/>
        <w:snapToGri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5</w:t>
      </w:r>
      <w:r>
        <w:rPr>
          <w:rFonts w:hint="eastAsia" w:ascii="仿宋" w:hAnsi="仿宋" w:eastAsia="仿宋" w:cs="仿宋"/>
          <w:color w:val="auto"/>
          <w:sz w:val="24"/>
          <w:highlight w:val="none"/>
        </w:rPr>
        <w:t>服务期限：</w:t>
      </w:r>
      <w:r>
        <w:rPr>
          <w:rFonts w:hint="eastAsia" w:ascii="仿宋" w:hAnsi="仿宋" w:eastAsia="仿宋" w:cs="仿宋"/>
          <w:color w:val="auto"/>
          <w:sz w:val="24"/>
          <w:highlight w:val="none"/>
          <w:lang w:val="en-US" w:eastAsia="zh-CN"/>
        </w:rPr>
        <w:t>一年</w:t>
      </w:r>
      <w:r>
        <w:rPr>
          <w:rFonts w:hint="eastAsia" w:ascii="仿宋" w:hAnsi="仿宋" w:eastAsia="仿宋" w:cs="宋体"/>
          <w:color w:val="auto"/>
          <w:sz w:val="24"/>
          <w:highlight w:val="none"/>
        </w:rPr>
        <w:t>。</w:t>
      </w:r>
    </w:p>
    <w:p>
      <w:pPr>
        <w:adjustRightInd w:val="0"/>
        <w:snapToGrid w:val="0"/>
        <w:spacing w:line="360" w:lineRule="auto"/>
        <w:ind w:firstLine="480" w:firstLineChars="200"/>
        <w:jc w:val="left"/>
        <w:rPr>
          <w:rFonts w:hint="eastAsia" w:ascii="仿宋" w:hAnsi="仿宋" w:eastAsia="仿宋" w:cs="宋体"/>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6</w:t>
      </w:r>
      <w:r>
        <w:rPr>
          <w:rFonts w:hint="eastAsia" w:ascii="仿宋" w:hAnsi="仿宋" w:eastAsia="仿宋" w:cs="宋体"/>
          <w:color w:val="auto"/>
          <w:sz w:val="24"/>
          <w:highlight w:val="none"/>
        </w:rPr>
        <w:t>服务地点：</w:t>
      </w:r>
      <w:r>
        <w:rPr>
          <w:rFonts w:hint="eastAsia" w:ascii="仿宋" w:hAnsi="仿宋" w:eastAsia="仿宋" w:cs="宋体"/>
          <w:color w:val="auto"/>
          <w:sz w:val="24"/>
          <w:highlight w:val="none"/>
          <w:lang w:val="en-US" w:eastAsia="zh-CN"/>
        </w:rPr>
        <w:t>钟山区及水城区</w:t>
      </w:r>
      <w:r>
        <w:rPr>
          <w:rFonts w:hint="eastAsia" w:ascii="仿宋" w:hAnsi="仿宋" w:eastAsia="仿宋" w:cs="宋体"/>
          <w:color w:val="auto"/>
          <w:sz w:val="24"/>
          <w:highlight w:val="none"/>
        </w:rPr>
        <w:t>。</w:t>
      </w:r>
    </w:p>
    <w:p>
      <w:pPr>
        <w:pStyle w:val="5"/>
        <w:ind w:firstLine="0" w:firstLineChars="0"/>
        <w:jc w:val="left"/>
        <w:rPr>
          <w:rFonts w:hint="eastAsia" w:ascii="仿宋" w:hAnsi="仿宋" w:eastAsia="仿宋" w:cs="仿宋"/>
          <w:color w:val="000000"/>
          <w:sz w:val="24"/>
          <w:szCs w:val="24"/>
          <w:highlight w:val="none"/>
        </w:rPr>
      </w:pPr>
      <w:bookmarkStart w:id="10" w:name="_Toc24134"/>
      <w:r>
        <w:rPr>
          <w:rFonts w:hint="eastAsia" w:ascii="仿宋" w:hAnsi="仿宋" w:eastAsia="仿宋" w:cs="仿宋"/>
          <w:color w:val="000000"/>
          <w:sz w:val="24"/>
          <w:szCs w:val="24"/>
          <w:highlight w:val="none"/>
        </w:rPr>
        <w:t>二、供应商资格要求</w:t>
      </w:r>
      <w:bookmarkEnd w:id="10"/>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2.1</w:t>
      </w:r>
      <w:r>
        <w:rPr>
          <w:rFonts w:hint="eastAsia" w:ascii="仿宋" w:hAnsi="仿宋" w:eastAsia="仿宋" w:cs="宋体"/>
          <w:b/>
          <w:bCs/>
          <w:color w:val="000000"/>
          <w:sz w:val="24"/>
          <w:highlight w:val="none"/>
        </w:rPr>
        <w:t>在中华人民共和国境内依法登记的法人或其他组织，具有独立承担民事责任的能力，</w:t>
      </w:r>
      <w:r>
        <w:rPr>
          <w:rFonts w:hint="eastAsia" w:ascii="仿宋" w:hAnsi="仿宋" w:eastAsia="仿宋" w:cs="宋体"/>
          <w:color w:val="000000"/>
          <w:sz w:val="24"/>
          <w:highlight w:val="none"/>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2</w:t>
      </w:r>
      <w:r>
        <w:rPr>
          <w:rFonts w:hint="eastAsia" w:ascii="仿宋" w:hAnsi="仿宋" w:eastAsia="仿宋" w:cs="宋体"/>
          <w:b/>
          <w:bCs/>
          <w:color w:val="000000"/>
          <w:sz w:val="24"/>
          <w:highlight w:val="none"/>
        </w:rPr>
        <w:t>供应商应经营状况良好，且近三年内（</w:t>
      </w:r>
      <w:r>
        <w:rPr>
          <w:rFonts w:hint="eastAsia" w:ascii="仿宋" w:hAnsi="仿宋" w:eastAsia="仿宋" w:cs="宋体"/>
          <w:b/>
          <w:bCs/>
          <w:color w:val="auto"/>
          <w:sz w:val="24"/>
          <w:highlight w:val="none"/>
        </w:rPr>
        <w:t>20</w:t>
      </w:r>
      <w:r>
        <w:rPr>
          <w:rFonts w:hint="eastAsia" w:ascii="仿宋" w:hAnsi="仿宋" w:eastAsia="仿宋" w:cs="宋体"/>
          <w:b/>
          <w:bCs/>
          <w:color w:val="auto"/>
          <w:sz w:val="24"/>
          <w:highlight w:val="none"/>
          <w:lang w:val="en-US" w:eastAsia="zh-CN"/>
        </w:rPr>
        <w:t>22</w:t>
      </w:r>
      <w:r>
        <w:rPr>
          <w:rFonts w:hint="eastAsia" w:ascii="仿宋" w:hAnsi="仿宋" w:eastAsia="仿宋" w:cs="宋体"/>
          <w:b/>
          <w:bCs/>
          <w:color w:val="000000"/>
          <w:sz w:val="24"/>
          <w:highlight w:val="none"/>
        </w:rPr>
        <w:t>年1月1日至今）无违法违规记录。</w:t>
      </w:r>
      <w:r>
        <w:rPr>
          <w:rFonts w:hint="eastAsia" w:ascii="仿宋" w:hAnsi="仿宋" w:eastAsia="仿宋" w:cs="宋体"/>
          <w:color w:val="000000"/>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信用中国查询网址：https://www.creditchina.gov.cn/xinyongfuwu/?navPage=5</w:t>
      </w:r>
    </w:p>
    <w:p>
      <w:pPr>
        <w:spacing w:line="360" w:lineRule="auto"/>
        <w:ind w:firstLine="480" w:firstLineChars="200"/>
        <w:textAlignment w:val="baseline"/>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3</w:t>
      </w:r>
      <w:r>
        <w:rPr>
          <w:rFonts w:hint="eastAsia" w:ascii="仿宋" w:hAnsi="仿宋" w:eastAsia="仿宋" w:cs="宋体"/>
          <w:color w:val="000000"/>
          <w:sz w:val="24"/>
          <w:highlight w:val="none"/>
        </w:rPr>
        <w:t xml:space="preserve"> </w:t>
      </w:r>
      <w:r>
        <w:rPr>
          <w:rFonts w:hint="eastAsia" w:ascii="仿宋" w:hAnsi="仿宋" w:eastAsia="仿宋" w:cs="宋体"/>
          <w:b/>
          <w:bCs/>
          <w:color w:val="000000"/>
          <w:sz w:val="24"/>
          <w:highlight w:val="none"/>
        </w:rPr>
        <w:t>严禁列入</w:t>
      </w:r>
      <w:r>
        <w:rPr>
          <w:rFonts w:hint="eastAsia" w:ascii="仿宋" w:hAnsi="仿宋" w:eastAsia="仿宋" w:cs="宋体"/>
          <w:b/>
          <w:bCs/>
          <w:color w:val="000000"/>
          <w:sz w:val="24"/>
          <w:highlight w:val="none"/>
          <w:lang w:val="en-US" w:eastAsia="zh-CN"/>
        </w:rPr>
        <w:t>采购</w:t>
      </w:r>
      <w:r>
        <w:rPr>
          <w:rFonts w:hint="eastAsia" w:ascii="仿宋" w:hAnsi="仿宋" w:eastAsia="仿宋" w:cs="宋体"/>
          <w:b/>
          <w:bCs/>
          <w:color w:val="000000"/>
          <w:sz w:val="24"/>
          <w:highlight w:val="none"/>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4</w:t>
      </w:r>
      <w:r>
        <w:rPr>
          <w:rFonts w:hint="eastAsia" w:ascii="仿宋" w:hAnsi="仿宋" w:eastAsia="仿宋" w:cs="宋体"/>
          <w:color w:val="000000"/>
          <w:sz w:val="24"/>
          <w:highlight w:val="none"/>
        </w:rPr>
        <w:t>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5</w:t>
      </w:r>
      <w:r>
        <w:rPr>
          <w:rFonts w:hint="eastAsia" w:ascii="仿宋" w:hAnsi="仿宋" w:eastAsia="仿宋" w:cs="宋体"/>
          <w:color w:val="000000"/>
          <w:sz w:val="24"/>
          <w:highlight w:val="none"/>
        </w:rPr>
        <w:t>本项目不接受联合体磋商响应。</w:t>
      </w:r>
    </w:p>
    <w:p>
      <w:pPr>
        <w:pStyle w:val="5"/>
        <w:ind w:firstLine="0" w:firstLineChars="0"/>
        <w:jc w:val="left"/>
        <w:rPr>
          <w:rFonts w:hint="eastAsia" w:ascii="仿宋" w:hAnsi="仿宋" w:eastAsia="仿宋" w:cs="仿宋"/>
          <w:color w:val="000000"/>
          <w:sz w:val="24"/>
          <w:szCs w:val="24"/>
          <w:highlight w:val="none"/>
        </w:rPr>
      </w:pPr>
      <w:bookmarkStart w:id="11" w:name="_Toc2093"/>
      <w:r>
        <w:rPr>
          <w:rFonts w:hint="eastAsia" w:ascii="仿宋" w:hAnsi="仿宋" w:eastAsia="仿宋" w:cs="仿宋"/>
          <w:color w:val="000000"/>
          <w:sz w:val="24"/>
          <w:szCs w:val="24"/>
          <w:highlight w:val="none"/>
        </w:rPr>
        <w:t>三、资格审查方法</w:t>
      </w:r>
      <w:bookmarkEnd w:id="11"/>
    </w:p>
    <w:p>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w:t>
      </w:r>
      <w:r>
        <w:rPr>
          <w:rFonts w:hint="eastAsia" w:ascii="仿宋" w:hAnsi="仿宋" w:eastAsia="仿宋" w:cs="仿宋"/>
          <w:color w:val="auto"/>
          <w:sz w:val="24"/>
          <w:highlight w:val="none"/>
          <w:lang w:val="en-US" w:eastAsia="zh-CN"/>
        </w:rPr>
        <w:t>预审</w:t>
      </w:r>
      <w:r>
        <w:rPr>
          <w:rFonts w:hint="eastAsia" w:ascii="仿宋" w:hAnsi="仿宋" w:eastAsia="仿宋" w:cs="仿宋"/>
          <w:color w:val="auto"/>
          <w:sz w:val="24"/>
          <w:highlight w:val="none"/>
        </w:rPr>
        <w:t>，资格审查方法为合格制，资格审查标准和内容见磋商文件第三章评审办法。未通过资格</w:t>
      </w:r>
      <w:r>
        <w:rPr>
          <w:rFonts w:hint="eastAsia" w:ascii="仿宋" w:hAnsi="仿宋" w:eastAsia="仿宋" w:cs="仿宋"/>
          <w:color w:val="auto"/>
          <w:sz w:val="24"/>
          <w:highlight w:val="none"/>
          <w:lang w:val="en-US" w:eastAsia="zh-CN"/>
        </w:rPr>
        <w:t>预审</w:t>
      </w:r>
      <w:r>
        <w:rPr>
          <w:rFonts w:hint="eastAsia" w:ascii="仿宋" w:hAnsi="仿宋" w:eastAsia="仿宋" w:cs="仿宋"/>
          <w:color w:val="auto"/>
          <w:sz w:val="24"/>
          <w:highlight w:val="none"/>
        </w:rPr>
        <w:t>的供应商，响应文件将被否决，不进入磋商、详细评审等后续环节。</w:t>
      </w:r>
    </w:p>
    <w:p>
      <w:pPr>
        <w:pStyle w:val="5"/>
        <w:spacing w:after="240"/>
        <w:ind w:firstLine="0" w:firstLineChars="0"/>
        <w:jc w:val="left"/>
        <w:rPr>
          <w:rFonts w:hint="eastAsia" w:ascii="仿宋" w:hAnsi="仿宋" w:eastAsia="仿宋" w:cs="仿宋"/>
          <w:color w:val="000000"/>
          <w:sz w:val="24"/>
          <w:szCs w:val="24"/>
          <w:highlight w:val="none"/>
        </w:rPr>
      </w:pPr>
      <w:bookmarkStart w:id="12" w:name="_Toc24164"/>
      <w:r>
        <w:rPr>
          <w:rFonts w:hint="eastAsia" w:ascii="仿宋" w:hAnsi="仿宋" w:eastAsia="仿宋" w:cs="仿宋"/>
          <w:color w:val="000000"/>
          <w:sz w:val="24"/>
          <w:szCs w:val="24"/>
          <w:highlight w:val="none"/>
        </w:rPr>
        <w:t>四、磋商文件的获取</w:t>
      </w:r>
      <w:bookmarkEnd w:id="12"/>
    </w:p>
    <w:p>
      <w:pPr>
        <w:pStyle w:val="83"/>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.1磋商文件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23</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27</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pPr>
        <w:pStyle w:val="14"/>
        <w:spacing w:line="360" w:lineRule="auto"/>
        <w:ind w:firstLine="480" w:firstLineChars="200"/>
        <w:rPr>
          <w:rFonts w:hint="eastAsia" w:ascii="仿宋" w:hAnsi="仿宋" w:eastAsia="仿宋" w:cs="仿宋_GB2312"/>
          <w:sz w:val="24"/>
          <w:szCs w:val="24"/>
          <w:highlight w:val="none"/>
          <w:lang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.2拟报名参加本项目的供应商，请</w:t>
      </w:r>
      <w:r>
        <w:rPr>
          <w:rFonts w:hint="eastAsia" w:ascii="仿宋" w:hAnsi="仿宋" w:eastAsia="仿宋" w:cs="宋体"/>
          <w:color w:val="auto"/>
          <w:sz w:val="24"/>
          <w:highlight w:val="none"/>
          <w:lang w:val="en-US" w:eastAsia="zh-CN"/>
        </w:rPr>
        <w:t>通过“人保e采”外网门户</w:t>
      </w:r>
      <w:r>
        <w:rPr>
          <w:rFonts w:hint="eastAsia" w:ascii="仿宋" w:hAnsi="仿宋" w:eastAsia="仿宋" w:cs="宋体"/>
          <w:color w:val="auto"/>
          <w:sz w:val="24"/>
          <w:highlight w:val="none"/>
        </w:rPr>
        <w:t>申请获取</w:t>
      </w:r>
      <w:r>
        <w:rPr>
          <w:rFonts w:hint="eastAsia" w:ascii="仿宋" w:hAnsi="仿宋" w:eastAsia="仿宋" w:cs="宋体"/>
          <w:color w:val="auto"/>
          <w:sz w:val="24"/>
          <w:highlight w:val="none"/>
          <w:lang w:val="en-US" w:eastAsia="zh-CN"/>
        </w:rPr>
        <w:t>磋商</w:t>
      </w:r>
      <w:r>
        <w:rPr>
          <w:rFonts w:hint="eastAsia" w:ascii="仿宋" w:hAnsi="仿宋" w:eastAsia="仿宋" w:cs="宋体"/>
          <w:color w:val="auto"/>
          <w:sz w:val="24"/>
          <w:highlight w:val="none"/>
        </w:rPr>
        <w:t>文件</w:t>
      </w:r>
      <w:r>
        <w:rPr>
          <w:rFonts w:hint="eastAsia" w:ascii="仿宋" w:hAnsi="仿宋" w:eastAsia="仿宋" w:cs="宋体"/>
          <w:color w:val="auto"/>
          <w:sz w:val="24"/>
          <w:highlight w:val="none"/>
          <w:lang w:eastAsia="zh-CN"/>
        </w:rPr>
        <w:t>。</w:t>
      </w:r>
    </w:p>
    <w:p>
      <w:pPr>
        <w:pStyle w:val="5"/>
        <w:ind w:firstLine="0" w:firstLineChars="0"/>
        <w:jc w:val="left"/>
        <w:rPr>
          <w:rFonts w:hint="eastAsia" w:ascii="仿宋" w:hAnsi="仿宋" w:eastAsia="仿宋" w:cs="仿宋"/>
          <w:color w:val="000000"/>
          <w:sz w:val="24"/>
          <w:szCs w:val="24"/>
          <w:highlight w:val="none"/>
        </w:rPr>
      </w:pPr>
      <w:bookmarkStart w:id="13" w:name="_Toc18096"/>
      <w:r>
        <w:rPr>
          <w:rFonts w:hint="eastAsia" w:ascii="仿宋" w:hAnsi="仿宋" w:eastAsia="仿宋" w:cs="仿宋"/>
          <w:color w:val="000000"/>
          <w:sz w:val="24"/>
          <w:szCs w:val="24"/>
          <w:highlight w:val="none"/>
        </w:rPr>
        <w:t>五、响应文件的递交</w:t>
      </w:r>
      <w:bookmarkEnd w:id="13"/>
    </w:p>
    <w:p>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000000"/>
          <w:sz w:val="24"/>
          <w:highlight w:val="none"/>
        </w:rPr>
        <w:t>5</w:t>
      </w:r>
      <w:r>
        <w:rPr>
          <w:rFonts w:hint="eastAsia" w:ascii="仿宋" w:hAnsi="仿宋" w:eastAsia="仿宋" w:cs="宋体"/>
          <w:color w:val="000000"/>
          <w:sz w:val="24"/>
          <w:highlight w:val="none"/>
        </w:rPr>
        <w:t>.1响应文件递交截止时间：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25</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10</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28</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10</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00</w:t>
      </w:r>
      <w:r>
        <w:rPr>
          <w:rFonts w:hint="eastAsia" w:ascii="仿宋" w:hAnsi="仿宋" w:eastAsia="仿宋" w:cs="宋体"/>
          <w:b/>
          <w:bCs/>
          <w:color w:val="auto"/>
          <w:sz w:val="24"/>
          <w:highlight w:val="none"/>
          <w:u w:val="single"/>
        </w:rPr>
        <w:t>分00秒</w:t>
      </w:r>
      <w:r>
        <w:rPr>
          <w:rFonts w:hint="eastAsia" w:ascii="仿宋" w:hAnsi="仿宋" w:eastAsia="仿宋" w:cs="宋体"/>
          <w:b/>
          <w:bCs/>
          <w:color w:val="auto"/>
          <w:sz w:val="24"/>
          <w:highlight w:val="none"/>
        </w:rPr>
        <w:t>。</w:t>
      </w:r>
    </w:p>
    <w:p>
      <w:pPr>
        <w:spacing w:line="360" w:lineRule="auto"/>
        <w:ind w:firstLine="480" w:firstLineChars="200"/>
        <w:jc w:val="left"/>
        <w:textAlignment w:val="baseline"/>
        <w:rPr>
          <w:rFonts w:hint="eastAsia"/>
          <w:highlight w:val="none"/>
        </w:rPr>
      </w:pPr>
      <w:r>
        <w:rPr>
          <w:rFonts w:hint="eastAsia" w:ascii="仿宋" w:hAnsi="仿宋" w:eastAsia="仿宋" w:cs="宋体"/>
          <w:color w:val="000000"/>
          <w:sz w:val="24"/>
          <w:highlight w:val="none"/>
        </w:rPr>
        <w:t>5.2响应文件的递交：</w:t>
      </w:r>
      <w:r>
        <w:rPr>
          <w:rFonts w:hint="eastAsia" w:ascii="仿宋" w:hAnsi="仿宋" w:eastAsia="仿宋" w:cs="宋体"/>
          <w:color w:val="auto"/>
          <w:sz w:val="24"/>
          <w:highlight w:val="none"/>
        </w:rPr>
        <w:t>须现场递交/邮寄至</w:t>
      </w:r>
      <w:r>
        <w:rPr>
          <w:rFonts w:hint="eastAsia" w:ascii="仿宋" w:hAnsi="仿宋" w:eastAsia="仿宋" w:cs="宋体"/>
          <w:color w:val="auto"/>
          <w:sz w:val="24"/>
          <w:highlight w:val="none"/>
          <w:u w:val="single"/>
          <w:lang w:val="en-US" w:eastAsia="zh-CN"/>
        </w:rPr>
        <w:t>六盘水</w:t>
      </w:r>
      <w:r>
        <w:rPr>
          <w:rFonts w:hint="eastAsia" w:ascii="仿宋" w:hAnsi="仿宋" w:eastAsia="仿宋" w:cs="宋体"/>
          <w:color w:val="auto"/>
          <w:sz w:val="24"/>
          <w:highlight w:val="none"/>
          <w:u w:val="single"/>
        </w:rPr>
        <w:t>市</w:t>
      </w:r>
      <w:r>
        <w:rPr>
          <w:rFonts w:hint="eastAsia" w:ascii="仿宋" w:hAnsi="仿宋" w:eastAsia="仿宋" w:cs="宋体"/>
          <w:color w:val="auto"/>
          <w:sz w:val="24"/>
          <w:highlight w:val="none"/>
          <w:u w:val="single"/>
          <w:lang w:val="en-US" w:eastAsia="zh-CN"/>
        </w:rPr>
        <w:t>钟山</w:t>
      </w:r>
      <w:r>
        <w:rPr>
          <w:rFonts w:hint="eastAsia" w:ascii="仿宋" w:hAnsi="仿宋" w:eastAsia="仿宋" w:cs="宋体"/>
          <w:color w:val="auto"/>
          <w:sz w:val="24"/>
          <w:highlight w:val="none"/>
          <w:u w:val="single"/>
        </w:rPr>
        <w:t>区</w:t>
      </w:r>
      <w:r>
        <w:rPr>
          <w:rFonts w:hint="eastAsia" w:ascii="仿宋" w:hAnsi="仿宋" w:eastAsia="仿宋" w:cs="宋体"/>
          <w:color w:val="auto"/>
          <w:sz w:val="24"/>
          <w:highlight w:val="none"/>
          <w:u w:val="single"/>
          <w:lang w:val="en-US" w:eastAsia="zh-CN"/>
        </w:rPr>
        <w:t>明湖路11号人保财险四楼</w:t>
      </w:r>
      <w:r>
        <w:rPr>
          <w:rFonts w:hint="eastAsia" w:ascii="仿宋" w:hAnsi="仿宋" w:eastAsia="仿宋" w:cs="宋体"/>
          <w:color w:val="auto"/>
          <w:sz w:val="24"/>
          <w:highlight w:val="none"/>
          <w:u w:val="single"/>
        </w:rPr>
        <w:t>会议室</w:t>
      </w:r>
      <w:r>
        <w:rPr>
          <w:rFonts w:hint="eastAsia" w:ascii="仿宋" w:hAnsi="仿宋" w:eastAsia="仿宋" w:cs="宋体"/>
          <w:color w:val="auto"/>
          <w:sz w:val="24"/>
          <w:highlight w:val="none"/>
        </w:rPr>
        <w:t>，</w:t>
      </w:r>
      <w:r>
        <w:rPr>
          <w:rFonts w:hint="eastAsia" w:ascii="仿宋" w:hAnsi="仿宋" w:eastAsia="仿宋" w:cs="宋体"/>
          <w:b/>
          <w:bCs/>
          <w:color w:val="000000"/>
          <w:sz w:val="24"/>
          <w:highlight w:val="none"/>
        </w:rPr>
        <w:t>逾期送达或者未送达指定地点或者未按照磋商文件要求封装的纸质响应文件不予接收。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本项目将于上述同一时间、地点进行磋商，</w:t>
      </w:r>
      <w:r>
        <w:rPr>
          <w:rFonts w:hint="eastAsia" w:ascii="仿宋" w:hAnsi="仿宋" w:eastAsia="仿宋" w:cs="宋体"/>
          <w:b w:val="0"/>
          <w:bCs w:val="0"/>
          <w:color w:val="auto"/>
          <w:kern w:val="2"/>
          <w:sz w:val="24"/>
          <w:szCs w:val="24"/>
          <w:highlight w:val="none"/>
          <w:lang w:val="en-US" w:eastAsia="zh-CN" w:bidi="ar-SA"/>
        </w:rPr>
        <w:t>采购人邀</w:t>
      </w:r>
      <w:r>
        <w:rPr>
          <w:rFonts w:hint="eastAsia" w:ascii="仿宋" w:hAnsi="仿宋" w:eastAsia="仿宋" w:cs="宋体"/>
          <w:b w:val="0"/>
          <w:bCs w:val="0"/>
          <w:color w:val="000000"/>
          <w:kern w:val="2"/>
          <w:sz w:val="24"/>
          <w:szCs w:val="24"/>
          <w:highlight w:val="none"/>
          <w:lang w:val="en-US" w:eastAsia="zh-CN" w:bidi="ar-SA"/>
        </w:rPr>
        <w:t>请供应商代表准时参加。</w:t>
      </w:r>
    </w:p>
    <w:p>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出现以下情形之一时，采购人/采购代理机构不予接收投标文件：</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 w:val="0"/>
          <w:color w:val="000000"/>
          <w:kern w:val="2"/>
          <w:sz w:val="24"/>
          <w:szCs w:val="24"/>
          <w:highlight w:val="none"/>
          <w:lang w:val="en-US" w:eastAsia="zh-CN" w:bidi="ar-SA"/>
        </w:rPr>
        <w:t>5.4.3  未按照磋商公告要求获取磋商文件的。</w:t>
      </w:r>
    </w:p>
    <w:p>
      <w:pPr>
        <w:pStyle w:val="5"/>
        <w:ind w:firstLine="0" w:firstLineChars="0"/>
        <w:jc w:val="left"/>
        <w:rPr>
          <w:rFonts w:hint="eastAsia" w:ascii="仿宋" w:hAnsi="仿宋" w:eastAsia="仿宋" w:cs="仿宋"/>
          <w:color w:val="000000"/>
          <w:sz w:val="24"/>
          <w:szCs w:val="24"/>
          <w:highlight w:val="none"/>
        </w:rPr>
      </w:pPr>
      <w:bookmarkStart w:id="14" w:name="_Toc22756"/>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14"/>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本项目磋商公告同时在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szCs w:val="24"/>
          <w:highlight w:val="none"/>
          <w:u w:val="single"/>
          <w:lang w:val="en-US" w:eastAsia="zh-CN"/>
        </w:rPr>
        <w:t>金采网</w:t>
      </w:r>
      <w:r>
        <w:rPr>
          <w:rFonts w:hint="eastAsia" w:ascii="仿宋" w:hAnsi="仿宋" w:eastAsia="仿宋" w:cs="宋体"/>
          <w:color w:val="auto"/>
          <w:sz w:val="24"/>
          <w:szCs w:val="24"/>
          <w:highlight w:val="none"/>
          <w:u w:val="single"/>
        </w:rPr>
        <w:t>（http://www.cfcpn.com/）</w:t>
      </w:r>
      <w:r>
        <w:rPr>
          <w:rFonts w:hint="eastAsia" w:ascii="仿宋" w:hAnsi="仿宋" w:eastAsia="仿宋" w:cs="仿宋"/>
          <w:color w:val="auto"/>
          <w:sz w:val="24"/>
          <w:highlight w:val="none"/>
        </w:rPr>
        <w:t>上</w:t>
      </w:r>
      <w:r>
        <w:rPr>
          <w:rFonts w:hint="eastAsia" w:ascii="仿宋" w:hAnsi="仿宋" w:eastAsia="仿宋" w:cs="仿宋"/>
          <w:color w:val="000000"/>
          <w:sz w:val="24"/>
          <w:highlight w:val="none"/>
        </w:rPr>
        <w:t>发布，</w:t>
      </w:r>
      <w:r>
        <w:rPr>
          <w:rFonts w:hint="eastAsia" w:ascii="仿宋" w:hAnsi="仿宋" w:eastAsia="仿宋" w:cs="宋体"/>
          <w:color w:val="000000"/>
          <w:sz w:val="24"/>
          <w:highlight w:val="none"/>
        </w:rPr>
        <w:t>除上述外，</w:t>
      </w:r>
      <w:r>
        <w:rPr>
          <w:rFonts w:hint="eastAsia" w:ascii="仿宋" w:hAnsi="仿宋" w:eastAsia="仿宋" w:cs="宋体"/>
          <w:color w:val="auto"/>
          <w:sz w:val="24"/>
          <w:highlight w:val="none"/>
        </w:rPr>
        <w:t>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w:t>
      </w:r>
      <w:r>
        <w:rPr>
          <w:rFonts w:hint="eastAsia" w:ascii="仿宋" w:hAnsi="仿宋" w:eastAsia="仿宋" w:cs="仿宋"/>
          <w:color w:val="000000"/>
          <w:sz w:val="24"/>
          <w:highlight w:val="none"/>
        </w:rPr>
        <w:t>保留追究其法律责任的权利。</w:t>
      </w:r>
    </w:p>
    <w:p>
      <w:pPr>
        <w:pStyle w:val="5"/>
        <w:ind w:firstLine="0" w:firstLineChars="0"/>
        <w:jc w:val="left"/>
        <w:rPr>
          <w:rFonts w:hint="eastAsia" w:ascii="仿宋" w:hAnsi="仿宋" w:eastAsia="仿宋" w:cs="仿宋"/>
          <w:color w:val="000000"/>
          <w:sz w:val="24"/>
          <w:szCs w:val="24"/>
          <w:highlight w:val="none"/>
        </w:rPr>
      </w:pPr>
      <w:bookmarkStart w:id="15" w:name="_Toc23853"/>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、联系方式</w:t>
      </w:r>
      <w:bookmarkEnd w:id="15"/>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采购人：中国人民财产保险股份有限公司</w:t>
      </w:r>
      <w:r>
        <w:rPr>
          <w:rFonts w:hint="eastAsia" w:ascii="仿宋" w:hAnsi="仿宋" w:eastAsia="仿宋" w:cs="仿宋"/>
          <w:color w:val="000000"/>
          <w:sz w:val="24"/>
          <w:highlight w:val="none"/>
          <w:lang w:val="en-US" w:eastAsia="zh-CN"/>
        </w:rPr>
        <w:t>六盘水</w:t>
      </w:r>
      <w:r>
        <w:rPr>
          <w:rFonts w:hint="eastAsia" w:ascii="仿宋" w:hAnsi="仿宋" w:eastAsia="仿宋" w:cs="仿宋"/>
          <w:color w:val="000000"/>
          <w:sz w:val="24"/>
          <w:highlight w:val="none"/>
        </w:rPr>
        <w:t>分公司</w:t>
      </w:r>
    </w:p>
    <w:p>
      <w:pPr>
        <w:spacing w:line="360" w:lineRule="auto"/>
        <w:ind w:firstLine="480" w:firstLineChars="200"/>
        <w:textAlignment w:val="baseline"/>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地址：</w:t>
      </w:r>
      <w:r>
        <w:rPr>
          <w:rFonts w:hint="eastAsia" w:ascii="仿宋" w:hAnsi="仿宋" w:eastAsia="仿宋" w:cs="仿宋"/>
          <w:color w:val="000000"/>
          <w:sz w:val="24"/>
          <w:highlight w:val="none"/>
          <w:lang w:val="en-US" w:eastAsia="zh-CN"/>
        </w:rPr>
        <w:t>六盘水市钟山区明湖路11号</w:t>
      </w:r>
    </w:p>
    <w:p>
      <w:pPr>
        <w:spacing w:line="360" w:lineRule="auto"/>
        <w:ind w:firstLine="480" w:firstLineChars="200"/>
        <w:textAlignment w:val="baseline"/>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联系人：</w:t>
      </w:r>
      <w:r>
        <w:rPr>
          <w:rFonts w:hint="eastAsia" w:ascii="仿宋" w:hAnsi="仿宋" w:eastAsia="仿宋" w:cs="仿宋"/>
          <w:color w:val="000000"/>
          <w:sz w:val="24"/>
          <w:highlight w:val="none"/>
          <w:lang w:val="en-US" w:eastAsia="zh-CN"/>
        </w:rPr>
        <w:t>米樱</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电话：13985900146</w:t>
      </w:r>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电子邮件：miying@guiz.picc.com.cn</w:t>
      </w:r>
    </w:p>
    <w:p>
      <w:pPr>
        <w:spacing w:line="360" w:lineRule="auto"/>
        <w:ind w:firstLine="480" w:firstLineChars="200"/>
        <w:jc w:val="right"/>
        <w:textAlignment w:val="baseline"/>
        <w:rPr>
          <w:rFonts w:hint="eastAsia" w:ascii="仿宋" w:hAnsi="仿宋" w:eastAsia="仿宋" w:cs="宋体"/>
          <w:color w:val="FF0000"/>
          <w:sz w:val="24"/>
          <w:highlight w:val="none"/>
        </w:rPr>
      </w:pPr>
    </w:p>
    <w:p>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六盘水</w:t>
      </w:r>
      <w:r>
        <w:rPr>
          <w:rFonts w:hint="eastAsia" w:ascii="仿宋" w:hAnsi="仿宋" w:eastAsia="仿宋" w:cs="宋体"/>
          <w:color w:val="auto"/>
          <w:sz w:val="24"/>
          <w:highlight w:val="none"/>
        </w:rPr>
        <w:t>分公司</w:t>
      </w:r>
    </w:p>
    <w:p>
      <w:pPr>
        <w:spacing w:line="360" w:lineRule="auto"/>
        <w:ind w:right="1237" w:rightChars="589"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22</w:t>
      </w:r>
      <w:r>
        <w:rPr>
          <w:rFonts w:hint="eastAsia" w:ascii="仿宋" w:hAnsi="仿宋" w:eastAsia="仿宋" w:cs="宋体"/>
          <w:color w:val="auto"/>
          <w:sz w:val="24"/>
          <w:highlight w:val="none"/>
        </w:rPr>
        <w:t>日</w:t>
      </w:r>
    </w:p>
    <w:bookmarkEnd w:id="2"/>
    <w:bookmarkEnd w:id="3"/>
    <w:bookmarkEnd w:id="4"/>
    <w:bookmarkEnd w:id="5"/>
    <w:bookmarkEnd w:id="6"/>
    <w:bookmarkEnd w:id="7"/>
    <w:bookmarkEnd w:id="8"/>
    <w:p>
      <w:pPr>
        <w:pStyle w:val="4"/>
        <w:spacing w:before="0" w:after="0" w:line="360" w:lineRule="auto"/>
        <w:jc w:val="center"/>
        <w:rPr>
          <w:rFonts w:hint="eastAsia" w:ascii="仿宋" w:hAnsi="仿宋" w:eastAsia="仿宋" w:cs="仿宋"/>
          <w:color w:val="000000"/>
          <w:sz w:val="28"/>
          <w:szCs w:val="28"/>
          <w:highlight w:val="none"/>
        </w:rPr>
      </w:pPr>
      <w:bookmarkStart w:id="16" w:name="_Toc2797"/>
      <w:bookmarkStart w:id="17" w:name="_Toc444891334"/>
      <w:bookmarkStart w:id="18" w:name="_Toc17103"/>
      <w:bookmarkStart w:id="19" w:name="_Toc23165"/>
      <w:bookmarkStart w:id="20" w:name="_Toc517281814"/>
      <w:bookmarkStart w:id="21" w:name="_Toc287600116"/>
      <w:bookmarkStart w:id="22" w:name="_Toc1895"/>
      <w:r>
        <w:rPr>
          <w:rFonts w:ascii="仿宋" w:hAnsi="仿宋" w:eastAsia="仿宋" w:cs="仿宋"/>
          <w:color w:val="000000"/>
          <w:sz w:val="28"/>
          <w:szCs w:val="28"/>
          <w:highlight w:val="none"/>
        </w:rPr>
        <w:br w:type="page"/>
      </w:r>
      <w:bookmarkStart w:id="23" w:name="_Toc2838"/>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pPr>
        <w:bidi w:val="0"/>
        <w:jc w:val="both"/>
        <w:rPr>
          <w:rFonts w:hint="eastAsia"/>
        </w:rPr>
      </w:pPr>
      <w:bookmarkStart w:id="24" w:name="_Toc17721"/>
      <w:bookmarkStart w:id="25" w:name="_Toc29571"/>
      <w:bookmarkStart w:id="26" w:name="_Toc19783312"/>
      <w:bookmarkStart w:id="27" w:name="_Toc444891335"/>
      <w:bookmarkStart w:id="28" w:name="_Toc32464"/>
      <w:bookmarkStart w:id="29" w:name="_Toc27353"/>
      <w:bookmarkStart w:id="30" w:name="_Toc287600117"/>
      <w:bookmarkStart w:id="31" w:name="_Toc517281815"/>
    </w:p>
    <w:p>
      <w:pPr>
        <w:pStyle w:val="5"/>
        <w:ind w:firstLine="0" w:firstLineChars="0"/>
        <w:jc w:val="left"/>
        <w:rPr>
          <w:rFonts w:hint="eastAsia" w:ascii="仿宋" w:hAnsi="仿宋" w:eastAsia="仿宋" w:cs="仿宋"/>
          <w:color w:val="000000"/>
          <w:sz w:val="24"/>
          <w:szCs w:val="24"/>
          <w:highlight w:val="none"/>
        </w:rPr>
      </w:pPr>
      <w:bookmarkStart w:id="32" w:name="_Toc20158"/>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1"/>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3588" w:type="pct"/>
            <w:noWrap w:val="0"/>
            <w:vAlign w:val="center"/>
          </w:tcPr>
          <w:p>
            <w:pPr>
              <w:pStyle w:val="140"/>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eastAsia="zh-CN"/>
              </w:rPr>
              <w:t>☑</w:t>
            </w:r>
            <w:r>
              <w:rPr>
                <w:rFonts w:hint="eastAsia" w:ascii="仿宋" w:hAnsi="仿宋" w:eastAsia="仿宋" w:cs="宋体"/>
                <w:color w:val="auto"/>
                <w:sz w:val="21"/>
                <w:szCs w:val="21"/>
                <w:highlight w:val="none"/>
              </w:rPr>
              <w:t>资格预审</w:t>
            </w:r>
          </w:p>
          <w:p>
            <w:pPr>
              <w:pStyle w:val="157"/>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竞争性磋商公告“二、供应商资格要求”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★磋商文件实质性要求的标识</w:t>
            </w:r>
          </w:p>
        </w:tc>
        <w:tc>
          <w:tcPr>
            <w:tcW w:w="3588" w:type="pct"/>
            <w:noWrap w:val="0"/>
            <w:vAlign w:val="center"/>
          </w:tcPr>
          <w:p>
            <w:pPr>
              <w:pStyle w:val="140"/>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rPr>
              <w:t>磋商文件中标识“★”条款、注明“磋商响应将被否决”、“对其响应做否决处理”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8" w:type="pct"/>
            <w:noWrap w:val="0"/>
            <w:vAlign w:val="center"/>
          </w:tcPr>
          <w:p>
            <w:pPr>
              <w:pStyle w:val="140"/>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5</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10</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28</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12</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00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pPr>
              <w:pStyle w:val="150"/>
              <w:spacing w:before="62" w:beforeLines="20" w:after="62" w:afterLines="20" w:line="360" w:lineRule="auto"/>
              <w:rPr>
                <w:rFonts w:hint="eastAsia" w:ascii="仿宋" w:hAnsi="仿宋" w:eastAsia="仿宋" w:cs="宋体"/>
                <w:color w:val="000000"/>
                <w:sz w:val="21"/>
                <w:szCs w:val="21"/>
                <w:highlight w:val="none"/>
                <w:lang w:val="en-US" w:eastAsia="zh-CN"/>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8"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1</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000000"/>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 w:val="21"/>
                <w:szCs w:val="21"/>
                <w:highlight w:val="none"/>
              </w:rPr>
              <w:t>书面方式</w:t>
            </w:r>
            <w:r>
              <w:rPr>
                <w:rFonts w:hint="eastAsia" w:ascii="仿宋" w:hAnsi="仿宋" w:eastAsia="仿宋"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8" w:type="pct"/>
            <w:noWrap w:val="0"/>
            <w:vAlign w:val="center"/>
          </w:tcPr>
          <w:p>
            <w:pPr>
              <w:pStyle w:val="150"/>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pPr>
              <w:pStyle w:val="157"/>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pPr>
              <w:autoSpaceDE w:val="0"/>
              <w:autoSpaceDN w:val="0"/>
              <w:spacing w:line="276" w:lineRule="auto"/>
            </w:pPr>
            <w:r>
              <w:rPr>
                <w:rFonts w:hint="eastAsia" w:ascii="仿宋" w:hAnsi="仿宋" w:eastAsia="仿宋" w:cs="仿宋"/>
                <w:b/>
                <w:color w:val="000000"/>
                <w:szCs w:val="21"/>
                <w:highlight w:val="none"/>
              </w:rPr>
              <w:t>详细评审索引表</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pPr>
              <w:pStyle w:val="150"/>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pPr>
              <w:pStyle w:val="150"/>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pPr>
              <w:pStyle w:val="150"/>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pPr>
              <w:pStyle w:val="157"/>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pPr>
              <w:pStyle w:val="140"/>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140"/>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140"/>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140"/>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磋商响应报价</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2）磋商小组将视磋商情况决定是否进行多轮次报价，供应商</w:t>
            </w:r>
            <w:r>
              <w:rPr>
                <w:rFonts w:hint="eastAsia" w:ascii="仿宋" w:hAnsi="仿宋" w:eastAsia="仿宋" w:cs="仿宋"/>
                <w:color w:val="000000"/>
                <w:highlight w:val="none"/>
                <w:u w:val="single"/>
              </w:rPr>
              <w:t>最后一轮磋商提交的报价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7"/>
              <w:spacing w:before="62" w:beforeLines="20" w:after="62" w:afterLines="20" w:line="360" w:lineRule="auto"/>
              <w:jc w:val="center"/>
              <w:rPr>
                <w:rFonts w:hint="eastAsia" w:ascii="仿宋" w:hAnsi="仿宋" w:eastAsia="仿宋" w:cs="仿宋"/>
                <w:color w:val="000000"/>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8" w:type="pct"/>
            <w:noWrap w:val="0"/>
            <w:vAlign w:val="center"/>
          </w:tcPr>
          <w:p>
            <w:pPr>
              <w:pStyle w:val="17"/>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rPr>
              <w:t>1</w:t>
            </w:r>
            <w:r>
              <w:rPr>
                <w:rFonts w:hint="eastAsia" w:ascii="仿宋" w:hAnsi="仿宋" w:eastAsia="仿宋" w:cs="宋体"/>
                <w:color w:val="000000"/>
                <w:sz w:val="21"/>
                <w:szCs w:val="21"/>
                <w:highlight w:val="none"/>
              </w:rPr>
              <w:t>份（</w:t>
            </w:r>
            <w:r>
              <w:rPr>
                <w:rFonts w:hint="eastAsia" w:ascii="仿宋" w:hAnsi="仿宋" w:eastAsia="仿宋" w:cs="宋体"/>
                <w:color w:val="000000"/>
                <w:sz w:val="21"/>
                <w:szCs w:val="21"/>
                <w:highlight w:val="none"/>
                <w:lang w:val="en-US" w:eastAsia="zh-CN"/>
              </w:rPr>
              <w:t>具体格式要求</w:t>
            </w:r>
            <w:r>
              <w:rPr>
                <w:rFonts w:hint="eastAsia" w:ascii="仿宋" w:hAnsi="仿宋" w:eastAsia="仿宋" w:cs="宋体"/>
                <w:color w:val="000000"/>
                <w:sz w:val="21"/>
                <w:szCs w:val="21"/>
                <w:highlight w:val="none"/>
              </w:rPr>
              <w:t>）；纸质文件正本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1</w:t>
            </w:r>
            <w:r>
              <w:rPr>
                <w:rFonts w:hint="eastAsia" w:ascii="仿宋" w:hAnsi="仿宋" w:eastAsia="仿宋" w:cs="宋体"/>
                <w:color w:val="000000"/>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pPr>
              <w:pStyle w:val="157"/>
              <w:spacing w:before="62" w:beforeLines="20" w:after="62" w:afterLines="20" w:line="360" w:lineRule="auto"/>
              <w:rPr>
                <w:rFonts w:hint="eastAsia" w:ascii="仿宋" w:hAnsi="仿宋" w:eastAsia="仿宋" w:cs="Cambria Math"/>
                <w:b/>
                <w:color w:val="000000"/>
                <w:highlight w:val="none"/>
              </w:rPr>
            </w:pPr>
            <w:bookmarkStart w:id="217" w:name="_GoBack"/>
            <w:bookmarkEnd w:id="217"/>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2025</w:t>
                                  </w:r>
                                  <w:r>
                                    <w:rPr>
                                      <w:rFonts w:hint="eastAsia" w:ascii="仿宋" w:hAnsi="仿宋" w:eastAsia="仿宋" w:cs="仿宋"/>
                                      <w:szCs w:val="21"/>
                                    </w:rPr>
                                    <w:t>】年【</w:t>
                                  </w:r>
                                  <w:r>
                                    <w:rPr>
                                      <w:rFonts w:hint="eastAsia" w:ascii="仿宋" w:hAnsi="仿宋" w:eastAsia="仿宋" w:cs="仿宋"/>
                                      <w:szCs w:val="21"/>
                                      <w:u w:val="single"/>
                                      <w:lang w:val="en-US" w:eastAsia="zh-CN"/>
                                    </w:rPr>
                                    <w:t>10</w:t>
                                  </w:r>
                                  <w:r>
                                    <w:rPr>
                                      <w:rFonts w:hint="eastAsia" w:ascii="仿宋" w:hAnsi="仿宋" w:eastAsia="仿宋" w:cs="仿宋"/>
                                      <w:szCs w:val="21"/>
                                    </w:rPr>
                                    <w:t>】月【</w:t>
                                  </w:r>
                                  <w:r>
                                    <w:rPr>
                                      <w:rFonts w:hint="eastAsia" w:ascii="仿宋" w:hAnsi="仿宋" w:eastAsia="仿宋" w:cs="仿宋"/>
                                      <w:szCs w:val="21"/>
                                      <w:lang w:val="en-US" w:eastAsia="zh-CN"/>
                                    </w:rPr>
                                    <w:t>28</w:t>
                                  </w:r>
                                  <w:r>
                                    <w:rPr>
                                      <w:rFonts w:hint="eastAsia" w:ascii="仿宋" w:hAnsi="仿宋" w:eastAsia="仿宋" w:cs="仿宋"/>
                                      <w:szCs w:val="21"/>
                                    </w:rPr>
                                    <w:t>】日【</w:t>
                                  </w:r>
                                  <w:r>
                                    <w:rPr>
                                      <w:rFonts w:hint="eastAsia" w:ascii="仿宋" w:hAnsi="仿宋" w:eastAsia="仿宋" w:cs="仿宋"/>
                                      <w:szCs w:val="21"/>
                                      <w:lang w:val="en-US" w:eastAsia="zh-CN"/>
                                    </w:rPr>
                                    <w:t>10</w:t>
                                  </w:r>
                                  <w:r>
                                    <w:rPr>
                                      <w:rFonts w:hint="eastAsia" w:ascii="仿宋" w:hAnsi="仿宋" w:eastAsia="仿宋" w:cs="仿宋"/>
                                      <w:szCs w:val="21"/>
                                    </w:rPr>
                                    <w:t>】【</w:t>
                                  </w:r>
                                  <w:r>
                                    <w:rPr>
                                      <w:rFonts w:hint="eastAsia" w:ascii="仿宋" w:hAnsi="仿宋" w:eastAsia="仿宋" w:cs="仿宋"/>
                                      <w:szCs w:val="21"/>
                                      <w:u w:val="single"/>
                                      <w:lang w:val="en-US" w:eastAsia="zh-CN"/>
                                    </w:rPr>
                                    <w:t>00</w:t>
                                  </w:r>
                                  <w:r>
                                    <w:rPr>
                                      <w:rFonts w:hint="eastAsia" w:ascii="仿宋" w:hAnsi="仿宋" w:eastAsia="仿宋" w:cs="仿宋"/>
                                      <w:szCs w:val="21"/>
                                    </w:rPr>
                                    <w:t>】时【</w:t>
                                  </w:r>
                                  <w:r>
                                    <w:rPr>
                                      <w:rFonts w:hint="eastAsia" w:ascii="仿宋" w:hAnsi="仿宋" w:eastAsia="仿宋" w:cs="仿宋"/>
                                      <w:szCs w:val="21"/>
                                      <w:u w:val="single"/>
                                      <w:lang w:val="en-US" w:eastAsia="zh-CN"/>
                                    </w:rPr>
                                    <w:t>00</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2025</w:t>
                            </w:r>
                            <w:r>
                              <w:rPr>
                                <w:rFonts w:hint="eastAsia" w:ascii="仿宋" w:hAnsi="仿宋" w:eastAsia="仿宋" w:cs="仿宋"/>
                                <w:szCs w:val="21"/>
                              </w:rPr>
                              <w:t>】年【</w:t>
                            </w:r>
                            <w:r>
                              <w:rPr>
                                <w:rFonts w:hint="eastAsia" w:ascii="仿宋" w:hAnsi="仿宋" w:eastAsia="仿宋" w:cs="仿宋"/>
                                <w:szCs w:val="21"/>
                                <w:u w:val="single"/>
                                <w:lang w:val="en-US" w:eastAsia="zh-CN"/>
                              </w:rPr>
                              <w:t>10</w:t>
                            </w:r>
                            <w:r>
                              <w:rPr>
                                <w:rFonts w:hint="eastAsia" w:ascii="仿宋" w:hAnsi="仿宋" w:eastAsia="仿宋" w:cs="仿宋"/>
                                <w:szCs w:val="21"/>
                              </w:rPr>
                              <w:t>】月【</w:t>
                            </w:r>
                            <w:r>
                              <w:rPr>
                                <w:rFonts w:hint="eastAsia" w:ascii="仿宋" w:hAnsi="仿宋" w:eastAsia="仿宋" w:cs="仿宋"/>
                                <w:szCs w:val="21"/>
                                <w:lang w:val="en-US" w:eastAsia="zh-CN"/>
                              </w:rPr>
                              <w:t>28</w:t>
                            </w:r>
                            <w:r>
                              <w:rPr>
                                <w:rFonts w:hint="eastAsia" w:ascii="仿宋" w:hAnsi="仿宋" w:eastAsia="仿宋" w:cs="仿宋"/>
                                <w:szCs w:val="21"/>
                              </w:rPr>
                              <w:t>】日【</w:t>
                            </w:r>
                            <w:r>
                              <w:rPr>
                                <w:rFonts w:hint="eastAsia" w:ascii="仿宋" w:hAnsi="仿宋" w:eastAsia="仿宋" w:cs="仿宋"/>
                                <w:szCs w:val="21"/>
                                <w:lang w:val="en-US" w:eastAsia="zh-CN"/>
                              </w:rPr>
                              <w:t>10</w:t>
                            </w:r>
                            <w:r>
                              <w:rPr>
                                <w:rFonts w:hint="eastAsia" w:ascii="仿宋" w:hAnsi="仿宋" w:eastAsia="仿宋" w:cs="仿宋"/>
                                <w:szCs w:val="21"/>
                              </w:rPr>
                              <w:t>】【</w:t>
                            </w:r>
                            <w:r>
                              <w:rPr>
                                <w:rFonts w:hint="eastAsia" w:ascii="仿宋" w:hAnsi="仿宋" w:eastAsia="仿宋" w:cs="仿宋"/>
                                <w:szCs w:val="21"/>
                                <w:u w:val="single"/>
                                <w:lang w:val="en-US" w:eastAsia="zh-CN"/>
                              </w:rPr>
                              <w:t>00</w:t>
                            </w:r>
                            <w:r>
                              <w:rPr>
                                <w:rFonts w:hint="eastAsia" w:ascii="仿宋" w:hAnsi="仿宋" w:eastAsia="仿宋" w:cs="仿宋"/>
                                <w:szCs w:val="21"/>
                              </w:rPr>
                              <w:t>】时【</w:t>
                            </w:r>
                            <w:r>
                              <w:rPr>
                                <w:rFonts w:hint="eastAsia" w:ascii="仿宋" w:hAnsi="仿宋" w:eastAsia="仿宋" w:cs="仿宋"/>
                                <w:szCs w:val="21"/>
                                <w:u w:val="single"/>
                                <w:lang w:val="en-US" w:eastAsia="zh-CN"/>
                              </w:rPr>
                              <w:t>00</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pStyle w:val="157"/>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竞争性磋商公告“五、响应文件的递交”</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组建磋商小组</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本项目磋商小组成员人数为</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100"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磋商程序及方式</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（1）磋商小组将与通过初步评审的有效供应商按照</w:t>
            </w:r>
            <w:r>
              <w:rPr>
                <w:rFonts w:hint="eastAsia" w:ascii="仿宋" w:hAnsi="仿宋" w:eastAsia="仿宋" w:cs="仿宋"/>
                <w:color w:val="000000"/>
                <w:highlight w:val="none"/>
                <w:u w:val="single"/>
              </w:rPr>
              <w:t>供应商名称首字A</w:t>
            </w:r>
            <w:r>
              <w:rPr>
                <w:rFonts w:ascii="仿宋" w:hAnsi="仿宋" w:eastAsia="仿宋" w:cs="仿宋"/>
                <w:color w:val="000000"/>
                <w:highlight w:val="none"/>
                <w:u w:val="single"/>
              </w:rPr>
              <w:t>-Z</w:t>
            </w:r>
            <w:r>
              <w:rPr>
                <w:rFonts w:hint="eastAsia" w:ascii="仿宋" w:hAnsi="仿宋" w:eastAsia="仿宋" w:cs="仿宋"/>
                <w:color w:val="000000"/>
                <w:highlight w:val="none"/>
                <w:u w:val="single"/>
              </w:rPr>
              <w:t>顺序</w:t>
            </w:r>
            <w:r>
              <w:rPr>
                <w:rFonts w:hint="eastAsia" w:ascii="仿宋" w:hAnsi="仿宋" w:eastAsia="仿宋" w:cs="仿宋"/>
                <w:color w:val="000000"/>
                <w:highlight w:val="none"/>
              </w:rPr>
              <w:t>逐一进行磋商，供应商至少应派法定代表人或其授权委托人准时参会。</w:t>
            </w:r>
          </w:p>
          <w:p>
            <w:pPr>
              <w:pStyle w:val="157"/>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磋商内容</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8" w:type="pct"/>
            <w:noWrap w:val="0"/>
            <w:vAlign w:val="center"/>
          </w:tcPr>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磋商小组根据有效供应商</w:t>
            </w:r>
            <w:r>
              <w:rPr>
                <w:rFonts w:hint="eastAsia" w:ascii="仿宋" w:hAnsi="仿宋" w:eastAsia="仿宋" w:cs="宋体"/>
                <w:color w:val="000000"/>
                <w:highlight w:val="none"/>
              </w:rPr>
              <w:t>综合得分由高至低排出的名次，顺序推荐</w:t>
            </w:r>
            <w:r>
              <w:rPr>
                <w:rFonts w:hint="eastAsia" w:ascii="仿宋" w:hAnsi="仿宋" w:eastAsia="仿宋" w:cs="宋体"/>
                <w:color w:val="000000"/>
                <w:highlight w:val="none"/>
                <w:u w:val="single"/>
              </w:rPr>
              <w:t>综合得分前</w:t>
            </w:r>
            <w:r>
              <w:rPr>
                <w:rFonts w:hint="eastAsia" w:ascii="仿宋" w:hAnsi="仿宋" w:eastAsia="仿宋" w:cs="宋体"/>
                <w:color w:val="auto"/>
                <w:highlight w:val="none"/>
                <w:u w:val="single"/>
                <w:lang w:val="en-US" w:eastAsia="zh-CN"/>
              </w:rPr>
              <w:t>1</w:t>
            </w:r>
            <w:r>
              <w:rPr>
                <w:rFonts w:hint="eastAsia" w:ascii="仿宋" w:hAnsi="仿宋" w:eastAsia="仿宋" w:cs="宋体"/>
                <w:color w:val="auto"/>
                <w:highlight w:val="none"/>
                <w:u w:val="single"/>
              </w:rPr>
              <w:t>名</w:t>
            </w:r>
            <w:r>
              <w:rPr>
                <w:rFonts w:hint="eastAsia" w:ascii="仿宋" w:hAnsi="仿宋" w:eastAsia="仿宋" w:cs="宋体"/>
                <w:color w:val="000000"/>
                <w:highlight w:val="none"/>
              </w:rPr>
              <w:t>为成交候选人。</w:t>
            </w:r>
            <w:r>
              <w:rPr>
                <w:rFonts w:hint="eastAsia" w:ascii="仿宋" w:hAnsi="仿宋" w:eastAsia="仿宋" w:cs="仿宋"/>
                <w:color w:val="000000"/>
                <w:highlight w:val="none"/>
              </w:rPr>
              <w:t>综合得分相同时，价格得分高者排名优先；价格得分也相同时，</w:t>
            </w:r>
            <w:r>
              <w:rPr>
                <w:rFonts w:hint="eastAsia" w:ascii="仿宋" w:hAnsi="仿宋" w:eastAsia="仿宋" w:cs="仿宋"/>
                <w:color w:val="000000"/>
                <w:highlight w:val="none"/>
                <w:u w:val="single"/>
              </w:rPr>
              <w:t>商务</w:t>
            </w:r>
            <w:r>
              <w:rPr>
                <w:rFonts w:hint="eastAsia" w:ascii="仿宋" w:hAnsi="仿宋" w:eastAsia="仿宋" w:cs="仿宋"/>
                <w:color w:val="000000"/>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pStyle w:val="157"/>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成交人数量</w:t>
            </w:r>
          </w:p>
        </w:tc>
        <w:tc>
          <w:tcPr>
            <w:tcW w:w="3588" w:type="pct"/>
            <w:noWrap w:val="0"/>
            <w:vAlign w:val="center"/>
          </w:tcPr>
          <w:p>
            <w:pPr>
              <w:pStyle w:val="157"/>
              <w:spacing w:before="62" w:beforeLines="20" w:after="62" w:afterLines="20"/>
              <w:rPr>
                <w:rFonts w:ascii="仿宋" w:hAnsi="仿宋" w:eastAsia="仿宋" w:cs="仿宋"/>
                <w:color w:val="000000"/>
                <w:highlight w:val="none"/>
                <w:u w:val="single"/>
              </w:rPr>
            </w:pPr>
            <w:r>
              <w:rPr>
                <w:rFonts w:hint="eastAsia" w:ascii="仿宋" w:hAnsi="仿宋" w:eastAsia="仿宋" w:cs="仿宋"/>
                <w:color w:val="000000"/>
                <w:highlight w:val="none"/>
              </w:rPr>
              <w:t>成交人数量：</w:t>
            </w:r>
            <w:r>
              <w:rPr>
                <w:rFonts w:hint="eastAsia" w:ascii="仿宋" w:hAnsi="仿宋" w:eastAsia="仿宋" w:cs="仿宋"/>
                <w:color w:val="auto"/>
                <w:highlight w:val="none"/>
                <w:u w:val="single"/>
              </w:rPr>
              <w:t>1家</w:t>
            </w:r>
          </w:p>
          <w:p>
            <w:pPr>
              <w:pStyle w:val="157"/>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auto"/>
                <w:highlight w:val="none"/>
                <w:u w:val="single"/>
              </w:rPr>
              <w:t>综合排名第一</w:t>
            </w:r>
            <w:r>
              <w:rPr>
                <w:rFonts w:hint="eastAsia" w:ascii="仿宋" w:hAnsi="仿宋" w:eastAsia="仿宋" w:cs="仿宋"/>
                <w:color w:val="auto"/>
                <w:highlight w:val="none"/>
              </w:rPr>
              <w:t>成</w:t>
            </w:r>
            <w:r>
              <w:rPr>
                <w:rFonts w:hint="eastAsia" w:ascii="仿宋" w:hAnsi="仿宋" w:eastAsia="仿宋" w:cs="仿宋"/>
                <w:highlight w:val="none"/>
              </w:rPr>
              <w:t>交候选人放弃成交、因不可抗力不能履行合同、</w:t>
            </w:r>
            <w:r>
              <w:rPr>
                <w:rFonts w:hint="eastAsia" w:ascii="仿宋" w:hAnsi="仿宋" w:eastAsia="仿宋" w:cs="宋体"/>
                <w:color w:val="000000"/>
                <w:highlight w:val="none"/>
              </w:rPr>
              <w:t>不按照磋商文件要求提交履约保证金</w:t>
            </w:r>
            <w:r>
              <w:rPr>
                <w:rFonts w:hint="eastAsia" w:ascii="仿宋" w:hAnsi="仿宋" w:eastAsia="仿宋" w:cs="仿宋"/>
                <w:highlight w:val="none"/>
              </w:rPr>
              <w:t>、存在重大经营或法律风险、被查实存在影响采购结果的违法行为等情形，采购人按照磋商小组提出的成交候选人名单排序依次确定其他成交候选人为成交人，或者重新采购。</w:t>
            </w:r>
          </w:p>
        </w:tc>
      </w:tr>
    </w:tbl>
    <w:p>
      <w:pPr>
        <w:pStyle w:val="5"/>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19783313"/>
      <w:bookmarkStart w:id="34" w:name="_Toc517281816"/>
      <w:bookmarkStart w:id="35" w:name="_Toc11071"/>
      <w:bookmarkStart w:id="36" w:name="_Toc444891336"/>
      <w:bookmarkStart w:id="37" w:name="_Toc27232"/>
      <w:bookmarkStart w:id="38" w:name="_Toc20514"/>
      <w:bookmarkStart w:id="39" w:name="_Toc6047"/>
      <w:bookmarkStart w:id="40" w:name="_Toc287600118"/>
      <w:bookmarkStart w:id="41" w:name="_Toc25224"/>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pPr>
        <w:pStyle w:val="6"/>
        <w:numPr>
          <w:ilvl w:val="5"/>
          <w:numId w:val="0"/>
        </w:numPr>
        <w:spacing w:before="0" w:after="0" w:line="360" w:lineRule="auto"/>
        <w:ind w:leftChars="0"/>
        <w:jc w:val="left"/>
        <w:rPr>
          <w:rFonts w:hint="eastAsia" w:ascii="仿宋" w:hAnsi="仿宋" w:eastAsia="仿宋" w:cs="仿宋"/>
          <w:color w:val="000000"/>
          <w:sz w:val="24"/>
          <w:szCs w:val="24"/>
          <w:highlight w:val="none"/>
        </w:rPr>
      </w:pPr>
      <w:bookmarkStart w:id="42" w:name="_Toc11851"/>
      <w:bookmarkStart w:id="43" w:name="_Toc19783314"/>
      <w:bookmarkStart w:id="44" w:name="_Toc16441"/>
      <w:bookmarkStart w:id="45" w:name="_Toc30232"/>
      <w:bookmarkStart w:id="46" w:name="_Toc6681"/>
      <w:bookmarkStart w:id="47" w:name="_Toc22969"/>
      <w:bookmarkStart w:id="48" w:name="_Toc517281817"/>
      <w:bookmarkStart w:id="49" w:name="_Toc287600119"/>
      <w:bookmarkStart w:id="50" w:name="_Toc444891337"/>
      <w:bookmarkStart w:id="51" w:name="_Toc431"/>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本项目按照中华人民共和国有关法律、行政法规和部门规章以及采购人的采购管理制度，通过竞争性磋商方式确定签约供应商。</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.资格审查</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3</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资格预审：是指在递交响应文件前对潜在供应商进行的资格审查。采用资格预审方式的，资格条件已经在磋商文件发出前的资格预审文件中作出规定。</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pPr>
        <w:pStyle w:val="6"/>
        <w:numPr>
          <w:ilvl w:val="5"/>
          <w:numId w:val="0"/>
        </w:numPr>
        <w:tabs>
          <w:tab w:val="clear" w:pos="1440"/>
        </w:tabs>
        <w:spacing w:after="0" w:line="360" w:lineRule="auto"/>
        <w:ind w:leftChars="0"/>
        <w:jc w:val="left"/>
        <w:rPr>
          <w:rFonts w:hint="eastAsia" w:ascii="仿宋" w:hAnsi="仿宋" w:eastAsia="仿宋" w:cs="仿宋"/>
          <w:color w:val="000000"/>
          <w:sz w:val="24"/>
          <w:szCs w:val="24"/>
          <w:highlight w:val="none"/>
        </w:rPr>
      </w:pPr>
      <w:bookmarkStart w:id="52" w:name="_Toc24246"/>
      <w:bookmarkStart w:id="53" w:name="_Toc19730"/>
      <w:bookmarkStart w:id="54" w:name="_Toc5255"/>
      <w:bookmarkStart w:id="55" w:name="_Toc3016"/>
      <w:bookmarkStart w:id="56" w:name="_Toc287600120"/>
      <w:bookmarkStart w:id="57" w:name="_Toc25513"/>
      <w:bookmarkStart w:id="58" w:name="_Toc444891338"/>
      <w:bookmarkStart w:id="59" w:name="_Toc10975"/>
      <w:bookmarkStart w:id="60" w:name="_Toc517281818"/>
      <w:bookmarkStart w:id="61" w:name="_Toc19783315"/>
      <w:r>
        <w:rPr>
          <w:rFonts w:hint="eastAsia" w:ascii="仿宋" w:hAnsi="仿宋" w:eastAsia="仿宋" w:cs="仿宋"/>
          <w:color w:val="000000"/>
          <w:sz w:val="24"/>
          <w:szCs w:val="24"/>
          <w:highlight w:val="none"/>
        </w:rPr>
        <w:t>（二）磋商文件</w:t>
      </w:r>
      <w:bookmarkEnd w:id="52"/>
      <w:bookmarkEnd w:id="53"/>
      <w:bookmarkEnd w:id="54"/>
      <w:bookmarkEnd w:id="55"/>
      <w:bookmarkEnd w:id="56"/>
      <w:bookmarkEnd w:id="57"/>
      <w:bookmarkEnd w:id="58"/>
      <w:bookmarkEnd w:id="59"/>
      <w:bookmarkEnd w:id="60"/>
      <w:bookmarkEnd w:id="61"/>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.磋商文件的组成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.1磋商文件包括下列内容：</w:t>
      </w:r>
    </w:p>
    <w:p>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第一章 竞争性磋商公告</w:t>
      </w:r>
    </w:p>
    <w:p>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24"/>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4</w:t>
      </w:r>
      <w:r>
        <w:rPr>
          <w:rFonts w:hint="eastAsia" w:ascii="仿宋" w:hAnsi="仿宋" w:eastAsia="仿宋" w:cs="仿宋"/>
          <w:color w:val="000000"/>
          <w:kern w:val="0"/>
          <w:sz w:val="24"/>
          <w:highlight w:val="none"/>
        </w:rPr>
        <w:t>.</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.磋商文件的修改</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进行澄清。</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5</w:t>
      </w:r>
      <w:r>
        <w:rPr>
          <w:rFonts w:ascii="仿宋" w:hAnsi="仿宋" w:eastAsia="仿宋" w:cs="宋体"/>
          <w:color w:val="000000"/>
          <w:kern w:val="0"/>
          <w:sz w:val="24"/>
          <w:highlight w:val="none"/>
        </w:rPr>
        <w:t>.2</w:t>
      </w:r>
      <w:r>
        <w:rPr>
          <w:rFonts w:hint="eastAsia" w:ascii="仿宋" w:hAnsi="仿宋" w:eastAsia="仿宋" w:cs="仿宋"/>
          <w:color w:val="000000"/>
          <w:sz w:val="24"/>
          <w:highlight w:val="none"/>
        </w:rPr>
        <w:t>采购人在响应文件递交截止时间前，可以书面形式发出的对磋商文件的澄清或修改内容，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lang w:val="en-US" w:eastAsia="zh-CN"/>
        </w:rPr>
        <w:t>5</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当磋商文件、磋商文件的澄清或修改等在同一内容的表述上不一致时，以最后发出的书面文件为准。</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.磋商响应预备会</w:t>
      </w:r>
    </w:p>
    <w:p>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采购人认为必要时，将召开磋商响应预备会(答疑会)，公开解答潜在供应商对磋商文件提出的疑问</w:t>
      </w:r>
      <w:r>
        <w:rPr>
          <w:rFonts w:hint="eastAsia" w:ascii="仿宋" w:hAnsi="仿宋" w:eastAsia="仿宋" w:cs="宋体"/>
          <w:color w:val="000000"/>
          <w:sz w:val="24"/>
          <w:highlight w:val="none"/>
          <w:lang w:eastAsia="zh-CN"/>
        </w:rPr>
        <w:t>。</w:t>
      </w:r>
    </w:p>
    <w:p>
      <w:pPr>
        <w:pStyle w:val="6"/>
        <w:numPr>
          <w:ilvl w:val="0"/>
          <w:numId w:val="0"/>
        </w:numPr>
        <w:spacing w:after="0" w:line="360" w:lineRule="auto"/>
        <w:jc w:val="left"/>
        <w:rPr>
          <w:rFonts w:hint="eastAsia" w:ascii="仿宋" w:hAnsi="仿宋" w:eastAsia="仿宋" w:cs="仿宋"/>
          <w:color w:val="000000"/>
          <w:sz w:val="24"/>
          <w:szCs w:val="24"/>
          <w:highlight w:val="none"/>
        </w:rPr>
      </w:pPr>
      <w:bookmarkStart w:id="62" w:name="_Toc27563"/>
      <w:bookmarkStart w:id="63" w:name="_Toc19783316"/>
      <w:bookmarkStart w:id="64" w:name="_Toc16985"/>
      <w:bookmarkStart w:id="65" w:name="_Toc444891339"/>
      <w:bookmarkStart w:id="66" w:name="_Toc13691"/>
      <w:bookmarkStart w:id="67" w:name="_Toc517281819"/>
      <w:bookmarkStart w:id="68" w:name="_Toc22486"/>
      <w:bookmarkStart w:id="69" w:name="_Toc27642"/>
      <w:bookmarkStart w:id="70" w:name="_Toc14308"/>
      <w:bookmarkStart w:id="71" w:name="_Toc287600121"/>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.响应文件的组成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7"/>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.响应文件的编制</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8</w:t>
      </w:r>
      <w:r>
        <w:rPr>
          <w:rFonts w:hint="eastAsia" w:ascii="仿宋" w:hAnsi="仿宋" w:eastAsia="仿宋" w:cs="宋体"/>
          <w:color w:val="000000"/>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8</w:t>
      </w:r>
      <w:r>
        <w:rPr>
          <w:rFonts w:hint="eastAsia" w:ascii="仿宋" w:hAnsi="仿宋" w:eastAsia="仿宋" w:cs="宋体"/>
          <w:color w:val="000000"/>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8</w:t>
      </w:r>
      <w:r>
        <w:rPr>
          <w:rFonts w:ascii="仿宋" w:hAnsi="仿宋" w:eastAsia="仿宋" w:cs="宋体"/>
          <w:color w:val="000000"/>
          <w:kern w:val="0"/>
          <w:sz w:val="24"/>
          <w:highlight w:val="none"/>
        </w:rPr>
        <w:t xml:space="preserve">.3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8</w:t>
      </w:r>
      <w:r>
        <w:rPr>
          <w:rFonts w:ascii="仿宋" w:hAnsi="仿宋" w:eastAsia="仿宋" w:cs="宋体"/>
          <w:color w:val="000000"/>
          <w:kern w:val="0"/>
          <w:sz w:val="24"/>
          <w:highlight w:val="none"/>
        </w:rPr>
        <w:t xml:space="preserve">.4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lang w:val="en-US" w:eastAsia="zh-CN"/>
        </w:rPr>
        <w:t>8</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kern w:val="0"/>
          <w:sz w:val="24"/>
          <w:highlight w:val="none"/>
          <w:u w:val="single"/>
        </w:rPr>
      </w:pPr>
      <w:r>
        <w:rPr>
          <w:rFonts w:hint="eastAsia" w:ascii="仿宋" w:hAnsi="仿宋" w:eastAsia="仿宋" w:cs="宋体"/>
          <w:color w:val="000000"/>
          <w:kern w:val="0"/>
          <w:sz w:val="24"/>
          <w:highlight w:val="none"/>
          <w:lang w:val="en-US" w:eastAsia="zh-CN"/>
        </w:rPr>
        <w:t>8</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.7</w:t>
      </w:r>
      <w:r>
        <w:rPr>
          <w:rFonts w:hint="eastAsia" w:ascii="仿宋" w:hAnsi="仿宋" w:eastAsia="仿宋" w:cs="仿宋"/>
          <w:color w:val="000000"/>
          <w:sz w:val="24"/>
          <w:highlight w:val="none"/>
        </w:rPr>
        <w:t>除工程规范另有规定外，响应文件使用的度量衡单位，均采用中华人民共和国法定计量单位。</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.磋商响应报价</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供应商应当根据磋商文件要求进行报价，供应商应当报出符合磋商文件要求的拟提供服务的单价、总价、费率、税率等内容，采购人不接受供应商的任何低于成本报价的不正当竞争方式，其他报价要求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.磋商响应有效期</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.1 磋商响应有效期从响应文件递交截止之日起算，具体时间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供应商拒绝延长的，其磋商响应失效。</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.响应文件的式样、密封和标记</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对于磋商文件中提及的原件或复印件要求，照片件、扫描件、影印件、截图件等与其具有同等效力（磋商文件有特殊要求的除外）。</w:t>
      </w:r>
    </w:p>
    <w:p>
      <w:pPr>
        <w:pStyle w:val="6"/>
        <w:numPr>
          <w:ilvl w:val="5"/>
          <w:numId w:val="0"/>
        </w:numPr>
        <w:spacing w:after="0" w:line="360" w:lineRule="auto"/>
        <w:ind w:leftChars="0"/>
        <w:jc w:val="left"/>
        <w:rPr>
          <w:rFonts w:hint="eastAsia" w:ascii="仿宋" w:hAnsi="仿宋" w:eastAsia="仿宋" w:cs="仿宋"/>
          <w:color w:val="000000"/>
          <w:sz w:val="24"/>
          <w:szCs w:val="24"/>
          <w:highlight w:val="none"/>
        </w:rPr>
      </w:pPr>
      <w:bookmarkStart w:id="73" w:name="_Toc4155"/>
      <w:bookmarkStart w:id="74" w:name="_Toc7129"/>
      <w:bookmarkStart w:id="75" w:name="_Toc14726"/>
      <w:bookmarkStart w:id="76" w:name="_Toc287600122"/>
      <w:bookmarkStart w:id="77" w:name="_Toc444891340"/>
      <w:bookmarkStart w:id="78" w:name="_Toc517281820"/>
      <w:bookmarkStart w:id="79" w:name="_Toc18673"/>
      <w:bookmarkStart w:id="80" w:name="_Toc19783317"/>
      <w:bookmarkStart w:id="81" w:name="_Toc21600"/>
      <w:bookmarkStart w:id="82" w:name="_Toc31326"/>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.响应文件的递交</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w:t>
      </w:r>
      <w:r>
        <w:rPr>
          <w:rFonts w:hint="eastAsia" w:ascii="仿宋" w:hAnsi="仿宋" w:eastAsia="仿宋" w:cs="宋体"/>
          <w:color w:val="000000"/>
          <w:sz w:val="24"/>
          <w:highlight w:val="none"/>
          <w:lang w:val="en-US" w:eastAsia="zh-CN"/>
        </w:rPr>
        <w:t>4</w:t>
      </w:r>
      <w:r>
        <w:rPr>
          <w:rFonts w:hint="eastAsia" w:ascii="仿宋" w:hAnsi="仿宋" w:eastAsia="仿宋" w:cs="宋体"/>
          <w:color w:val="000000"/>
          <w:sz w:val="24"/>
          <w:highlight w:val="none"/>
        </w:rPr>
        <w:t>.2出现下列情形之一时，</w:t>
      </w:r>
      <w:r>
        <w:rPr>
          <w:rFonts w:hint="eastAsia" w:ascii="仿宋" w:hAnsi="仿宋" w:eastAsia="仿宋" w:cs="宋体"/>
          <w:b/>
          <w:bCs/>
          <w:color w:val="000000"/>
          <w:sz w:val="24"/>
          <w:highlight w:val="none"/>
        </w:rPr>
        <w:t>响应文件不予接收或已经递交的响应文件无效；</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（2）纸质响应文件逾期递交或者未送达指定地点或者未按照磋商文件要求封装的；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（4）未按磋商公告或者响应公告书要求获得本项目磋商文件的。</w:t>
      </w:r>
    </w:p>
    <w:p>
      <w:pPr>
        <w:pStyle w:val="7"/>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.响应文件的修改、撤回和撤销</w:t>
      </w:r>
    </w:p>
    <w:p>
      <w:pPr>
        <w:spacing w:line="360" w:lineRule="auto"/>
        <w:ind w:firstLine="464" w:firstLineChars="200"/>
        <w:jc w:val="left"/>
        <w:rPr>
          <w:rFonts w:hint="eastAsia" w:ascii="仿宋" w:hAnsi="仿宋" w:eastAsia="仿宋" w:cs="仿宋"/>
          <w:color w:val="000000"/>
          <w:sz w:val="24"/>
          <w:highlight w:val="none"/>
        </w:rPr>
      </w:pP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rPr>
        <w:t>磋商文件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，应当在响应文件递交截止时间前按照磋商文件的规定进行递交。</w:t>
      </w:r>
    </w:p>
    <w:p>
      <w:pPr>
        <w:pStyle w:val="6"/>
        <w:numPr>
          <w:ilvl w:val="5"/>
          <w:numId w:val="0"/>
        </w:numPr>
        <w:spacing w:before="0" w:after="0" w:line="360" w:lineRule="auto"/>
        <w:ind w:leftChars="0"/>
        <w:jc w:val="left"/>
        <w:rPr>
          <w:rFonts w:hint="eastAsia" w:ascii="仿宋" w:hAnsi="仿宋" w:eastAsia="仿宋" w:cs="仿宋"/>
          <w:color w:val="000000"/>
          <w:sz w:val="24"/>
          <w:szCs w:val="24"/>
          <w:highlight w:val="none"/>
        </w:rPr>
      </w:pPr>
      <w:bookmarkStart w:id="83" w:name="_Toc517281821"/>
      <w:bookmarkStart w:id="84" w:name="_Toc30466"/>
      <w:bookmarkStart w:id="85" w:name="_Toc287600123"/>
      <w:bookmarkStart w:id="86" w:name="_Toc2636"/>
      <w:bookmarkStart w:id="87" w:name="_Toc13432"/>
      <w:bookmarkStart w:id="88" w:name="_Toc20741"/>
      <w:bookmarkStart w:id="89" w:name="_Toc11361"/>
      <w:bookmarkStart w:id="90" w:name="_Toc12797"/>
      <w:bookmarkStart w:id="91" w:name="_Toc444891341"/>
      <w:r>
        <w:rPr>
          <w:rFonts w:hint="eastAsia" w:ascii="仿宋" w:hAnsi="仿宋" w:eastAsia="仿宋" w:cs="仿宋"/>
          <w:color w:val="000000"/>
          <w:sz w:val="24"/>
          <w:szCs w:val="24"/>
          <w:highlight w:val="none"/>
        </w:rPr>
        <w:t>（五）竞争性磋商和评审</w:t>
      </w:r>
      <w:bookmarkEnd w:id="83"/>
      <w:bookmarkEnd w:id="84"/>
      <w:bookmarkEnd w:id="85"/>
      <w:bookmarkEnd w:id="86"/>
      <w:bookmarkEnd w:id="87"/>
      <w:bookmarkEnd w:id="88"/>
      <w:bookmarkEnd w:id="89"/>
      <w:bookmarkEnd w:id="90"/>
      <w:bookmarkEnd w:id="91"/>
    </w:p>
    <w:p>
      <w:pPr>
        <w:pStyle w:val="7"/>
        <w:spacing w:before="0" w:after="0" w:line="360" w:lineRule="auto"/>
        <w:jc w:val="left"/>
        <w:rPr>
          <w:rFonts w:hint="eastAsia" w:ascii="仿宋" w:hAnsi="仿宋" w:eastAsia="仿宋" w:cs="仿宋"/>
          <w:color w:val="000000"/>
          <w:sz w:val="24"/>
          <w:szCs w:val="24"/>
          <w:highlight w:val="none"/>
        </w:rPr>
      </w:pPr>
      <w:bookmarkStart w:id="92" w:name="_Toc234223229"/>
      <w:bookmarkStart w:id="93" w:name="_Toc234223227"/>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.组建</w:t>
      </w:r>
      <w:bookmarkEnd w:id="92"/>
      <w:r>
        <w:rPr>
          <w:rFonts w:hint="eastAsia" w:ascii="仿宋" w:hAnsi="仿宋" w:eastAsia="仿宋" w:cs="仿宋"/>
          <w:color w:val="000000"/>
          <w:sz w:val="24"/>
          <w:szCs w:val="24"/>
          <w:highlight w:val="none"/>
        </w:rPr>
        <w:t>磋商小组</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6</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人及以上单数的磋商小组，具体人数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，磋商小组成员名单在成交结果确定前保密。</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6</w:t>
      </w: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rPr>
        <w:t>磋商小组成员应当按照客观、公正、审慎的原则，根据磋商文件规定的评审程序、评审方法和评审标准进行独立评审。</w:t>
      </w:r>
    </w:p>
    <w:p>
      <w:pPr>
        <w:pStyle w:val="7"/>
        <w:spacing w:before="0" w:after="0" w:line="360" w:lineRule="auto"/>
        <w:jc w:val="left"/>
        <w:rPr>
          <w:rFonts w:ascii="仿宋" w:hAnsi="仿宋" w:eastAsia="仿宋" w:cs="仿宋"/>
          <w:color w:val="000000"/>
          <w:sz w:val="24"/>
          <w:szCs w:val="24"/>
          <w:highlight w:val="none"/>
        </w:rPr>
      </w:pPr>
      <w:bookmarkStart w:id="94" w:name="_Toc234223228"/>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.初步评审</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rPr>
        <w:t>磋商小组按照第三章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，对响应文件进行初步评审。通过初步评审的供应商进入磋商环节，未通过初步评审的供应商，其磋商响应将被否决，不进入磋商、详细评审等后续环节。</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highlight w:val="none"/>
        </w:rPr>
        <w:t>，磋商小组有权对其响应做否决处理。</w:t>
      </w:r>
    </w:p>
    <w:p>
      <w:pPr>
        <w:widowControl/>
        <w:topLinePunct/>
        <w:spacing w:line="360" w:lineRule="auto"/>
        <w:rPr>
          <w:rFonts w:hint="eastAsia"/>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磋商小组必要时可以要求供应商提交有关证明和证件的原件，以便核验。拒不按要求提供原件的供应商，</w:t>
      </w:r>
      <w:r>
        <w:rPr>
          <w:rFonts w:hint="eastAsia" w:ascii="仿宋" w:hAnsi="仿宋" w:eastAsia="仿宋" w:cs="仿宋"/>
          <w:b/>
          <w:bCs/>
          <w:sz w:val="24"/>
          <w:highlight w:val="none"/>
        </w:rPr>
        <w:t>磋商小组有权对其响应做否决处理。</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8</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磋商程序</w:t>
      </w:r>
    </w:p>
    <w:p>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hint="eastAsia" w:ascii="仿宋" w:hAnsi="仿宋" w:eastAsia="仿宋" w:cs="仿宋"/>
          <w:color w:val="000000"/>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highlight w:val="none"/>
          <w:u w:val="single"/>
        </w:rPr>
        <w:t>详见本须知前附表。</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.2</w:t>
      </w:r>
      <w:r>
        <w:rPr>
          <w:rFonts w:hint="eastAsia" w:ascii="仿宋" w:hAnsi="仿宋" w:eastAsia="仿宋" w:cs="仿宋"/>
          <w:color w:val="000000"/>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.3</w:t>
      </w:r>
      <w:r>
        <w:rPr>
          <w:rFonts w:hint="eastAsia" w:ascii="仿宋" w:hAnsi="仿宋" w:eastAsia="仿宋" w:cs="仿宋"/>
          <w:color w:val="000000"/>
          <w:sz w:val="24"/>
          <w:highlight w:val="none"/>
        </w:rPr>
        <w:t>磋商小组可视情况要求供应商进行多轮磋商及报价。磋商中，任何一方不得向第三方透露与磋商有关的任何信息。</w:t>
      </w:r>
    </w:p>
    <w:bookmarkEnd w:id="94"/>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hint="eastAsia" w:ascii="仿宋" w:hAnsi="仿宋" w:eastAsia="仿宋" w:cs="仿宋"/>
          <w:color w:val="000000"/>
          <w:sz w:val="24"/>
          <w:highlight w:val="none"/>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93"/>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19</w:t>
      </w:r>
      <w:r>
        <w:rPr>
          <w:rFonts w:hint="eastAsia" w:ascii="仿宋" w:hAnsi="仿宋" w:eastAsia="仿宋" w:cs="仿宋"/>
          <w:color w:val="000000"/>
          <w:sz w:val="24"/>
          <w:szCs w:val="24"/>
          <w:highlight w:val="none"/>
        </w:rPr>
        <w:t>.详细评审</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.2发生以下情形之一的，原则上做终止采购处理：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pPr>
        <w:widowControl/>
        <w:topLinePunc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6"/>
        <w:numPr>
          <w:ilvl w:val="5"/>
          <w:numId w:val="0"/>
        </w:numPr>
        <w:spacing w:before="0" w:after="0" w:line="360" w:lineRule="auto"/>
        <w:ind w:leftChars="0"/>
        <w:jc w:val="left"/>
        <w:rPr>
          <w:rFonts w:hint="eastAsia" w:ascii="仿宋" w:hAnsi="仿宋" w:eastAsia="仿宋" w:cs="仿宋"/>
          <w:color w:val="000000"/>
          <w:sz w:val="24"/>
          <w:szCs w:val="24"/>
          <w:highlight w:val="none"/>
        </w:rPr>
      </w:pPr>
      <w:bookmarkStart w:id="95" w:name="_Toc444891342"/>
      <w:bookmarkStart w:id="96" w:name="_Toc19451"/>
      <w:bookmarkStart w:id="97" w:name="_Toc16781"/>
      <w:bookmarkStart w:id="98" w:name="_Toc13936"/>
      <w:bookmarkStart w:id="99" w:name="_Toc517281822"/>
      <w:bookmarkStart w:id="100" w:name="_Toc8839"/>
      <w:bookmarkStart w:id="101" w:name="_Toc234223231"/>
      <w:bookmarkStart w:id="102" w:name="_Toc9911"/>
      <w:bookmarkStart w:id="103" w:name="_Toc287600124"/>
      <w:bookmarkStart w:id="104" w:name="_Toc2322"/>
      <w:r>
        <w:rPr>
          <w:rFonts w:hint="eastAsia" w:ascii="仿宋" w:hAnsi="仿宋" w:eastAsia="仿宋" w:cs="仿宋"/>
          <w:color w:val="000000"/>
          <w:sz w:val="24"/>
          <w:szCs w:val="24"/>
          <w:highlight w:val="none"/>
        </w:rPr>
        <w:t>（六）授予合同</w:t>
      </w:r>
      <w:bookmarkEnd w:id="95"/>
      <w:bookmarkEnd w:id="96"/>
      <w:bookmarkEnd w:id="97"/>
      <w:bookmarkEnd w:id="98"/>
      <w:bookmarkEnd w:id="99"/>
      <w:bookmarkEnd w:id="100"/>
      <w:bookmarkEnd w:id="101"/>
      <w:bookmarkEnd w:id="102"/>
      <w:bookmarkEnd w:id="103"/>
      <w:bookmarkEnd w:id="104"/>
    </w:p>
    <w:p>
      <w:pPr>
        <w:pStyle w:val="7"/>
        <w:spacing w:before="0" w:after="0" w:line="360" w:lineRule="auto"/>
        <w:jc w:val="left"/>
        <w:rPr>
          <w:rFonts w:hint="eastAsia" w:ascii="仿宋" w:hAnsi="仿宋" w:eastAsia="仿宋" w:cs="仿宋"/>
          <w:color w:val="000000"/>
          <w:sz w:val="24"/>
          <w:szCs w:val="24"/>
          <w:highlight w:val="none"/>
        </w:rPr>
      </w:pPr>
      <w:bookmarkStart w:id="105" w:name="_Toc234223232"/>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0</w:t>
      </w:r>
      <w:r>
        <w:rPr>
          <w:rFonts w:hint="eastAsia" w:ascii="仿宋" w:hAnsi="仿宋" w:eastAsia="仿宋" w:cs="仿宋"/>
          <w:color w:val="000000"/>
          <w:sz w:val="24"/>
          <w:szCs w:val="24"/>
          <w:highlight w:val="none"/>
        </w:rPr>
        <w:t>.确定</w:t>
      </w:r>
      <w:bookmarkEnd w:id="105"/>
      <w:r>
        <w:rPr>
          <w:rFonts w:hint="eastAsia" w:ascii="仿宋" w:hAnsi="仿宋" w:eastAsia="仿宋" w:cs="仿宋"/>
          <w:color w:val="000000"/>
          <w:sz w:val="24"/>
          <w:szCs w:val="24"/>
          <w:highlight w:val="none"/>
        </w:rPr>
        <w:t>成交人</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0</w:t>
      </w:r>
      <w:r>
        <w:rPr>
          <w:rFonts w:ascii="仿宋" w:hAnsi="仿宋" w:eastAsia="仿宋" w:cs="仿宋"/>
          <w:color w:val="000000"/>
          <w:sz w:val="24"/>
          <w:highlight w:val="none"/>
        </w:rPr>
        <w:t>.1</w:t>
      </w:r>
      <w:r>
        <w:rPr>
          <w:rFonts w:hint="eastAsia" w:ascii="仿宋" w:hAnsi="仿宋" w:eastAsia="仿宋" w:cs="仿宋"/>
          <w:color w:val="000000"/>
          <w:sz w:val="24"/>
          <w:highlight w:val="none"/>
        </w:rPr>
        <w:t>采购人依据磋商小组推荐的成交候选人名单确定成交人，成交人数量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0</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pPr>
        <w:pStyle w:val="7"/>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1</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签订合同</w:t>
      </w:r>
    </w:p>
    <w:p>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.1</w:t>
      </w:r>
      <w:r>
        <w:rPr>
          <w:rFonts w:hint="eastAsia" w:ascii="仿宋" w:hAnsi="仿宋" w:eastAsia="仿宋" w:cs="仿宋"/>
          <w:color w:val="000000"/>
          <w:sz w:val="24"/>
          <w:highlight w:val="none"/>
        </w:rPr>
        <w:t>采购人与成交人按照磋商文件和成交人的响应文件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磋商</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pPr>
        <w:pStyle w:val="6"/>
        <w:numPr>
          <w:ilvl w:val="5"/>
          <w:numId w:val="0"/>
        </w:numPr>
        <w:spacing w:before="0" w:after="0" w:line="360" w:lineRule="auto"/>
        <w:ind w:leftChars="0"/>
        <w:jc w:val="left"/>
        <w:rPr>
          <w:rFonts w:hint="eastAsia" w:ascii="仿宋" w:hAnsi="仿宋" w:eastAsia="仿宋" w:cs="仿宋"/>
          <w:color w:val="000000"/>
          <w:sz w:val="24"/>
          <w:szCs w:val="24"/>
          <w:highlight w:val="none"/>
        </w:rPr>
      </w:pPr>
      <w:bookmarkStart w:id="106" w:name="_Toc16119"/>
      <w:bookmarkStart w:id="107" w:name="_Toc14533"/>
      <w:bookmarkStart w:id="108" w:name="_Toc234223235"/>
      <w:r>
        <w:rPr>
          <w:rFonts w:hint="eastAsia" w:ascii="仿宋" w:hAnsi="仿宋" w:eastAsia="仿宋" w:cs="仿宋"/>
          <w:color w:val="000000"/>
          <w:sz w:val="24"/>
          <w:szCs w:val="24"/>
          <w:highlight w:val="none"/>
        </w:rPr>
        <w:t>（七）其他</w:t>
      </w:r>
      <w:bookmarkEnd w:id="106"/>
      <w:bookmarkEnd w:id="107"/>
    </w:p>
    <w:bookmarkEnd w:id="108"/>
    <w:p>
      <w:pPr>
        <w:pStyle w:val="7"/>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hint="eastAsia" w:ascii="仿宋" w:hAnsi="仿宋" w:eastAsia="仿宋" w:cs="仿宋"/>
          <w:bCs w:val="0"/>
          <w:color w:val="000000"/>
          <w:sz w:val="24"/>
          <w:szCs w:val="24"/>
          <w:highlight w:val="none"/>
          <w:lang w:val="en-US" w:eastAsia="zh-CN"/>
        </w:rPr>
        <w:t>2</w:t>
      </w:r>
      <w:r>
        <w:rPr>
          <w:rFonts w:ascii="仿宋" w:hAnsi="仿宋" w:eastAsia="仿宋" w:cs="仿宋"/>
          <w:bCs w:val="0"/>
          <w:color w:val="000000"/>
          <w:sz w:val="24"/>
          <w:szCs w:val="24"/>
          <w:highlight w:val="none"/>
        </w:rPr>
        <w:t>.</w:t>
      </w:r>
      <w:r>
        <w:rPr>
          <w:rFonts w:hint="eastAsia" w:ascii="仿宋" w:hAnsi="仿宋" w:eastAsia="仿宋" w:cs="仿宋"/>
          <w:bCs w:val="0"/>
          <w:color w:val="000000"/>
          <w:sz w:val="24"/>
          <w:szCs w:val="24"/>
          <w:highlight w:val="none"/>
        </w:rPr>
        <w:t>其他情况</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pPr>
        <w:pStyle w:val="4"/>
        <w:spacing w:before="0" w:after="0" w:line="360" w:lineRule="auto"/>
        <w:jc w:val="center"/>
        <w:rPr>
          <w:rFonts w:hint="eastAsia" w:ascii="仿宋" w:hAnsi="仿宋" w:eastAsia="仿宋" w:cs="仿宋"/>
          <w:color w:val="000000"/>
          <w:sz w:val="28"/>
          <w:szCs w:val="28"/>
          <w:highlight w:val="none"/>
        </w:rPr>
      </w:pPr>
      <w:bookmarkStart w:id="109" w:name="_Toc17085"/>
      <w:bookmarkStart w:id="110" w:name="_Toc444891343"/>
      <w:bookmarkStart w:id="111" w:name="_Toc517281824"/>
      <w:r>
        <w:rPr>
          <w:rFonts w:hint="eastAsia" w:ascii="仿宋" w:hAnsi="仿宋" w:eastAsia="仿宋" w:cs="仿宋"/>
          <w:color w:val="000000"/>
          <w:sz w:val="28"/>
          <w:szCs w:val="28"/>
          <w:highlight w:val="none"/>
        </w:rPr>
        <w:t>第三章 评审办法</w:t>
      </w:r>
      <w:bookmarkEnd w:id="109"/>
    </w:p>
    <w:p>
      <w:pPr>
        <w:pStyle w:val="5"/>
        <w:ind w:firstLine="0" w:firstLineChars="0"/>
        <w:jc w:val="left"/>
        <w:rPr>
          <w:rFonts w:hint="eastAsia" w:ascii="仿宋" w:hAnsi="仿宋" w:eastAsia="仿宋" w:cs="仿宋"/>
          <w:color w:val="000000"/>
          <w:sz w:val="24"/>
          <w:szCs w:val="24"/>
          <w:highlight w:val="none"/>
        </w:rPr>
      </w:pPr>
      <w:bookmarkStart w:id="112" w:name="_Toc17755"/>
      <w:bookmarkStart w:id="113" w:name="_Toc444891344"/>
      <w:bookmarkStart w:id="114" w:name="_Toc517281825"/>
      <w:bookmarkStart w:id="115" w:name="_Toc226969358"/>
      <w:bookmarkStart w:id="116" w:name="_Toc227057964"/>
      <w:r>
        <w:rPr>
          <w:rFonts w:hint="eastAsia" w:ascii="仿宋" w:hAnsi="仿宋" w:eastAsia="仿宋" w:cs="仿宋"/>
          <w:color w:val="000000"/>
          <w:sz w:val="24"/>
          <w:szCs w:val="24"/>
          <w:highlight w:val="none"/>
        </w:rPr>
        <w:t>一、评审程序</w:t>
      </w:r>
      <w:bookmarkEnd w:id="112"/>
      <w:bookmarkEnd w:id="113"/>
      <w:bookmarkEnd w:id="114"/>
    </w:p>
    <w:p>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磋商小组</w:t>
      </w:r>
      <w:r>
        <w:rPr>
          <w:rFonts w:hint="eastAsia" w:ascii="仿宋" w:hAnsi="仿宋" w:eastAsia="仿宋" w:cs="仿宋"/>
          <w:color w:val="000000"/>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熟悉磋商文件；</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对响应文件进行初步评审，检查响应文件是否满足磋商文件的初审要求；初步评审中不符合评审标准的，将做否决磋商响应处理；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供应商有以下情形之一的，磋商小组应当否决其磋商响应：</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（4）不符合国家或者磋商文件规定的资格条件；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（5）同一供应商提交两个以上不同的响应文件或者响应报价，但磋商文件要求提交备选文件的除外；</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内容允许在磋商过程中按磋商小组规定的时间内补充，若未在规定时间内补充则将导致响应无效。</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通过初步评审的供应商分别进行磋商；</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pPr>
        <w:pStyle w:val="5"/>
        <w:ind w:firstLine="0" w:firstLineChars="0"/>
        <w:jc w:val="left"/>
        <w:rPr>
          <w:rFonts w:hint="eastAsia" w:ascii="仿宋" w:hAnsi="仿宋" w:eastAsia="仿宋" w:cs="仿宋"/>
          <w:color w:val="000000"/>
          <w:sz w:val="24"/>
          <w:szCs w:val="24"/>
          <w:highlight w:val="none"/>
        </w:rPr>
      </w:pPr>
      <w:bookmarkStart w:id="117" w:name="_Toc444891345"/>
      <w:bookmarkStart w:id="118" w:name="_Toc517281826"/>
      <w:r>
        <w:rPr>
          <w:rFonts w:hint="eastAsia" w:ascii="仿宋" w:hAnsi="仿宋" w:eastAsia="仿宋" w:cs="仿宋"/>
          <w:color w:val="000000"/>
          <w:sz w:val="24"/>
          <w:szCs w:val="24"/>
          <w:highlight w:val="none"/>
        </w:rPr>
        <w:br w:type="page"/>
      </w:r>
      <w:bookmarkStart w:id="119" w:name="_Toc2074"/>
      <w:r>
        <w:rPr>
          <w:rFonts w:hint="eastAsia" w:ascii="仿宋" w:hAnsi="仿宋" w:eastAsia="仿宋" w:cs="仿宋"/>
          <w:color w:val="000000"/>
          <w:sz w:val="24"/>
          <w:szCs w:val="24"/>
          <w:highlight w:val="none"/>
        </w:rPr>
        <w:t>二、初步评审</w:t>
      </w:r>
      <w:bookmarkEnd w:id="117"/>
      <w:bookmarkEnd w:id="118"/>
      <w:bookmarkEnd w:id="119"/>
    </w:p>
    <w:bookmarkEnd w:id="115"/>
    <w:bookmarkEnd w:id="116"/>
    <w:tbl>
      <w:tblPr>
        <w:tblStyle w:val="41"/>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1167"/>
        <w:gridCol w:w="1952"/>
        <w:gridCol w:w="60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noWrap w:val="0"/>
            <w:vAlign w:val="center"/>
          </w:tcPr>
          <w:p>
            <w:pPr>
              <w:widowControl/>
              <w:spacing w:line="360" w:lineRule="auto"/>
              <w:jc w:val="center"/>
              <w:rPr>
                <w:rFonts w:hint="eastAsia" w:ascii="仿宋" w:hAnsi="仿宋" w:eastAsia="仿宋" w:cs="仿宋"/>
                <w:b/>
                <w:color w:val="000000"/>
                <w:kern w:val="0"/>
                <w:szCs w:val="21"/>
                <w:highlight w:val="none"/>
              </w:rPr>
            </w:pPr>
            <w:bookmarkStart w:id="120" w:name="_Toc13468"/>
            <w:bookmarkStart w:id="121" w:name="_Toc426620345"/>
            <w:bookmarkStart w:id="122" w:name="_Toc517281827"/>
            <w:bookmarkStart w:id="123" w:name="_Toc9003"/>
            <w:bookmarkStart w:id="124" w:name="_Toc4633"/>
            <w:bookmarkStart w:id="125" w:name="_Toc444891346"/>
            <w:r>
              <w:rPr>
                <w:rFonts w:hint="eastAsia" w:ascii="仿宋" w:hAnsi="仿宋" w:eastAsia="仿宋" w:cs="仿宋"/>
                <w:b/>
                <w:color w:val="000000"/>
                <w:kern w:val="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80" w:type="pct"/>
            <w:noWrap w:val="0"/>
            <w:vAlign w:val="center"/>
          </w:tcPr>
          <w:p>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80" w:type="pct"/>
            <w:noWrap w:val="0"/>
            <w:vAlign w:val="center"/>
          </w:tcPr>
          <w:p>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80" w:type="pct"/>
            <w:noWrap w:val="0"/>
            <w:vAlign w:val="center"/>
          </w:tcPr>
          <w:p>
            <w:pPr>
              <w:pStyle w:val="175"/>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138"/>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80" w:type="pct"/>
            <w:noWrap w:val="0"/>
            <w:vAlign w:val="center"/>
          </w:tcPr>
          <w:p>
            <w:pPr>
              <w:pStyle w:val="175"/>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175"/>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80" w:type="pct"/>
            <w:noWrap w:val="0"/>
            <w:vAlign w:val="center"/>
          </w:tcPr>
          <w:p>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157"/>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szCs w:val="21"/>
                <w:highlight w:val="none"/>
                <w:lang w:val="en-US" w:eastAsia="zh-CN"/>
              </w:rPr>
              <w:t>XXXX</w:t>
            </w:r>
          </w:p>
        </w:tc>
        <w:tc>
          <w:tcPr>
            <w:tcW w:w="3080"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符合第一章“竞争性磋商公告”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auto"/>
                <w:kern w:val="0"/>
                <w:szCs w:val="21"/>
                <w:highlight w:val="none"/>
                <w:lang w:val="en-US" w:eastAsia="zh-CN"/>
              </w:rPr>
            </w:pPr>
            <w:r>
              <w:rPr>
                <w:rFonts w:hint="eastAsia" w:ascii="仿宋" w:hAnsi="仿宋" w:eastAsia="仿宋" w:cs="Cambria Math"/>
                <w:color w:val="auto"/>
                <w:szCs w:val="21"/>
                <w:highlight w:val="none"/>
                <w:lang w:val="en-US" w:eastAsia="zh-CN"/>
              </w:rPr>
              <w:t>XXXX</w:t>
            </w:r>
          </w:p>
        </w:tc>
        <w:tc>
          <w:tcPr>
            <w:tcW w:w="3080"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符合第一章“竞争性磋商公告”</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pPr>
              <w:spacing w:before="24" w:after="24" w:line="276"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80"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80"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80" w:type="pct"/>
            <w:noWrap w:val="0"/>
            <w:vAlign w:val="center"/>
          </w:tcPr>
          <w:p>
            <w:pPr>
              <w:spacing w:before="24" w:after="24" w:line="276" w:lineRule="auto"/>
              <w:jc w:val="left"/>
              <w:rPr>
                <w:rFonts w:hint="eastAsia"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80" w:type="pct"/>
            <w:noWrap w:val="0"/>
            <w:vAlign w:val="center"/>
          </w:tcPr>
          <w:p>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5"/>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26" w:name="_Toc17091"/>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20"/>
      <w:bookmarkEnd w:id="121"/>
      <w:bookmarkEnd w:id="122"/>
      <w:bookmarkEnd w:id="123"/>
      <w:bookmarkEnd w:id="124"/>
      <w:bookmarkEnd w:id="125"/>
      <w:r>
        <w:rPr>
          <w:rFonts w:hint="eastAsia" w:ascii="仿宋" w:hAnsi="仿宋" w:eastAsia="仿宋" w:cs="仿宋"/>
          <w:color w:val="000000"/>
          <w:sz w:val="24"/>
          <w:szCs w:val="24"/>
          <w:highlight w:val="none"/>
        </w:rPr>
        <w:t>详细评审</w:t>
      </w:r>
      <w:bookmarkEnd w:id="126"/>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r>
        <w:drawing>
          <wp:inline distT="0" distB="0" distL="114300" distR="114300">
            <wp:extent cx="5708650" cy="3986530"/>
            <wp:effectExtent l="0" t="0" r="6350" b="1397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14"/>
                    <a:stretch>
                      <a:fillRect/>
                    </a:stretch>
                  </pic:blipFill>
                  <pic:spPr>
                    <a:xfrm>
                      <a:off x="0" y="0"/>
                      <a:ext cx="5708650" cy="3986530"/>
                    </a:xfrm>
                    <a:prstGeom prst="rect">
                      <a:avLst/>
                    </a:prstGeom>
                    <a:noFill/>
                    <a:ln>
                      <a:noFill/>
                    </a:ln>
                  </pic:spPr>
                </pic:pic>
              </a:graphicData>
            </a:graphic>
          </wp:inline>
        </w:drawing>
      </w: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2"/>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4"/>
        <w:numPr>
          <w:ilvl w:val="0"/>
          <w:numId w:val="0"/>
        </w:numPr>
        <w:spacing w:before="0"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br w:type="page"/>
      </w:r>
      <w:bookmarkStart w:id="127" w:name="_Toc8712"/>
      <w:r>
        <w:rPr>
          <w:rFonts w:hint="eastAsia" w:ascii="仿宋" w:hAnsi="仿宋" w:eastAsia="仿宋" w:cs="仿宋"/>
          <w:color w:val="auto"/>
          <w:sz w:val="28"/>
          <w:szCs w:val="28"/>
          <w:highlight w:val="none"/>
        </w:rPr>
        <w:t>合同条款</w:t>
      </w:r>
      <w:bookmarkEnd w:id="127"/>
    </w:p>
    <w:p>
      <w:pPr>
        <w:widowControl w:val="0"/>
        <w:numPr>
          <w:ilvl w:val="0"/>
          <w:numId w:val="0"/>
        </w:numPr>
        <w:jc w:val="both"/>
        <w:rPr>
          <w:rFonts w:hint="eastAsia"/>
        </w:rPr>
      </w:pPr>
    </w:p>
    <w:p>
      <w:pPr>
        <w:keepNext w:val="0"/>
        <w:keepLines w:val="0"/>
        <w:widowControl/>
        <w:suppressLineNumbers w:val="0"/>
        <w:jc w:val="left"/>
      </w:pPr>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16" o:title=""/>
            <o:lock v:ext="edit" aspectratio="t"/>
            <w10:wrap type="none"/>
            <w10:anchorlock/>
          </v:shape>
          <w:control r:id="rId15" w:name="HTMLHidden1" w:shapeid="_x0000_i1025"/>
        </w:object>
      </w:r>
    </w:p>
    <w:p>
      <w:pPr>
        <w:keepNext w:val="0"/>
        <w:keepLines w:val="0"/>
        <w:widowControl/>
        <w:suppressLineNumbers w:val="0"/>
        <w:spacing w:before="0" w:beforeAutospacing="1" w:after="0" w:afterAutospacing="1" w:line="600" w:lineRule="exact"/>
        <w:ind w:left="0" w:right="0"/>
        <w:jc w:val="center"/>
        <w:rPr>
          <w:rFonts w:hint="eastAsia" w:ascii="仿宋" w:hAnsi="仿宋" w:eastAsia="仿宋" w:cs="仿宋"/>
          <w:sz w:val="28"/>
          <w:szCs w:val="28"/>
        </w:rPr>
      </w:pPr>
      <w:r>
        <w:rPr>
          <w:rFonts w:hint="eastAsia" w:ascii="仿宋" w:hAnsi="仿宋" w:eastAsia="仿宋" w:cs="仿宋"/>
          <w:b/>
          <w:bCs/>
          <w:sz w:val="28"/>
          <w:szCs w:val="28"/>
        </w:rPr>
        <w:t>商务部分</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第一条 </w:t>
      </w:r>
      <w:r>
        <w:rPr>
          <w:rFonts w:hint="eastAsia" w:ascii="仿宋" w:hAnsi="仿宋" w:eastAsia="仿宋" w:cs="仿宋"/>
          <w:b/>
          <w:bCs/>
          <w:sz w:val="28"/>
          <w:szCs w:val="28"/>
        </w:rPr>
        <w:t>项目内容及要求</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本合同项下甲乙双方约定的项目内容及要求为：_______。</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第二条 </w:t>
      </w:r>
      <w:r>
        <w:rPr>
          <w:rFonts w:hint="eastAsia" w:ascii="仿宋" w:hAnsi="仿宋" w:eastAsia="仿宋" w:cs="仿宋"/>
          <w:b/>
          <w:bCs/>
          <w:sz w:val="28"/>
          <w:szCs w:val="28"/>
        </w:rPr>
        <w:t>合同价格</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本合同价格为以下第_______种方式：</w:t>
      </w:r>
      <w:r>
        <w:rPr>
          <w:rFonts w:hint="eastAsia" w:ascii="仿宋" w:hAnsi="仿宋" w:eastAsia="仿宋" w:cs="仿宋"/>
          <w:sz w:val="28"/>
          <w:szCs w:val="28"/>
        </w:rPr>
        <w:br w:type="textWrapping"/>
      </w:r>
      <w:r>
        <w:rPr>
          <w:rFonts w:hint="eastAsia" w:ascii="仿宋" w:hAnsi="仿宋" w:eastAsia="仿宋" w:cs="仿宋"/>
          <w:sz w:val="28"/>
          <w:szCs w:val="28"/>
        </w:rPr>
        <w:t>（1）总价结算，合同价格（含税）总计为RMB_______元（大写：_______）。</w:t>
      </w:r>
      <w:r>
        <w:rPr>
          <w:rFonts w:hint="eastAsia" w:ascii="仿宋" w:hAnsi="仿宋" w:eastAsia="仿宋" w:cs="仿宋"/>
          <w:sz w:val="28"/>
          <w:szCs w:val="28"/>
        </w:rPr>
        <w:br w:type="textWrapping"/>
      </w:r>
      <w:r>
        <w:rPr>
          <w:rFonts w:hint="eastAsia" w:ascii="仿宋" w:hAnsi="仿宋" w:eastAsia="仿宋" w:cs="仿宋"/>
          <w:sz w:val="28"/>
          <w:szCs w:val="28"/>
        </w:rPr>
        <w:t>（2）单价结算，以实际发生的具体情况据实结算，单价详见附件。</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（三） 本合同付款安排见【附件】。</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（四） ......</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第三条 </w:t>
      </w:r>
      <w:r>
        <w:rPr>
          <w:rFonts w:hint="eastAsia" w:ascii="仿宋" w:hAnsi="仿宋" w:eastAsia="仿宋" w:cs="仿宋"/>
          <w:b/>
          <w:bCs/>
          <w:sz w:val="28"/>
          <w:szCs w:val="28"/>
        </w:rPr>
        <w:t>服务期限</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服务期限：自_______年_______月_______日起至_______年_______月_______日止。</w:t>
      </w:r>
    </w:p>
    <w:p>
      <w:pPr>
        <w:keepNext w:val="0"/>
        <w:keepLines w:val="0"/>
        <w:widowControl/>
        <w:suppressLineNumbers w:val="0"/>
        <w:spacing w:before="0" w:beforeAutospacing="1" w:after="0" w:afterAutospacing="1" w:line="600" w:lineRule="exact"/>
        <w:ind w:left="0" w:right="0" w:firstLine="1050"/>
        <w:jc w:val="left"/>
        <w:rPr>
          <w:rFonts w:hint="eastAsia" w:ascii="仿宋" w:hAnsi="仿宋" w:eastAsia="仿宋" w:cs="仿宋"/>
          <w:sz w:val="28"/>
          <w:szCs w:val="28"/>
        </w:rPr>
      </w:pPr>
      <w:r>
        <w:rPr>
          <w:rFonts w:hint="eastAsia" w:ascii="仿宋" w:hAnsi="仿宋" w:eastAsia="仿宋" w:cs="仿宋"/>
          <w:sz w:val="28"/>
          <w:szCs w:val="28"/>
        </w:rPr>
        <w:t>1......</w:t>
      </w:r>
    </w:p>
    <w:p>
      <w:pPr>
        <w:keepNext w:val="0"/>
        <w:keepLines w:val="0"/>
        <w:widowControl/>
        <w:suppressLineNumbers w:val="0"/>
        <w:spacing w:before="0" w:beforeAutospacing="1" w:after="0" w:afterAutospacing="1" w:line="600" w:lineRule="exact"/>
        <w:ind w:left="0" w:right="0"/>
        <w:jc w:val="center"/>
        <w:rPr>
          <w:rFonts w:hint="eastAsia" w:ascii="仿宋" w:hAnsi="仿宋" w:eastAsia="仿宋" w:cs="仿宋"/>
          <w:sz w:val="28"/>
          <w:szCs w:val="28"/>
        </w:rPr>
      </w:pPr>
      <w:r>
        <w:rPr>
          <w:rFonts w:hint="eastAsia" w:ascii="仿宋" w:hAnsi="仿宋" w:eastAsia="仿宋" w:cs="仿宋"/>
          <w:b/>
          <w:bCs/>
          <w:sz w:val="28"/>
          <w:szCs w:val="28"/>
        </w:rPr>
        <w:t>通用部分</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第四条 </w:t>
      </w:r>
      <w:r>
        <w:rPr>
          <w:rFonts w:hint="eastAsia" w:ascii="仿宋" w:hAnsi="仿宋" w:eastAsia="仿宋" w:cs="仿宋"/>
          <w:b/>
          <w:bCs/>
          <w:sz w:val="28"/>
          <w:szCs w:val="28"/>
        </w:rPr>
        <w:t>双方的权利和义务</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甲方的权利和义务</w:t>
      </w:r>
      <w:r>
        <w:rPr>
          <w:rFonts w:hint="eastAsia" w:ascii="仿宋" w:hAnsi="仿宋" w:eastAsia="仿宋" w:cs="仿宋"/>
          <w:sz w:val="28"/>
          <w:szCs w:val="28"/>
        </w:rPr>
        <w:br w:type="textWrapping"/>
      </w:r>
      <w:r>
        <w:rPr>
          <w:rFonts w:hint="eastAsia" w:ascii="仿宋" w:hAnsi="仿宋" w:eastAsia="仿宋" w:cs="仿宋"/>
          <w:sz w:val="28"/>
          <w:szCs w:val="28"/>
        </w:rPr>
        <w:t>（1）甲方有权获得本合同项下乙方应提供的全部合格的服务；</w:t>
      </w:r>
      <w:r>
        <w:rPr>
          <w:rFonts w:hint="eastAsia" w:ascii="仿宋" w:hAnsi="仿宋" w:eastAsia="仿宋" w:cs="仿宋"/>
          <w:sz w:val="28"/>
          <w:szCs w:val="28"/>
        </w:rPr>
        <w:br w:type="textWrapping"/>
      </w:r>
      <w:r>
        <w:rPr>
          <w:rFonts w:hint="eastAsia" w:ascii="仿宋" w:hAnsi="仿宋" w:eastAsia="仿宋" w:cs="仿宋"/>
          <w:sz w:val="28"/>
          <w:szCs w:val="28"/>
        </w:rPr>
        <w:t>（2）甲方有权在合同期内对乙方的产品及服务进行监督；</w:t>
      </w:r>
      <w:r>
        <w:rPr>
          <w:rFonts w:hint="eastAsia" w:ascii="仿宋" w:hAnsi="仿宋" w:eastAsia="仿宋" w:cs="仿宋"/>
          <w:sz w:val="28"/>
          <w:szCs w:val="28"/>
        </w:rPr>
        <w:br w:type="textWrapping"/>
      </w:r>
      <w:r>
        <w:rPr>
          <w:rFonts w:hint="eastAsia" w:ascii="仿宋" w:hAnsi="仿宋" w:eastAsia="仿宋" w:cs="仿宋"/>
          <w:sz w:val="28"/>
          <w:szCs w:val="28"/>
        </w:rPr>
        <w:t>（3）乙方未按照合同约定履行义务的，甲方有权采取相应的措施；</w:t>
      </w:r>
      <w:r>
        <w:rPr>
          <w:rFonts w:hint="eastAsia" w:ascii="仿宋" w:hAnsi="仿宋" w:eastAsia="仿宋" w:cs="仿宋"/>
          <w:sz w:val="28"/>
          <w:szCs w:val="28"/>
        </w:rPr>
        <w:br w:type="textWrapping"/>
      </w:r>
      <w:r>
        <w:rPr>
          <w:rFonts w:hint="eastAsia" w:ascii="仿宋" w:hAnsi="仿宋" w:eastAsia="仿宋" w:cs="仿宋"/>
          <w:sz w:val="28"/>
          <w:szCs w:val="28"/>
        </w:rPr>
        <w:t>（4）甲方应按照合同约定向乙方支付合同价款；</w:t>
      </w:r>
      <w:r>
        <w:rPr>
          <w:rFonts w:hint="eastAsia" w:ascii="仿宋" w:hAnsi="仿宋" w:eastAsia="仿宋" w:cs="仿宋"/>
          <w:sz w:val="28"/>
          <w:szCs w:val="28"/>
        </w:rPr>
        <w:br w:type="textWrapping"/>
      </w:r>
      <w:r>
        <w:rPr>
          <w:rFonts w:hint="eastAsia" w:ascii="仿宋" w:hAnsi="仿宋" w:eastAsia="仿宋" w:cs="仿宋"/>
          <w:sz w:val="28"/>
          <w:szCs w:val="28"/>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乙方的权利和义务</w:t>
      </w:r>
      <w:r>
        <w:rPr>
          <w:rFonts w:hint="eastAsia" w:ascii="仿宋" w:hAnsi="仿宋" w:eastAsia="仿宋" w:cs="仿宋"/>
          <w:sz w:val="28"/>
          <w:szCs w:val="28"/>
        </w:rPr>
        <w:br w:type="textWrapping"/>
      </w:r>
      <w:r>
        <w:rPr>
          <w:rFonts w:hint="eastAsia" w:ascii="仿宋" w:hAnsi="仿宋" w:eastAsia="仿宋" w:cs="仿宋"/>
          <w:sz w:val="28"/>
          <w:szCs w:val="28"/>
        </w:rPr>
        <w:t>（1）乙方有权获得甲方支付的合同价款；</w:t>
      </w:r>
      <w:r>
        <w:rPr>
          <w:rFonts w:hint="eastAsia" w:ascii="仿宋" w:hAnsi="仿宋" w:eastAsia="仿宋" w:cs="仿宋"/>
          <w:sz w:val="28"/>
          <w:szCs w:val="28"/>
        </w:rPr>
        <w:br w:type="textWrapping"/>
      </w:r>
      <w:r>
        <w:rPr>
          <w:rFonts w:hint="eastAsia" w:ascii="仿宋" w:hAnsi="仿宋" w:eastAsia="仿宋" w:cs="仿宋"/>
          <w:sz w:val="28"/>
          <w:szCs w:val="28"/>
        </w:rPr>
        <w:t>（2）乙方应按照合同约定向甲方提供全部合格的服务；</w:t>
      </w:r>
      <w:r>
        <w:rPr>
          <w:rFonts w:hint="eastAsia" w:ascii="仿宋" w:hAnsi="仿宋" w:eastAsia="仿宋" w:cs="仿宋"/>
          <w:sz w:val="28"/>
          <w:szCs w:val="28"/>
        </w:rPr>
        <w:br w:type="textWrapping"/>
      </w:r>
      <w:r>
        <w:rPr>
          <w:rFonts w:hint="eastAsia" w:ascii="仿宋" w:hAnsi="仿宋" w:eastAsia="仿宋" w:cs="仿宋"/>
          <w:sz w:val="28"/>
          <w:szCs w:val="28"/>
        </w:rPr>
        <w:t>（3）乙方应当按照合同约定的期限及要求完成项目内容；</w:t>
      </w:r>
      <w:r>
        <w:rPr>
          <w:rFonts w:hint="eastAsia" w:ascii="仿宋" w:hAnsi="仿宋" w:eastAsia="仿宋" w:cs="仿宋"/>
          <w:sz w:val="28"/>
          <w:szCs w:val="28"/>
        </w:rPr>
        <w:br w:type="textWrapping"/>
      </w:r>
      <w:r>
        <w:rPr>
          <w:rFonts w:hint="eastAsia" w:ascii="仿宋" w:hAnsi="仿宋" w:eastAsia="仿宋" w:cs="仿宋"/>
          <w:sz w:val="28"/>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sz w:val="28"/>
          <w:szCs w:val="28"/>
        </w:rPr>
        <w:br w:type="textWrapping"/>
      </w:r>
      <w:r>
        <w:rPr>
          <w:rFonts w:hint="eastAsia" w:ascii="仿宋" w:hAnsi="仿宋" w:eastAsia="仿宋" w:cs="仿宋"/>
          <w:sz w:val="28"/>
          <w:szCs w:val="28"/>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（三） 除本合同约定的双方的权利义务外，甲乙双方在本合同项下的其他权利和义务见【附件】（如有）的约定。</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第五条 </w:t>
      </w:r>
      <w:r>
        <w:rPr>
          <w:rFonts w:hint="eastAsia" w:ascii="仿宋" w:hAnsi="仿宋" w:eastAsia="仿宋" w:cs="仿宋"/>
          <w:sz w:val="28"/>
          <w:szCs w:val="28"/>
        </w:rPr>
        <w:t>禁止转让</w:t>
      </w:r>
      <w:r>
        <w:rPr>
          <w:rFonts w:hint="eastAsia" w:ascii="仿宋" w:hAnsi="仿宋" w:eastAsia="仿宋" w:cs="仿宋"/>
          <w:sz w:val="28"/>
          <w:szCs w:val="28"/>
        </w:rPr>
        <w:br w:type="textWrapping"/>
      </w:r>
      <w:r>
        <w:rPr>
          <w:rFonts w:hint="eastAsia" w:ascii="仿宋" w:hAnsi="仿宋" w:eastAsia="仿宋" w:cs="仿宋"/>
          <w:b/>
          <w:bCs/>
          <w:sz w:val="28"/>
          <w:szCs w:val="28"/>
        </w:rPr>
        <w:t>禁止转让</w:t>
      </w:r>
      <w:r>
        <w:rPr>
          <w:rFonts w:hint="eastAsia" w:ascii="仿宋" w:hAnsi="仿宋" w:eastAsia="仿宋" w:cs="仿宋"/>
          <w:sz w:val="28"/>
          <w:szCs w:val="28"/>
        </w:rPr>
        <w:br w:type="textWrapping"/>
      </w:r>
      <w:r>
        <w:rPr>
          <w:rFonts w:hint="eastAsia" w:ascii="仿宋" w:hAnsi="仿宋" w:eastAsia="仿宋" w:cs="仿宋"/>
          <w:sz w:val="28"/>
          <w:szCs w:val="28"/>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第六条 </w:t>
      </w:r>
      <w:r>
        <w:rPr>
          <w:rFonts w:hint="eastAsia" w:ascii="仿宋" w:hAnsi="仿宋" w:eastAsia="仿宋" w:cs="仿宋"/>
          <w:sz w:val="28"/>
          <w:szCs w:val="28"/>
        </w:rPr>
        <w:t>权利保证</w:t>
      </w:r>
      <w:r>
        <w:rPr>
          <w:rFonts w:hint="eastAsia" w:ascii="仿宋" w:hAnsi="仿宋" w:eastAsia="仿宋" w:cs="仿宋"/>
          <w:sz w:val="28"/>
          <w:szCs w:val="28"/>
        </w:rPr>
        <w:br w:type="textWrapping"/>
      </w:r>
      <w:r>
        <w:rPr>
          <w:rFonts w:hint="eastAsia" w:ascii="仿宋" w:hAnsi="仿宋" w:eastAsia="仿宋" w:cs="仿宋"/>
          <w:b/>
          <w:bCs/>
          <w:sz w:val="28"/>
          <w:szCs w:val="28"/>
        </w:rPr>
        <w:t>权利保证</w:t>
      </w:r>
      <w:r>
        <w:rPr>
          <w:rFonts w:hint="eastAsia" w:ascii="仿宋" w:hAnsi="仿宋" w:eastAsia="仿宋" w:cs="仿宋"/>
          <w:sz w:val="28"/>
          <w:szCs w:val="28"/>
        </w:rPr>
        <w:br w:type="textWrapping"/>
      </w:r>
      <w:r>
        <w:rPr>
          <w:rFonts w:hint="eastAsia" w:ascii="仿宋" w:hAnsi="仿宋" w:eastAsia="仿宋" w:cs="仿宋"/>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第七条 </w:t>
      </w:r>
      <w:r>
        <w:rPr>
          <w:rFonts w:hint="eastAsia" w:ascii="仿宋" w:hAnsi="仿宋" w:eastAsia="仿宋" w:cs="仿宋"/>
          <w:b/>
          <w:bCs/>
          <w:sz w:val="28"/>
          <w:szCs w:val="28"/>
        </w:rPr>
        <w:t>违约责任</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乙方延迟交付的违约责任</w:t>
      </w:r>
      <w:r>
        <w:rPr>
          <w:rFonts w:hint="eastAsia" w:ascii="仿宋" w:hAnsi="仿宋" w:eastAsia="仿宋" w:cs="仿宋"/>
          <w:sz w:val="28"/>
          <w:szCs w:val="28"/>
        </w:rPr>
        <w:br w:type="textWrapping"/>
      </w:r>
      <w:r>
        <w:rPr>
          <w:rFonts w:hint="eastAsia" w:ascii="仿宋" w:hAnsi="仿宋" w:eastAsia="仿宋" w:cs="仿宋"/>
          <w:sz w:val="28"/>
          <w:szCs w:val="28"/>
        </w:rPr>
        <w:t>（1）由于乙方原因造成项目延迟的，每延迟10个工作日，乙方向甲方支付违约金为合同服务费用总额的_______%。</w:t>
      </w:r>
      <w:r>
        <w:rPr>
          <w:rFonts w:hint="eastAsia" w:ascii="仿宋" w:hAnsi="仿宋" w:eastAsia="仿宋" w:cs="仿宋"/>
          <w:sz w:val="28"/>
          <w:szCs w:val="28"/>
        </w:rPr>
        <w:br w:type="textWrapping"/>
      </w:r>
      <w:r>
        <w:rPr>
          <w:rFonts w:hint="eastAsia" w:ascii="仿宋" w:hAnsi="仿宋" w:eastAsia="仿宋" w:cs="仿宋"/>
          <w:sz w:val="28"/>
          <w:szCs w:val="28"/>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1050"/>
        <w:jc w:val="left"/>
        <w:rPr>
          <w:rFonts w:hint="eastAsia" w:ascii="仿宋" w:hAnsi="仿宋" w:eastAsia="仿宋" w:cs="仿宋"/>
          <w:sz w:val="28"/>
          <w:szCs w:val="28"/>
        </w:rPr>
      </w:pPr>
      <w:r>
        <w:rPr>
          <w:rFonts w:hint="eastAsia" w:ascii="仿宋" w:hAnsi="仿宋" w:eastAsia="仿宋" w:cs="仿宋"/>
          <w:sz w:val="28"/>
          <w:szCs w:val="28"/>
        </w:rPr>
        <w:t>1......</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第八条 </w:t>
      </w:r>
      <w:r>
        <w:rPr>
          <w:rFonts w:hint="eastAsia" w:ascii="仿宋" w:hAnsi="仿宋" w:eastAsia="仿宋" w:cs="仿宋"/>
          <w:b/>
          <w:bCs/>
          <w:sz w:val="28"/>
          <w:szCs w:val="28"/>
        </w:rPr>
        <w:t>保密义务</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第九条 </w:t>
      </w:r>
      <w:r>
        <w:rPr>
          <w:rFonts w:hint="eastAsia" w:ascii="仿宋" w:hAnsi="仿宋" w:eastAsia="仿宋" w:cs="仿宋"/>
          <w:b/>
          <w:bCs/>
          <w:sz w:val="28"/>
          <w:szCs w:val="28"/>
        </w:rPr>
        <w:t>不可抗力</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第十条 </w:t>
      </w:r>
      <w:r>
        <w:rPr>
          <w:rFonts w:hint="eastAsia" w:ascii="仿宋" w:hAnsi="仿宋" w:eastAsia="仿宋" w:cs="仿宋"/>
          <w:sz w:val="28"/>
          <w:szCs w:val="28"/>
        </w:rPr>
        <w:t>合同变更</w:t>
      </w:r>
      <w:r>
        <w:rPr>
          <w:rFonts w:hint="eastAsia" w:ascii="仿宋" w:hAnsi="仿宋" w:eastAsia="仿宋" w:cs="仿宋"/>
          <w:sz w:val="28"/>
          <w:szCs w:val="28"/>
        </w:rPr>
        <w:br w:type="textWrapping"/>
      </w:r>
      <w:r>
        <w:rPr>
          <w:rFonts w:hint="eastAsia" w:ascii="仿宋" w:hAnsi="仿宋" w:eastAsia="仿宋" w:cs="仿宋"/>
          <w:b/>
          <w:bCs/>
          <w:sz w:val="28"/>
          <w:szCs w:val="28"/>
        </w:rPr>
        <w:t>合同变更</w:t>
      </w:r>
      <w:r>
        <w:rPr>
          <w:rFonts w:hint="eastAsia" w:ascii="仿宋" w:hAnsi="仿宋" w:eastAsia="仿宋" w:cs="仿宋"/>
          <w:sz w:val="28"/>
          <w:szCs w:val="28"/>
        </w:rPr>
        <w:br w:type="textWrapping"/>
      </w:r>
      <w:r>
        <w:rPr>
          <w:rFonts w:hint="eastAsia" w:ascii="仿宋" w:hAnsi="仿宋" w:eastAsia="仿宋" w:cs="仿宋"/>
          <w:sz w:val="28"/>
          <w:szCs w:val="28"/>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第十一条 </w:t>
      </w:r>
      <w:r>
        <w:rPr>
          <w:rFonts w:hint="eastAsia" w:ascii="仿宋" w:hAnsi="仿宋" w:eastAsia="仿宋" w:cs="仿宋"/>
          <w:b/>
          <w:bCs/>
          <w:sz w:val="28"/>
          <w:szCs w:val="28"/>
        </w:rPr>
        <w:t>合同特别终止</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sz w:val="28"/>
          <w:szCs w:val="28"/>
        </w:rPr>
        <w:br w:type="textWrapping"/>
      </w:r>
      <w:r>
        <w:rPr>
          <w:rFonts w:hint="eastAsia" w:ascii="仿宋" w:hAnsi="仿宋" w:eastAsia="仿宋" w:cs="仿宋"/>
          <w:sz w:val="28"/>
          <w:szCs w:val="28"/>
        </w:rPr>
        <w:t>（1）乙方破产、解散（包括但不限于乙方股东会决议解散、乙方被吊销营业执照、被责令关闭、被撤销、被司法机关裁决解散等情形）；</w:t>
      </w:r>
      <w:r>
        <w:rPr>
          <w:rFonts w:hint="eastAsia" w:ascii="仿宋" w:hAnsi="仿宋" w:eastAsia="仿宋" w:cs="仿宋"/>
          <w:sz w:val="28"/>
          <w:szCs w:val="28"/>
        </w:rPr>
        <w:br w:type="textWrapping"/>
      </w:r>
      <w:r>
        <w:rPr>
          <w:rFonts w:hint="eastAsia" w:ascii="仿宋" w:hAnsi="仿宋" w:eastAsia="仿宋" w:cs="仿宋"/>
          <w:sz w:val="28"/>
          <w:szCs w:val="28"/>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第十二条 </w:t>
      </w:r>
      <w:r>
        <w:rPr>
          <w:rFonts w:hint="eastAsia" w:ascii="仿宋" w:hAnsi="仿宋" w:eastAsia="仿宋" w:cs="仿宋"/>
          <w:b/>
          <w:bCs/>
          <w:sz w:val="28"/>
          <w:szCs w:val="28"/>
        </w:rPr>
        <w:t>法律适用与争议解决</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争议解决条款</w:t>
      </w:r>
      <w:r>
        <w:rPr>
          <w:rFonts w:hint="eastAsia" w:ascii="仿宋" w:hAnsi="仿宋" w:eastAsia="仿宋" w:cs="仿宋"/>
          <w:sz w:val="28"/>
          <w:szCs w:val="28"/>
        </w:rPr>
        <w:br w:type="textWrapping"/>
      </w:r>
      <w:r>
        <w:rPr>
          <w:rFonts w:hint="eastAsia" w:ascii="仿宋" w:hAnsi="仿宋" w:eastAsia="仿宋" w:cs="仿宋"/>
          <w:sz w:val="28"/>
          <w:szCs w:val="28"/>
        </w:rPr>
        <w:t>凡因本合同引起的或与本合同有关的任何争议，双方首先应友好协商解决。协商不成的，任何一方均有权向_______法院起诉。</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b/>
          <w:bCs w:val="0"/>
          <w:sz w:val="28"/>
          <w:szCs w:val="28"/>
        </w:rPr>
        <w:t xml:space="preserve">第十三条 </w:t>
      </w:r>
      <w:r>
        <w:rPr>
          <w:rFonts w:hint="eastAsia" w:ascii="仿宋" w:hAnsi="仿宋" w:eastAsia="仿宋" w:cs="仿宋"/>
          <w:b/>
          <w:bCs/>
          <w:sz w:val="28"/>
          <w:szCs w:val="28"/>
        </w:rPr>
        <w:t>合同生效及其他</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（二） 本合同一式_______份，甲方执_______份，乙方执_______份，均具有同等法律效力。</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（三）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（五）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rPr>
          <w:rFonts w:hint="eastAsia" w:ascii="仿宋" w:hAnsi="仿宋" w:eastAsia="仿宋" w:cs="仿宋"/>
          <w:sz w:val="28"/>
          <w:szCs w:val="28"/>
        </w:rPr>
      </w:pPr>
      <w:r>
        <w:rPr>
          <w:rFonts w:hint="eastAsia" w:ascii="仿宋" w:hAnsi="仿宋" w:eastAsia="仿宋" w:cs="仿宋"/>
          <w:sz w:val="28"/>
          <w:szCs w:val="28"/>
        </w:rPr>
        <w:t>（六） ......</w:t>
      </w:r>
    </w:p>
    <w:p>
      <w:pPr>
        <w:pStyle w:val="3"/>
        <w:rPr>
          <w:rFonts w:hint="eastAsia" w:ascii="仿宋" w:hAnsi="仿宋" w:eastAsia="仿宋" w:cs="仿宋"/>
          <w:sz w:val="28"/>
          <w:szCs w:val="28"/>
        </w:rPr>
        <w:sectPr>
          <w:footerReference r:id="rId11" w:type="default"/>
          <w:pgSz w:w="11906" w:h="16838"/>
          <w:pgMar w:top="1417" w:right="1134" w:bottom="1134" w:left="1134" w:header="851" w:footer="992" w:gutter="0"/>
          <w:cols w:space="720" w:num="1"/>
          <w:titlePg/>
          <w:docGrid w:type="lines" w:linePitch="312" w:charSpace="0"/>
        </w:sectPr>
      </w:pPr>
    </w:p>
    <w:bookmarkEnd w:id="110"/>
    <w:bookmarkEnd w:id="111"/>
    <w:p>
      <w:pPr>
        <w:pStyle w:val="4"/>
        <w:spacing w:before="0" w:after="0" w:line="360" w:lineRule="auto"/>
        <w:jc w:val="center"/>
        <w:rPr>
          <w:rFonts w:hint="eastAsia" w:ascii="仿宋" w:hAnsi="仿宋" w:eastAsia="仿宋" w:cs="仿宋"/>
          <w:color w:val="auto"/>
          <w:highlight w:val="none"/>
        </w:rPr>
      </w:pPr>
      <w:bookmarkStart w:id="128" w:name="_Toc444891347"/>
      <w:bookmarkStart w:id="129" w:name="_Toc24143"/>
      <w:bookmarkStart w:id="130" w:name="_Toc28349"/>
      <w:bookmarkStart w:id="131" w:name="_Toc24217"/>
      <w:bookmarkStart w:id="132" w:name="_Toc16424"/>
      <w:bookmarkStart w:id="133" w:name="_Toc517281828"/>
      <w:bookmarkStart w:id="134" w:name="_Toc20138"/>
      <w:r>
        <w:rPr>
          <w:rFonts w:hint="eastAsia" w:ascii="仿宋" w:hAnsi="仿宋" w:eastAsia="仿宋" w:cs="仿宋"/>
          <w:color w:val="auto"/>
          <w:sz w:val="28"/>
          <w:szCs w:val="28"/>
          <w:highlight w:val="none"/>
        </w:rPr>
        <w:t xml:space="preserve">第五章 </w:t>
      </w:r>
      <w:bookmarkEnd w:id="128"/>
      <w:bookmarkEnd w:id="129"/>
      <w:bookmarkEnd w:id="130"/>
      <w:bookmarkEnd w:id="131"/>
      <w:bookmarkEnd w:id="132"/>
      <w:r>
        <w:rPr>
          <w:rFonts w:hint="eastAsia" w:ascii="仿宋" w:hAnsi="仿宋" w:eastAsia="仿宋" w:cs="仿宋"/>
          <w:color w:val="auto"/>
          <w:sz w:val="28"/>
          <w:szCs w:val="28"/>
          <w:highlight w:val="none"/>
        </w:rPr>
        <w:t>采购需求</w:t>
      </w:r>
      <w:bookmarkEnd w:id="133"/>
      <w:bookmarkEnd w:id="134"/>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527"/>
        <w:jc w:val="both"/>
        <w:textAlignment w:val="auto"/>
        <w:rPr>
          <w:rFonts w:hint="eastAsia" w:ascii="仿宋" w:hAnsi="仿宋" w:eastAsia="仿宋" w:cs="仿宋"/>
          <w:sz w:val="28"/>
          <w:szCs w:val="28"/>
          <w:lang w:eastAsia="zh-CN"/>
        </w:rPr>
      </w:pPr>
      <w:bookmarkStart w:id="135" w:name="_Toc21125"/>
      <w:bookmarkStart w:id="136" w:name="_Toc287600128"/>
      <w:bookmarkStart w:id="137" w:name="_Toc517281835"/>
      <w:bookmarkStart w:id="138" w:name="_Toc444891352"/>
      <w:bookmarkStart w:id="139" w:name="_Toc10693"/>
      <w:bookmarkStart w:id="140" w:name="_Toc17141"/>
      <w:bookmarkStart w:id="141" w:name="_Toc11206"/>
      <w:r>
        <w:rPr>
          <w:rFonts w:hint="eastAsia" w:ascii="仿宋" w:hAnsi="仿宋" w:eastAsia="仿宋" w:cs="仿宋"/>
          <w:sz w:val="28"/>
          <w:szCs w:val="28"/>
        </w:rPr>
        <w:t>六盘水分公司高度重视员工的身心健康，定期推动全员健康体检，保障员工的身体健康。采购具体要求：需具有健康舒适的体检环境、先进医疗设施，制定健康管理方案，健康咨询等服务措施，员工体检后反映良好；同时需要</w:t>
      </w:r>
      <w:r>
        <w:rPr>
          <w:rFonts w:hint="eastAsia" w:ascii="仿宋" w:hAnsi="仿宋" w:eastAsia="仿宋" w:cs="仿宋"/>
          <w:sz w:val="28"/>
          <w:szCs w:val="28"/>
          <w:lang w:val="en-US" w:eastAsia="zh-CN"/>
        </w:rPr>
        <w:t>根据性别及婚否</w:t>
      </w:r>
      <w:r>
        <w:rPr>
          <w:rFonts w:hint="eastAsia" w:ascii="仿宋" w:hAnsi="仿宋" w:eastAsia="仿宋" w:cs="仿宋"/>
          <w:sz w:val="28"/>
          <w:szCs w:val="28"/>
        </w:rPr>
        <w:t>提供合理的体检套餐</w:t>
      </w:r>
      <w:r>
        <w:rPr>
          <w:rFonts w:hint="eastAsia" w:ascii="仿宋" w:hAnsi="仿宋" w:eastAsia="仿宋" w:cs="仿宋"/>
          <w:sz w:val="28"/>
          <w:szCs w:val="28"/>
          <w:lang w:eastAsia="zh-CN"/>
        </w:rPr>
        <w:t>。</w:t>
      </w:r>
    </w:p>
    <w:p>
      <w:pPr>
        <w:pStyle w:val="2"/>
        <w:jc w:val="both"/>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kern w:val="2"/>
          <w:sz w:val="28"/>
          <w:szCs w:val="28"/>
          <w:lang w:val="en-US" w:eastAsia="zh-CN" w:bidi="ar-SA"/>
        </w:rPr>
        <w:t>体检需求项目如下：</w:t>
      </w:r>
    </w:p>
    <w:p>
      <w:pPr>
        <w:pStyle w:val="2"/>
        <w:ind w:left="0" w:leftChars="0" w:firstLine="0" w:firstLineChars="0"/>
        <w:rPr>
          <w:rFonts w:hint="eastAsia"/>
        </w:rPr>
      </w:pPr>
      <w:r>
        <w:drawing>
          <wp:inline distT="0" distB="0" distL="114300" distR="114300">
            <wp:extent cx="6044565" cy="8640445"/>
            <wp:effectExtent l="0" t="0" r="13335"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tretch>
                      <a:fillRect/>
                    </a:stretch>
                  </pic:blipFill>
                  <pic:spPr>
                    <a:xfrm>
                      <a:off x="0" y="0"/>
                      <a:ext cx="6044565" cy="8640445"/>
                    </a:xfrm>
                    <a:prstGeom prst="rect">
                      <a:avLst/>
                    </a:prstGeom>
                    <a:noFill/>
                    <a:ln>
                      <a:noFill/>
                    </a:ln>
                  </pic:spPr>
                </pic:pic>
              </a:graphicData>
            </a:graphic>
          </wp:inline>
        </w:drawing>
      </w:r>
    </w:p>
    <w:p>
      <w:pPr>
        <w:pStyle w:val="4"/>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bookmarkStart w:id="142" w:name="_Toc16613"/>
      <w:r>
        <w:rPr>
          <w:rFonts w:hint="eastAsia" w:ascii="仿宋" w:hAnsi="仿宋" w:eastAsia="仿宋" w:cs="仿宋"/>
          <w:color w:val="000000"/>
          <w:sz w:val="28"/>
          <w:szCs w:val="28"/>
          <w:highlight w:val="none"/>
        </w:rPr>
        <w:t>第六章 响应文件格式</w:t>
      </w:r>
      <w:bookmarkEnd w:id="135"/>
      <w:bookmarkEnd w:id="136"/>
      <w:bookmarkEnd w:id="137"/>
      <w:bookmarkEnd w:id="138"/>
      <w:bookmarkEnd w:id="139"/>
      <w:bookmarkEnd w:id="140"/>
      <w:bookmarkEnd w:id="141"/>
      <w:bookmarkEnd w:id="142"/>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r>
        <w:rPr>
          <w:rFonts w:hint="eastAsia" w:ascii="仿宋" w:hAnsi="仿宋" w:eastAsia="仿宋" w:cs="仿宋"/>
          <w:b w:val="0"/>
          <w:bCs w:val="0"/>
          <w:color w:val="FF0000"/>
          <w:sz w:val="24"/>
          <w:szCs w:val="24"/>
          <w:highlight w:val="none"/>
        </w:rPr>
        <w:t>（可以根据项目实际情况选择是否设置）</w:t>
      </w:r>
    </w:p>
    <w:tbl>
      <w:tblPr>
        <w:tblStyle w:val="41"/>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7"/>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157"/>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157"/>
              <w:ind w:right="-284" w:firstLine="2240"/>
              <w:rPr>
                <w:rFonts w:hint="eastAsia" w:ascii="仿宋" w:hAnsi="仿宋" w:eastAsia="仿宋" w:cs="仿宋"/>
                <w:color w:val="000000"/>
                <w:sz w:val="28"/>
                <w:highlight w:val="none"/>
                <w:u w:val="single"/>
              </w:rPr>
            </w:pPr>
          </w:p>
          <w:p>
            <w:pPr>
              <w:pStyle w:val="157"/>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磋商响应文件</w:t>
            </w:r>
          </w:p>
          <w:p>
            <w:pPr>
              <w:pStyle w:val="157"/>
              <w:spacing w:before="624" w:after="156" w:line="160" w:lineRule="atLeast"/>
              <w:ind w:right="-284"/>
              <w:jc w:val="center"/>
              <w:rPr>
                <w:rFonts w:hint="eastAsia" w:ascii="仿宋" w:hAnsi="仿宋" w:eastAsia="仿宋" w:cs="仿宋"/>
                <w:color w:val="000000"/>
                <w:sz w:val="52"/>
                <w:highlight w:val="none"/>
              </w:rPr>
            </w:pPr>
          </w:p>
          <w:p>
            <w:pPr>
              <w:pStyle w:val="157"/>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157"/>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157"/>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157"/>
              <w:spacing w:after="624"/>
              <w:ind w:right="-284"/>
              <w:jc w:val="center"/>
              <w:rPr>
                <w:rFonts w:hint="eastAsia" w:ascii="仿宋" w:hAnsi="仿宋" w:eastAsia="仿宋" w:cs="仿宋"/>
                <w:color w:val="000000"/>
                <w:sz w:val="24"/>
                <w:highlight w:val="none"/>
              </w:rPr>
            </w:pPr>
          </w:p>
          <w:p>
            <w:pPr>
              <w:pStyle w:val="157"/>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1"/>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7"/>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rPr>
          <w:rFonts w:hint="eastAsia" w:ascii="仿宋" w:hAnsi="仿宋" w:eastAsia="仿宋" w:cs="仿宋"/>
          <w:color w:val="000000"/>
          <w:kern w:val="0"/>
          <w:szCs w:val="21"/>
          <w:highlight w:val="none"/>
        </w:rPr>
      </w:pPr>
    </w:p>
    <w:p>
      <w:pPr>
        <w:pStyle w:val="5"/>
        <w:numPr>
          <w:ilvl w:val="0"/>
          <w:numId w:val="0"/>
        </w:numPr>
        <w:ind w:leftChars="0"/>
        <w:jc w:val="both"/>
        <w:rPr>
          <w:rFonts w:ascii="仿宋" w:hAnsi="仿宋" w:eastAsia="仿宋" w:cs="仿宋"/>
          <w:color w:val="000000"/>
          <w:sz w:val="24"/>
          <w:szCs w:val="24"/>
          <w:highlight w:val="none"/>
        </w:rPr>
      </w:pPr>
      <w:bookmarkStart w:id="143" w:name="_Toc3936"/>
      <w:bookmarkStart w:id="144" w:name="_Toc517281836"/>
      <w:bookmarkStart w:id="145" w:name="_Toc21280"/>
      <w:bookmarkStart w:id="146" w:name="_Toc19783362"/>
      <w:bookmarkStart w:id="147" w:name="_Toc444891353"/>
      <w:bookmarkStart w:id="148" w:name="_Toc19910"/>
      <w:bookmarkStart w:id="149" w:name="_Toc25957"/>
      <w:bookmarkStart w:id="150" w:name="_Toc11783"/>
      <w:bookmarkStart w:id="151" w:name="_Toc287600131"/>
      <w:bookmarkStart w:id="152" w:name="_Toc19783360"/>
      <w:bookmarkStart w:id="153" w:name="_Toc287600129"/>
      <w:r>
        <w:rPr>
          <w:rFonts w:ascii="仿宋" w:hAnsi="仿宋" w:eastAsia="仿宋" w:cs="仿宋"/>
          <w:color w:val="000000"/>
          <w:sz w:val="24"/>
          <w:szCs w:val="24"/>
          <w:highlight w:val="none"/>
        </w:rPr>
        <w:br w:type="page"/>
      </w:r>
      <w:bookmarkStart w:id="154" w:name="_Toc15227"/>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43"/>
      <w:bookmarkEnd w:id="154"/>
    </w:p>
    <w:p>
      <w:pPr>
        <w:bidi w:val="0"/>
        <w:jc w:val="center"/>
        <w:rPr>
          <w:rFonts w:hint="eastAsia"/>
        </w:rPr>
      </w:pPr>
      <w:bookmarkStart w:id="155" w:name="_Toc26744"/>
      <w:r>
        <w:rPr>
          <w:rFonts w:hint="eastAsia" w:ascii="仿宋" w:hAnsi="仿宋" w:eastAsia="仿宋" w:cs="仿宋"/>
          <w:b/>
          <w:bCs/>
          <w:sz w:val="24"/>
          <w:szCs w:val="24"/>
        </w:rPr>
        <w:t>初步评审索引表</w:t>
      </w:r>
      <w:bookmarkEnd w:id="155"/>
    </w:p>
    <w:tbl>
      <w:tblPr>
        <w:tblStyle w:val="41"/>
        <w:tblW w:w="5088"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7"/>
        <w:gridCol w:w="421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298" w:type="dxa"/>
            <w:noWrap w:val="0"/>
            <w:vAlign w:val="center"/>
          </w:tcPr>
          <w:p>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5"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298"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5" w:type="dxa"/>
            <w:noWrap w:val="0"/>
            <w:vAlign w:val="center"/>
          </w:tcPr>
          <w:p>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8" w:type="dxa"/>
            <w:noWrap w:val="0"/>
            <w:vAlign w:val="center"/>
          </w:tcPr>
          <w:p>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5" w:type="dxa"/>
            <w:noWrap w:val="0"/>
            <w:vAlign w:val="center"/>
          </w:tcPr>
          <w:p>
            <w:pPr>
              <w:pStyle w:val="138"/>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8"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5" w:type="dxa"/>
            <w:noWrap w:val="0"/>
            <w:vAlign w:val="center"/>
          </w:tcPr>
          <w:p>
            <w:pPr>
              <w:pStyle w:val="138"/>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298" w:type="dxa"/>
            <w:noWrap w:val="0"/>
            <w:vAlign w:val="center"/>
          </w:tcPr>
          <w:p>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5" w:type="dxa"/>
            <w:noWrap w:val="0"/>
            <w:vAlign w:val="center"/>
          </w:tcPr>
          <w:p>
            <w:pPr>
              <w:pStyle w:val="157"/>
              <w:spacing w:before="48" w:beforeLines="20" w:after="48" w:afterLines="20"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298"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298"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8"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Monaco"/>
                <w:color w:val="000000"/>
                <w:szCs w:val="21"/>
                <w:highlight w:val="none"/>
              </w:rPr>
              <w:t>未被列入黑名单</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298"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控股及管理关系</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298"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8"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8" w:type="dxa"/>
            <w:noWrap w:val="0"/>
            <w:vAlign w:val="center"/>
          </w:tcPr>
          <w:p>
            <w:pPr>
              <w:spacing w:before="24" w:after="24" w:line="276" w:lineRule="auto"/>
              <w:jc w:val="center"/>
              <w:rPr>
                <w:rFonts w:hint="eastAsia"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298" w:type="dxa"/>
            <w:noWrap w:val="0"/>
            <w:vAlign w:val="center"/>
          </w:tcPr>
          <w:p>
            <w:pPr>
              <w:spacing w:before="24" w:after="24" w:line="276" w:lineRule="auto"/>
              <w:jc w:val="center"/>
              <w:rPr>
                <w:rFonts w:hint="eastAsia"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4215" w:type="dxa"/>
            <w:noWrap w:val="0"/>
            <w:vAlign w:val="center"/>
          </w:tcPr>
          <w:p>
            <w:pPr>
              <w:spacing w:before="24" w:after="24" w:line="276" w:lineRule="auto"/>
              <w:jc w:val="left"/>
              <w:rPr>
                <w:rFonts w:hint="eastAsia" w:ascii="仿宋" w:hAnsi="仿宋" w:eastAsia="仿宋" w:cs="仿宋"/>
                <w:color w:val="000000"/>
                <w:szCs w:val="21"/>
                <w:highlight w:val="none"/>
              </w:rPr>
            </w:pPr>
          </w:p>
        </w:tc>
      </w:tr>
    </w:tbl>
    <w:p>
      <w:pPr>
        <w:rPr>
          <w:rFonts w:hint="eastAsia" w:ascii="宋体" w:hAnsi="宋体"/>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44"/>
    <w:bookmarkEnd w:id="145"/>
    <w:bookmarkEnd w:id="146"/>
    <w:bookmarkEnd w:id="147"/>
    <w:bookmarkEnd w:id="148"/>
    <w:bookmarkEnd w:id="149"/>
    <w:bookmarkEnd w:id="150"/>
    <w:bookmarkEnd w:id="151"/>
    <w:p>
      <w:pPr>
        <w:rPr>
          <w:rFonts w:hint="eastAsia" w:ascii="仿宋" w:hAnsi="仿宋" w:eastAsia="仿宋" w:cs="仿宋"/>
          <w:color w:val="000000"/>
          <w:sz w:val="24"/>
          <w:szCs w:val="24"/>
          <w:highlight w:val="none"/>
        </w:rPr>
      </w:pPr>
      <w:bookmarkStart w:id="156" w:name="_Toc444891354"/>
      <w:bookmarkStart w:id="157" w:name="_Toc27799"/>
      <w:bookmarkStart w:id="158" w:name="_Toc12140"/>
      <w:bookmarkStart w:id="159" w:name="_Toc7202"/>
      <w:bookmarkStart w:id="160" w:name="_Toc517281837"/>
      <w:bookmarkStart w:id="161" w:name="_Toc25121"/>
      <w:r>
        <w:rPr>
          <w:rFonts w:hint="eastAsia" w:ascii="仿宋" w:hAnsi="仿宋" w:eastAsia="仿宋" w:cs="仿宋"/>
          <w:color w:val="000000"/>
          <w:sz w:val="24"/>
          <w:szCs w:val="24"/>
          <w:highlight w:val="none"/>
        </w:rPr>
        <w:t>（一）响应函</w:t>
      </w:r>
    </w:p>
    <w:p>
      <w:pPr>
        <w:pStyle w:val="157"/>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rPr>
        <w:t>竞争性磋商文件的全部内容，包括澄清或者修改文件以及有关附件，我方将严格按照竞争性磋商文件要求递交符合要求的全部磋商响应文件。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本响应函及磋商响应文件自磋商响应文件提交截止日起有效期为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，我方承诺在响应有效期内不修改、撤销磋商响应文件。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 随同本响应函提交磋商保证</w:t>
      </w:r>
      <w:r>
        <w:rPr>
          <w:rFonts w:hint="eastAsia" w:ascii="仿宋" w:hAnsi="仿宋" w:eastAsia="仿宋" w:cs="Cambria Math"/>
          <w:color w:val="000000"/>
          <w:kern w:val="0"/>
          <w:sz w:val="24"/>
          <w:highlight w:val="none"/>
          <w:lang w:val="en-US" w:eastAsia="zh-CN"/>
        </w:rPr>
        <w:t>金</w:t>
      </w:r>
      <w:r>
        <w:rPr>
          <w:rFonts w:hint="eastAsia" w:ascii="仿宋" w:hAnsi="仿宋" w:eastAsia="仿宋" w:cs="Cambria Math"/>
          <w:color w:val="000000"/>
          <w:kern w:val="0"/>
          <w:sz w:val="24"/>
          <w:highlight w:val="none"/>
        </w:rPr>
        <w:t>一份。</w:t>
      </w:r>
      <w:r>
        <w:rPr>
          <w:rFonts w:hint="eastAsia" w:ascii="仿宋" w:hAnsi="仿宋" w:eastAsia="仿宋" w:cs="仿宋"/>
          <w:b w:val="0"/>
          <w:bCs w:val="0"/>
          <w:color w:val="FF0000"/>
          <w:sz w:val="24"/>
          <w:szCs w:val="24"/>
          <w:highlight w:val="none"/>
        </w:rPr>
        <w:t>（可以根据项目实际情况选择是否设置）</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 我方承诺提供磋商过程中可能要求的澄清、说明、补正或者算术性错误修正确认，并同意我方提供的以上材料构成我方响应文件的组成部分。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5．我方承诺对在本次采购活动过程中所获知贵方一切商业秘密保密，不会向任何第三方泄露，不会用于本次采购活动之外的任何其他目的。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kern w:val="0"/>
          <w:sz w:val="24"/>
          <w:highlight w:val="none"/>
        </w:rPr>
      </w:pP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7. 如我方成交：</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（2）我方承诺按照竞争性磋商文件规定递交履约保证金、支付采购代理服务费。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（3）我方承诺按照竞争性磋商文件的规定及合同约定履行相关责任和义务。</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52"/>
      <w:bookmarkEnd w:id="153"/>
      <w:bookmarkEnd w:id="156"/>
      <w:bookmarkEnd w:id="157"/>
      <w:bookmarkEnd w:id="158"/>
      <w:bookmarkEnd w:id="159"/>
      <w:bookmarkEnd w:id="160"/>
      <w:bookmarkEnd w:id="161"/>
      <w:bookmarkStart w:id="162" w:name="_Toc27346"/>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）法定代表人（负责人）身份证明书</w:t>
      </w:r>
      <w:bookmarkEnd w:id="162"/>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pPr>
        <w:widowControl/>
        <w:topLinePunct/>
        <w:spacing w:line="360" w:lineRule="auto"/>
        <w:rPr>
          <w:rFonts w:ascii="仿宋" w:hAnsi="仿宋" w:eastAsia="仿宋" w:cs="仿宋"/>
          <w:color w:val="000000"/>
          <w:kern w:val="0"/>
          <w:sz w:val="24"/>
          <w:highlight w:val="none"/>
        </w:rPr>
      </w:pPr>
    </w:p>
    <w:p>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7"/>
        <w:spacing w:line="440" w:lineRule="atLeast"/>
        <w:ind w:firstLine="480"/>
        <w:jc w:val="left"/>
        <w:rPr>
          <w:rFonts w:hint="eastAsia" w:ascii="仿宋" w:hAnsi="仿宋" w:eastAsia="仿宋" w:cs="仿宋"/>
          <w:color w:val="000000"/>
          <w:highlight w:val="none"/>
        </w:rPr>
      </w:pPr>
    </w:p>
    <w:p>
      <w:pPr>
        <w:pStyle w:val="157"/>
        <w:spacing w:line="440" w:lineRule="atLeast"/>
        <w:ind w:firstLine="480"/>
        <w:jc w:val="left"/>
        <w:rPr>
          <w:rFonts w:hint="eastAsia" w:ascii="仿宋" w:hAnsi="仿宋" w:eastAsia="仿宋" w:cs="仿宋"/>
          <w:color w:val="000000"/>
          <w:highlight w:val="none"/>
        </w:rPr>
      </w:pPr>
    </w:p>
    <w:p>
      <w:pPr>
        <w:pStyle w:val="157"/>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63" w:name="_Toc26267"/>
      <w:bookmarkStart w:id="164" w:name="_Toc5582"/>
      <w:bookmarkStart w:id="165" w:name="_Toc1719"/>
      <w:bookmarkStart w:id="166" w:name="_Toc20707"/>
      <w:bookmarkStart w:id="167" w:name="_Toc4426"/>
      <w:bookmarkStart w:id="168" w:name="_Toc287600130"/>
      <w:bookmarkStart w:id="169" w:name="_Toc517281838"/>
      <w:bookmarkStart w:id="170" w:name="_Toc19783361"/>
      <w:bookmarkStart w:id="171" w:name="_Toc444891355"/>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二</w:t>
      </w:r>
      <w:r>
        <w:rPr>
          <w:rFonts w:hint="eastAsia" w:ascii="仿宋" w:hAnsi="仿宋" w:eastAsia="仿宋" w:cs="仿宋"/>
          <w:color w:val="000000"/>
          <w:sz w:val="24"/>
          <w:szCs w:val="24"/>
          <w:highlight w:val="none"/>
        </w:rPr>
        <w:t>）法定代表人（负责人）授权委托书</w:t>
      </w:r>
      <w:bookmarkEnd w:id="163"/>
      <w:bookmarkEnd w:id="164"/>
      <w:bookmarkEnd w:id="165"/>
      <w:bookmarkEnd w:id="166"/>
      <w:bookmarkEnd w:id="167"/>
      <w:bookmarkEnd w:id="168"/>
      <w:bookmarkEnd w:id="169"/>
      <w:bookmarkEnd w:id="170"/>
      <w:bookmarkEnd w:id="171"/>
    </w:p>
    <w:p>
      <w:pPr>
        <w:pStyle w:val="157"/>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157"/>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磋商响应文件、签订合同和处理有关事宜，其法律后果由我方承担。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 xml:space="preserve">之日起至磋商响应有效期到期之日为止 </w:t>
      </w:r>
      <w:r>
        <w:rPr>
          <w:rFonts w:hint="eastAsia" w:ascii="仿宋" w:hAnsi="仿宋" w:eastAsia="仿宋" w:cs="Cambria Math"/>
          <w:color w:val="000000"/>
          <w:kern w:val="0"/>
          <w:sz w:val="24"/>
          <w:highlight w:val="none"/>
        </w:rPr>
        <w:t>。</w:t>
      </w:r>
    </w:p>
    <w:p>
      <w:pPr>
        <w:pStyle w:val="157"/>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157"/>
        <w:spacing w:line="360" w:lineRule="auto"/>
        <w:ind w:firstLine="482" w:firstLineChars="200"/>
        <w:rPr>
          <w:rFonts w:ascii="仿宋" w:hAnsi="仿宋" w:eastAsia="仿宋" w:cs="Cambria Math"/>
          <w:b/>
          <w:bCs/>
          <w:color w:val="000000"/>
          <w:sz w:val="24"/>
          <w:szCs w:val="24"/>
          <w:highlight w:val="none"/>
        </w:rPr>
      </w:pPr>
    </w:p>
    <w:p>
      <w:pPr>
        <w:pStyle w:val="157"/>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157"/>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7"/>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pPr>
        <w:pStyle w:val="3"/>
        <w:rPr>
          <w:rFonts w:ascii="宋体" w:hAnsi="宋体"/>
          <w:kern w:val="0"/>
          <w:szCs w:val="21"/>
          <w:highlight w:val="none"/>
        </w:rPr>
      </w:pPr>
    </w:p>
    <w:p>
      <w:pPr>
        <w:pStyle w:val="3"/>
        <w:rPr>
          <w:rFonts w:ascii="宋体" w:hAnsi="宋体"/>
          <w:kern w:val="0"/>
          <w:szCs w:val="21"/>
          <w:highlight w:val="none"/>
        </w:rPr>
      </w:pPr>
    </w:p>
    <w:p>
      <w:pPr>
        <w:pStyle w:val="3"/>
        <w:rPr>
          <w:rFonts w:ascii="宋体" w:hAnsi="宋体"/>
          <w:kern w:val="0"/>
          <w:szCs w:val="21"/>
          <w:highlight w:val="none"/>
        </w:rPr>
      </w:pPr>
    </w:p>
    <w:p>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157"/>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pPr>
        <w:pStyle w:val="6"/>
        <w:numPr>
          <w:ilvl w:val="0"/>
          <w:numId w:val="0"/>
        </w:numPr>
        <w:spacing w:before="0" w:after="0" w:line="360" w:lineRule="auto"/>
        <w:rPr>
          <w:rFonts w:hint="eastAsia" w:ascii="仿宋" w:hAnsi="仿宋" w:eastAsia="仿宋" w:cs="仿宋"/>
          <w:color w:val="000000"/>
          <w:sz w:val="24"/>
          <w:szCs w:val="24"/>
          <w:highlight w:val="none"/>
        </w:rPr>
      </w:pPr>
      <w:bookmarkStart w:id="172" w:name="_Toc24512"/>
      <w:bookmarkStart w:id="173" w:name="_Toc517281841"/>
      <w:bookmarkStart w:id="174" w:name="_Toc27026"/>
      <w:bookmarkStart w:id="175" w:name="_Toc5406"/>
      <w:bookmarkStart w:id="176" w:name="_Toc444891357"/>
      <w:bookmarkStart w:id="177" w:name="_Toc287600132"/>
      <w:bookmarkStart w:id="178" w:name="_Toc11396"/>
      <w:bookmarkStart w:id="179" w:name="_Toc16561"/>
      <w:bookmarkStart w:id="180" w:name="_Toc34779170"/>
      <w:bookmarkStart w:id="181" w:name="_Toc35957216"/>
      <w:bookmarkStart w:id="182" w:name="_Toc34822258"/>
      <w:bookmarkStart w:id="183" w:name="_Toc34779120"/>
      <w:bookmarkStart w:id="184" w:name="_Toc34779216"/>
      <w:bookmarkStart w:id="185" w:name="_Toc287600135"/>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）资格证明文件</w:t>
      </w:r>
      <w:bookmarkEnd w:id="172"/>
    </w:p>
    <w:p>
      <w:pPr>
        <w:pStyle w:val="7"/>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157"/>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1"/>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7"/>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7"/>
              <w:topLinePunct/>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7"/>
              <w:topLinePunct/>
              <w:jc w:val="center"/>
              <w:rPr>
                <w:rFonts w:hint="eastAsia" w:ascii="仿宋" w:hAnsi="仿宋" w:eastAsia="仿宋" w:cs="仿宋"/>
                <w:color w:val="000000"/>
                <w:highlight w:val="none"/>
              </w:rPr>
            </w:pPr>
          </w:p>
        </w:tc>
      </w:tr>
    </w:tbl>
    <w:p>
      <w:pPr>
        <w:pStyle w:val="157"/>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157"/>
        <w:jc w:val="left"/>
        <w:rPr>
          <w:rFonts w:hint="eastAsia" w:ascii="仿宋" w:hAnsi="仿宋" w:eastAsia="仿宋" w:cs="仿宋"/>
          <w:b/>
          <w:color w:val="000000"/>
          <w:highlight w:val="none"/>
        </w:rPr>
      </w:pPr>
    </w:p>
    <w:p>
      <w:pPr>
        <w:pStyle w:val="157"/>
        <w:jc w:val="left"/>
        <w:rPr>
          <w:rFonts w:hint="eastAsia" w:ascii="仿宋" w:hAnsi="仿宋" w:eastAsia="仿宋" w:cs="仿宋"/>
          <w:b/>
          <w:color w:val="000000"/>
          <w:highlight w:val="none"/>
          <w:lang w:eastAsia="zh-CN"/>
        </w:rPr>
      </w:pPr>
    </w:p>
    <w:p>
      <w:pPr>
        <w:pStyle w:val="157"/>
        <w:jc w:val="left"/>
        <w:rPr>
          <w:rFonts w:hint="eastAsia" w:ascii="仿宋" w:hAnsi="仿宋" w:eastAsia="仿宋" w:cs="仿宋"/>
          <w:b/>
          <w:color w:val="000000"/>
          <w:highlight w:val="none"/>
          <w:lang w:eastAsia="zh-CN"/>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7"/>
        <w:numPr>
          <w:ilvl w:val="0"/>
          <w:numId w:val="4"/>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rPr>
        <w:t>财务审计报告或银行资信证明</w:t>
      </w:r>
    </w:p>
    <w:p>
      <w:pPr>
        <w:pStyle w:val="7"/>
        <w:numPr>
          <w:ilvl w:val="0"/>
          <w:numId w:val="0"/>
        </w:numPr>
        <w:spacing w:before="0" w:after="0" w:line="360" w:lineRule="auto"/>
        <w:ind w:firstLine="480" w:firstLineChars="200"/>
        <w:rPr>
          <w:rFonts w:ascii="仿宋" w:hAnsi="仿宋" w:eastAsia="仿宋" w:cs="仿宋"/>
          <w:color w:val="000000"/>
          <w:sz w:val="24"/>
          <w:highlight w:val="none"/>
        </w:rPr>
      </w:pPr>
      <w:r>
        <w:rPr>
          <w:rFonts w:hint="eastAsia" w:ascii="仿宋" w:hAnsi="仿宋" w:eastAsia="仿宋" w:cs="仿宋"/>
          <w:b w:val="0"/>
          <w:bCs w:val="0"/>
          <w:color w:val="000000"/>
          <w:sz w:val="24"/>
          <w:highlight w:val="none"/>
        </w:rPr>
        <w:t>提供</w:t>
      </w:r>
      <w:r>
        <w:rPr>
          <w:rFonts w:ascii="仿宋" w:hAnsi="仿宋" w:eastAsia="仿宋" w:cs="仿宋"/>
          <w:b w:val="0"/>
          <w:bCs w:val="0"/>
          <w:color w:val="auto"/>
          <w:sz w:val="24"/>
          <w:highlight w:val="none"/>
        </w:rPr>
        <w:t>20</w:t>
      </w:r>
      <w:r>
        <w:rPr>
          <w:rFonts w:hint="eastAsia" w:ascii="仿宋" w:hAnsi="仿宋" w:eastAsia="仿宋" w:cs="仿宋"/>
          <w:b w:val="0"/>
          <w:bCs w:val="0"/>
          <w:color w:val="auto"/>
          <w:sz w:val="24"/>
          <w:highlight w:val="none"/>
          <w:lang w:val="en-US" w:eastAsia="zh-CN"/>
        </w:rPr>
        <w:t>24</w:t>
      </w:r>
      <w:r>
        <w:rPr>
          <w:rFonts w:hint="eastAsia" w:ascii="仿宋" w:hAnsi="仿宋" w:eastAsia="仿宋" w:cs="仿宋"/>
          <w:b w:val="0"/>
          <w:bCs w:val="0"/>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b w:val="0"/>
          <w:bCs w:val="0"/>
          <w:color w:val="000000"/>
          <w:sz w:val="24"/>
          <w:highlight w:val="none"/>
        </w:rPr>
        <w:t>响应文件递交截止日前</w:t>
      </w:r>
      <w:r>
        <w:rPr>
          <w:rFonts w:ascii="仿宋" w:hAnsi="仿宋" w:eastAsia="仿宋" w:cs="仿宋"/>
          <w:b w:val="0"/>
          <w:bCs w:val="0"/>
          <w:color w:val="000000"/>
          <w:sz w:val="24"/>
          <w:highlight w:val="none"/>
        </w:rPr>
        <w:t>6</w:t>
      </w:r>
      <w:r>
        <w:rPr>
          <w:rFonts w:hint="eastAsia" w:ascii="仿宋" w:hAnsi="仿宋" w:eastAsia="仿宋" w:cs="仿宋"/>
          <w:b w:val="0"/>
          <w:bCs w:val="0"/>
          <w:color w:val="000000"/>
          <w:sz w:val="24"/>
          <w:highlight w:val="none"/>
        </w:rPr>
        <w:t>个月内开具的银行资信证明。</w:t>
      </w:r>
      <w:r>
        <w:rPr>
          <w:rFonts w:ascii="仿宋" w:hAnsi="仿宋" w:eastAsia="仿宋" w:cs="仿宋"/>
          <w:color w:val="000000"/>
          <w:sz w:val="24"/>
          <w:highlight w:val="none"/>
        </w:rPr>
        <w:br w:type="page"/>
      </w:r>
    </w:p>
    <w:p>
      <w:pPr>
        <w:pStyle w:val="7"/>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bl>
    <w:p>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pPr>
        <w:spacing w:line="360" w:lineRule="auto"/>
        <w:jc w:val="left"/>
        <w:rPr>
          <w:rFonts w:hint="eastAsia" w:ascii="仿宋" w:hAnsi="仿宋" w:eastAsia="仿宋" w:cs="仿宋"/>
          <w:color w:val="000000"/>
          <w:sz w:val="24"/>
          <w:highlight w:val="none"/>
        </w:rPr>
      </w:pPr>
    </w:p>
    <w:p>
      <w:pPr>
        <w:spacing w:line="360" w:lineRule="auto"/>
        <w:ind w:firstLine="480" w:firstLineChars="200"/>
        <w:jc w:val="left"/>
        <w:rPr>
          <w:rFonts w:hint="eastAsia" w:ascii="仿宋" w:hAnsi="仿宋" w:eastAsia="仿宋" w:cs="仿宋"/>
          <w:bCs/>
          <w:color w:val="000000"/>
          <w:sz w:val="24"/>
          <w:highlight w:val="none"/>
        </w:rPr>
      </w:pPr>
    </w:p>
    <w:p>
      <w:pPr>
        <w:pStyle w:val="108"/>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pStyle w:val="108"/>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hint="eastAsia" w:ascii="仿宋" w:hAnsi="仿宋" w:eastAsia="仿宋" w:cs="仿宋"/>
          <w:color w:val="000000"/>
          <w:sz w:val="24"/>
          <w:szCs w:val="24"/>
          <w:highlight w:val="none"/>
        </w:rPr>
      </w:pPr>
      <w:r>
        <w:rPr>
          <w:highlight w:val="none"/>
        </w:rPr>
        <w:br w:type="page"/>
      </w:r>
    </w:p>
    <w:p>
      <w:pPr>
        <w:pStyle w:val="7"/>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、无违法违规记录查询截图</w:t>
      </w:r>
    </w:p>
    <w:p>
      <w:pPr>
        <w:spacing w:line="360" w:lineRule="auto"/>
        <w:ind w:firstLine="480" w:firstLineChars="200"/>
        <w:textAlignment w:val="baseline"/>
        <w:rPr>
          <w:rStyle w:val="50"/>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50"/>
        </w:rPr>
        <w:instrText xml:space="preserve"> </w:instrText>
      </w:r>
      <w:r>
        <w:rPr>
          <w:rStyle w:val="50"/>
          <w:rFonts w:hint="eastAsia"/>
        </w:rPr>
        <w:instrText xml:space="preserve">HYPERLINK "https://www.creditchina.gov.cn/xinyongfuwu/?navPage=5"</w:instrText>
      </w:r>
      <w:r>
        <w:rPr>
          <w:rStyle w:val="50"/>
        </w:rPr>
        <w:instrText xml:space="preserve"> </w:instrText>
      </w:r>
      <w:r>
        <w:fldChar w:fldCharType="separate"/>
      </w:r>
      <w:r>
        <w:rPr>
          <w:rStyle w:val="50"/>
          <w:rFonts w:hint="eastAsia"/>
        </w:rPr>
        <w:t>https://www.creditchina.gov.cn/xinyongfuwu/?navPage=5</w:t>
      </w:r>
      <w:r>
        <w:fldChar w:fldCharType="end"/>
      </w:r>
    </w:p>
    <w:p>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8"/>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9"/>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20"/>
                    <a:stretch>
                      <a:fillRect/>
                    </a:stretch>
                  </pic:blipFill>
                  <pic:spPr>
                    <a:xfrm>
                      <a:off x="0" y="0"/>
                      <a:ext cx="5976620" cy="3242310"/>
                    </a:xfrm>
                    <a:prstGeom prst="rect">
                      <a:avLst/>
                    </a:prstGeom>
                    <a:noFill/>
                    <a:ln>
                      <a:noFill/>
                    </a:ln>
                  </pic:spPr>
                </pic:pic>
              </a:graphicData>
            </a:graphic>
          </wp:inline>
        </w:drawing>
      </w:r>
    </w:p>
    <w:p>
      <w:pPr>
        <w:pStyle w:val="7"/>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、未列入供应商黑名单且未在禁入期承诺函</w:t>
      </w:r>
    </w:p>
    <w:p>
      <w:pPr>
        <w:pStyle w:val="3"/>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3"/>
        <w:ind w:firstLine="480" w:firstLineChars="200"/>
        <w:jc w:val="both"/>
        <w:rPr>
          <w:rFonts w:ascii="仿宋" w:hAnsi="仿宋" w:eastAsia="仿宋" w:cs="Cambria Math"/>
          <w:color w:val="000000"/>
          <w:sz w:val="24"/>
          <w:highlight w:val="none"/>
        </w:rPr>
      </w:pPr>
    </w:p>
    <w:p>
      <w:pPr>
        <w:pStyle w:val="3"/>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27"/>
        <w:ind w:firstLine="640"/>
        <w:rPr>
          <w:rFonts w:ascii="仿宋" w:hAnsi="仿宋" w:eastAsia="仿宋"/>
          <w:highlight w:val="none"/>
        </w:rPr>
      </w:pPr>
    </w:p>
    <w:p>
      <w:pPr>
        <w:pStyle w:val="127"/>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50"/>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7"/>
        <w:spacing w:before="0" w:after="0" w:line="360" w:lineRule="auto"/>
        <w:rPr>
          <w:rFonts w:hint="eastAsia" w:ascii="仿宋" w:hAnsi="仿宋" w:eastAsia="仿宋" w:cs="仿宋"/>
          <w:color w:val="000000"/>
          <w:sz w:val="24"/>
          <w:szCs w:val="24"/>
          <w:highlight w:val="none"/>
        </w:rPr>
      </w:pPr>
      <w:bookmarkStart w:id="186" w:name="_Hlk69983040"/>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、供应商控股及管理关系情况申报表</w:t>
      </w:r>
    </w:p>
    <w:p>
      <w:pPr>
        <w:pStyle w:val="108"/>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162"/>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162"/>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7"/>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非联合体磋商响应声明</w:t>
      </w:r>
    </w:p>
    <w:bookmarkEnd w:id="173"/>
    <w:bookmarkEnd w:id="186"/>
    <w:p>
      <w:pPr>
        <w:pStyle w:val="3"/>
        <w:spacing w:before="240"/>
        <w:rPr>
          <w:rFonts w:hint="eastAsia" w:ascii="仿宋" w:hAnsi="仿宋" w:eastAsia="仿宋" w:cs="Cambria Math"/>
          <w:b/>
          <w:bCs/>
          <w:color w:val="000000"/>
          <w:sz w:val="24"/>
          <w:highlight w:val="none"/>
        </w:rPr>
      </w:pPr>
      <w:bookmarkStart w:id="187" w:name="_Toc517281859"/>
      <w:bookmarkStart w:id="188" w:name="_Toc432420841"/>
      <w:bookmarkStart w:id="189" w:name="_Toc20195"/>
      <w:bookmarkStart w:id="190" w:name="_Toc71192048"/>
      <w:r>
        <w:rPr>
          <w:rFonts w:hint="eastAsia" w:ascii="仿宋" w:hAnsi="仿宋" w:eastAsia="仿宋" w:cs="Cambria Math"/>
          <w:b/>
          <w:bCs/>
          <w:color w:val="000000"/>
          <w:sz w:val="24"/>
          <w:highlight w:val="none"/>
        </w:rPr>
        <w:t>非联合体磋商响应声明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磋商响应，非联合体参与磋商响应。</w:t>
      </w:r>
      <w:r>
        <w:rPr>
          <w:rFonts w:ascii="仿宋" w:hAnsi="仿宋" w:eastAsia="仿宋" w:cs="Cambria Math"/>
          <w:color w:val="000000"/>
          <w:sz w:val="24"/>
          <w:highlight w:val="none"/>
        </w:rPr>
        <w:t xml:space="preserve"> </w:t>
      </w:r>
    </w:p>
    <w:p>
      <w:pPr>
        <w:pStyle w:val="3"/>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27"/>
        <w:ind w:firstLine="640"/>
        <w:rPr>
          <w:rFonts w:ascii="仿宋" w:hAnsi="仿宋" w:eastAsia="仿宋"/>
          <w:highlight w:val="none"/>
        </w:rPr>
      </w:pPr>
    </w:p>
    <w:p>
      <w:pPr>
        <w:pStyle w:val="127"/>
        <w:ind w:firstLine="640"/>
        <w:rPr>
          <w:rFonts w:ascii="仿宋" w:hAnsi="仿宋" w:eastAsia="仿宋"/>
          <w:highlight w:val="none"/>
        </w:rPr>
      </w:pPr>
    </w:p>
    <w:p>
      <w:pPr>
        <w:pStyle w:val="127"/>
        <w:ind w:firstLine="640"/>
        <w:rPr>
          <w:rFonts w:ascii="仿宋" w:hAnsi="仿宋" w:eastAsia="仿宋"/>
          <w:highlight w:val="none"/>
        </w:rPr>
      </w:pPr>
    </w:p>
    <w:p>
      <w:pPr>
        <w:pStyle w:val="127"/>
        <w:ind w:firstLine="640"/>
        <w:rPr>
          <w:rFonts w:ascii="仿宋" w:hAnsi="仿宋" w:eastAsia="仿宋"/>
          <w:highlight w:val="none"/>
        </w:rPr>
      </w:pPr>
    </w:p>
    <w:p>
      <w:pPr>
        <w:pStyle w:val="127"/>
        <w:ind w:firstLine="640"/>
        <w:rPr>
          <w:rFonts w:ascii="仿宋" w:hAnsi="仿宋" w:eastAsia="仿宋"/>
          <w:highlight w:val="none"/>
        </w:rPr>
      </w:pPr>
    </w:p>
    <w:p>
      <w:pPr>
        <w:pStyle w:val="127"/>
        <w:ind w:firstLine="640"/>
        <w:rPr>
          <w:rFonts w:ascii="仿宋" w:hAnsi="仿宋" w:eastAsia="仿宋"/>
          <w:highlight w:val="none"/>
        </w:rPr>
      </w:pPr>
    </w:p>
    <w:p>
      <w:pPr>
        <w:pStyle w:val="127"/>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6"/>
        <w:numPr>
          <w:ilvl w:val="0"/>
          <w:numId w:val="0"/>
        </w:numPr>
        <w:tabs>
          <w:tab w:val="clear" w:pos="1440"/>
        </w:tabs>
        <w:spacing w:before="0" w:after="0" w:line="360" w:lineRule="auto"/>
        <w:rPr>
          <w:rFonts w:ascii="仿宋" w:hAnsi="仿宋" w:cs="宋体"/>
          <w:color w:val="000000"/>
          <w:szCs w:val="24"/>
          <w:highlight w:val="none"/>
        </w:rPr>
      </w:pPr>
      <w:bookmarkStart w:id="191" w:name="_Toc112068411"/>
      <w:bookmarkStart w:id="192" w:name="_Toc144139212"/>
      <w:bookmarkStart w:id="193" w:name="_Toc65683009"/>
      <w:bookmarkStart w:id="194" w:name="_Toc3883"/>
      <w:bookmarkStart w:id="195" w:name="_Toc18208"/>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四</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191"/>
      <w:bookmarkEnd w:id="192"/>
      <w:bookmarkEnd w:id="193"/>
      <w:bookmarkEnd w:id="194"/>
      <w:bookmarkEnd w:id="195"/>
    </w:p>
    <w:p>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r>
        <w:rPr>
          <w:rFonts w:hint="eastAsia" w:ascii="仿宋" w:hAnsi="仿宋" w:eastAsia="仿宋" w:cs="仿宋"/>
          <w:b w:val="0"/>
          <w:bCs w:val="0"/>
          <w:color w:val="FF0000"/>
          <w:sz w:val="24"/>
          <w:szCs w:val="24"/>
          <w:highlight w:val="none"/>
        </w:rPr>
        <w:t>（可以根据项目实际情况选择是否设置）</w:t>
      </w:r>
    </w:p>
    <w:p>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bl>
    <w:p>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五</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r>
        <w:rPr>
          <w:rFonts w:hint="eastAsia" w:ascii="仿宋" w:hAnsi="仿宋" w:eastAsia="仿宋" w:cs="仿宋"/>
          <w:b w:val="0"/>
          <w:bCs w:val="0"/>
          <w:color w:val="FF0000"/>
          <w:sz w:val="24"/>
          <w:szCs w:val="24"/>
          <w:highlight w:val="none"/>
        </w:rPr>
        <w:t>（可以根据项目实际情况选择是否设置）</w:t>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1"/>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bl>
    <w:p>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注：所有偏离必须在本表中列出，未在本偏离表中列出偏离，将视为供应商已完全接受竞争性磋商文件要求；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600" w:lineRule="exact"/>
        <w:rPr>
          <w:rFonts w:hint="eastAsia" w:ascii="仿宋" w:hAnsi="仿宋" w:eastAsia="仿宋" w:cs="仿宋"/>
          <w:color w:val="000000"/>
          <w:szCs w:val="21"/>
          <w:highlight w:val="none"/>
        </w:rPr>
      </w:pPr>
    </w:p>
    <w:p>
      <w:pPr>
        <w:spacing w:line="360" w:lineRule="auto"/>
        <w:ind w:firstLine="42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highlight w:val="none"/>
          <w:u w:val="single"/>
        </w:rPr>
      </w:pPr>
    </w:p>
    <w:p>
      <w:pPr>
        <w:pStyle w:val="6"/>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pPr>
        <w:pStyle w:val="6"/>
        <w:numPr>
          <w:ilvl w:val="0"/>
          <w:numId w:val="0"/>
        </w:numPr>
        <w:spacing w:before="0" w:after="0" w:line="360" w:lineRule="auto"/>
        <w:rPr>
          <w:rFonts w:hint="eastAsia" w:ascii="仿宋" w:hAnsi="仿宋" w:eastAsia="仿宋" w:cs="仿宋"/>
          <w:color w:val="000000"/>
          <w:sz w:val="24"/>
          <w:szCs w:val="24"/>
          <w:highlight w:val="none"/>
        </w:rPr>
      </w:pPr>
      <w:bookmarkStart w:id="196" w:name="_Toc20293"/>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hint="eastAsia" w:ascii="仿宋" w:hAnsi="仿宋" w:eastAsia="仿宋" w:cs="仿宋"/>
          <w:color w:val="000000"/>
          <w:sz w:val="24"/>
          <w:szCs w:val="24"/>
          <w:highlight w:val="none"/>
        </w:rPr>
        <w:t>）供应商行为准则承诺书</w:t>
      </w:r>
      <w:bookmarkEnd w:id="196"/>
    </w:p>
    <w:p>
      <w:pPr>
        <w:spacing w:line="240" w:lineRule="auto"/>
        <w:jc w:val="center"/>
        <w:rPr>
          <w:rFonts w:ascii="仿宋" w:hAnsi="仿宋" w:eastAsia="仿宋" w:cs="宋体"/>
          <w:b/>
          <w:bCs/>
          <w:color w:val="000000"/>
          <w:sz w:val="28"/>
          <w:szCs w:val="28"/>
          <w:highlight w:val="none"/>
        </w:rPr>
      </w:pPr>
      <w:bookmarkStart w:id="19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42"/>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6"/>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198" w:name="_Toc27157"/>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六</w:t>
      </w:r>
      <w:r>
        <w:rPr>
          <w:rFonts w:hint="eastAsia" w:ascii="仿宋" w:hAnsi="仿宋" w:eastAsia="仿宋" w:cs="宋体"/>
          <w:bCs w:val="0"/>
          <w:color w:val="000000"/>
          <w:sz w:val="24"/>
          <w:szCs w:val="24"/>
          <w:highlight w:val="none"/>
        </w:rPr>
        <w:t>）供应商廉洁诚信承诺书</w:t>
      </w:r>
      <w:bookmarkEnd w:id="197"/>
      <w:bookmarkEnd w:id="198"/>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p>
    <w:bookmarkEnd w:id="187"/>
    <w:bookmarkEnd w:id="188"/>
    <w:bookmarkEnd w:id="189"/>
    <w:bookmarkEnd w:id="190"/>
    <w:p>
      <w:pPr>
        <w:pStyle w:val="6"/>
        <w:numPr>
          <w:ilvl w:val="0"/>
          <w:numId w:val="0"/>
        </w:numPr>
        <w:spacing w:before="0" w:after="0" w:line="360" w:lineRule="auto"/>
        <w:rPr>
          <w:rFonts w:hint="eastAsia" w:ascii="仿宋" w:hAnsi="仿宋" w:eastAsia="仿宋" w:cs="仿宋"/>
          <w:color w:val="000000"/>
          <w:sz w:val="24"/>
          <w:szCs w:val="24"/>
          <w:highlight w:val="none"/>
        </w:rPr>
      </w:pPr>
      <w:bookmarkStart w:id="199" w:name="_Toc23108"/>
      <w:bookmarkStart w:id="200" w:name="_Toc30143"/>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）采购需求应答偏离表</w:t>
      </w:r>
      <w:bookmarkEnd w:id="199"/>
      <w:bookmarkEnd w:id="200"/>
    </w:p>
    <w:p>
      <w:pPr>
        <w:spacing w:line="360" w:lineRule="auto"/>
        <w:jc w:val="center"/>
        <w:rPr>
          <w:rFonts w:hint="eastAsia" w:ascii="仿宋" w:hAnsi="仿宋" w:eastAsia="仿宋" w:cs="仿宋"/>
          <w:b/>
          <w:bCs/>
          <w:color w:val="000000"/>
          <w:sz w:val="24"/>
          <w:highlight w:val="none"/>
        </w:rPr>
      </w:pPr>
      <w:bookmarkStart w:id="201" w:name="_Toc293297544"/>
      <w:bookmarkStart w:id="202" w:name="_Toc125771198"/>
      <w:bookmarkStart w:id="203" w:name="_Toc125561188"/>
      <w:r>
        <w:rPr>
          <w:rFonts w:hint="eastAsia" w:ascii="仿宋" w:hAnsi="仿宋" w:eastAsia="仿宋" w:cs="仿宋"/>
          <w:b/>
          <w:bCs/>
          <w:color w:val="000000"/>
          <w:sz w:val="24"/>
          <w:highlight w:val="none"/>
        </w:rPr>
        <w:t>采购需求应答偏离表</w:t>
      </w:r>
      <w:bookmarkEnd w:id="201"/>
      <w:bookmarkEnd w:id="202"/>
      <w:bookmarkEnd w:id="203"/>
      <w:r>
        <w:rPr>
          <w:rFonts w:hint="eastAsia" w:ascii="仿宋" w:hAnsi="仿宋" w:eastAsia="仿宋" w:cs="仿宋"/>
          <w:b w:val="0"/>
          <w:bCs w:val="0"/>
          <w:color w:val="FF0000"/>
          <w:sz w:val="24"/>
          <w:szCs w:val="24"/>
          <w:highlight w:val="none"/>
        </w:rPr>
        <w:t>（可以根据项目实际情况选择是否设置）</w:t>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1"/>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bl>
    <w:p>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对于未列出的偏离内容视同供应商已完全接受竞争性磋商文件的要求，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360" w:lineRule="auto"/>
        <w:ind w:left="480" w:hanging="480" w:hangingChars="200"/>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sz w:val="24"/>
          <w:highlight w:val="none"/>
        </w:rPr>
      </w:pPr>
    </w:p>
    <w:p>
      <w:pPr>
        <w:pStyle w:val="6"/>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04" w:name="_Toc13858"/>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八</w:t>
      </w:r>
      <w:r>
        <w:rPr>
          <w:rFonts w:hint="eastAsia" w:ascii="仿宋" w:hAnsi="仿宋" w:eastAsia="仿宋" w:cs="仿宋"/>
          <w:color w:val="000000"/>
          <w:sz w:val="24"/>
          <w:szCs w:val="24"/>
          <w:highlight w:val="none"/>
        </w:rPr>
        <w:t>）技术方案</w:t>
      </w:r>
      <w:bookmarkEnd w:id="204"/>
    </w:p>
    <w:p>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74"/>
      <w:bookmarkEnd w:id="175"/>
      <w:bookmarkEnd w:id="176"/>
      <w:bookmarkEnd w:id="177"/>
      <w:bookmarkEnd w:id="178"/>
      <w:bookmarkEnd w:id="179"/>
      <w:bookmarkStart w:id="205" w:name="_Toc444891358"/>
      <w:bookmarkStart w:id="206" w:name="_Toc517281860"/>
      <w:r>
        <w:rPr>
          <w:rFonts w:hint="eastAsia" w:ascii="仿宋" w:hAnsi="仿宋" w:eastAsia="仿宋" w:cs="仿宋"/>
          <w:color w:val="000000"/>
          <w:sz w:val="24"/>
          <w:highlight w:val="none"/>
        </w:rPr>
        <w:br w:type="page"/>
      </w:r>
    </w:p>
    <w:p>
      <w:pPr>
        <w:pStyle w:val="7"/>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1"/>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7"/>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pPr>
              <w:jc w:val="center"/>
              <w:rPr>
                <w:rFonts w:hint="eastAsia" w:ascii="仿宋" w:hAnsi="仿宋" w:eastAsia="仿宋" w:cs="仿宋"/>
                <w:color w:val="000000"/>
                <w:sz w:val="24"/>
                <w:highlight w:val="none"/>
              </w:rPr>
            </w:pPr>
          </w:p>
        </w:tc>
        <w:tc>
          <w:tcPr>
            <w:tcW w:w="945"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bl>
    <w:p>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000000"/>
          <w:highlight w:val="none"/>
        </w:rPr>
      </w:pPr>
    </w:p>
    <w:p>
      <w:pPr>
        <w:rPr>
          <w:rFonts w:hint="eastAsia" w:ascii="仿宋" w:hAnsi="仿宋" w:eastAsia="仿宋" w:cs="仿宋"/>
          <w:color w:val="000000"/>
          <w:highlight w:val="none"/>
        </w:rPr>
      </w:pP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bookmarkEnd w:id="180"/>
    <w:bookmarkEnd w:id="181"/>
    <w:bookmarkEnd w:id="182"/>
    <w:bookmarkEnd w:id="183"/>
    <w:bookmarkEnd w:id="184"/>
    <w:bookmarkEnd w:id="185"/>
    <w:bookmarkEnd w:id="205"/>
    <w:bookmarkEnd w:id="206"/>
    <w:p>
      <w:pPr>
        <w:pStyle w:val="5"/>
        <w:ind w:firstLine="0" w:firstLineChars="0"/>
        <w:jc w:val="both"/>
        <w:rPr>
          <w:rFonts w:hint="eastAsia" w:ascii="仿宋" w:hAnsi="仿宋" w:eastAsia="仿宋" w:cs="仿宋"/>
          <w:color w:val="000000"/>
          <w:sz w:val="24"/>
          <w:szCs w:val="24"/>
          <w:highlight w:val="none"/>
        </w:rPr>
      </w:pPr>
      <w:bookmarkStart w:id="207" w:name="_Toc9156"/>
      <w:r>
        <w:rPr>
          <w:rFonts w:hint="eastAsia" w:ascii="仿宋" w:hAnsi="仿宋" w:eastAsia="仿宋" w:cs="仿宋"/>
          <w:color w:val="000000"/>
          <w:sz w:val="24"/>
          <w:szCs w:val="24"/>
          <w:highlight w:val="none"/>
        </w:rPr>
        <w:t>三、报价文件</w:t>
      </w:r>
      <w:bookmarkEnd w:id="207"/>
    </w:p>
    <w:p>
      <w:pPr>
        <w:pStyle w:val="6"/>
        <w:spacing w:before="0" w:after="0" w:line="360" w:lineRule="auto"/>
        <w:ind w:left="-482" w:leftChars="0" w:firstLine="482" w:firstLineChars="0"/>
        <w:jc w:val="both"/>
        <w:rPr>
          <w:rFonts w:hint="eastAsia" w:ascii="仿宋" w:hAnsi="仿宋" w:eastAsia="仿宋" w:cs="仿宋"/>
          <w:color w:val="000000"/>
          <w:sz w:val="24"/>
          <w:szCs w:val="24"/>
          <w:highlight w:val="none"/>
        </w:rPr>
      </w:pPr>
      <w:bookmarkStart w:id="208" w:name="_Toc511726864"/>
      <w:r>
        <w:rPr>
          <w:rFonts w:hint="eastAsia" w:ascii="仿宋" w:hAnsi="仿宋" w:eastAsia="仿宋" w:cs="仿宋"/>
          <w:color w:val="000000"/>
          <w:sz w:val="24"/>
          <w:szCs w:val="24"/>
          <w:highlight w:val="none"/>
          <w:lang w:val="en-US" w:eastAsia="zh-CN"/>
        </w:rPr>
        <w:t xml:space="preserve">                 </w:t>
      </w:r>
      <w:bookmarkStart w:id="209" w:name="_Toc940"/>
      <w:r>
        <w:rPr>
          <w:rFonts w:hint="eastAsia" w:ascii="仿宋" w:hAnsi="仿宋" w:eastAsia="仿宋" w:cs="仿宋"/>
          <w:color w:val="000000"/>
          <w:sz w:val="24"/>
          <w:szCs w:val="24"/>
          <w:highlight w:val="none"/>
        </w:rPr>
        <w:t>（一）</w:t>
      </w:r>
      <w:bookmarkEnd w:id="208"/>
      <w:r>
        <w:rPr>
          <w:rFonts w:hint="eastAsia" w:ascii="仿宋" w:hAnsi="仿宋" w:eastAsia="仿宋" w:cs="仿宋"/>
          <w:color w:val="000000"/>
          <w:sz w:val="24"/>
          <w:szCs w:val="24"/>
          <w:highlight w:val="none"/>
          <w:lang w:val="en-US" w:eastAsia="zh-CN"/>
        </w:rPr>
        <w:t>分项报价</w:t>
      </w:r>
      <w:r>
        <w:rPr>
          <w:rFonts w:hint="eastAsia" w:ascii="仿宋" w:hAnsi="仿宋" w:eastAsia="仿宋" w:cs="仿宋"/>
          <w:color w:val="000000"/>
          <w:sz w:val="24"/>
          <w:szCs w:val="24"/>
          <w:highlight w:val="none"/>
        </w:rPr>
        <w:t>一览表</w:t>
      </w:r>
      <w:bookmarkEnd w:id="209"/>
    </w:p>
    <w:p>
      <w:pPr>
        <w:pStyle w:val="14"/>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4"/>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widowControl/>
        <w:jc w:val="center"/>
        <w:textAlignment w:val="center"/>
        <w:rPr>
          <w:rFonts w:hint="eastAsia" w:ascii="仿宋" w:hAnsi="仿宋" w:eastAsia="仿宋" w:cs="仿宋"/>
          <w:color w:val="000000"/>
          <w:kern w:val="0"/>
          <w:szCs w:val="21"/>
          <w:highlight w:val="none"/>
          <w:lang w:bidi="ar"/>
        </w:rPr>
      </w:pPr>
    </w:p>
    <w:tbl>
      <w:tblPr>
        <w:tblStyle w:val="41"/>
        <w:tblW w:w="4995" w:type="pct"/>
        <w:jc w:val="center"/>
        <w:tblLayout w:type="autofit"/>
        <w:tblCellMar>
          <w:top w:w="0" w:type="dxa"/>
          <w:left w:w="108" w:type="dxa"/>
          <w:bottom w:w="0" w:type="dxa"/>
          <w:right w:w="108" w:type="dxa"/>
        </w:tblCellMar>
      </w:tblPr>
      <w:tblGrid>
        <w:gridCol w:w="596"/>
        <w:gridCol w:w="1802"/>
        <w:gridCol w:w="993"/>
        <w:gridCol w:w="1194"/>
        <w:gridCol w:w="1149"/>
        <w:gridCol w:w="1395"/>
        <w:gridCol w:w="1395"/>
        <w:gridCol w:w="1320"/>
      </w:tblGrid>
      <w:tr>
        <w:tblPrEx>
          <w:tblCellMar>
            <w:top w:w="0" w:type="dxa"/>
            <w:left w:w="108" w:type="dxa"/>
            <w:bottom w:w="0" w:type="dxa"/>
            <w:right w:w="108" w:type="dxa"/>
          </w:tblCellMar>
        </w:tblPrEx>
        <w:trPr>
          <w:trHeight w:val="927"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915"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504"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含税</w:t>
            </w:r>
            <w:r>
              <w:rPr>
                <w:rFonts w:hint="eastAsia" w:ascii="仿宋" w:hAnsi="仿宋" w:eastAsia="仿宋" w:cs="宋体"/>
                <w:b/>
                <w:bCs/>
                <w:color w:val="000000"/>
                <w:kern w:val="0"/>
                <w:szCs w:val="21"/>
                <w:highlight w:val="none"/>
                <w:lang w:val="en-US" w:eastAsia="zh-CN"/>
              </w:rPr>
              <w:t>单</w:t>
            </w:r>
            <w:r>
              <w:rPr>
                <w:rFonts w:hint="eastAsia" w:ascii="仿宋" w:hAnsi="仿宋" w:eastAsia="仿宋" w:cs="宋体"/>
                <w:b/>
                <w:bCs/>
                <w:color w:val="000000"/>
                <w:kern w:val="0"/>
                <w:szCs w:val="21"/>
                <w:highlight w:val="none"/>
              </w:rPr>
              <w:t>价</w:t>
            </w:r>
            <w:r>
              <w:rPr>
                <w:rFonts w:hint="eastAsia" w:ascii="仿宋" w:hAnsi="仿宋" w:eastAsia="仿宋" w:cs="宋体"/>
                <w:b/>
                <w:color w:val="000000"/>
                <w:szCs w:val="21"/>
                <w:highlight w:val="none"/>
              </w:rPr>
              <w:t>（元）</w:t>
            </w:r>
          </w:p>
        </w:tc>
        <w:tc>
          <w:tcPr>
            <w:tcW w:w="60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不含税</w:t>
            </w:r>
            <w:r>
              <w:rPr>
                <w:rFonts w:hint="eastAsia" w:ascii="仿宋" w:hAnsi="仿宋" w:eastAsia="仿宋" w:cs="宋体"/>
                <w:b/>
                <w:bCs/>
                <w:color w:val="000000"/>
                <w:kern w:val="0"/>
                <w:szCs w:val="21"/>
                <w:highlight w:val="none"/>
                <w:lang w:val="en-US" w:eastAsia="zh-CN"/>
              </w:rPr>
              <w:t>单</w:t>
            </w:r>
            <w:r>
              <w:rPr>
                <w:rFonts w:hint="eastAsia" w:ascii="仿宋" w:hAnsi="仿宋" w:eastAsia="仿宋" w:cs="宋体"/>
                <w:b/>
                <w:bCs/>
                <w:color w:val="000000"/>
                <w:kern w:val="0"/>
                <w:szCs w:val="21"/>
                <w:highlight w:val="none"/>
              </w:rPr>
              <w:t>价</w:t>
            </w:r>
            <w:r>
              <w:rPr>
                <w:rFonts w:hint="eastAsia" w:ascii="仿宋" w:hAnsi="仿宋" w:eastAsia="仿宋" w:cs="宋体"/>
                <w:b/>
                <w:color w:val="000000"/>
                <w:szCs w:val="21"/>
                <w:highlight w:val="none"/>
              </w:rPr>
              <w:t>（元）</w:t>
            </w:r>
          </w:p>
        </w:tc>
        <w:tc>
          <w:tcPr>
            <w:tcW w:w="58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数量</w:t>
            </w: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总计</w:t>
            </w: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67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tblPrEx>
          <w:tblCellMar>
            <w:top w:w="0" w:type="dxa"/>
            <w:left w:w="108" w:type="dxa"/>
            <w:bottom w:w="0" w:type="dxa"/>
            <w:right w:w="108" w:type="dxa"/>
          </w:tblCellMar>
        </w:tblPrEx>
        <w:trPr>
          <w:trHeight w:val="1409"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91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女员工（未婚）</w:t>
            </w:r>
          </w:p>
        </w:tc>
        <w:tc>
          <w:tcPr>
            <w:tcW w:w="50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60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583"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bookmarkStart w:id="210" w:name="_Toc71192056"/>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服务：</w:t>
            </w:r>
            <w:bookmarkEnd w:id="210"/>
            <w:r>
              <w:rPr>
                <w:rFonts w:hint="eastAsia" w:ascii="仿宋" w:hAnsi="仿宋" w:eastAsia="仿宋" w:cs="宋体"/>
                <w:color w:val="000000"/>
                <w:kern w:val="0"/>
                <w:szCs w:val="21"/>
                <w:highlight w:val="none"/>
                <w:u w:val="single"/>
              </w:rPr>
              <w:t xml:space="preserve">   </w:t>
            </w:r>
            <w:r>
              <w:rPr>
                <w:rFonts w:hint="eastAsia" w:ascii="仿宋" w:hAnsi="仿宋" w:eastAsia="仿宋" w:cs="宋体"/>
                <w:color w:val="000000"/>
                <w:kern w:val="0"/>
                <w:szCs w:val="21"/>
                <w:highlight w:val="none"/>
              </w:rPr>
              <w:t xml:space="preserve">  </w:t>
            </w:r>
          </w:p>
        </w:tc>
        <w:tc>
          <w:tcPr>
            <w:tcW w:w="67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r>
        <w:tblPrEx>
          <w:tblCellMar>
            <w:top w:w="0" w:type="dxa"/>
            <w:left w:w="108" w:type="dxa"/>
            <w:bottom w:w="0" w:type="dxa"/>
            <w:right w:w="108" w:type="dxa"/>
          </w:tblCellMar>
        </w:tblPrEx>
        <w:trPr>
          <w:trHeight w:val="1409"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2</w:t>
            </w:r>
          </w:p>
        </w:tc>
        <w:tc>
          <w:tcPr>
            <w:tcW w:w="91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女员工（已婚）</w:t>
            </w:r>
          </w:p>
        </w:tc>
        <w:tc>
          <w:tcPr>
            <w:tcW w:w="50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60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583"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服务：</w:t>
            </w:r>
            <w:r>
              <w:rPr>
                <w:rFonts w:hint="eastAsia" w:ascii="仿宋" w:hAnsi="仿宋" w:eastAsia="仿宋" w:cs="宋体"/>
                <w:color w:val="000000"/>
                <w:kern w:val="0"/>
                <w:szCs w:val="21"/>
                <w:highlight w:val="none"/>
                <w:u w:val="single"/>
              </w:rPr>
              <w:t xml:space="preserve">   </w:t>
            </w:r>
            <w:r>
              <w:rPr>
                <w:rFonts w:hint="eastAsia" w:ascii="仿宋" w:hAnsi="仿宋" w:eastAsia="仿宋" w:cs="宋体"/>
                <w:color w:val="000000"/>
                <w:kern w:val="0"/>
                <w:szCs w:val="21"/>
                <w:highlight w:val="none"/>
              </w:rPr>
              <w:t xml:space="preserve"> </w:t>
            </w:r>
          </w:p>
        </w:tc>
        <w:tc>
          <w:tcPr>
            <w:tcW w:w="67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r>
        <w:tblPrEx>
          <w:tblCellMar>
            <w:top w:w="0" w:type="dxa"/>
            <w:left w:w="108" w:type="dxa"/>
            <w:bottom w:w="0" w:type="dxa"/>
            <w:right w:w="108" w:type="dxa"/>
          </w:tblCellMar>
        </w:tblPrEx>
        <w:trPr>
          <w:trHeight w:val="1409" w:hRule="atLeast"/>
          <w:jc w:val="center"/>
        </w:trPr>
        <w:tc>
          <w:tcPr>
            <w:tcW w:w="303"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3</w:t>
            </w:r>
          </w:p>
        </w:tc>
        <w:tc>
          <w:tcPr>
            <w:tcW w:w="91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男员工</w:t>
            </w:r>
          </w:p>
        </w:tc>
        <w:tc>
          <w:tcPr>
            <w:tcW w:w="50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60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583"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服务：</w:t>
            </w:r>
            <w:r>
              <w:rPr>
                <w:rFonts w:hint="eastAsia" w:ascii="仿宋" w:hAnsi="仿宋" w:eastAsia="仿宋" w:cs="宋体"/>
                <w:color w:val="000000"/>
                <w:kern w:val="0"/>
                <w:szCs w:val="21"/>
                <w:highlight w:val="none"/>
                <w:u w:val="single"/>
              </w:rPr>
              <w:t xml:space="preserve">   </w:t>
            </w:r>
            <w:r>
              <w:rPr>
                <w:rFonts w:hint="eastAsia" w:ascii="仿宋" w:hAnsi="仿宋" w:eastAsia="仿宋" w:cs="宋体"/>
                <w:color w:val="000000"/>
                <w:kern w:val="0"/>
                <w:szCs w:val="21"/>
                <w:highlight w:val="none"/>
              </w:rPr>
              <w:t xml:space="preserve"> </w:t>
            </w:r>
          </w:p>
        </w:tc>
        <w:tc>
          <w:tcPr>
            <w:tcW w:w="67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r>
        <w:tblPrEx>
          <w:tblCellMar>
            <w:top w:w="0" w:type="dxa"/>
            <w:left w:w="108" w:type="dxa"/>
            <w:bottom w:w="0" w:type="dxa"/>
            <w:right w:w="108" w:type="dxa"/>
          </w:tblCellMar>
        </w:tblPrEx>
        <w:trPr>
          <w:trHeight w:val="1409" w:hRule="atLeast"/>
          <w:jc w:val="center"/>
        </w:trPr>
        <w:tc>
          <w:tcPr>
            <w:tcW w:w="1218" w:type="pct"/>
            <w:gridSpan w:val="2"/>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合计</w:t>
            </w:r>
          </w:p>
        </w:tc>
        <w:tc>
          <w:tcPr>
            <w:tcW w:w="50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60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583"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p>
        </w:tc>
        <w:tc>
          <w:tcPr>
            <w:tcW w:w="708"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服务：</w:t>
            </w:r>
            <w:r>
              <w:rPr>
                <w:rFonts w:hint="eastAsia" w:ascii="仿宋" w:hAnsi="仿宋" w:eastAsia="仿宋" w:cs="宋体"/>
                <w:color w:val="000000"/>
                <w:kern w:val="0"/>
                <w:szCs w:val="21"/>
                <w:highlight w:val="none"/>
                <w:u w:val="single"/>
              </w:rPr>
              <w:t xml:space="preserve">   </w:t>
            </w:r>
            <w:r>
              <w:rPr>
                <w:rFonts w:hint="eastAsia" w:ascii="仿宋" w:hAnsi="仿宋" w:eastAsia="仿宋" w:cs="宋体"/>
                <w:color w:val="000000"/>
                <w:kern w:val="0"/>
                <w:szCs w:val="21"/>
                <w:highlight w:val="none"/>
              </w:rPr>
              <w:t xml:space="preserve"> </w:t>
            </w:r>
          </w:p>
        </w:tc>
        <w:tc>
          <w:tcPr>
            <w:tcW w:w="67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bl>
    <w:p>
      <w:pPr>
        <w:spacing w:line="360" w:lineRule="auto"/>
        <w:rPr>
          <w:rFonts w:ascii="仿宋" w:hAnsi="仿宋" w:eastAsia="仿宋" w:cs="仿宋"/>
          <w:bCs/>
          <w:color w:val="000000"/>
          <w:sz w:val="24"/>
          <w:highlight w:val="none"/>
        </w:rPr>
      </w:pP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pPr>
        <w:numPr>
          <w:ilvl w:val="0"/>
          <w:numId w:val="0"/>
        </w:numPr>
        <w:spacing w:line="360" w:lineRule="auto"/>
        <w:rPr>
          <w:rFonts w:hint="eastAsia" w:ascii="仿宋" w:hAnsi="仿宋" w:eastAsia="仿宋"/>
          <w:bCs/>
          <w:sz w:val="24"/>
          <w:highlight w:val="none"/>
        </w:rPr>
      </w:pPr>
      <w:r>
        <w:rPr>
          <w:rFonts w:hint="eastAsia" w:ascii="仿宋" w:hAnsi="仿宋" w:eastAsia="仿宋"/>
          <w:bCs/>
          <w:sz w:val="24"/>
          <w:highlight w:val="none"/>
          <w:lang w:val="en-US" w:eastAsia="zh-CN"/>
        </w:rPr>
        <w:t>1.</w:t>
      </w:r>
      <w:r>
        <w:rPr>
          <w:rFonts w:hint="eastAsia" w:ascii="仿宋" w:hAnsi="仿宋" w:eastAsia="仿宋"/>
          <w:bCs/>
          <w:sz w:val="24"/>
          <w:highlight w:val="none"/>
        </w:rPr>
        <w:t>本次报价精确到小数点后两位（四舍五入）。</w:t>
      </w:r>
    </w:p>
    <w:p>
      <w:pPr>
        <w:pStyle w:val="108"/>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pPr>
        <w:pStyle w:val="108"/>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pPr>
        <w:pStyle w:val="108"/>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pPr>
        <w:pStyle w:val="108"/>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bookmarkStart w:id="211" w:name="_Toc16591840"/>
      <w:bookmarkStart w:id="212" w:name="_Toc518302646"/>
      <w:bookmarkStart w:id="213" w:name="_Toc482180015"/>
      <w:bookmarkStart w:id="214" w:name="_Toc517281864"/>
      <w:bookmarkStart w:id="215" w:name="_Toc530319762"/>
      <w:bookmarkStart w:id="216" w:name="_Toc2267055"/>
    </w:p>
    <w:p>
      <w:pPr>
        <w:pStyle w:val="108"/>
        <w:numPr>
          <w:ilvl w:val="0"/>
          <w:numId w:val="0"/>
        </w:numPr>
        <w:spacing w:line="360" w:lineRule="auto"/>
        <w:rPr>
          <w:rFonts w:hint="eastAsia" w:ascii="仿宋" w:hAnsi="仿宋" w:eastAsia="仿宋" w:cs="宋体"/>
          <w:bCs/>
          <w:color w:val="000000"/>
          <w:sz w:val="24"/>
          <w:highlight w:val="none"/>
          <w:lang w:val="en-US" w:eastAsia="zh-CN"/>
        </w:rPr>
      </w:pP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1"/>
        </w:numPr>
        <w:spacing w:line="440" w:lineRule="exact"/>
        <w:jc w:val="right"/>
        <w:rPr>
          <w:rFonts w:hint="eastAsia" w:ascii="仿宋" w:hAnsi="仿宋" w:eastAsia="仿宋" w:cs="仿宋"/>
          <w:color w:val="000000"/>
          <w:sz w:val="24"/>
          <w:szCs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bookmarkEnd w:id="211"/>
      <w:bookmarkEnd w:id="212"/>
      <w:bookmarkEnd w:id="213"/>
      <w:bookmarkEnd w:id="214"/>
      <w:bookmarkEnd w:id="215"/>
      <w:bookmarkEnd w:id="216"/>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6"/>
      </w:rPr>
    </w:pPr>
    <w:r>
      <w:fldChar w:fldCharType="begin"/>
    </w:r>
    <w:r>
      <w:rPr>
        <w:rStyle w:val="46"/>
      </w:rPr>
      <w:instrText xml:space="preserve">PAGE  </w:instrText>
    </w:r>
    <w:r>
      <w:fldChar w:fldCharType="separate"/>
    </w:r>
    <w:r>
      <w:rPr>
        <w:rStyle w:val="46"/>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firstLineChars="2500"/>
      <w:rPr>
        <w:rStyle w:val="46"/>
      </w:rPr>
    </w:pPr>
    <w:r>
      <w:fldChar w:fldCharType="begin"/>
    </w:r>
    <w:r>
      <w:rPr>
        <w:rStyle w:val="46"/>
      </w:rPr>
      <w:instrText xml:space="preserve">PAGE  </w:instrText>
    </w:r>
    <w:r>
      <w:fldChar w:fldCharType="separate"/>
    </w:r>
    <w:r>
      <w:rPr>
        <w:rStyle w:val="46"/>
      </w:rPr>
      <w:t>19</w:t>
    </w:r>
    <w:r>
      <w:fldChar w:fldCharType="end"/>
    </w:r>
  </w:p>
  <w:p>
    <w:pPr>
      <w:pStyle w:val="27"/>
      <w:framePr w:wrap="around" w:vAnchor="text" w:hAnchor="margin" w:xAlign="center" w:y="1"/>
      <w:rPr>
        <w:rStyle w:val="46"/>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rPr>
                              <w:rStyle w:val="46"/>
                            </w:rPr>
                          </w:pPr>
                          <w:r>
                            <w:fldChar w:fldCharType="begin"/>
                          </w:r>
                          <w:r>
                            <w:rPr>
                              <w:rStyle w:val="46"/>
                            </w:rPr>
                            <w:instrText xml:space="preserve">PAGE  </w:instrText>
                          </w:r>
                          <w:r>
                            <w:fldChar w:fldCharType="separate"/>
                          </w:r>
                          <w:r>
                            <w:rPr>
                              <w:rStyle w:val="46"/>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7"/>
                      <w:rPr>
                        <w:rStyle w:val="46"/>
                      </w:rPr>
                    </w:pPr>
                    <w:r>
                      <w:fldChar w:fldCharType="begin"/>
                    </w:r>
                    <w:r>
                      <w:rPr>
                        <w:rStyle w:val="46"/>
                      </w:rPr>
                      <w:instrText xml:space="preserve">PAGE  </w:instrText>
                    </w:r>
                    <w:r>
                      <w:fldChar w:fldCharType="separate"/>
                    </w:r>
                    <w:r>
                      <w:rPr>
                        <w:rStyle w:val="46"/>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7"/>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DCDB6A"/>
    <w:multiLevelType w:val="singleLevel"/>
    <w:tmpl w:val="EEDCDB6A"/>
    <w:lvl w:ilvl="0" w:tentative="0">
      <w:start w:val="2"/>
      <w:numFmt w:val="decimal"/>
      <w:suff w:val="nothing"/>
      <w:lvlText w:val="%1、"/>
      <w:lvlJc w:val="left"/>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8"/>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9"/>
      <w:lvlText w:val="           "/>
      <w:lvlJc w:val="left"/>
      <w:pPr>
        <w:tabs>
          <w:tab w:val="left" w:pos="1440"/>
        </w:tabs>
        <w:ind w:left="-482" w:hanging="1152"/>
      </w:pPr>
      <w:rPr>
        <w:rFonts w:hint="eastAsia"/>
      </w:rPr>
    </w:lvl>
    <w:lvl w:ilvl="6" w:tentative="0">
      <w:start w:val="1"/>
      <w:numFmt w:val="decimal"/>
      <w:pStyle w:val="10"/>
      <w:lvlText w:val="%1.%2.%3.%4.%5.%6.%7"/>
      <w:lvlJc w:val="left"/>
      <w:pPr>
        <w:tabs>
          <w:tab w:val="left" w:pos="2520"/>
        </w:tabs>
        <w:ind w:left="1296" w:hanging="1296"/>
      </w:pPr>
      <w:rPr>
        <w:rFonts w:hint="eastAsia"/>
      </w:rPr>
    </w:lvl>
    <w:lvl w:ilvl="7" w:tentative="0">
      <w:start w:val="1"/>
      <w:numFmt w:val="decimal"/>
      <w:pStyle w:val="11"/>
      <w:lvlText w:val="%1.%2.%3.%4.%5.%6.%7.%8"/>
      <w:lvlJc w:val="left"/>
      <w:pPr>
        <w:tabs>
          <w:tab w:val="left" w:pos="1440"/>
        </w:tabs>
        <w:ind w:left="1440" w:hanging="1440"/>
      </w:pPr>
      <w:rPr>
        <w:rFonts w:hint="eastAsia"/>
      </w:rPr>
    </w:lvl>
    <w:lvl w:ilvl="8" w:tentative="0">
      <w:start w:val="1"/>
      <w:numFmt w:val="decimal"/>
      <w:pStyle w:val="12"/>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8"/>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A51AFF"/>
    <w:rsid w:val="01B95421"/>
    <w:rsid w:val="020B1354"/>
    <w:rsid w:val="022D32CB"/>
    <w:rsid w:val="025A55E9"/>
    <w:rsid w:val="029442A4"/>
    <w:rsid w:val="02A23766"/>
    <w:rsid w:val="02BC63B4"/>
    <w:rsid w:val="02FB3FC6"/>
    <w:rsid w:val="0317318F"/>
    <w:rsid w:val="034D12D4"/>
    <w:rsid w:val="035C2662"/>
    <w:rsid w:val="03637FE7"/>
    <w:rsid w:val="0376348B"/>
    <w:rsid w:val="0388663C"/>
    <w:rsid w:val="03A97929"/>
    <w:rsid w:val="03C32A6F"/>
    <w:rsid w:val="03CE20DF"/>
    <w:rsid w:val="03D57B0C"/>
    <w:rsid w:val="03FB034A"/>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68027C"/>
    <w:rsid w:val="0C764AAB"/>
    <w:rsid w:val="0C7A707B"/>
    <w:rsid w:val="0C864E88"/>
    <w:rsid w:val="0C8C7B9F"/>
    <w:rsid w:val="0C9475E1"/>
    <w:rsid w:val="0CA62E5A"/>
    <w:rsid w:val="0CB43017"/>
    <w:rsid w:val="0CD24AE8"/>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EC37BE"/>
    <w:rsid w:val="0F0D62DC"/>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437F75"/>
    <w:rsid w:val="115A4A6C"/>
    <w:rsid w:val="117A67CD"/>
    <w:rsid w:val="118A5482"/>
    <w:rsid w:val="11CB154F"/>
    <w:rsid w:val="11D57FF6"/>
    <w:rsid w:val="11EC0DBF"/>
    <w:rsid w:val="11EF5B10"/>
    <w:rsid w:val="12003074"/>
    <w:rsid w:val="12042B6A"/>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E145A4"/>
    <w:rsid w:val="14E20675"/>
    <w:rsid w:val="151D2E85"/>
    <w:rsid w:val="15225EAA"/>
    <w:rsid w:val="152315CE"/>
    <w:rsid w:val="153A298B"/>
    <w:rsid w:val="155C7174"/>
    <w:rsid w:val="15702ADB"/>
    <w:rsid w:val="157F4238"/>
    <w:rsid w:val="15942E62"/>
    <w:rsid w:val="15B8776F"/>
    <w:rsid w:val="15C80049"/>
    <w:rsid w:val="15DC403B"/>
    <w:rsid w:val="15FC4DAB"/>
    <w:rsid w:val="161F262E"/>
    <w:rsid w:val="16444AAD"/>
    <w:rsid w:val="164729D6"/>
    <w:rsid w:val="16623343"/>
    <w:rsid w:val="167639EE"/>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3D3A8E"/>
    <w:rsid w:val="18420450"/>
    <w:rsid w:val="18932160"/>
    <w:rsid w:val="18B45502"/>
    <w:rsid w:val="19011285"/>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403431B"/>
    <w:rsid w:val="240A5D77"/>
    <w:rsid w:val="24142194"/>
    <w:rsid w:val="246739F8"/>
    <w:rsid w:val="24A30FBB"/>
    <w:rsid w:val="24A81A35"/>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247BB6"/>
    <w:rsid w:val="28933CCC"/>
    <w:rsid w:val="28AE7984"/>
    <w:rsid w:val="28C80D3F"/>
    <w:rsid w:val="28D96965"/>
    <w:rsid w:val="28DE3958"/>
    <w:rsid w:val="29055F95"/>
    <w:rsid w:val="29341888"/>
    <w:rsid w:val="2945508F"/>
    <w:rsid w:val="2953560E"/>
    <w:rsid w:val="296740FF"/>
    <w:rsid w:val="29701219"/>
    <w:rsid w:val="298E09C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D01C58"/>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F0A97"/>
    <w:rsid w:val="2C854E4C"/>
    <w:rsid w:val="2C8A3639"/>
    <w:rsid w:val="2CA8549C"/>
    <w:rsid w:val="2CC35E7E"/>
    <w:rsid w:val="2CD63D6C"/>
    <w:rsid w:val="2CF748AA"/>
    <w:rsid w:val="2D157538"/>
    <w:rsid w:val="2D2F720D"/>
    <w:rsid w:val="2D310B09"/>
    <w:rsid w:val="2D4828C3"/>
    <w:rsid w:val="2D57345B"/>
    <w:rsid w:val="2D5F3EE2"/>
    <w:rsid w:val="2D764F47"/>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9F6624"/>
    <w:rsid w:val="31AD34E7"/>
    <w:rsid w:val="31B02544"/>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32E3950"/>
    <w:rsid w:val="335202DB"/>
    <w:rsid w:val="336E5F6C"/>
    <w:rsid w:val="33732317"/>
    <w:rsid w:val="33790B91"/>
    <w:rsid w:val="337B4EF0"/>
    <w:rsid w:val="3396767F"/>
    <w:rsid w:val="33A337D5"/>
    <w:rsid w:val="33F71CC8"/>
    <w:rsid w:val="33FA57B0"/>
    <w:rsid w:val="34016A86"/>
    <w:rsid w:val="34184C5D"/>
    <w:rsid w:val="34391824"/>
    <w:rsid w:val="34475E33"/>
    <w:rsid w:val="347312F7"/>
    <w:rsid w:val="34751871"/>
    <w:rsid w:val="3492234F"/>
    <w:rsid w:val="349D58CD"/>
    <w:rsid w:val="34AA0645"/>
    <w:rsid w:val="34C61DEF"/>
    <w:rsid w:val="34D349C1"/>
    <w:rsid w:val="34D65FE2"/>
    <w:rsid w:val="34DD141E"/>
    <w:rsid w:val="34EF48D4"/>
    <w:rsid w:val="34F832A2"/>
    <w:rsid w:val="34F846BA"/>
    <w:rsid w:val="353323D5"/>
    <w:rsid w:val="35767350"/>
    <w:rsid w:val="359A52D2"/>
    <w:rsid w:val="359E1B8E"/>
    <w:rsid w:val="35BE26D5"/>
    <w:rsid w:val="360006C2"/>
    <w:rsid w:val="36121C1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E37660"/>
    <w:rsid w:val="3A291850"/>
    <w:rsid w:val="3A2A56F0"/>
    <w:rsid w:val="3A347BA7"/>
    <w:rsid w:val="3A86131C"/>
    <w:rsid w:val="3A904DA0"/>
    <w:rsid w:val="3AA14CC2"/>
    <w:rsid w:val="3AC96B3C"/>
    <w:rsid w:val="3ADA7F84"/>
    <w:rsid w:val="3AE22A52"/>
    <w:rsid w:val="3B0A2B10"/>
    <w:rsid w:val="3B2A3A82"/>
    <w:rsid w:val="3B470C18"/>
    <w:rsid w:val="3B5269DA"/>
    <w:rsid w:val="3B9A0AD5"/>
    <w:rsid w:val="3BAA2DFB"/>
    <w:rsid w:val="3BB98257"/>
    <w:rsid w:val="3BD45B11"/>
    <w:rsid w:val="3BEB5437"/>
    <w:rsid w:val="3C195C5A"/>
    <w:rsid w:val="3C504855"/>
    <w:rsid w:val="3C7E6AAF"/>
    <w:rsid w:val="3CA91485"/>
    <w:rsid w:val="3CC17E22"/>
    <w:rsid w:val="3D0A686C"/>
    <w:rsid w:val="3D833044"/>
    <w:rsid w:val="3D98639D"/>
    <w:rsid w:val="3DBD4CAC"/>
    <w:rsid w:val="3DE76D88"/>
    <w:rsid w:val="3DFDB1AE"/>
    <w:rsid w:val="3E0655B4"/>
    <w:rsid w:val="3E337FDD"/>
    <w:rsid w:val="3E5FED92"/>
    <w:rsid w:val="3E6D4856"/>
    <w:rsid w:val="3E835940"/>
    <w:rsid w:val="3E8B628D"/>
    <w:rsid w:val="3E8C18E6"/>
    <w:rsid w:val="3EBD617F"/>
    <w:rsid w:val="3ECA28FD"/>
    <w:rsid w:val="3F257157"/>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307C69"/>
    <w:rsid w:val="404D7AC8"/>
    <w:rsid w:val="405A4045"/>
    <w:rsid w:val="40634C41"/>
    <w:rsid w:val="40791BF6"/>
    <w:rsid w:val="407B722C"/>
    <w:rsid w:val="40AB4C9D"/>
    <w:rsid w:val="40DD16D8"/>
    <w:rsid w:val="413063A6"/>
    <w:rsid w:val="41391FB6"/>
    <w:rsid w:val="4145485A"/>
    <w:rsid w:val="41561898"/>
    <w:rsid w:val="417530DD"/>
    <w:rsid w:val="417B40A4"/>
    <w:rsid w:val="41814A29"/>
    <w:rsid w:val="41920DF4"/>
    <w:rsid w:val="41A36DCF"/>
    <w:rsid w:val="41C06248"/>
    <w:rsid w:val="42226A27"/>
    <w:rsid w:val="425C78EF"/>
    <w:rsid w:val="425D4FF7"/>
    <w:rsid w:val="425F7C30"/>
    <w:rsid w:val="42655A33"/>
    <w:rsid w:val="42680B06"/>
    <w:rsid w:val="429F46BC"/>
    <w:rsid w:val="42A34DFA"/>
    <w:rsid w:val="42C25831"/>
    <w:rsid w:val="42F26E0D"/>
    <w:rsid w:val="43005F1C"/>
    <w:rsid w:val="43100FE2"/>
    <w:rsid w:val="43242DC6"/>
    <w:rsid w:val="43463A91"/>
    <w:rsid w:val="439E6277"/>
    <w:rsid w:val="43A254B1"/>
    <w:rsid w:val="43B943DD"/>
    <w:rsid w:val="43BF143F"/>
    <w:rsid w:val="43F50014"/>
    <w:rsid w:val="44240C6A"/>
    <w:rsid w:val="44272CAC"/>
    <w:rsid w:val="443A54EB"/>
    <w:rsid w:val="44451BDC"/>
    <w:rsid w:val="444F6481"/>
    <w:rsid w:val="447B6726"/>
    <w:rsid w:val="449A1973"/>
    <w:rsid w:val="44F02F62"/>
    <w:rsid w:val="451A0FD3"/>
    <w:rsid w:val="45712308"/>
    <w:rsid w:val="457D2990"/>
    <w:rsid w:val="458B1522"/>
    <w:rsid w:val="45ED0241"/>
    <w:rsid w:val="460434E4"/>
    <w:rsid w:val="466B00B6"/>
    <w:rsid w:val="46706F3F"/>
    <w:rsid w:val="46742883"/>
    <w:rsid w:val="46757EF5"/>
    <w:rsid w:val="468375BE"/>
    <w:rsid w:val="46876032"/>
    <w:rsid w:val="46A87C88"/>
    <w:rsid w:val="46C96C6F"/>
    <w:rsid w:val="46FD0882"/>
    <w:rsid w:val="471513C1"/>
    <w:rsid w:val="47245012"/>
    <w:rsid w:val="472B40E0"/>
    <w:rsid w:val="473461A6"/>
    <w:rsid w:val="473D42FE"/>
    <w:rsid w:val="47793752"/>
    <w:rsid w:val="477E751F"/>
    <w:rsid w:val="47A31B07"/>
    <w:rsid w:val="47A9364D"/>
    <w:rsid w:val="47C81250"/>
    <w:rsid w:val="47C84FBA"/>
    <w:rsid w:val="47E051A9"/>
    <w:rsid w:val="47EFACDD"/>
    <w:rsid w:val="485278BE"/>
    <w:rsid w:val="487D2A9B"/>
    <w:rsid w:val="48C75219"/>
    <w:rsid w:val="48D23E7A"/>
    <w:rsid w:val="48F04FAA"/>
    <w:rsid w:val="49383A95"/>
    <w:rsid w:val="49897021"/>
    <w:rsid w:val="499B766C"/>
    <w:rsid w:val="49A85CE0"/>
    <w:rsid w:val="49BB73C2"/>
    <w:rsid w:val="49CB0635"/>
    <w:rsid w:val="49CC464E"/>
    <w:rsid w:val="49E815C6"/>
    <w:rsid w:val="4A203730"/>
    <w:rsid w:val="4A203D36"/>
    <w:rsid w:val="4A3F1F54"/>
    <w:rsid w:val="4A5943E4"/>
    <w:rsid w:val="4A6050DB"/>
    <w:rsid w:val="4A6278FA"/>
    <w:rsid w:val="4A693AF6"/>
    <w:rsid w:val="4AD43451"/>
    <w:rsid w:val="4ADD07E4"/>
    <w:rsid w:val="4B4E3F99"/>
    <w:rsid w:val="4B5A348C"/>
    <w:rsid w:val="4B715FB2"/>
    <w:rsid w:val="4B8C55E8"/>
    <w:rsid w:val="4BB858C5"/>
    <w:rsid w:val="4C083C31"/>
    <w:rsid w:val="4C100B51"/>
    <w:rsid w:val="4C875D8A"/>
    <w:rsid w:val="4C88552C"/>
    <w:rsid w:val="4CD90354"/>
    <w:rsid w:val="4CE354D3"/>
    <w:rsid w:val="4D092A65"/>
    <w:rsid w:val="4D3E119B"/>
    <w:rsid w:val="4D5D5079"/>
    <w:rsid w:val="4D63426D"/>
    <w:rsid w:val="4D6F1F18"/>
    <w:rsid w:val="4D7376F9"/>
    <w:rsid w:val="4D9E38E4"/>
    <w:rsid w:val="4DC82BF0"/>
    <w:rsid w:val="4DD013FD"/>
    <w:rsid w:val="4DE577AB"/>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6B2F52"/>
    <w:rsid w:val="507951EA"/>
    <w:rsid w:val="508F2AB3"/>
    <w:rsid w:val="50B138D1"/>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AF3E2F"/>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3B0B5A"/>
    <w:rsid w:val="553E32D6"/>
    <w:rsid w:val="55583B90"/>
    <w:rsid w:val="55675C79"/>
    <w:rsid w:val="55882E93"/>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AD42E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376F91"/>
    <w:rsid w:val="5A3D0E34"/>
    <w:rsid w:val="5A4E1D0A"/>
    <w:rsid w:val="5A642481"/>
    <w:rsid w:val="5A6E0818"/>
    <w:rsid w:val="5ABE7049"/>
    <w:rsid w:val="5AC32B55"/>
    <w:rsid w:val="5AE145C9"/>
    <w:rsid w:val="5B421824"/>
    <w:rsid w:val="5B695259"/>
    <w:rsid w:val="5B75772B"/>
    <w:rsid w:val="5B9E3DE4"/>
    <w:rsid w:val="5BC44CEE"/>
    <w:rsid w:val="5BDA0F82"/>
    <w:rsid w:val="5BDF4787"/>
    <w:rsid w:val="5BE106D2"/>
    <w:rsid w:val="5BF75AB4"/>
    <w:rsid w:val="5BFFD2DF"/>
    <w:rsid w:val="5C00697E"/>
    <w:rsid w:val="5C2F3299"/>
    <w:rsid w:val="5C37658E"/>
    <w:rsid w:val="5C405FA4"/>
    <w:rsid w:val="5C5F447C"/>
    <w:rsid w:val="5C7521D3"/>
    <w:rsid w:val="5C896574"/>
    <w:rsid w:val="5C8C3697"/>
    <w:rsid w:val="5CAC7B1C"/>
    <w:rsid w:val="5CD13E43"/>
    <w:rsid w:val="5CEF42BA"/>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41B9"/>
    <w:rsid w:val="60AE77CA"/>
    <w:rsid w:val="60B44113"/>
    <w:rsid w:val="60C06C11"/>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0E35AC"/>
    <w:rsid w:val="6341070D"/>
    <w:rsid w:val="63416D06"/>
    <w:rsid w:val="63A6157B"/>
    <w:rsid w:val="63AA21B4"/>
    <w:rsid w:val="63C3108A"/>
    <w:rsid w:val="63C3439F"/>
    <w:rsid w:val="63FC019F"/>
    <w:rsid w:val="64481AB7"/>
    <w:rsid w:val="64497B3B"/>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821BE2"/>
    <w:rsid w:val="66BE22A1"/>
    <w:rsid w:val="66D70B4F"/>
    <w:rsid w:val="66FF5A0E"/>
    <w:rsid w:val="67005BCA"/>
    <w:rsid w:val="6702678E"/>
    <w:rsid w:val="671C1D5F"/>
    <w:rsid w:val="671F12E9"/>
    <w:rsid w:val="673426E5"/>
    <w:rsid w:val="67812CEA"/>
    <w:rsid w:val="679D4CF3"/>
    <w:rsid w:val="679E080A"/>
    <w:rsid w:val="67EE11BE"/>
    <w:rsid w:val="681E63B1"/>
    <w:rsid w:val="683B1C26"/>
    <w:rsid w:val="6889713A"/>
    <w:rsid w:val="68DC0F3F"/>
    <w:rsid w:val="68E258A1"/>
    <w:rsid w:val="68FA6BF9"/>
    <w:rsid w:val="691463FB"/>
    <w:rsid w:val="691A565F"/>
    <w:rsid w:val="69541AD9"/>
    <w:rsid w:val="69650E2F"/>
    <w:rsid w:val="69A9488B"/>
    <w:rsid w:val="69C96177"/>
    <w:rsid w:val="69E16BE6"/>
    <w:rsid w:val="6A230268"/>
    <w:rsid w:val="6A2E067D"/>
    <w:rsid w:val="6A457122"/>
    <w:rsid w:val="6A4D68CC"/>
    <w:rsid w:val="6A5F513A"/>
    <w:rsid w:val="6A7150A8"/>
    <w:rsid w:val="6A7401B1"/>
    <w:rsid w:val="6ABF2D94"/>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D160AB"/>
    <w:rsid w:val="6EDB34C1"/>
    <w:rsid w:val="6F006DDA"/>
    <w:rsid w:val="6F085C5D"/>
    <w:rsid w:val="6F4F6D21"/>
    <w:rsid w:val="6F58696B"/>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81480"/>
    <w:rsid w:val="71CD6934"/>
    <w:rsid w:val="71EA15C0"/>
    <w:rsid w:val="71F83BE6"/>
    <w:rsid w:val="723942F4"/>
    <w:rsid w:val="725737C3"/>
    <w:rsid w:val="7260622C"/>
    <w:rsid w:val="726D5A47"/>
    <w:rsid w:val="72757496"/>
    <w:rsid w:val="727B41C2"/>
    <w:rsid w:val="72C9C255"/>
    <w:rsid w:val="72E75711"/>
    <w:rsid w:val="72EB1400"/>
    <w:rsid w:val="732860A1"/>
    <w:rsid w:val="734C374E"/>
    <w:rsid w:val="73517BC9"/>
    <w:rsid w:val="73870389"/>
    <w:rsid w:val="73B44DF0"/>
    <w:rsid w:val="73F21076"/>
    <w:rsid w:val="7417189B"/>
    <w:rsid w:val="74340A39"/>
    <w:rsid w:val="74611F1F"/>
    <w:rsid w:val="7491533F"/>
    <w:rsid w:val="74CE0A9B"/>
    <w:rsid w:val="74D22127"/>
    <w:rsid w:val="74F4555C"/>
    <w:rsid w:val="74F46ED1"/>
    <w:rsid w:val="75037857"/>
    <w:rsid w:val="750D524B"/>
    <w:rsid w:val="752FE869"/>
    <w:rsid w:val="753D053B"/>
    <w:rsid w:val="755539A3"/>
    <w:rsid w:val="75556181"/>
    <w:rsid w:val="75712ACC"/>
    <w:rsid w:val="75846400"/>
    <w:rsid w:val="759871F9"/>
    <w:rsid w:val="75A155BB"/>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700E16"/>
    <w:rsid w:val="78787717"/>
    <w:rsid w:val="78AB6CF2"/>
    <w:rsid w:val="78C85065"/>
    <w:rsid w:val="78CB54A2"/>
    <w:rsid w:val="78F85823"/>
    <w:rsid w:val="78FF40FB"/>
    <w:rsid w:val="793122E3"/>
    <w:rsid w:val="79425C81"/>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FA655"/>
    <w:rsid w:val="7C00147E"/>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385F3E"/>
    <w:rsid w:val="7E53DB8D"/>
    <w:rsid w:val="7E5D471B"/>
    <w:rsid w:val="7E93527C"/>
    <w:rsid w:val="7EA64368"/>
    <w:rsid w:val="7EA7CF43"/>
    <w:rsid w:val="7EC17537"/>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6"/>
    <w:qFormat/>
    <w:uiPriority w:val="0"/>
    <w:pPr>
      <w:keepNext/>
      <w:keepLines/>
      <w:spacing w:before="340" w:beforeLines="0" w:after="330" w:afterLines="0" w:line="578" w:lineRule="auto"/>
      <w:outlineLvl w:val="0"/>
    </w:pPr>
    <w:rPr>
      <w:b/>
      <w:bCs/>
      <w:kern w:val="44"/>
      <w:sz w:val="44"/>
      <w:szCs w:val="44"/>
    </w:rPr>
  </w:style>
  <w:style w:type="paragraph" w:styleId="5">
    <w:name w:val="heading 2"/>
    <w:basedOn w:val="1"/>
    <w:next w:val="1"/>
    <w:link w:val="57"/>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6">
    <w:name w:val="heading 3"/>
    <w:basedOn w:val="1"/>
    <w:next w:val="1"/>
    <w:link w:val="59"/>
    <w:qFormat/>
    <w:uiPriority w:val="0"/>
    <w:pPr>
      <w:numPr>
        <w:ilvl w:val="5"/>
        <w:numId w:val="1"/>
      </w:numPr>
      <w:spacing w:before="260" w:after="260" w:line="416" w:lineRule="auto"/>
      <w:outlineLvl w:val="2"/>
    </w:pPr>
    <w:rPr>
      <w:b/>
      <w:bCs/>
      <w:sz w:val="32"/>
      <w:szCs w:val="32"/>
    </w:rPr>
  </w:style>
  <w:style w:type="paragraph" w:styleId="7">
    <w:name w:val="heading 4"/>
    <w:basedOn w:val="1"/>
    <w:next w:val="1"/>
    <w:link w:val="6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8">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9">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10">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1">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2">
    <w:name w:val="heading 9"/>
    <w:basedOn w:val="1"/>
    <w:next w:val="1"/>
    <w:link w:val="62"/>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link w:val="44"/>
    <w:qFormat/>
    <w:uiPriority w:val="0"/>
    <w:rPr>
      <w:rFonts w:ascii="宋体" w:hAnsi="宋体"/>
      <w:kern w:val="0"/>
      <w:szCs w:val="21"/>
    </w:rPr>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rFonts w:ascii="Calibri" w:hAnsi="Calibri"/>
    </w:rPr>
  </w:style>
  <w:style w:type="paragraph" w:styleId="3">
    <w:name w:val="Body Text"/>
    <w:basedOn w:val="1"/>
    <w:next w:val="1"/>
    <w:link w:val="55"/>
    <w:qFormat/>
    <w:uiPriority w:val="0"/>
    <w:pPr>
      <w:jc w:val="center"/>
    </w:pPr>
    <w:rPr>
      <w:sz w:val="52"/>
    </w:rPr>
  </w:style>
  <w:style w:type="paragraph" w:styleId="13">
    <w:name w:val="toc 7"/>
    <w:basedOn w:val="1"/>
    <w:next w:val="1"/>
    <w:qFormat/>
    <w:uiPriority w:val="39"/>
    <w:pPr>
      <w:ind w:left="1260"/>
      <w:jc w:val="left"/>
    </w:pPr>
    <w:rPr>
      <w:rFonts w:ascii="Calibri" w:hAnsi="Calibri" w:cs="Calibri"/>
      <w:sz w:val="18"/>
      <w:szCs w:val="18"/>
    </w:rPr>
  </w:style>
  <w:style w:type="paragraph" w:styleId="14">
    <w:name w:val="Normal Indent"/>
    <w:basedOn w:val="1"/>
    <w:link w:val="60"/>
    <w:qFormat/>
    <w:uiPriority w:val="0"/>
    <w:pPr>
      <w:widowControl/>
      <w:ind w:firstLine="420"/>
      <w:jc w:val="left"/>
    </w:pPr>
    <w:rPr>
      <w:kern w:val="0"/>
      <w:sz w:val="20"/>
      <w:szCs w:val="20"/>
    </w:rPr>
  </w:style>
  <w:style w:type="paragraph" w:styleId="15">
    <w:name w:val="caption"/>
    <w:basedOn w:val="1"/>
    <w:next w:val="1"/>
    <w:qFormat/>
    <w:uiPriority w:val="0"/>
    <w:rPr>
      <w:rFonts w:ascii="Arial" w:hAnsi="Arial" w:eastAsia="黑体"/>
      <w:sz w:val="20"/>
    </w:rPr>
  </w:style>
  <w:style w:type="paragraph" w:styleId="16">
    <w:name w:val="Document Map"/>
    <w:basedOn w:val="1"/>
    <w:link w:val="63"/>
    <w:qFormat/>
    <w:uiPriority w:val="0"/>
    <w:pPr>
      <w:shd w:val="clear" w:color="auto" w:fill="000080"/>
    </w:pPr>
  </w:style>
  <w:style w:type="paragraph" w:styleId="17">
    <w:name w:val="annotation text"/>
    <w:basedOn w:val="1"/>
    <w:link w:val="64"/>
    <w:qFormat/>
    <w:uiPriority w:val="99"/>
    <w:pPr>
      <w:adjustRightInd w:val="0"/>
      <w:spacing w:line="360" w:lineRule="atLeast"/>
      <w:jc w:val="left"/>
      <w:textAlignment w:val="baseline"/>
    </w:pPr>
    <w:rPr>
      <w:kern w:val="0"/>
      <w:sz w:val="24"/>
      <w:szCs w:val="20"/>
    </w:rPr>
  </w:style>
  <w:style w:type="paragraph" w:styleId="18">
    <w:name w:val="Body Text 3"/>
    <w:basedOn w:val="1"/>
    <w:link w:val="65"/>
    <w:qFormat/>
    <w:uiPriority w:val="0"/>
    <w:pPr>
      <w:spacing w:line="440" w:lineRule="exact"/>
    </w:pPr>
    <w:rPr>
      <w:sz w:val="24"/>
    </w:rPr>
  </w:style>
  <w:style w:type="paragraph" w:styleId="19">
    <w:name w:val="Body Text Indent"/>
    <w:basedOn w:val="1"/>
    <w:qFormat/>
    <w:uiPriority w:val="0"/>
    <w:pPr>
      <w:spacing w:line="400" w:lineRule="exact"/>
      <w:ind w:firstLine="560" w:firstLineChars="200"/>
    </w:pPr>
    <w:rPr>
      <w:sz w:val="28"/>
      <w:u w:val="single"/>
    </w:rPr>
  </w:style>
  <w:style w:type="paragraph" w:styleId="20">
    <w:name w:val="toc 5"/>
    <w:basedOn w:val="1"/>
    <w:next w:val="1"/>
    <w:qFormat/>
    <w:uiPriority w:val="39"/>
    <w:pPr>
      <w:ind w:left="840"/>
      <w:jc w:val="left"/>
    </w:pPr>
    <w:rPr>
      <w:rFonts w:ascii="Calibri" w:hAnsi="Calibri" w:cs="Calibri"/>
      <w:sz w:val="18"/>
      <w:szCs w:val="18"/>
    </w:rPr>
  </w:style>
  <w:style w:type="paragraph" w:styleId="21">
    <w:name w:val="toc 3"/>
    <w:basedOn w:val="1"/>
    <w:next w:val="1"/>
    <w:qFormat/>
    <w:uiPriority w:val="39"/>
    <w:pPr>
      <w:ind w:left="420"/>
      <w:jc w:val="left"/>
    </w:pPr>
    <w:rPr>
      <w:rFonts w:ascii="Calibri" w:hAnsi="Calibri" w:cs="Calibri"/>
      <w:i/>
      <w:iCs/>
      <w:sz w:val="20"/>
      <w:szCs w:val="20"/>
    </w:rPr>
  </w:style>
  <w:style w:type="paragraph" w:styleId="22">
    <w:name w:val="Plain Text"/>
    <w:basedOn w:val="1"/>
    <w:link w:val="66"/>
    <w:qFormat/>
    <w:uiPriority w:val="0"/>
    <w:rPr>
      <w:rFonts w:ascii="宋体" w:hAnsi="Courier New"/>
      <w:szCs w:val="20"/>
    </w:rPr>
  </w:style>
  <w:style w:type="paragraph" w:styleId="23">
    <w:name w:val="toc 8"/>
    <w:basedOn w:val="1"/>
    <w:next w:val="1"/>
    <w:qFormat/>
    <w:uiPriority w:val="39"/>
    <w:pPr>
      <w:ind w:left="1470"/>
      <w:jc w:val="left"/>
    </w:pPr>
    <w:rPr>
      <w:rFonts w:ascii="Calibri" w:hAnsi="Calibri" w:cs="Calibri"/>
      <w:sz w:val="18"/>
      <w:szCs w:val="18"/>
    </w:rPr>
  </w:style>
  <w:style w:type="paragraph" w:styleId="24">
    <w:name w:val="Date"/>
    <w:basedOn w:val="1"/>
    <w:next w:val="1"/>
    <w:qFormat/>
    <w:uiPriority w:val="0"/>
    <w:pPr>
      <w:ind w:left="100" w:leftChars="2500"/>
    </w:pPr>
  </w:style>
  <w:style w:type="paragraph" w:styleId="25">
    <w:name w:val="Body Text Indent 2"/>
    <w:basedOn w:val="1"/>
    <w:qFormat/>
    <w:uiPriority w:val="0"/>
    <w:pPr>
      <w:spacing w:line="400" w:lineRule="exact"/>
      <w:ind w:firstLine="560" w:firstLineChars="200"/>
    </w:pPr>
    <w:rPr>
      <w:sz w:val="28"/>
    </w:rPr>
  </w:style>
  <w:style w:type="paragraph" w:styleId="26">
    <w:name w:val="Balloon Text"/>
    <w:basedOn w:val="1"/>
    <w:link w:val="67"/>
    <w:qFormat/>
    <w:uiPriority w:val="0"/>
    <w:rPr>
      <w:sz w:val="18"/>
      <w:szCs w:val="18"/>
    </w:rPr>
  </w:style>
  <w:style w:type="paragraph" w:styleId="27">
    <w:name w:val="footer"/>
    <w:basedOn w:val="1"/>
    <w:link w:val="68"/>
    <w:qFormat/>
    <w:uiPriority w:val="99"/>
    <w:pPr>
      <w:tabs>
        <w:tab w:val="center" w:pos="4153"/>
        <w:tab w:val="right" w:pos="8306"/>
      </w:tabs>
      <w:snapToGrid w:val="0"/>
      <w:jc w:val="left"/>
    </w:pPr>
    <w:rPr>
      <w:sz w:val="18"/>
      <w:szCs w:val="18"/>
    </w:rPr>
  </w:style>
  <w:style w:type="paragraph" w:styleId="28">
    <w:name w:val="header"/>
    <w:basedOn w:val="1"/>
    <w:link w:val="69"/>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Body Text 2"/>
    <w:basedOn w:val="1"/>
    <w:qFormat/>
    <w:uiPriority w:val="0"/>
    <w:rPr>
      <w:sz w:val="28"/>
    </w:rPr>
  </w:style>
  <w:style w:type="paragraph" w:styleId="37">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8">
    <w:name w:val="Title"/>
    <w:basedOn w:val="1"/>
    <w:link w:val="70"/>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9">
    <w:name w:val="annotation subject"/>
    <w:basedOn w:val="17"/>
    <w:next w:val="17"/>
    <w:link w:val="71"/>
    <w:qFormat/>
    <w:uiPriority w:val="0"/>
    <w:pPr>
      <w:adjustRightInd/>
      <w:spacing w:line="240" w:lineRule="auto"/>
      <w:textAlignment w:val="auto"/>
    </w:pPr>
    <w:rPr>
      <w:b/>
      <w:bCs/>
      <w:kern w:val="2"/>
      <w:sz w:val="21"/>
      <w:szCs w:val="24"/>
    </w:rPr>
  </w:style>
  <w:style w:type="paragraph" w:styleId="40">
    <w:name w:val="Body Text First Indent 2"/>
    <w:basedOn w:val="19"/>
    <w:qFormat/>
    <w:uiPriority w:val="0"/>
    <w:pPr>
      <w:ind w:firstLine="420" w:firstLineChars="200"/>
    </w:pPr>
    <w:rPr>
      <w:rFonts w:ascii="Arial" w:hAnsi="Arial"/>
      <w:snapToGrid w:val="0"/>
      <w:kern w:val="0"/>
      <w:sz w:val="20"/>
    </w:rPr>
  </w:style>
  <w:style w:type="table" w:styleId="42">
    <w:name w:val="Table Grid"/>
    <w:basedOn w:val="41"/>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Char2 Char Char Char1 Char Char Char Char Char Char Char Char1 Char1 Char Char1 Char"/>
    <w:basedOn w:val="1"/>
    <w:link w:val="43"/>
    <w:qFormat/>
    <w:uiPriority w:val="0"/>
    <w:pPr>
      <w:spacing w:line="240" w:lineRule="auto"/>
    </w:pPr>
    <w:rPr>
      <w:rFonts w:ascii="宋体" w:hAnsi="宋体"/>
      <w:kern w:val="0"/>
      <w:szCs w:val="21"/>
    </w:rPr>
  </w:style>
  <w:style w:type="character" w:styleId="45">
    <w:name w:val="Strong"/>
    <w:qFormat/>
    <w:uiPriority w:val="0"/>
    <w:rPr>
      <w:rFonts w:cs="Times New Roman"/>
      <w:b/>
    </w:rPr>
  </w:style>
  <w:style w:type="character" w:styleId="46">
    <w:name w:val="page number"/>
    <w:qFormat/>
    <w:uiPriority w:val="0"/>
  </w:style>
  <w:style w:type="character" w:styleId="47">
    <w:name w:val="FollowedHyperlink"/>
    <w:qFormat/>
    <w:uiPriority w:val="0"/>
    <w:rPr>
      <w:color w:val="333333"/>
      <w:u w:val="none"/>
    </w:rPr>
  </w:style>
  <w:style w:type="character" w:styleId="48">
    <w:name w:val="Emphasis"/>
    <w:qFormat/>
    <w:uiPriority w:val="20"/>
  </w:style>
  <w:style w:type="character" w:styleId="49">
    <w:name w:val="HTML Definition"/>
    <w:unhideWhenUsed/>
    <w:qFormat/>
    <w:uiPriority w:val="99"/>
    <w:rPr>
      <w:i/>
      <w:iCs/>
    </w:rPr>
  </w:style>
  <w:style w:type="character" w:styleId="50">
    <w:name w:val="Hyperlink"/>
    <w:qFormat/>
    <w:uiPriority w:val="99"/>
    <w:rPr>
      <w:color w:val="333333"/>
      <w:u w:val="none"/>
    </w:rPr>
  </w:style>
  <w:style w:type="character" w:styleId="51">
    <w:name w:val="HTML Code"/>
    <w:unhideWhenUsed/>
    <w:qFormat/>
    <w:uiPriority w:val="99"/>
    <w:rPr>
      <w:rFonts w:hint="default" w:ascii="Consolas" w:hAnsi="Consolas" w:eastAsia="Consolas" w:cs="Consolas"/>
      <w:color w:val="C7254E"/>
      <w:sz w:val="21"/>
      <w:szCs w:val="21"/>
      <w:shd w:val="clear" w:color="auto" w:fill="F9F2F4"/>
    </w:rPr>
  </w:style>
  <w:style w:type="character" w:styleId="52">
    <w:name w:val="annotation reference"/>
    <w:qFormat/>
    <w:uiPriority w:val="0"/>
    <w:rPr>
      <w:sz w:val="21"/>
      <w:szCs w:val="21"/>
    </w:rPr>
  </w:style>
  <w:style w:type="character" w:styleId="53">
    <w:name w:val="HTML Keyboard"/>
    <w:unhideWhenUsed/>
    <w:qFormat/>
    <w:uiPriority w:val="99"/>
    <w:rPr>
      <w:rFonts w:hint="default" w:ascii="Consolas" w:hAnsi="Consolas" w:eastAsia="Consolas" w:cs="Consolas"/>
      <w:color w:val="FFFFFF"/>
      <w:sz w:val="21"/>
      <w:szCs w:val="21"/>
      <w:shd w:val="clear" w:color="auto" w:fill="333333"/>
    </w:rPr>
  </w:style>
  <w:style w:type="character" w:styleId="54">
    <w:name w:val="HTML Sample"/>
    <w:unhideWhenUsed/>
    <w:qFormat/>
    <w:uiPriority w:val="99"/>
    <w:rPr>
      <w:rFonts w:ascii="Consolas" w:hAnsi="Consolas" w:eastAsia="Consolas" w:cs="Consolas"/>
      <w:sz w:val="21"/>
      <w:szCs w:val="21"/>
    </w:rPr>
  </w:style>
  <w:style w:type="character" w:customStyle="1" w:styleId="55">
    <w:name w:val="正文文本 字符"/>
    <w:link w:val="3"/>
    <w:qFormat/>
    <w:locked/>
    <w:uiPriority w:val="0"/>
    <w:rPr>
      <w:kern w:val="2"/>
      <w:sz w:val="52"/>
      <w:szCs w:val="24"/>
    </w:rPr>
  </w:style>
  <w:style w:type="character" w:customStyle="1" w:styleId="56">
    <w:name w:val="标题 1 字符"/>
    <w:link w:val="4"/>
    <w:qFormat/>
    <w:locked/>
    <w:uiPriority w:val="0"/>
    <w:rPr>
      <w:b/>
      <w:bCs/>
      <w:kern w:val="44"/>
      <w:sz w:val="44"/>
      <w:szCs w:val="44"/>
    </w:rPr>
  </w:style>
  <w:style w:type="character" w:customStyle="1" w:styleId="57">
    <w:name w:val="标题 2 字符"/>
    <w:link w:val="5"/>
    <w:qFormat/>
    <w:locked/>
    <w:uiPriority w:val="0"/>
    <w:rPr>
      <w:rFonts w:ascii="Arial" w:hAnsi="Arial"/>
      <w:b/>
      <w:bCs/>
      <w:color w:val="FF0000"/>
      <w:kern w:val="2"/>
      <w:sz w:val="28"/>
      <w:szCs w:val="32"/>
    </w:rPr>
  </w:style>
  <w:style w:type="paragraph" w:customStyle="1" w:styleId="58">
    <w:name w:val="标题 60"/>
    <w:basedOn w:val="9"/>
    <w:qFormat/>
    <w:uiPriority w:val="0"/>
    <w:pPr>
      <w:spacing w:line="319" w:lineRule="auto"/>
      <w:ind w:firstLine="200" w:firstLineChars="200"/>
    </w:pPr>
    <w:rPr>
      <w:b w:val="0"/>
      <w:bCs w:val="0"/>
    </w:rPr>
  </w:style>
  <w:style w:type="character" w:customStyle="1" w:styleId="59">
    <w:name w:val="标题 3 字符"/>
    <w:link w:val="6"/>
    <w:qFormat/>
    <w:uiPriority w:val="0"/>
    <w:rPr>
      <w:b/>
      <w:bCs/>
      <w:kern w:val="2"/>
      <w:sz w:val="32"/>
      <w:szCs w:val="32"/>
    </w:rPr>
  </w:style>
  <w:style w:type="character" w:customStyle="1" w:styleId="60">
    <w:name w:val="正文缩进 字符"/>
    <w:link w:val="14"/>
    <w:qFormat/>
    <w:uiPriority w:val="0"/>
  </w:style>
  <w:style w:type="character" w:customStyle="1" w:styleId="61">
    <w:name w:val="标题 4 字符"/>
    <w:link w:val="7"/>
    <w:qFormat/>
    <w:uiPriority w:val="0"/>
    <w:rPr>
      <w:rFonts w:ascii="Arial" w:hAnsi="Arial" w:eastAsia="黑体"/>
      <w:b/>
      <w:bCs/>
      <w:kern w:val="2"/>
      <w:sz w:val="28"/>
      <w:szCs w:val="28"/>
    </w:rPr>
  </w:style>
  <w:style w:type="character" w:customStyle="1" w:styleId="62">
    <w:name w:val="标题 9 字符"/>
    <w:link w:val="12"/>
    <w:qFormat/>
    <w:uiPriority w:val="0"/>
    <w:rPr>
      <w:rFonts w:ascii="Arial" w:hAnsi="Arial" w:eastAsia="黑体"/>
      <w:sz w:val="21"/>
      <w:szCs w:val="21"/>
    </w:rPr>
  </w:style>
  <w:style w:type="character" w:customStyle="1" w:styleId="63">
    <w:name w:val="文档结构图 字符"/>
    <w:link w:val="16"/>
    <w:qFormat/>
    <w:uiPriority w:val="0"/>
    <w:rPr>
      <w:kern w:val="2"/>
      <w:sz w:val="21"/>
      <w:szCs w:val="24"/>
      <w:shd w:val="clear" w:color="auto" w:fill="000080"/>
    </w:rPr>
  </w:style>
  <w:style w:type="character" w:customStyle="1" w:styleId="64">
    <w:name w:val="批注文字 字符1"/>
    <w:link w:val="17"/>
    <w:qFormat/>
    <w:locked/>
    <w:uiPriority w:val="99"/>
    <w:rPr>
      <w:sz w:val="24"/>
    </w:rPr>
  </w:style>
  <w:style w:type="character" w:customStyle="1" w:styleId="65">
    <w:name w:val="正文文本 3 字符"/>
    <w:link w:val="18"/>
    <w:qFormat/>
    <w:uiPriority w:val="0"/>
    <w:rPr>
      <w:kern w:val="2"/>
      <w:sz w:val="24"/>
      <w:szCs w:val="24"/>
    </w:rPr>
  </w:style>
  <w:style w:type="character" w:customStyle="1" w:styleId="66">
    <w:name w:val="纯文本 字符"/>
    <w:link w:val="22"/>
    <w:qFormat/>
    <w:uiPriority w:val="0"/>
    <w:rPr>
      <w:rFonts w:ascii="宋体" w:hAnsi="Courier New"/>
      <w:kern w:val="2"/>
      <w:sz w:val="21"/>
    </w:rPr>
  </w:style>
  <w:style w:type="character" w:customStyle="1" w:styleId="67">
    <w:name w:val="批注框文本 字符"/>
    <w:link w:val="26"/>
    <w:qFormat/>
    <w:locked/>
    <w:uiPriority w:val="0"/>
    <w:rPr>
      <w:kern w:val="2"/>
      <w:sz w:val="18"/>
      <w:szCs w:val="18"/>
    </w:rPr>
  </w:style>
  <w:style w:type="character" w:customStyle="1" w:styleId="68">
    <w:name w:val="页脚 字符"/>
    <w:link w:val="27"/>
    <w:qFormat/>
    <w:uiPriority w:val="99"/>
    <w:rPr>
      <w:kern w:val="2"/>
      <w:sz w:val="18"/>
      <w:szCs w:val="18"/>
    </w:rPr>
  </w:style>
  <w:style w:type="character" w:customStyle="1" w:styleId="69">
    <w:name w:val="页眉 字符"/>
    <w:link w:val="28"/>
    <w:qFormat/>
    <w:locked/>
    <w:uiPriority w:val="99"/>
    <w:rPr>
      <w:kern w:val="2"/>
      <w:sz w:val="18"/>
      <w:szCs w:val="18"/>
    </w:rPr>
  </w:style>
  <w:style w:type="character" w:customStyle="1" w:styleId="70">
    <w:name w:val="标题 字符"/>
    <w:link w:val="38"/>
    <w:qFormat/>
    <w:locked/>
    <w:uiPriority w:val="0"/>
    <w:rPr>
      <w:rFonts w:ascii="Arial" w:hAnsi="Arial"/>
      <w:b/>
      <w:kern w:val="28"/>
      <w:sz w:val="32"/>
    </w:rPr>
  </w:style>
  <w:style w:type="character" w:customStyle="1" w:styleId="71">
    <w:name w:val="批注主题 字符"/>
    <w:link w:val="39"/>
    <w:qFormat/>
    <w:locked/>
    <w:uiPriority w:val="0"/>
    <w:rPr>
      <w:b/>
      <w:bCs/>
      <w:kern w:val="2"/>
      <w:sz w:val="21"/>
      <w:szCs w:val="24"/>
    </w:rPr>
  </w:style>
  <w:style w:type="character" w:customStyle="1" w:styleId="72">
    <w:name w:val="bd-close2"/>
    <w:qFormat/>
    <w:uiPriority w:val="0"/>
    <w:rPr>
      <w:vanish/>
    </w:rPr>
  </w:style>
  <w:style w:type="character" w:customStyle="1" w:styleId="73">
    <w:name w:val="left"/>
    <w:qFormat/>
    <w:uiPriority w:val="0"/>
    <w:rPr>
      <w:color w:val="FF4700"/>
    </w:rPr>
  </w:style>
  <w:style w:type="character" w:customStyle="1" w:styleId="74">
    <w:name w:val="first-child"/>
    <w:qFormat/>
    <w:uiPriority w:val="0"/>
  </w:style>
  <w:style w:type="character" w:customStyle="1" w:styleId="75">
    <w:name w:val="bd-close"/>
    <w:qFormat/>
    <w:uiPriority w:val="0"/>
    <w:rPr>
      <w:vanish/>
    </w:rPr>
  </w:style>
  <w:style w:type="character" w:customStyle="1" w:styleId="76">
    <w:name w:val="left2"/>
    <w:qFormat/>
    <w:uiPriority w:val="0"/>
    <w:rPr>
      <w:color w:val="FF4700"/>
    </w:rPr>
  </w:style>
  <w:style w:type="character" w:customStyle="1" w:styleId="77">
    <w:name w:val="edui-clickable2"/>
    <w:qFormat/>
    <w:uiPriority w:val="0"/>
    <w:rPr>
      <w:color w:val="0000FF"/>
      <w:u w:val="single"/>
    </w:rPr>
  </w:style>
  <w:style w:type="character" w:customStyle="1" w:styleId="78">
    <w:name w:val="Footer Char"/>
    <w:qFormat/>
    <w:locked/>
    <w:uiPriority w:val="0"/>
    <w:rPr>
      <w:rFonts w:ascii="Calibri" w:hAnsi="Calibri" w:eastAsia="宋体"/>
      <w:sz w:val="18"/>
    </w:rPr>
  </w:style>
  <w:style w:type="character" w:customStyle="1" w:styleId="79">
    <w:name w:val="Header Char"/>
    <w:qFormat/>
    <w:locked/>
    <w:uiPriority w:val="0"/>
    <w:rPr>
      <w:rFonts w:ascii="Calibri" w:hAnsi="Calibri" w:eastAsia="宋体"/>
      <w:sz w:val="18"/>
    </w:rPr>
  </w:style>
  <w:style w:type="character" w:customStyle="1" w:styleId="80">
    <w:name w:val="标题2 Char"/>
    <w:link w:val="81"/>
    <w:qFormat/>
    <w:uiPriority w:val="0"/>
    <w:rPr>
      <w:rFonts w:ascii="黑体" w:hAnsi="宋体" w:cs="黑体"/>
      <w:b/>
      <w:bCs/>
      <w:sz w:val="28"/>
      <w:szCs w:val="28"/>
    </w:rPr>
  </w:style>
  <w:style w:type="paragraph" w:customStyle="1" w:styleId="81">
    <w:name w:val="标题2"/>
    <w:basedOn w:val="7"/>
    <w:next w:val="1"/>
    <w:link w:val="80"/>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2">
    <w:name w:val="中文正文、 Char Char"/>
    <w:link w:val="83"/>
    <w:qFormat/>
    <w:uiPriority w:val="0"/>
    <w:rPr>
      <w:kern w:val="2"/>
      <w:sz w:val="21"/>
      <w:szCs w:val="21"/>
    </w:rPr>
  </w:style>
  <w:style w:type="paragraph" w:customStyle="1" w:styleId="83">
    <w:name w:val="中文正文、"/>
    <w:basedOn w:val="1"/>
    <w:link w:val="82"/>
    <w:qFormat/>
    <w:uiPriority w:val="0"/>
    <w:pPr>
      <w:adjustRightInd/>
      <w:spacing w:line="360" w:lineRule="auto"/>
      <w:ind w:firstLine="420" w:firstLineChars="200"/>
    </w:pPr>
    <w:rPr>
      <w:szCs w:val="21"/>
    </w:rPr>
  </w:style>
  <w:style w:type="character" w:customStyle="1" w:styleId="84">
    <w:name w:val="批注主题 Char"/>
    <w:link w:val="85"/>
    <w:qFormat/>
    <w:locked/>
    <w:uiPriority w:val="0"/>
    <w:rPr>
      <w:b/>
      <w:sz w:val="24"/>
    </w:rPr>
  </w:style>
  <w:style w:type="paragraph" w:customStyle="1" w:styleId="85">
    <w:name w:val="批注主题1"/>
    <w:basedOn w:val="17"/>
    <w:next w:val="17"/>
    <w:link w:val="84"/>
    <w:qFormat/>
    <w:uiPriority w:val="0"/>
    <w:pPr>
      <w:adjustRightInd/>
      <w:spacing w:line="240" w:lineRule="auto"/>
      <w:textAlignment w:val="auto"/>
    </w:pPr>
    <w:rPr>
      <w:b/>
    </w:rPr>
  </w:style>
  <w:style w:type="character" w:customStyle="1" w:styleId="86">
    <w:name w:val="16"/>
    <w:qFormat/>
    <w:uiPriority w:val="0"/>
    <w:rPr>
      <w:rFonts w:hint="default" w:ascii="Times New Roman" w:hAnsi="Times New Roman" w:cs="Times New Roman"/>
    </w:rPr>
  </w:style>
  <w:style w:type="character" w:customStyle="1" w:styleId="87">
    <w:name w:val="封面标题 Char"/>
    <w:link w:val="88"/>
    <w:qFormat/>
    <w:uiPriority w:val="0"/>
    <w:rPr>
      <w:rFonts w:ascii="黑体" w:eastAsia="黑体"/>
      <w:sz w:val="52"/>
      <w:szCs w:val="52"/>
    </w:rPr>
  </w:style>
  <w:style w:type="paragraph" w:customStyle="1" w:styleId="88">
    <w:name w:val="封面标题"/>
    <w:basedOn w:val="1"/>
    <w:link w:val="87"/>
    <w:qFormat/>
    <w:uiPriority w:val="0"/>
    <w:pPr>
      <w:spacing w:line="276" w:lineRule="auto"/>
      <w:jc w:val="center"/>
    </w:pPr>
    <w:rPr>
      <w:rFonts w:ascii="黑体" w:eastAsia="黑体"/>
      <w:kern w:val="0"/>
      <w:sz w:val="52"/>
      <w:szCs w:val="52"/>
    </w:rPr>
  </w:style>
  <w:style w:type="character" w:customStyle="1" w:styleId="89">
    <w:name w:val="edui-unclickable"/>
    <w:qFormat/>
    <w:uiPriority w:val="0"/>
    <w:rPr>
      <w:color w:val="808080"/>
    </w:rPr>
  </w:style>
  <w:style w:type="character" w:customStyle="1" w:styleId="90">
    <w:name w:val="15"/>
    <w:qFormat/>
    <w:uiPriority w:val="0"/>
    <w:rPr>
      <w:rFonts w:hint="eastAsia" w:ascii="宋体" w:hAnsi="宋体" w:eastAsia="宋体"/>
      <w:sz w:val="24"/>
      <w:szCs w:val="24"/>
    </w:rPr>
  </w:style>
  <w:style w:type="character" w:customStyle="1" w:styleId="91">
    <w:name w:val="封面副标题 Char"/>
    <w:link w:val="92"/>
    <w:qFormat/>
    <w:uiPriority w:val="0"/>
    <w:rPr>
      <w:rFonts w:ascii="黑体" w:eastAsia="黑体"/>
      <w:sz w:val="28"/>
      <w:szCs w:val="28"/>
    </w:rPr>
  </w:style>
  <w:style w:type="paragraph" w:customStyle="1" w:styleId="92">
    <w:name w:val="封面副标题"/>
    <w:basedOn w:val="1"/>
    <w:link w:val="91"/>
    <w:qFormat/>
    <w:uiPriority w:val="0"/>
    <w:pPr>
      <w:spacing w:line="276" w:lineRule="auto"/>
      <w:ind w:firstLine="199" w:firstLineChars="71"/>
      <w:jc w:val="center"/>
    </w:pPr>
    <w:rPr>
      <w:rFonts w:ascii="黑体" w:eastAsia="黑体"/>
      <w:kern w:val="0"/>
      <w:sz w:val="28"/>
      <w:szCs w:val="28"/>
    </w:rPr>
  </w:style>
  <w:style w:type="character" w:customStyle="1" w:styleId="93">
    <w:name w:val="文档结构图 Char"/>
    <w:link w:val="94"/>
    <w:qFormat/>
    <w:locked/>
    <w:uiPriority w:val="0"/>
    <w:rPr>
      <w:rFonts w:ascii="宋体" w:hAnsi="Calibri"/>
      <w:sz w:val="18"/>
    </w:rPr>
  </w:style>
  <w:style w:type="paragraph" w:customStyle="1" w:styleId="94">
    <w:name w:val="文档结构图1"/>
    <w:basedOn w:val="1"/>
    <w:link w:val="93"/>
    <w:qFormat/>
    <w:uiPriority w:val="0"/>
    <w:rPr>
      <w:rFonts w:ascii="宋体" w:hAnsi="Calibri"/>
      <w:kern w:val="0"/>
      <w:sz w:val="18"/>
      <w:szCs w:val="20"/>
    </w:rPr>
  </w:style>
  <w:style w:type="character" w:customStyle="1" w:styleId="95">
    <w:name w:val="纯文本 Char"/>
    <w:qFormat/>
    <w:locked/>
    <w:uiPriority w:val="0"/>
    <w:rPr>
      <w:rFonts w:ascii="Calibri" w:hAnsi="Calibri" w:cs="Calibri"/>
    </w:rPr>
  </w:style>
  <w:style w:type="character" w:customStyle="1" w:styleId="96">
    <w:name w:val="font31"/>
    <w:qFormat/>
    <w:uiPriority w:val="0"/>
    <w:rPr>
      <w:rFonts w:hint="eastAsia" w:ascii="仿宋" w:hAnsi="仿宋" w:eastAsia="仿宋" w:cs="仿宋"/>
      <w:color w:val="000000"/>
      <w:kern w:val="0"/>
      <w:sz w:val="20"/>
      <w:szCs w:val="20"/>
      <w:u w:val="none"/>
    </w:rPr>
  </w:style>
  <w:style w:type="character" w:customStyle="1" w:styleId="97">
    <w:name w:val="button"/>
    <w:qFormat/>
    <w:uiPriority w:val="0"/>
  </w:style>
  <w:style w:type="character" w:customStyle="1" w:styleId="98">
    <w:name w:val="bd-open"/>
    <w:qFormat/>
    <w:uiPriority w:val="0"/>
  </w:style>
  <w:style w:type="character" w:customStyle="1" w:styleId="99">
    <w:name w:val="tmpztreemove_arrow"/>
    <w:qFormat/>
    <w:uiPriority w:val="0"/>
  </w:style>
  <w:style w:type="character" w:customStyle="1" w:styleId="100">
    <w:name w:val="Comment Text Char"/>
    <w:qFormat/>
    <w:locked/>
    <w:uiPriority w:val="0"/>
    <w:rPr>
      <w:rFonts w:ascii="Times New Roman" w:hAnsi="Times New Roman" w:eastAsia="宋体"/>
      <w:sz w:val="24"/>
    </w:rPr>
  </w:style>
  <w:style w:type="character" w:customStyle="1" w:styleId="101">
    <w:name w:val="A表格文字 Char"/>
    <w:link w:val="102"/>
    <w:qFormat/>
    <w:uiPriority w:val="0"/>
    <w:rPr>
      <w:rFonts w:ascii="宋体" w:hAnsi="宋体"/>
      <w:kern w:val="21"/>
      <w:sz w:val="21"/>
    </w:rPr>
  </w:style>
  <w:style w:type="paragraph" w:customStyle="1" w:styleId="102">
    <w:name w:val="A表格文字"/>
    <w:basedOn w:val="1"/>
    <w:link w:val="101"/>
    <w:qFormat/>
    <w:uiPriority w:val="0"/>
    <w:pPr>
      <w:adjustRightInd w:val="0"/>
      <w:snapToGrid w:val="0"/>
      <w:spacing w:before="40" w:after="40"/>
      <w:jc w:val="left"/>
    </w:pPr>
    <w:rPr>
      <w:rFonts w:ascii="宋体" w:hAnsi="宋体"/>
      <w:kern w:val="21"/>
      <w:szCs w:val="20"/>
    </w:rPr>
  </w:style>
  <w:style w:type="character" w:customStyle="1" w:styleId="103">
    <w:name w:val="layui-layer-tabnow"/>
    <w:qFormat/>
    <w:uiPriority w:val="0"/>
    <w:rPr>
      <w:bdr w:val="single" w:color="CCCCCC" w:sz="6" w:space="0"/>
      <w:shd w:val="clear" w:color="auto" w:fill="FFFFFF"/>
    </w:rPr>
  </w:style>
  <w:style w:type="character" w:customStyle="1" w:styleId="104">
    <w:name w:val="批注文字 Char2"/>
    <w:qFormat/>
    <w:uiPriority w:val="99"/>
    <w:rPr>
      <w:kern w:val="2"/>
      <w:sz w:val="21"/>
    </w:rPr>
  </w:style>
  <w:style w:type="character" w:customStyle="1" w:styleId="105">
    <w:name w:val="bd-open2"/>
    <w:qFormat/>
    <w:uiPriority w:val="0"/>
  </w:style>
  <w:style w:type="character" w:customStyle="1" w:styleId="106">
    <w:name w:val="font51"/>
    <w:qFormat/>
    <w:uiPriority w:val="0"/>
    <w:rPr>
      <w:rFonts w:hint="eastAsia" w:ascii="仿宋" w:hAnsi="仿宋" w:eastAsia="仿宋" w:cs="仿宋"/>
      <w:b/>
      <w:bCs/>
      <w:color w:val="000000"/>
      <w:sz w:val="21"/>
      <w:szCs w:val="21"/>
      <w:u w:val="none"/>
    </w:rPr>
  </w:style>
  <w:style w:type="character" w:customStyle="1" w:styleId="107">
    <w:name w:val="列表段落 字符"/>
    <w:link w:val="108"/>
    <w:qFormat/>
    <w:locked/>
    <w:uiPriority w:val="34"/>
    <w:rPr>
      <w:rFonts w:cs="Calibri"/>
      <w:kern w:val="2"/>
      <w:sz w:val="21"/>
      <w:szCs w:val="24"/>
    </w:rPr>
  </w:style>
  <w:style w:type="paragraph" w:styleId="108">
    <w:name w:val="List Paragraph"/>
    <w:basedOn w:val="1"/>
    <w:link w:val="107"/>
    <w:qFormat/>
    <w:uiPriority w:val="34"/>
    <w:pPr>
      <w:ind w:firstLine="420" w:firstLineChars="200"/>
    </w:pPr>
    <w:rPr>
      <w:rFonts w:ascii="Calibri" w:hAnsi="Calibri" w:cs="Calibri"/>
    </w:rPr>
  </w:style>
  <w:style w:type="character" w:customStyle="1" w:styleId="109">
    <w:name w:val="Title Char"/>
    <w:qFormat/>
    <w:locked/>
    <w:uiPriority w:val="0"/>
    <w:rPr>
      <w:rFonts w:ascii="Cambria" w:hAnsi="Cambria" w:eastAsia="宋体"/>
      <w:b/>
      <w:sz w:val="32"/>
    </w:rPr>
  </w:style>
  <w:style w:type="character" w:customStyle="1" w:styleId="110">
    <w:name w:val="批注文字 Char1"/>
    <w:qFormat/>
    <w:uiPriority w:val="0"/>
    <w:rPr>
      <w:kern w:val="2"/>
      <w:sz w:val="21"/>
    </w:rPr>
  </w:style>
  <w:style w:type="character" w:customStyle="1" w:styleId="111">
    <w:name w:val="彩色列表 - 强调文字颜色 1 Char"/>
    <w:link w:val="112"/>
    <w:qFormat/>
    <w:uiPriority w:val="34"/>
    <w:rPr>
      <w:rFonts w:ascii="Calibri" w:hAnsi="Calibri"/>
      <w:kern w:val="2"/>
      <w:sz w:val="21"/>
      <w:szCs w:val="22"/>
    </w:rPr>
  </w:style>
  <w:style w:type="paragraph" w:customStyle="1" w:styleId="112">
    <w:name w:val="彩色列表 - 强调文字颜色 11"/>
    <w:basedOn w:val="1"/>
    <w:link w:val="111"/>
    <w:qFormat/>
    <w:uiPriority w:val="34"/>
    <w:pPr>
      <w:ind w:firstLine="420" w:firstLineChars="200"/>
    </w:pPr>
    <w:rPr>
      <w:rFonts w:ascii="Calibri" w:hAnsi="Calibri"/>
      <w:szCs w:val="22"/>
    </w:rPr>
  </w:style>
  <w:style w:type="character" w:customStyle="1" w:styleId="113">
    <w:name w:val="列出段落 字符"/>
    <w:qFormat/>
    <w:uiPriority w:val="34"/>
    <w:rPr>
      <w:kern w:val="2"/>
      <w:sz w:val="21"/>
      <w:szCs w:val="24"/>
    </w:rPr>
  </w:style>
  <w:style w:type="character" w:customStyle="1" w:styleId="114">
    <w:name w:val="批注引用1"/>
    <w:qFormat/>
    <w:uiPriority w:val="0"/>
    <w:rPr>
      <w:sz w:val="21"/>
    </w:rPr>
  </w:style>
  <w:style w:type="character" w:customStyle="1" w:styleId="115">
    <w:name w:val="Balloon Text Char"/>
    <w:qFormat/>
    <w:locked/>
    <w:uiPriority w:val="0"/>
    <w:rPr>
      <w:rFonts w:ascii="Calibri" w:hAnsi="Calibri" w:eastAsia="宋体"/>
      <w:sz w:val="18"/>
    </w:rPr>
  </w:style>
  <w:style w:type="character" w:customStyle="1" w:styleId="116">
    <w:name w:val="A表格文字左对齐 Char"/>
    <w:link w:val="117"/>
    <w:qFormat/>
    <w:uiPriority w:val="0"/>
    <w:rPr>
      <w:rFonts w:ascii="宋体" w:hAnsi="宋体"/>
      <w:kern w:val="2"/>
      <w:sz w:val="21"/>
    </w:rPr>
  </w:style>
  <w:style w:type="paragraph" w:customStyle="1" w:styleId="117">
    <w:name w:val="A表格文字左对齐"/>
    <w:basedOn w:val="1"/>
    <w:link w:val="116"/>
    <w:qFormat/>
    <w:uiPriority w:val="0"/>
    <w:pPr>
      <w:adjustRightInd w:val="0"/>
      <w:spacing w:before="40" w:after="4"/>
      <w:jc w:val="left"/>
    </w:pPr>
    <w:rPr>
      <w:rFonts w:ascii="宋体" w:hAnsi="宋体"/>
      <w:szCs w:val="20"/>
    </w:rPr>
  </w:style>
  <w:style w:type="character" w:customStyle="1" w:styleId="118">
    <w:name w:val="font11"/>
    <w:qFormat/>
    <w:uiPriority w:val="0"/>
    <w:rPr>
      <w:rFonts w:hint="eastAsia" w:ascii="仿宋" w:hAnsi="仿宋" w:eastAsia="仿宋" w:cs="仿宋"/>
      <w:color w:val="FF0000"/>
      <w:sz w:val="20"/>
      <w:szCs w:val="20"/>
      <w:u w:val="none"/>
      <w:lang w:val="en-US" w:eastAsia="zh-CN" w:bidi="ar-SA"/>
    </w:rPr>
  </w:style>
  <w:style w:type="character" w:customStyle="1" w:styleId="119">
    <w:name w:val="right"/>
    <w:qFormat/>
    <w:uiPriority w:val="0"/>
  </w:style>
  <w:style w:type="character" w:customStyle="1" w:styleId="120">
    <w:name w:val="批注文字 字符"/>
    <w:qFormat/>
    <w:uiPriority w:val="99"/>
    <w:rPr>
      <w:kern w:val="2"/>
      <w:sz w:val="21"/>
    </w:rPr>
  </w:style>
  <w:style w:type="character" w:customStyle="1" w:styleId="121">
    <w:name w:val="font21"/>
    <w:qFormat/>
    <w:uiPriority w:val="0"/>
    <w:rPr>
      <w:rFonts w:hint="default" w:ascii="仿宋_GB2312" w:hAnsi="宋体" w:eastAsia="仿宋_GB2312" w:cs="仿宋_GB2312"/>
      <w:color w:val="FF0000"/>
      <w:kern w:val="0"/>
      <w:sz w:val="24"/>
      <w:szCs w:val="24"/>
      <w:u w:val="none"/>
    </w:rPr>
  </w:style>
  <w:style w:type="character" w:customStyle="1" w:styleId="122">
    <w:name w:val="日期 Char"/>
    <w:link w:val="123"/>
    <w:qFormat/>
    <w:locked/>
    <w:uiPriority w:val="0"/>
    <w:rPr>
      <w:rFonts w:ascii="Calibri" w:hAnsi="Calibri"/>
    </w:rPr>
  </w:style>
  <w:style w:type="paragraph" w:customStyle="1" w:styleId="123">
    <w:name w:val="日期1"/>
    <w:basedOn w:val="1"/>
    <w:next w:val="1"/>
    <w:link w:val="122"/>
    <w:qFormat/>
    <w:uiPriority w:val="0"/>
    <w:pPr>
      <w:ind w:left="100" w:leftChars="2500"/>
    </w:pPr>
    <w:rPr>
      <w:rFonts w:ascii="Calibri" w:hAnsi="Calibri"/>
      <w:kern w:val="0"/>
      <w:sz w:val="20"/>
      <w:szCs w:val="20"/>
    </w:rPr>
  </w:style>
  <w:style w:type="character" w:customStyle="1" w:styleId="124">
    <w:name w:val="封面合同编号 Char"/>
    <w:link w:val="125"/>
    <w:qFormat/>
    <w:uiPriority w:val="0"/>
    <w:rPr>
      <w:rFonts w:ascii="Calibri" w:hAnsi="Calibri"/>
      <w:kern w:val="2"/>
      <w:sz w:val="21"/>
      <w:szCs w:val="22"/>
    </w:rPr>
  </w:style>
  <w:style w:type="paragraph" w:customStyle="1" w:styleId="125">
    <w:name w:val="封面合同编号"/>
    <w:basedOn w:val="1"/>
    <w:link w:val="124"/>
    <w:qFormat/>
    <w:uiPriority w:val="0"/>
    <w:pPr>
      <w:spacing w:line="276" w:lineRule="auto"/>
      <w:ind w:right="1701"/>
      <w:jc w:val="right"/>
    </w:pPr>
    <w:rPr>
      <w:rFonts w:ascii="Calibri" w:hAnsi="Calibri"/>
      <w:szCs w:val="22"/>
    </w:rPr>
  </w:style>
  <w:style w:type="paragraph" w:customStyle="1" w:styleId="126">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7">
    <w:name w:val="1正文"/>
    <w:basedOn w:val="1"/>
    <w:qFormat/>
    <w:uiPriority w:val="0"/>
    <w:pPr>
      <w:spacing w:line="560" w:lineRule="exact"/>
      <w:ind w:firstLine="200" w:firstLineChars="200"/>
    </w:pPr>
    <w:rPr>
      <w:rFonts w:eastAsia="Cambria Math"/>
      <w:sz w:val="32"/>
    </w:rPr>
  </w:style>
  <w:style w:type="paragraph" w:customStyle="1" w:styleId="12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9">
    <w:name w:val="无间隔1"/>
    <w:qFormat/>
    <w:uiPriority w:val="1"/>
    <w:rPr>
      <w:rFonts w:ascii="Times New Roman" w:hAnsi="Times New Roman" w:eastAsia="宋体" w:cs="Times New Roman"/>
      <w:sz w:val="22"/>
      <w:lang w:val="en-US" w:eastAsia="zh-CN" w:bidi="ar-SA"/>
    </w:rPr>
  </w:style>
  <w:style w:type="paragraph" w:customStyle="1" w:styleId="130">
    <w:name w:val="表格正文"/>
    <w:basedOn w:val="1"/>
    <w:qFormat/>
    <w:uiPriority w:val="0"/>
    <w:pPr>
      <w:widowControl/>
      <w:snapToGrid w:val="0"/>
      <w:spacing w:line="300" w:lineRule="auto"/>
      <w:jc w:val="left"/>
    </w:pPr>
    <w:rPr>
      <w:rFonts w:ascii="Calibri" w:hAnsi="Calibri"/>
      <w:sz w:val="24"/>
    </w:rPr>
  </w:style>
  <w:style w:type="paragraph" w:customStyle="1" w:styleId="131">
    <w:name w:val="_Style 129"/>
    <w:basedOn w:val="1"/>
    <w:next w:val="1"/>
    <w:qFormat/>
    <w:uiPriority w:val="0"/>
    <w:pPr>
      <w:pBdr>
        <w:top w:val="single" w:color="auto" w:sz="6" w:space="1"/>
      </w:pBdr>
      <w:jc w:val="center"/>
    </w:pPr>
    <w:rPr>
      <w:rFonts w:ascii="Arial" w:eastAsia="宋体"/>
      <w:vanish/>
      <w:sz w:val="16"/>
    </w:rPr>
  </w:style>
  <w:style w:type="paragraph" w:customStyle="1" w:styleId="132">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3">
    <w:name w:val="Level 2"/>
    <w:basedOn w:val="1"/>
    <w:qFormat/>
    <w:uiPriority w:val="0"/>
    <w:rPr>
      <w:rFonts w:ascii="Calibri" w:hAnsi="Calibri"/>
      <w:szCs w:val="22"/>
    </w:rPr>
  </w:style>
  <w:style w:type="paragraph" w:customStyle="1" w:styleId="134">
    <w:name w:val="列出段落2"/>
    <w:basedOn w:val="1"/>
    <w:qFormat/>
    <w:uiPriority w:val="0"/>
    <w:pPr>
      <w:ind w:firstLine="420" w:firstLineChars="200"/>
    </w:pPr>
    <w:rPr>
      <w:rFonts w:ascii="Calibri" w:hAnsi="Calibri"/>
      <w:szCs w:val="22"/>
    </w:rPr>
  </w:style>
  <w:style w:type="paragraph" w:customStyle="1" w:styleId="135">
    <w:name w:val="样式 标题 1卷标题H1章标题 1 1TITRE1L1 Heading 1h11st levelh111st...3"/>
    <w:basedOn w:val="4"/>
    <w:qFormat/>
    <w:uiPriority w:val="0"/>
    <w:pPr>
      <w:spacing w:before="120" w:after="120" w:line="360" w:lineRule="auto"/>
      <w:jc w:val="center"/>
    </w:pPr>
    <w:rPr>
      <w:rFonts w:ascii="宋体" w:hAnsi="宋体"/>
      <w:sz w:val="36"/>
      <w:szCs w:val="20"/>
    </w:rPr>
  </w:style>
  <w:style w:type="paragraph" w:customStyle="1" w:styleId="136">
    <w:name w:val="样式 样式 首行缩进:  2 字符1 + 首行缩进:  2 字符"/>
    <w:basedOn w:val="137"/>
    <w:qFormat/>
    <w:uiPriority w:val="0"/>
    <w:pPr>
      <w:ind w:firstLine="480"/>
    </w:pPr>
  </w:style>
  <w:style w:type="paragraph" w:customStyle="1" w:styleId="137">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8">
    <w:name w:val="正文文本 32"/>
    <w:basedOn w:val="1"/>
    <w:qFormat/>
    <w:uiPriority w:val="0"/>
    <w:pPr>
      <w:spacing w:line="312" w:lineRule="auto"/>
    </w:pPr>
    <w:rPr>
      <w:rFonts w:ascii="宋体" w:hAnsi="Times New Roman"/>
      <w:sz w:val="24"/>
      <w:szCs w:val="20"/>
    </w:rPr>
  </w:style>
  <w:style w:type="paragraph" w:customStyle="1" w:styleId="139">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40">
    <w:name w:val="Body Text 3"/>
    <w:basedOn w:val="1"/>
    <w:qFormat/>
    <w:uiPriority w:val="0"/>
    <w:rPr>
      <w:rFonts w:ascii="宋体"/>
      <w:sz w:val="24"/>
    </w:rPr>
  </w:style>
  <w:style w:type="paragraph" w:customStyle="1" w:styleId="141">
    <w:name w:val="Level 4"/>
    <w:basedOn w:val="1"/>
    <w:qFormat/>
    <w:uiPriority w:val="0"/>
    <w:pPr>
      <w:tabs>
        <w:tab w:val="left" w:pos="2440"/>
      </w:tabs>
      <w:ind w:left="2041" w:hanging="765"/>
    </w:pPr>
    <w:rPr>
      <w:rFonts w:ascii="Calibri" w:hAnsi="Calibri"/>
      <w:szCs w:val="22"/>
    </w:rPr>
  </w:style>
  <w:style w:type="paragraph" w:customStyle="1" w:styleId="142">
    <w:name w:val="1"/>
    <w:basedOn w:val="1"/>
    <w:next w:val="25"/>
    <w:qFormat/>
    <w:uiPriority w:val="0"/>
    <w:pPr>
      <w:tabs>
        <w:tab w:val="left" w:pos="3060"/>
      </w:tabs>
      <w:spacing w:line="140" w:lineRule="atLeast"/>
      <w:ind w:firstLine="560" w:firstLineChars="200"/>
    </w:pPr>
    <w:rPr>
      <w:sz w:val="28"/>
    </w:rPr>
  </w:style>
  <w:style w:type="paragraph" w:customStyle="1" w:styleId="143">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4">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5">
    <w:name w:val="样式 四号 首行缩进:  1厘米 行距: 1.5 倍行距"/>
    <w:basedOn w:val="1"/>
    <w:qFormat/>
    <w:uiPriority w:val="0"/>
    <w:pPr>
      <w:spacing w:line="360" w:lineRule="auto"/>
      <w:ind w:firstLine="570"/>
    </w:pPr>
    <w:rPr>
      <w:sz w:val="28"/>
      <w:szCs w:val="20"/>
    </w:rPr>
  </w:style>
  <w:style w:type="paragraph" w:customStyle="1" w:styleId="146">
    <w:name w:val="样式 标题 1 + (西文) Times New Roman (中文) 仿宋 小四 黑色 居中 左侧:  0 厘米 ..."/>
    <w:basedOn w:val="4"/>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7">
    <w:name w:val="TOC 标题1"/>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8">
    <w:name w:val="样式1"/>
    <w:basedOn w:val="1"/>
    <w:qFormat/>
    <w:uiPriority w:val="0"/>
    <w:pPr>
      <w:numPr>
        <w:ilvl w:val="0"/>
        <w:numId w:val="3"/>
      </w:numPr>
      <w:spacing w:line="360" w:lineRule="auto"/>
      <w:ind w:left="1253" w:hanging="680"/>
    </w:pPr>
    <w:rPr>
      <w:sz w:val="28"/>
      <w:szCs w:val="28"/>
    </w:rPr>
  </w:style>
  <w:style w:type="paragraph" w:customStyle="1" w:styleId="149">
    <w:name w:val="Level 1"/>
    <w:basedOn w:val="1"/>
    <w:qFormat/>
    <w:uiPriority w:val="0"/>
    <w:rPr>
      <w:rFonts w:ascii="Calibri" w:hAnsi="Calibri"/>
      <w:szCs w:val="22"/>
    </w:rPr>
  </w:style>
  <w:style w:type="paragraph" w:customStyle="1" w:styleId="150">
    <w:name w:val="p16"/>
    <w:basedOn w:val="1"/>
    <w:qFormat/>
    <w:uiPriority w:val="0"/>
    <w:pPr>
      <w:widowControl/>
    </w:pPr>
    <w:rPr>
      <w:rFonts w:ascii="宋体" w:hAnsi="宋体"/>
      <w:kern w:val="0"/>
      <w:sz w:val="24"/>
      <w:szCs w:val="20"/>
    </w:rPr>
  </w:style>
  <w:style w:type="paragraph" w:customStyle="1" w:styleId="151">
    <w:name w:val="List Paragraph1"/>
    <w:basedOn w:val="1"/>
    <w:qFormat/>
    <w:uiPriority w:val="34"/>
    <w:pPr>
      <w:ind w:firstLine="420" w:firstLineChars="200"/>
    </w:pPr>
  </w:style>
  <w:style w:type="paragraph" w:customStyle="1" w:styleId="152">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3">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4">
    <w:name w:val="标题4"/>
    <w:basedOn w:val="1"/>
    <w:qFormat/>
    <w:uiPriority w:val="0"/>
    <w:pPr>
      <w:spacing w:before="156" w:beforeLines="50" w:after="156" w:afterLines="50"/>
      <w:jc w:val="left"/>
    </w:pPr>
    <w:rPr>
      <w:rFonts w:eastAsia="黑体"/>
      <w:b/>
      <w:kern w:val="0"/>
      <w:sz w:val="30"/>
    </w:rPr>
  </w:style>
  <w:style w:type="paragraph" w:customStyle="1" w:styleId="155">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6">
    <w:name w:val="列出段落1"/>
    <w:basedOn w:val="1"/>
    <w:qFormat/>
    <w:uiPriority w:val="34"/>
    <w:pPr>
      <w:ind w:firstLine="420" w:firstLineChars="200"/>
    </w:pPr>
    <w:rPr>
      <w:rFonts w:ascii="Calibri" w:hAnsi="Calibri" w:cs="Calibri"/>
      <w:szCs w:val="21"/>
    </w:rPr>
  </w:style>
  <w:style w:type="paragraph" w:customStyle="1" w:styleId="157">
    <w:name w:val="p0"/>
    <w:basedOn w:val="1"/>
    <w:qFormat/>
    <w:uiPriority w:val="0"/>
    <w:pPr>
      <w:widowControl/>
    </w:pPr>
    <w:rPr>
      <w:kern w:val="0"/>
      <w:szCs w:val="21"/>
    </w:rPr>
  </w:style>
  <w:style w:type="paragraph" w:customStyle="1" w:styleId="158">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9">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60">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1">
    <w:name w:val="_Style 12"/>
    <w:basedOn w:val="1"/>
    <w:next w:val="19"/>
    <w:qFormat/>
    <w:uiPriority w:val="0"/>
    <w:pPr>
      <w:spacing w:line="360" w:lineRule="auto"/>
      <w:ind w:firstLine="540"/>
    </w:pPr>
    <w:rPr>
      <w:sz w:val="28"/>
      <w:szCs w:val="20"/>
    </w:rPr>
  </w:style>
  <w:style w:type="paragraph" w:customStyle="1" w:styleId="162">
    <w:name w:val="_Style 160"/>
    <w:basedOn w:val="1"/>
    <w:next w:val="108"/>
    <w:qFormat/>
    <w:uiPriority w:val="0"/>
    <w:pPr>
      <w:pBdr>
        <w:bottom w:val="single" w:color="auto" w:sz="6" w:space="1"/>
      </w:pBdr>
      <w:jc w:val="center"/>
    </w:pPr>
    <w:rPr>
      <w:rFonts w:ascii="Arial" w:eastAsia="宋体"/>
      <w:vanish/>
      <w:sz w:val="16"/>
    </w:rPr>
  </w:style>
  <w:style w:type="paragraph" w:customStyle="1" w:styleId="163">
    <w:name w:val="Level 5"/>
    <w:basedOn w:val="1"/>
    <w:qFormat/>
    <w:uiPriority w:val="0"/>
    <w:pPr>
      <w:tabs>
        <w:tab w:val="left" w:pos="2552"/>
      </w:tabs>
      <w:ind w:left="2552" w:hanging="567"/>
    </w:pPr>
    <w:rPr>
      <w:rFonts w:ascii="Calibri" w:hAnsi="Calibri"/>
      <w:szCs w:val="22"/>
    </w:rPr>
  </w:style>
  <w:style w:type="paragraph" w:customStyle="1" w:styleId="164">
    <w:name w:val="样式 标题 2 +"/>
    <w:basedOn w:val="5"/>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5">
    <w:name w:val="_Style 246"/>
    <w:basedOn w:val="1"/>
    <w:next w:val="15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6">
    <w:name w:val="列出段落11"/>
    <w:basedOn w:val="1"/>
    <w:qFormat/>
    <w:uiPriority w:val="0"/>
    <w:pPr>
      <w:ind w:firstLine="420" w:firstLineChars="200"/>
    </w:pPr>
    <w:rPr>
      <w:rFonts w:ascii="Calibri" w:hAnsi="Calibri"/>
      <w:szCs w:val="22"/>
    </w:rPr>
  </w:style>
  <w:style w:type="paragraph" w:customStyle="1" w:styleId="167">
    <w:name w:val="Char Char Char"/>
    <w:basedOn w:val="1"/>
    <w:qFormat/>
    <w:uiPriority w:val="0"/>
  </w:style>
  <w:style w:type="paragraph" w:customStyle="1" w:styleId="168">
    <w:name w:val="表格首行"/>
    <w:basedOn w:val="1"/>
    <w:qFormat/>
    <w:uiPriority w:val="0"/>
    <w:pPr>
      <w:widowControl/>
      <w:jc w:val="center"/>
    </w:pPr>
    <w:rPr>
      <w:rFonts w:hint="eastAsia" w:ascii="宋体" w:hAnsi="宋体"/>
      <w:sz w:val="24"/>
    </w:rPr>
  </w:style>
  <w:style w:type="paragraph" w:customStyle="1" w:styleId="169">
    <w:name w:val="Level 3"/>
    <w:basedOn w:val="1"/>
    <w:qFormat/>
    <w:uiPriority w:val="0"/>
    <w:pPr>
      <w:tabs>
        <w:tab w:val="left" w:pos="2808"/>
      </w:tabs>
      <w:ind w:left="2808" w:hanging="681"/>
    </w:pPr>
    <w:rPr>
      <w:rFonts w:ascii="Calibri" w:hAnsi="Calibri"/>
      <w:szCs w:val="22"/>
    </w:rPr>
  </w:style>
  <w:style w:type="paragraph" w:customStyle="1" w:styleId="170">
    <w:name w:val="_Style 168"/>
    <w:basedOn w:val="4"/>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Char Char Char Char"/>
    <w:basedOn w:val="1"/>
    <w:qFormat/>
    <w:uiPriority w:val="0"/>
    <w:pPr>
      <w:tabs>
        <w:tab w:val="left" w:pos="360"/>
      </w:tabs>
    </w:pPr>
    <w:rPr>
      <w:szCs w:val="20"/>
    </w:rPr>
  </w:style>
  <w:style w:type="paragraph" w:customStyle="1" w:styleId="173">
    <w:name w:val="Heading 2 + 宋体"/>
    <w:basedOn w:val="4"/>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4">
    <w:name w:val="Level 6"/>
    <w:basedOn w:val="1"/>
    <w:qFormat/>
    <w:uiPriority w:val="0"/>
    <w:pPr>
      <w:tabs>
        <w:tab w:val="left" w:pos="3289"/>
      </w:tabs>
      <w:ind w:left="3289" w:hanging="681"/>
    </w:pPr>
    <w:rPr>
      <w:rFonts w:ascii="Calibri" w:hAnsi="Calibri"/>
      <w:szCs w:val="22"/>
    </w:rPr>
  </w:style>
  <w:style w:type="paragraph" w:customStyle="1" w:styleId="175">
    <w:name w:val="正文文本 33"/>
    <w:basedOn w:val="1"/>
    <w:qFormat/>
    <w:uiPriority w:val="0"/>
    <w:rPr>
      <w:rFonts w:ascii="宋体" w:hAnsi="Times New Roman" w:cs="Times New Roman"/>
      <w:sz w:val="24"/>
    </w:rPr>
  </w:style>
  <w:style w:type="character" w:customStyle="1" w:styleId="176">
    <w:name w:val="正文缩进 字符1"/>
    <w:qFormat/>
    <w:uiPriority w:val="0"/>
  </w:style>
  <w:style w:type="character" w:customStyle="1" w:styleId="177">
    <w:name w:val="font41"/>
    <w:basedOn w:val="43"/>
    <w:qFormat/>
    <w:uiPriority w:val="0"/>
    <w:rPr>
      <w:rFonts w:hint="eastAsia" w:ascii="仿宋" w:hAnsi="仿宋" w:eastAsia="仿宋" w:cs="仿宋"/>
      <w:color w:val="000000"/>
      <w:sz w:val="21"/>
      <w:szCs w:val="21"/>
      <w:u w:val="none"/>
    </w:rPr>
  </w:style>
  <w:style w:type="character" w:customStyle="1" w:styleId="178">
    <w:name w:val="font81"/>
    <w:basedOn w:val="43"/>
    <w:qFormat/>
    <w:uiPriority w:val="0"/>
    <w:rPr>
      <w:rFonts w:hint="eastAsia" w:ascii="仿宋" w:hAnsi="仿宋" w:eastAsia="仿宋" w:cs="仿宋"/>
      <w:color w:val="0000FF"/>
      <w:sz w:val="21"/>
      <w:szCs w:val="21"/>
      <w:u w:val="none"/>
    </w:rPr>
  </w:style>
  <w:style w:type="character" w:customStyle="1" w:styleId="179">
    <w:name w:val="font71"/>
    <w:basedOn w:val="43"/>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wmf"/><Relationship Id="rId15" Type="http://schemas.openxmlformats.org/officeDocument/2006/relationships/control" Target="activeX/activeX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125</TotalTime>
  <ScaleCrop>false</ScaleCrop>
  <LinksUpToDate>false</LinksUpToDate>
  <CharactersWithSpaces>27898</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米樱</cp:lastModifiedBy>
  <cp:lastPrinted>2018-07-16T11:27:00Z</cp:lastPrinted>
  <dcterms:modified xsi:type="dcterms:W3CDTF">2025-10-22T07:24:28Z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E280D5E23C794DA2A74075BC8DBBE9D6</vt:lpwstr>
  </property>
</Properties>
</file>